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spacing w:beforeLines="50"/>
        <w:jc w:val="center"/>
        <w:rPr>
          <w:rFonts w:ascii="宋体" w:hAnsi="宋体"/>
          <w:sz w:val="72"/>
          <w:szCs w:val="72"/>
        </w:rPr>
      </w:pPr>
    </w:p>
    <w:p>
      <w:pPr>
        <w:pStyle w:val="style32"/>
        <w:rPr/>
      </w:pPr>
    </w:p>
    <w:p>
      <w:pPr>
        <w:pStyle w:val="style0"/>
        <w:spacing w:beforeLines="50"/>
        <w:jc w:val="center"/>
        <w:rPr>
          <w:rFonts w:ascii="宋体" w:hAnsi="宋体"/>
          <w:sz w:val="72"/>
          <w:szCs w:val="72"/>
        </w:rPr>
      </w:pPr>
    </w:p>
    <w:p>
      <w:pPr>
        <w:pStyle w:val="style0"/>
        <w:spacing w:beforeLines="50"/>
        <w:jc w:val="center"/>
        <w:rPr>
          <w:rFonts w:ascii="宋体" w:hAnsi="宋体"/>
          <w:sz w:val="72"/>
          <w:szCs w:val="72"/>
        </w:rPr>
      </w:pPr>
      <w:r>
        <w:rPr>
          <w:rFonts w:ascii="宋体" w:hAnsi="宋体"/>
          <w:sz w:val="72"/>
          <w:szCs w:val="72"/>
        </w:rPr>
        <w:t>公开招标采购文件</w:t>
      </w:r>
    </w:p>
    <w:p>
      <w:pPr>
        <w:pStyle w:val="style0"/>
        <w:snapToGrid w:val="false"/>
        <w:spacing w:beforeLines="50" w:lineRule="auto" w:line="360"/>
        <w:rPr>
          <w:rFonts w:ascii="宋体" w:hAnsi="宋体"/>
          <w:sz w:val="30"/>
          <w:szCs w:val="72"/>
        </w:rPr>
      </w:pPr>
    </w:p>
    <w:p>
      <w:pPr>
        <w:pStyle w:val="style0"/>
        <w:snapToGrid w:val="false"/>
        <w:spacing w:beforeLines="50" w:lineRule="auto" w:line="360"/>
        <w:rPr>
          <w:rFonts w:ascii="宋体" w:hAnsi="宋体"/>
          <w:sz w:val="30"/>
          <w:szCs w:val="72"/>
        </w:rPr>
      </w:pPr>
    </w:p>
    <w:p>
      <w:pPr>
        <w:pStyle w:val="style90"/>
        <w:snapToGrid w:val="false"/>
        <w:spacing w:before="120" w:after="120" w:lineRule="auto" w:line="360"/>
        <w:ind w:firstLine="904" w:firstLineChars="300"/>
        <w:rPr>
          <w:rFonts w:hAnsi="宋体"/>
          <w:sz w:val="32"/>
          <w:szCs w:val="32"/>
        </w:rPr>
      </w:pPr>
      <w:r>
        <w:rPr>
          <w:rFonts w:hAnsi="宋体"/>
          <w:b/>
          <w:bCs/>
          <w:sz w:val="30"/>
          <w:szCs w:val="30"/>
        </w:rPr>
        <w:t>项目编号：</w:t>
      </w:r>
      <w:r>
        <w:rPr>
          <w:rFonts w:hAnsi="宋体"/>
          <w:sz w:val="32"/>
          <w:szCs w:val="32"/>
        </w:rPr>
        <w:t>GXZC2024-G3-005717-GSZB</w:t>
      </w:r>
    </w:p>
    <w:p>
      <w:pPr>
        <w:pStyle w:val="style0"/>
        <w:snapToGrid w:val="false"/>
        <w:spacing w:beforeLines="50" w:lineRule="auto" w:line="360"/>
        <w:ind w:firstLine="904" w:firstLineChars="300"/>
        <w:rPr>
          <w:rFonts w:ascii="宋体" w:hAnsi="宋体"/>
          <w:b/>
          <w:sz w:val="30"/>
          <w:szCs w:val="72"/>
        </w:rPr>
      </w:pPr>
      <w:r>
        <w:rPr>
          <w:rFonts w:ascii="宋体" w:hAnsi="宋体"/>
          <w:b/>
          <w:sz w:val="30"/>
          <w:szCs w:val="72"/>
        </w:rPr>
        <w:t>项目名称：</w:t>
      </w:r>
      <w:bookmarkStart w:id="0" w:name="OLE_LINK1"/>
      <w:r>
        <w:rPr>
          <w:rFonts w:ascii="宋体" w:hAnsi="宋体" w:hint="eastAsia"/>
          <w:b/>
          <w:sz w:val="30"/>
          <w:szCs w:val="72"/>
        </w:rPr>
        <w:t>广西公安数字化改革之安保平台项目</w:t>
      </w:r>
      <w:bookmarkEnd w:id="0"/>
    </w:p>
    <w:p>
      <w:pPr>
        <w:pStyle w:val="style90"/>
        <w:snapToGrid w:val="false"/>
        <w:spacing w:before="120" w:after="120" w:lineRule="auto" w:line="360"/>
        <w:ind w:firstLine="1656" w:firstLineChars="550"/>
        <w:rPr>
          <w:rFonts w:hAnsi="宋体"/>
          <w:b/>
          <w:sz w:val="30"/>
          <w:szCs w:val="72"/>
        </w:rPr>
      </w:pPr>
    </w:p>
    <w:p>
      <w:pPr>
        <w:pStyle w:val="style90"/>
        <w:snapToGrid w:val="false"/>
        <w:spacing w:before="120" w:after="120" w:lineRule="auto" w:line="360"/>
        <w:ind w:firstLine="1656" w:firstLineChars="550"/>
        <w:rPr>
          <w:rFonts w:hAnsi="宋体"/>
          <w:b/>
          <w:sz w:val="30"/>
          <w:szCs w:val="72"/>
        </w:rPr>
      </w:pPr>
    </w:p>
    <w:p>
      <w:pPr>
        <w:pStyle w:val="style90"/>
        <w:snapToGrid w:val="false"/>
        <w:spacing w:before="120" w:after="120" w:lineRule="auto" w:line="360"/>
        <w:ind w:firstLine="1656" w:firstLineChars="550"/>
        <w:rPr>
          <w:rFonts w:hAnsi="宋体"/>
          <w:b/>
          <w:sz w:val="30"/>
          <w:szCs w:val="72"/>
        </w:rPr>
      </w:pPr>
    </w:p>
    <w:p>
      <w:pPr>
        <w:pStyle w:val="style90"/>
        <w:snapToGrid w:val="false"/>
        <w:spacing w:before="120" w:after="120" w:lineRule="auto" w:line="360"/>
        <w:jc w:val="center"/>
        <w:rPr>
          <w:rFonts w:hAnsi="宋体"/>
          <w:b/>
          <w:bCs/>
          <w:w w:val="95"/>
          <w:sz w:val="30"/>
          <w:szCs w:val="30"/>
        </w:rPr>
      </w:pPr>
      <w:r>
        <w:rPr>
          <w:rFonts w:hAnsi="宋体"/>
          <w:b/>
          <w:sz w:val="30"/>
          <w:szCs w:val="72"/>
        </w:rPr>
        <w:t>采购单位：</w:t>
      </w:r>
      <w:r>
        <w:rPr>
          <w:rFonts w:hAnsi="宋体"/>
          <w:b/>
          <w:bCs/>
          <w:w w:val="95"/>
          <w:sz w:val="30"/>
          <w:szCs w:val="30"/>
        </w:rPr>
        <w:t>广西壮族自治区公安厅</w:t>
      </w:r>
    </w:p>
    <w:p>
      <w:pPr>
        <w:pStyle w:val="style90"/>
        <w:snapToGrid w:val="false"/>
        <w:spacing w:before="120" w:after="120" w:lineRule="auto" w:line="360"/>
        <w:jc w:val="center"/>
        <w:rPr>
          <w:rFonts w:hAnsi="宋体"/>
          <w:b/>
          <w:bCs/>
          <w:w w:val="95"/>
          <w:sz w:val="30"/>
          <w:szCs w:val="30"/>
        </w:rPr>
      </w:pPr>
      <w:r>
        <w:rPr>
          <w:rFonts w:hAnsi="宋体"/>
          <w:b/>
          <w:bCs/>
          <w:w w:val="95"/>
          <w:sz w:val="30"/>
          <w:szCs w:val="30"/>
        </w:rPr>
        <w:t>采购代理机构：广西国盛招标有限公司</w:t>
      </w:r>
    </w:p>
    <w:p>
      <w:pPr>
        <w:pStyle w:val="style90"/>
        <w:snapToGrid w:val="false"/>
        <w:spacing w:before="120" w:after="120" w:lineRule="auto" w:line="360"/>
        <w:jc w:val="center"/>
        <w:rPr>
          <w:rFonts w:hAnsi="宋体"/>
          <w:b/>
          <w:bCs/>
          <w:w w:val="95"/>
          <w:sz w:val="30"/>
          <w:szCs w:val="30"/>
        </w:rPr>
      </w:pPr>
      <w:r>
        <w:rPr>
          <w:rFonts w:hAnsi="宋体"/>
          <w:b/>
          <w:bCs/>
          <w:w w:val="95"/>
          <w:sz w:val="30"/>
          <w:szCs w:val="30"/>
        </w:rPr>
        <w:t>2024年</w:t>
      </w:r>
      <w:r>
        <w:rPr>
          <w:rFonts w:hAnsi="宋体" w:hint="eastAsia"/>
          <w:b/>
          <w:bCs/>
          <w:w w:val="95"/>
          <w:sz w:val="30"/>
          <w:szCs w:val="30"/>
        </w:rPr>
        <w:t>10</w:t>
      </w:r>
      <w:r>
        <w:rPr>
          <w:rFonts w:hAnsi="宋体"/>
          <w:b/>
          <w:bCs/>
          <w:w w:val="95"/>
          <w:sz w:val="30"/>
          <w:szCs w:val="30"/>
        </w:rPr>
        <w:t>月</w:t>
      </w:r>
    </w:p>
    <w:p>
      <w:pPr>
        <w:pStyle w:val="style0"/>
        <w:widowControl/>
        <w:jc w:val="left"/>
        <w:rPr>
          <w:rFonts w:ascii="宋体" w:hAnsi="宋体"/>
          <w:b/>
          <w:bCs/>
          <w:w w:val="95"/>
          <w:sz w:val="30"/>
          <w:szCs w:val="30"/>
        </w:rPr>
      </w:pPr>
    </w:p>
    <w:p>
      <w:pPr>
        <w:pStyle w:val="style0"/>
        <w:rPr>
          <w:rFonts w:ascii="宋体" w:hAnsi="宋体"/>
          <w:sz w:val="30"/>
          <w:szCs w:val="30"/>
        </w:rPr>
      </w:pPr>
    </w:p>
    <w:p>
      <w:pPr>
        <w:pStyle w:val="style32"/>
        <w:rPr/>
      </w:pPr>
    </w:p>
    <w:p>
      <w:pPr>
        <w:pStyle w:val="style32"/>
        <w:rPr/>
      </w:pPr>
    </w:p>
    <w:p>
      <w:pPr>
        <w:pStyle w:val="style32"/>
        <w:rPr/>
      </w:pPr>
    </w:p>
    <w:p>
      <w:pPr>
        <w:pStyle w:val="style32"/>
        <w:rPr/>
      </w:pPr>
    </w:p>
    <w:p>
      <w:pPr>
        <w:pStyle w:val="style32"/>
        <w:rPr/>
      </w:pPr>
    </w:p>
    <w:p>
      <w:pPr>
        <w:pStyle w:val="style0"/>
        <w:rPr>
          <w:rFonts w:ascii="宋体" w:hAnsi="宋体"/>
          <w:sz w:val="30"/>
          <w:szCs w:val="30"/>
        </w:rPr>
      </w:pPr>
    </w:p>
    <w:p>
      <w:pPr>
        <w:pStyle w:val="style90"/>
        <w:jc w:val="center"/>
        <w:rPr>
          <w:rFonts w:hAnsi="宋体"/>
          <w:b/>
          <w:sz w:val="48"/>
          <w:szCs w:val="48"/>
        </w:rPr>
      </w:pPr>
      <w:r>
        <w:rPr>
          <w:rFonts w:hAnsi="宋体" w:hint="eastAsia"/>
          <w:b/>
          <w:sz w:val="48"/>
          <w:szCs w:val="48"/>
        </w:rPr>
        <w:t>目录</w:t>
      </w:r>
    </w:p>
    <w:p>
      <w:pPr>
        <w:pStyle w:val="style19"/>
        <w:tabs>
          <w:tab w:val="right" w:leader="dot" w:pos="9638"/>
        </w:tabs>
        <w:rPr>
          <w:noProof/>
        </w:rPr>
      </w:pPr>
      <w:r>
        <w:rPr/>
        <w:fldChar w:fldCharType="begin"/>
      </w:r>
      <w:r>
        <w:rPr>
          <w:rStyle w:val="style85"/>
          <w:color w:val="auto"/>
        </w:rPr>
        <w:instrText xml:space="preserve"> TOC \o "1-3" \h \z \u </w:instrText>
      </w:r>
      <w:r>
        <w:rPr/>
        <w:fldChar w:fldCharType="separate"/>
      </w:r>
      <w:r>
        <w:rPr/>
        <w:fldChar w:fldCharType="begin"/>
      </w:r>
      <w:r>
        <w:instrText xml:space="preserve"> HYPERLINK \l "_Toc433" </w:instrText>
      </w:r>
      <w:r>
        <w:rPr/>
        <w:fldChar w:fldCharType="separate"/>
      </w:r>
      <w:r>
        <w:rPr>
          <w:noProof/>
        </w:rPr>
        <w:tab/>
      </w:r>
      <w:r>
        <w:rPr>
          <w:noProof/>
        </w:rPr>
        <w:fldChar w:fldCharType="begin"/>
      </w:r>
      <w:r>
        <w:rPr>
          <w:noProof/>
        </w:rPr>
        <w:instrText xml:space="preserve"> PAGEREF _Toc433 \h </w:instrText>
      </w:r>
      <w:r>
        <w:rPr>
          <w:noProof/>
        </w:rPr>
        <w:fldChar w:fldCharType="separate"/>
      </w:r>
      <w:r>
        <w:rPr>
          <w:noProof/>
        </w:rPr>
        <w:t>2</w:t>
      </w:r>
      <w:r>
        <w:rPr>
          <w:noProof/>
        </w:rPr>
        <w:fldChar w:fldCharType="end"/>
      </w:r>
      <w:r>
        <w:rPr/>
        <w:fldChar w:fldCharType="end"/>
      </w:r>
    </w:p>
    <w:p>
      <w:pPr>
        <w:pStyle w:val="style19"/>
        <w:tabs>
          <w:tab w:val="right" w:leader="dot" w:pos="9638"/>
        </w:tabs>
        <w:rPr>
          <w:noProof/>
        </w:rPr>
      </w:pPr>
      <w:r>
        <w:rPr/>
        <w:fldChar w:fldCharType="begin"/>
      </w:r>
      <w:r>
        <w:instrText xml:space="preserve"> HYPERLINK \l "_Toc18117" </w:instrText>
      </w:r>
      <w:r>
        <w:rPr/>
        <w:fldChar w:fldCharType="separate"/>
      </w:r>
      <w:r>
        <w:rPr>
          <w:rFonts w:hAnsi="宋体" w:hint="eastAsia"/>
          <w:noProof/>
        </w:rPr>
        <w:t>第一章招标公告</w:t>
      </w:r>
      <w:r>
        <w:rPr>
          <w:noProof/>
        </w:rPr>
        <w:tab/>
      </w:r>
      <w:r>
        <w:rPr>
          <w:noProof/>
        </w:rPr>
        <w:fldChar w:fldCharType="begin"/>
      </w:r>
      <w:r>
        <w:rPr>
          <w:noProof/>
        </w:rPr>
        <w:instrText xml:space="preserve"> PAGEREF _Toc18117 \h </w:instrText>
      </w:r>
      <w:r>
        <w:rPr>
          <w:noProof/>
        </w:rPr>
        <w:fldChar w:fldCharType="separate"/>
      </w:r>
      <w:r>
        <w:rPr>
          <w:noProof/>
        </w:rPr>
        <w:t>3</w:t>
      </w:r>
      <w:r>
        <w:rPr>
          <w:noProof/>
        </w:rPr>
        <w:fldChar w:fldCharType="end"/>
      </w:r>
      <w:r>
        <w:rPr/>
        <w:fldChar w:fldCharType="end"/>
      </w:r>
    </w:p>
    <w:p>
      <w:pPr>
        <w:pStyle w:val="style19"/>
        <w:tabs>
          <w:tab w:val="right" w:leader="dot" w:pos="9638"/>
        </w:tabs>
        <w:rPr>
          <w:noProof/>
        </w:rPr>
      </w:pPr>
      <w:r>
        <w:rPr/>
        <w:fldChar w:fldCharType="begin"/>
      </w:r>
      <w:r>
        <w:instrText xml:space="preserve"> HYPERLINK \l "_Toc20389" </w:instrText>
      </w:r>
      <w:r>
        <w:rPr/>
        <w:fldChar w:fldCharType="separate"/>
      </w:r>
      <w:r>
        <w:rPr>
          <w:rFonts w:hAnsi="宋体" w:hint="eastAsia"/>
          <w:noProof/>
        </w:rPr>
        <w:t>第二章采购需求</w:t>
      </w:r>
      <w:r>
        <w:rPr>
          <w:noProof/>
        </w:rPr>
        <w:tab/>
      </w:r>
      <w:r>
        <w:rPr>
          <w:noProof/>
        </w:rPr>
        <w:fldChar w:fldCharType="begin"/>
      </w:r>
      <w:r>
        <w:rPr>
          <w:noProof/>
        </w:rPr>
        <w:instrText xml:space="preserve"> PAGEREF _Toc20389 \h </w:instrText>
      </w:r>
      <w:r>
        <w:rPr>
          <w:noProof/>
        </w:rPr>
        <w:fldChar w:fldCharType="separate"/>
      </w:r>
      <w:r>
        <w:rPr>
          <w:noProof/>
        </w:rPr>
        <w:t>7</w:t>
      </w:r>
      <w:r>
        <w:rPr>
          <w:noProof/>
        </w:rPr>
        <w:fldChar w:fldCharType="end"/>
      </w:r>
      <w:r>
        <w:rPr/>
        <w:fldChar w:fldCharType="end"/>
      </w:r>
    </w:p>
    <w:p>
      <w:pPr>
        <w:pStyle w:val="style19"/>
        <w:tabs>
          <w:tab w:val="right" w:leader="dot" w:pos="9638"/>
        </w:tabs>
        <w:rPr>
          <w:noProof/>
        </w:rPr>
      </w:pPr>
      <w:r>
        <w:rPr/>
        <w:fldChar w:fldCharType="begin"/>
      </w:r>
      <w:r>
        <w:instrText xml:space="preserve"> HYPERLINK \l "_Toc22110" </w:instrText>
      </w:r>
      <w:r>
        <w:rPr/>
        <w:fldChar w:fldCharType="separate"/>
      </w:r>
      <w:r>
        <w:rPr>
          <w:rFonts w:hAnsi="宋体" w:hint="eastAsia"/>
          <w:noProof/>
        </w:rPr>
        <w:t>第三章投标人须知</w:t>
      </w:r>
      <w:r>
        <w:rPr>
          <w:noProof/>
        </w:rPr>
        <w:tab/>
      </w:r>
      <w:r>
        <w:rPr>
          <w:noProof/>
        </w:rPr>
        <w:fldChar w:fldCharType="begin"/>
      </w:r>
      <w:r>
        <w:rPr>
          <w:noProof/>
        </w:rPr>
        <w:instrText xml:space="preserve"> PAGEREF _Toc22110 \h </w:instrText>
      </w:r>
      <w:r>
        <w:rPr>
          <w:noProof/>
        </w:rPr>
        <w:fldChar w:fldCharType="separate"/>
      </w:r>
      <w:r>
        <w:rPr>
          <w:noProof/>
        </w:rPr>
        <w:t>84</w:t>
      </w:r>
      <w:r>
        <w:rPr>
          <w:noProof/>
        </w:rPr>
        <w:fldChar w:fldCharType="end"/>
      </w:r>
      <w:r>
        <w:rPr/>
        <w:fldChar w:fldCharType="end"/>
      </w:r>
    </w:p>
    <w:p>
      <w:pPr>
        <w:pStyle w:val="style20"/>
        <w:tabs>
          <w:tab w:val="right" w:leader="dot" w:pos="9638"/>
        </w:tabs>
        <w:rPr>
          <w:noProof/>
        </w:rPr>
      </w:pPr>
      <w:r>
        <w:rPr/>
        <w:fldChar w:fldCharType="begin"/>
      </w:r>
      <w:r>
        <w:instrText xml:space="preserve"> HYPERLINK \l "_Toc5767" </w:instrText>
      </w:r>
      <w:r>
        <w:rPr/>
        <w:fldChar w:fldCharType="separate"/>
      </w:r>
      <w:r>
        <w:rPr>
          <w:rFonts w:hAnsi="宋体" w:hint="eastAsia"/>
          <w:noProof/>
          <w:szCs w:val="30"/>
        </w:rPr>
        <w:t>第一节投标人须知前附表</w:t>
      </w:r>
      <w:r>
        <w:rPr>
          <w:noProof/>
        </w:rPr>
        <w:tab/>
      </w:r>
      <w:r>
        <w:rPr>
          <w:noProof/>
        </w:rPr>
        <w:fldChar w:fldCharType="begin"/>
      </w:r>
      <w:r>
        <w:rPr>
          <w:noProof/>
        </w:rPr>
        <w:instrText xml:space="preserve"> PAGEREF _Toc5767 \h </w:instrText>
      </w:r>
      <w:r>
        <w:rPr>
          <w:noProof/>
        </w:rPr>
        <w:fldChar w:fldCharType="separate"/>
      </w:r>
      <w:r>
        <w:rPr>
          <w:noProof/>
        </w:rPr>
        <w:t>84</w:t>
      </w:r>
      <w:r>
        <w:rPr>
          <w:noProof/>
        </w:rPr>
        <w:fldChar w:fldCharType="end"/>
      </w:r>
      <w:r>
        <w:rPr/>
        <w:fldChar w:fldCharType="end"/>
      </w:r>
    </w:p>
    <w:p>
      <w:pPr>
        <w:pStyle w:val="style20"/>
        <w:tabs>
          <w:tab w:val="right" w:leader="dot" w:pos="9638"/>
        </w:tabs>
        <w:rPr>
          <w:noProof/>
        </w:rPr>
      </w:pPr>
      <w:r>
        <w:rPr/>
        <w:fldChar w:fldCharType="begin"/>
      </w:r>
      <w:r>
        <w:instrText xml:space="preserve"> HYPERLINK \l "_Toc9007" </w:instrText>
      </w:r>
      <w:r>
        <w:rPr/>
        <w:fldChar w:fldCharType="separate"/>
      </w:r>
      <w:r>
        <w:rPr>
          <w:rFonts w:ascii="宋体" w:hAnsi="宋体" w:hint="eastAsia"/>
          <w:noProof/>
        </w:rPr>
        <w:t>第二节投标人须知正文</w:t>
      </w:r>
      <w:r>
        <w:rPr>
          <w:noProof/>
        </w:rPr>
        <w:tab/>
      </w:r>
      <w:r>
        <w:rPr>
          <w:noProof/>
        </w:rPr>
        <w:fldChar w:fldCharType="begin"/>
      </w:r>
      <w:r>
        <w:rPr>
          <w:noProof/>
        </w:rPr>
        <w:instrText xml:space="preserve"> PAGEREF _Toc9007 \h </w:instrText>
      </w:r>
      <w:r>
        <w:rPr>
          <w:noProof/>
        </w:rPr>
        <w:fldChar w:fldCharType="separate"/>
      </w:r>
      <w:r>
        <w:rPr>
          <w:noProof/>
        </w:rPr>
        <w:t>89</w:t>
      </w:r>
      <w:r>
        <w:rPr>
          <w:noProof/>
        </w:rPr>
        <w:fldChar w:fldCharType="end"/>
      </w:r>
      <w:r>
        <w:rPr/>
        <w:fldChar w:fldCharType="end"/>
      </w:r>
    </w:p>
    <w:p>
      <w:pPr>
        <w:pStyle w:val="style21"/>
        <w:tabs>
          <w:tab w:val="right" w:leader="dot" w:pos="9638"/>
        </w:tabs>
        <w:rPr>
          <w:noProof/>
        </w:rPr>
      </w:pPr>
      <w:r>
        <w:rPr/>
        <w:fldChar w:fldCharType="begin"/>
      </w:r>
      <w:r>
        <w:instrText xml:space="preserve"> HYPERLINK \l "_Toc11648" </w:instrText>
      </w:r>
      <w:r>
        <w:rPr/>
        <w:fldChar w:fldCharType="separate"/>
      </w:r>
      <w:r>
        <w:rPr>
          <w:rFonts w:ascii="宋体" w:hAnsi="宋体" w:hint="eastAsia"/>
          <w:noProof/>
          <w:szCs w:val="30"/>
        </w:rPr>
        <w:t>一、总则</w:t>
      </w:r>
      <w:r>
        <w:rPr>
          <w:noProof/>
        </w:rPr>
        <w:tab/>
      </w:r>
      <w:r>
        <w:rPr>
          <w:noProof/>
        </w:rPr>
        <w:fldChar w:fldCharType="begin"/>
      </w:r>
      <w:r>
        <w:rPr>
          <w:noProof/>
        </w:rPr>
        <w:instrText xml:space="preserve"> PAGEREF _Toc11648 \h </w:instrText>
      </w:r>
      <w:r>
        <w:rPr>
          <w:noProof/>
        </w:rPr>
        <w:fldChar w:fldCharType="separate"/>
      </w:r>
      <w:r>
        <w:rPr>
          <w:noProof/>
        </w:rPr>
        <w:t>89</w:t>
      </w:r>
      <w:r>
        <w:rPr>
          <w:noProof/>
        </w:rPr>
        <w:fldChar w:fldCharType="end"/>
      </w:r>
      <w:r>
        <w:rPr/>
        <w:fldChar w:fldCharType="end"/>
      </w:r>
    </w:p>
    <w:p>
      <w:pPr>
        <w:pStyle w:val="style21"/>
        <w:tabs>
          <w:tab w:val="right" w:leader="dot" w:pos="9638"/>
        </w:tabs>
        <w:rPr>
          <w:noProof/>
        </w:rPr>
      </w:pPr>
      <w:r>
        <w:rPr/>
        <w:fldChar w:fldCharType="begin"/>
      </w:r>
      <w:r>
        <w:instrText xml:space="preserve"> HYPERLINK \l "_Toc30369" </w:instrText>
      </w:r>
      <w:r>
        <w:rPr/>
        <w:fldChar w:fldCharType="separate"/>
      </w:r>
      <w:r>
        <w:rPr>
          <w:rFonts w:ascii="宋体" w:hAnsi="宋体" w:hint="eastAsia"/>
          <w:noProof/>
          <w:szCs w:val="30"/>
        </w:rPr>
        <w:t>二、招标文件</w:t>
      </w:r>
      <w:r>
        <w:rPr>
          <w:noProof/>
        </w:rPr>
        <w:tab/>
      </w:r>
      <w:r>
        <w:rPr>
          <w:noProof/>
        </w:rPr>
        <w:fldChar w:fldCharType="begin"/>
      </w:r>
      <w:r>
        <w:rPr>
          <w:noProof/>
        </w:rPr>
        <w:instrText xml:space="preserve"> PAGEREF _Toc30369 \h </w:instrText>
      </w:r>
      <w:r>
        <w:rPr>
          <w:noProof/>
        </w:rPr>
        <w:fldChar w:fldCharType="separate"/>
      </w:r>
      <w:r>
        <w:rPr>
          <w:noProof/>
        </w:rPr>
        <w:t>92</w:t>
      </w:r>
      <w:r>
        <w:rPr>
          <w:noProof/>
        </w:rPr>
        <w:fldChar w:fldCharType="end"/>
      </w:r>
      <w:r>
        <w:rPr/>
        <w:fldChar w:fldCharType="end"/>
      </w:r>
    </w:p>
    <w:p>
      <w:pPr>
        <w:pStyle w:val="style21"/>
        <w:tabs>
          <w:tab w:val="right" w:leader="dot" w:pos="9638"/>
        </w:tabs>
        <w:rPr>
          <w:noProof/>
        </w:rPr>
      </w:pPr>
      <w:r>
        <w:rPr/>
        <w:fldChar w:fldCharType="begin"/>
      </w:r>
      <w:r>
        <w:instrText xml:space="preserve"> HYPERLINK \l "_Toc14388" </w:instrText>
      </w:r>
      <w:r>
        <w:rPr/>
        <w:fldChar w:fldCharType="separate"/>
      </w:r>
      <w:r>
        <w:rPr>
          <w:rFonts w:ascii="宋体" w:hAnsi="宋体" w:hint="eastAsia"/>
          <w:noProof/>
          <w:szCs w:val="30"/>
        </w:rPr>
        <w:t>三、投标文件的编制</w:t>
      </w:r>
      <w:r>
        <w:rPr>
          <w:noProof/>
        </w:rPr>
        <w:tab/>
      </w:r>
      <w:r>
        <w:rPr>
          <w:noProof/>
        </w:rPr>
        <w:fldChar w:fldCharType="begin"/>
      </w:r>
      <w:r>
        <w:rPr>
          <w:noProof/>
        </w:rPr>
        <w:instrText xml:space="preserve"> PAGEREF _Toc14388 \h </w:instrText>
      </w:r>
      <w:r>
        <w:rPr>
          <w:noProof/>
        </w:rPr>
        <w:fldChar w:fldCharType="separate"/>
      </w:r>
      <w:r>
        <w:rPr>
          <w:noProof/>
        </w:rPr>
        <w:t>93</w:t>
      </w:r>
      <w:r>
        <w:rPr>
          <w:noProof/>
        </w:rPr>
        <w:fldChar w:fldCharType="end"/>
      </w:r>
      <w:r>
        <w:rPr/>
        <w:fldChar w:fldCharType="end"/>
      </w:r>
    </w:p>
    <w:p>
      <w:pPr>
        <w:pStyle w:val="style21"/>
        <w:tabs>
          <w:tab w:val="right" w:leader="dot" w:pos="9638"/>
        </w:tabs>
        <w:rPr>
          <w:noProof/>
        </w:rPr>
      </w:pPr>
      <w:r>
        <w:rPr/>
        <w:fldChar w:fldCharType="begin"/>
      </w:r>
      <w:r>
        <w:instrText xml:space="preserve"> HYPERLINK \l "_Toc23818" </w:instrText>
      </w:r>
      <w:r>
        <w:rPr/>
        <w:fldChar w:fldCharType="separate"/>
      </w:r>
      <w:r>
        <w:rPr>
          <w:rFonts w:ascii="宋体" w:hAnsi="宋体" w:hint="eastAsia"/>
          <w:noProof/>
          <w:szCs w:val="30"/>
        </w:rPr>
        <w:t>四、开标</w:t>
      </w:r>
      <w:r>
        <w:rPr>
          <w:noProof/>
        </w:rPr>
        <w:tab/>
      </w:r>
      <w:r>
        <w:rPr>
          <w:noProof/>
        </w:rPr>
        <w:fldChar w:fldCharType="begin"/>
      </w:r>
      <w:r>
        <w:rPr>
          <w:noProof/>
        </w:rPr>
        <w:instrText xml:space="preserve"> PAGEREF _Toc23818 \h </w:instrText>
      </w:r>
      <w:r>
        <w:rPr>
          <w:noProof/>
        </w:rPr>
        <w:fldChar w:fldCharType="separate"/>
      </w:r>
      <w:r>
        <w:rPr>
          <w:noProof/>
        </w:rPr>
        <w:t>95</w:t>
      </w:r>
      <w:r>
        <w:rPr>
          <w:noProof/>
        </w:rPr>
        <w:fldChar w:fldCharType="end"/>
      </w:r>
      <w:r>
        <w:rPr/>
        <w:fldChar w:fldCharType="end"/>
      </w:r>
    </w:p>
    <w:p>
      <w:pPr>
        <w:pStyle w:val="style21"/>
        <w:tabs>
          <w:tab w:val="right" w:leader="dot" w:pos="9638"/>
        </w:tabs>
        <w:rPr>
          <w:noProof/>
        </w:rPr>
      </w:pPr>
      <w:r>
        <w:rPr/>
        <w:fldChar w:fldCharType="begin"/>
      </w:r>
      <w:r>
        <w:instrText xml:space="preserve"> HYPERLINK \l "_Toc12425" </w:instrText>
      </w:r>
      <w:r>
        <w:rPr/>
        <w:fldChar w:fldCharType="separate"/>
      </w:r>
      <w:r>
        <w:rPr>
          <w:rFonts w:ascii="宋体" w:hAnsi="宋体" w:hint="eastAsia"/>
          <w:noProof/>
          <w:szCs w:val="30"/>
        </w:rPr>
        <w:t>五、资格审查</w:t>
      </w:r>
      <w:r>
        <w:rPr>
          <w:noProof/>
        </w:rPr>
        <w:tab/>
      </w:r>
      <w:r>
        <w:rPr>
          <w:noProof/>
        </w:rPr>
        <w:fldChar w:fldCharType="begin"/>
      </w:r>
      <w:r>
        <w:rPr>
          <w:noProof/>
        </w:rPr>
        <w:instrText xml:space="preserve"> PAGEREF _Toc12425 \h </w:instrText>
      </w:r>
      <w:r>
        <w:rPr>
          <w:noProof/>
        </w:rPr>
        <w:fldChar w:fldCharType="separate"/>
      </w:r>
      <w:r>
        <w:rPr>
          <w:noProof/>
        </w:rPr>
        <w:t>96</w:t>
      </w:r>
      <w:r>
        <w:rPr>
          <w:noProof/>
        </w:rPr>
        <w:fldChar w:fldCharType="end"/>
      </w:r>
      <w:r>
        <w:rPr/>
        <w:fldChar w:fldCharType="end"/>
      </w:r>
    </w:p>
    <w:p>
      <w:pPr>
        <w:pStyle w:val="style21"/>
        <w:tabs>
          <w:tab w:val="right" w:leader="dot" w:pos="9638"/>
        </w:tabs>
        <w:rPr>
          <w:noProof/>
        </w:rPr>
      </w:pPr>
      <w:r>
        <w:rPr/>
        <w:fldChar w:fldCharType="begin"/>
      </w:r>
      <w:r>
        <w:instrText xml:space="preserve"> HYPERLINK \l "_Toc13307" </w:instrText>
      </w:r>
      <w:r>
        <w:rPr/>
        <w:fldChar w:fldCharType="separate"/>
      </w:r>
      <w:r>
        <w:rPr>
          <w:rFonts w:ascii="宋体" w:hAnsi="宋体" w:hint="eastAsia"/>
          <w:noProof/>
          <w:szCs w:val="30"/>
        </w:rPr>
        <w:t>六、评标</w:t>
      </w:r>
      <w:r>
        <w:rPr>
          <w:noProof/>
        </w:rPr>
        <w:tab/>
      </w:r>
      <w:r>
        <w:rPr>
          <w:noProof/>
        </w:rPr>
        <w:fldChar w:fldCharType="begin"/>
      </w:r>
      <w:r>
        <w:rPr>
          <w:noProof/>
        </w:rPr>
        <w:instrText xml:space="preserve"> PAGEREF _Toc13307 \h </w:instrText>
      </w:r>
      <w:r>
        <w:rPr>
          <w:noProof/>
        </w:rPr>
        <w:fldChar w:fldCharType="separate"/>
      </w:r>
      <w:r>
        <w:rPr>
          <w:noProof/>
        </w:rPr>
        <w:t>97</w:t>
      </w:r>
      <w:r>
        <w:rPr>
          <w:noProof/>
        </w:rPr>
        <w:fldChar w:fldCharType="end"/>
      </w:r>
      <w:r>
        <w:rPr/>
        <w:fldChar w:fldCharType="end"/>
      </w:r>
    </w:p>
    <w:p>
      <w:pPr>
        <w:pStyle w:val="style21"/>
        <w:tabs>
          <w:tab w:val="right" w:leader="dot" w:pos="9638"/>
        </w:tabs>
        <w:rPr>
          <w:noProof/>
        </w:rPr>
      </w:pPr>
      <w:r>
        <w:rPr/>
        <w:fldChar w:fldCharType="begin"/>
      </w:r>
      <w:r>
        <w:instrText xml:space="preserve"> HYPERLINK \l "_Toc9224" </w:instrText>
      </w:r>
      <w:r>
        <w:rPr/>
        <w:fldChar w:fldCharType="separate"/>
      </w:r>
      <w:r>
        <w:rPr>
          <w:rFonts w:ascii="宋体" w:hAnsi="宋体" w:hint="eastAsia"/>
          <w:noProof/>
          <w:szCs w:val="30"/>
        </w:rPr>
        <w:t>七、中标和合同</w:t>
      </w:r>
      <w:r>
        <w:rPr>
          <w:noProof/>
        </w:rPr>
        <w:tab/>
      </w:r>
      <w:r>
        <w:rPr>
          <w:noProof/>
        </w:rPr>
        <w:fldChar w:fldCharType="begin"/>
      </w:r>
      <w:r>
        <w:rPr>
          <w:noProof/>
        </w:rPr>
        <w:instrText xml:space="preserve"> PAGEREF _Toc9224 \h </w:instrText>
      </w:r>
      <w:r>
        <w:rPr>
          <w:noProof/>
        </w:rPr>
        <w:fldChar w:fldCharType="separate"/>
      </w:r>
      <w:r>
        <w:rPr>
          <w:noProof/>
        </w:rPr>
        <w:t>98</w:t>
      </w:r>
      <w:r>
        <w:rPr>
          <w:noProof/>
        </w:rPr>
        <w:fldChar w:fldCharType="end"/>
      </w:r>
      <w:r>
        <w:rPr/>
        <w:fldChar w:fldCharType="end"/>
      </w:r>
    </w:p>
    <w:p>
      <w:pPr>
        <w:pStyle w:val="style21"/>
        <w:tabs>
          <w:tab w:val="right" w:leader="dot" w:pos="9638"/>
        </w:tabs>
        <w:rPr>
          <w:noProof/>
        </w:rPr>
      </w:pPr>
      <w:r>
        <w:rPr/>
        <w:fldChar w:fldCharType="begin"/>
      </w:r>
      <w:r>
        <w:instrText xml:space="preserve"> HYPERLINK \l "_Toc18474" </w:instrText>
      </w:r>
      <w:r>
        <w:rPr/>
        <w:fldChar w:fldCharType="separate"/>
      </w:r>
      <w:r>
        <w:rPr>
          <w:rFonts w:ascii="宋体" w:hAnsi="宋体" w:hint="eastAsia"/>
          <w:noProof/>
          <w:szCs w:val="30"/>
        </w:rPr>
        <w:t>八、验收</w:t>
      </w:r>
      <w:r>
        <w:rPr>
          <w:noProof/>
        </w:rPr>
        <w:tab/>
      </w:r>
      <w:r>
        <w:rPr>
          <w:noProof/>
        </w:rPr>
        <w:fldChar w:fldCharType="begin"/>
      </w:r>
      <w:r>
        <w:rPr>
          <w:noProof/>
        </w:rPr>
        <w:instrText xml:space="preserve"> PAGEREF _Toc18474 \h </w:instrText>
      </w:r>
      <w:r>
        <w:rPr>
          <w:noProof/>
        </w:rPr>
        <w:fldChar w:fldCharType="separate"/>
      </w:r>
      <w:r>
        <w:rPr>
          <w:noProof/>
        </w:rPr>
        <w:t>103</w:t>
      </w:r>
      <w:r>
        <w:rPr>
          <w:noProof/>
        </w:rPr>
        <w:fldChar w:fldCharType="end"/>
      </w:r>
      <w:r>
        <w:rPr/>
        <w:fldChar w:fldCharType="end"/>
      </w:r>
    </w:p>
    <w:p>
      <w:pPr>
        <w:pStyle w:val="style21"/>
        <w:tabs>
          <w:tab w:val="right" w:leader="dot" w:pos="9638"/>
        </w:tabs>
        <w:rPr>
          <w:noProof/>
        </w:rPr>
      </w:pPr>
      <w:r>
        <w:rPr/>
        <w:fldChar w:fldCharType="begin"/>
      </w:r>
      <w:r>
        <w:instrText xml:space="preserve"> HYPERLINK \l "_Toc5271" </w:instrText>
      </w:r>
      <w:r>
        <w:rPr/>
        <w:fldChar w:fldCharType="separate"/>
      </w:r>
      <w:r>
        <w:rPr>
          <w:rFonts w:ascii="宋体" w:hAnsi="宋体" w:hint="eastAsia"/>
          <w:noProof/>
          <w:szCs w:val="30"/>
        </w:rPr>
        <w:t>九、其他事项</w:t>
      </w:r>
      <w:r>
        <w:rPr>
          <w:noProof/>
        </w:rPr>
        <w:tab/>
      </w:r>
      <w:r>
        <w:rPr>
          <w:noProof/>
        </w:rPr>
        <w:fldChar w:fldCharType="begin"/>
      </w:r>
      <w:r>
        <w:rPr>
          <w:noProof/>
        </w:rPr>
        <w:instrText xml:space="preserve"> PAGEREF _Toc5271 \h </w:instrText>
      </w:r>
      <w:r>
        <w:rPr>
          <w:noProof/>
        </w:rPr>
        <w:fldChar w:fldCharType="separate"/>
      </w:r>
      <w:r>
        <w:rPr>
          <w:noProof/>
        </w:rPr>
        <w:t>104</w:t>
      </w:r>
      <w:r>
        <w:rPr>
          <w:noProof/>
        </w:rPr>
        <w:fldChar w:fldCharType="end"/>
      </w:r>
      <w:r>
        <w:rPr/>
        <w:fldChar w:fldCharType="end"/>
      </w:r>
    </w:p>
    <w:p>
      <w:pPr>
        <w:pStyle w:val="style19"/>
        <w:tabs>
          <w:tab w:val="right" w:leader="dot" w:pos="9638"/>
        </w:tabs>
        <w:rPr>
          <w:noProof/>
        </w:rPr>
      </w:pPr>
      <w:r>
        <w:rPr/>
        <w:fldChar w:fldCharType="begin"/>
      </w:r>
      <w:r>
        <w:instrText xml:space="preserve"> HYPERLINK \l "_Toc965" </w:instrText>
      </w:r>
      <w:r>
        <w:rPr/>
        <w:fldChar w:fldCharType="separate"/>
      </w:r>
      <w:r>
        <w:rPr>
          <w:rFonts w:hAnsi="宋体" w:hint="eastAsia"/>
          <w:noProof/>
        </w:rPr>
        <w:t>第四章评标方法及评分标准</w:t>
      </w:r>
      <w:r>
        <w:rPr>
          <w:noProof/>
        </w:rPr>
        <w:tab/>
      </w:r>
      <w:r>
        <w:rPr>
          <w:noProof/>
        </w:rPr>
        <w:fldChar w:fldCharType="begin"/>
      </w:r>
      <w:r>
        <w:rPr>
          <w:noProof/>
        </w:rPr>
        <w:instrText xml:space="preserve"> PAGEREF _Toc965 \h </w:instrText>
      </w:r>
      <w:r>
        <w:rPr>
          <w:noProof/>
        </w:rPr>
        <w:fldChar w:fldCharType="separate"/>
      </w:r>
      <w:r>
        <w:rPr>
          <w:noProof/>
        </w:rPr>
        <w:t>105</w:t>
      </w:r>
      <w:r>
        <w:rPr>
          <w:noProof/>
        </w:rPr>
        <w:fldChar w:fldCharType="end"/>
      </w:r>
      <w:r>
        <w:rPr/>
        <w:fldChar w:fldCharType="end"/>
      </w:r>
    </w:p>
    <w:p>
      <w:pPr>
        <w:pStyle w:val="style19"/>
        <w:tabs>
          <w:tab w:val="right" w:leader="dot" w:pos="9638"/>
        </w:tabs>
        <w:rPr>
          <w:noProof/>
        </w:rPr>
      </w:pPr>
      <w:r>
        <w:rPr/>
        <w:fldChar w:fldCharType="begin"/>
      </w:r>
      <w:r>
        <w:instrText xml:space="preserve"> HYPERLINK \l "_Toc798" </w:instrText>
      </w:r>
      <w:r>
        <w:rPr/>
        <w:fldChar w:fldCharType="separate"/>
      </w:r>
      <w:r>
        <w:rPr>
          <w:rFonts w:hAnsi="宋体" w:hint="eastAsia"/>
          <w:noProof/>
        </w:rPr>
        <w:t>第五章拟签订的合同文本</w:t>
      </w:r>
      <w:r>
        <w:rPr>
          <w:noProof/>
        </w:rPr>
        <w:tab/>
      </w:r>
      <w:r>
        <w:rPr>
          <w:noProof/>
        </w:rPr>
        <w:fldChar w:fldCharType="begin"/>
      </w:r>
      <w:r>
        <w:rPr>
          <w:noProof/>
        </w:rPr>
        <w:instrText xml:space="preserve"> PAGEREF _Toc798 \h </w:instrText>
      </w:r>
      <w:r>
        <w:rPr>
          <w:noProof/>
        </w:rPr>
        <w:fldChar w:fldCharType="separate"/>
      </w:r>
      <w:r>
        <w:rPr>
          <w:noProof/>
        </w:rPr>
        <w:t>113</w:t>
      </w:r>
      <w:r>
        <w:rPr>
          <w:noProof/>
        </w:rPr>
        <w:fldChar w:fldCharType="end"/>
      </w:r>
      <w:r>
        <w:rPr/>
        <w:fldChar w:fldCharType="end"/>
      </w:r>
    </w:p>
    <w:p>
      <w:pPr>
        <w:pStyle w:val="style20"/>
        <w:tabs>
          <w:tab w:val="right" w:leader="dot" w:pos="9638"/>
        </w:tabs>
        <w:rPr>
          <w:noProof/>
        </w:rPr>
      </w:pPr>
      <w:r>
        <w:rPr/>
        <w:fldChar w:fldCharType="begin"/>
      </w:r>
      <w:r>
        <w:instrText xml:space="preserve"> HYPERLINK \l "_Toc24581" </w:instrText>
      </w:r>
      <w:r>
        <w:rPr/>
        <w:fldChar w:fldCharType="separate"/>
      </w:r>
      <w:r>
        <w:rPr>
          <w:rFonts w:ascii="宋体" w:hAnsi="宋体" w:hint="eastAsia"/>
          <w:noProof/>
        </w:rPr>
        <w:t>合同文本</w:t>
      </w:r>
      <w:r>
        <w:rPr>
          <w:noProof/>
        </w:rPr>
        <w:tab/>
      </w:r>
      <w:r>
        <w:rPr>
          <w:noProof/>
        </w:rPr>
        <w:fldChar w:fldCharType="begin"/>
      </w:r>
      <w:r>
        <w:rPr>
          <w:noProof/>
        </w:rPr>
        <w:instrText xml:space="preserve"> PAGEREF _Toc24581 \h </w:instrText>
      </w:r>
      <w:r>
        <w:rPr>
          <w:noProof/>
        </w:rPr>
        <w:fldChar w:fldCharType="separate"/>
      </w:r>
      <w:r>
        <w:rPr>
          <w:noProof/>
        </w:rPr>
        <w:t>113</w:t>
      </w:r>
      <w:r>
        <w:rPr>
          <w:noProof/>
        </w:rPr>
        <w:fldChar w:fldCharType="end"/>
      </w:r>
      <w:r>
        <w:rPr/>
        <w:fldChar w:fldCharType="end"/>
      </w:r>
    </w:p>
    <w:p>
      <w:pPr>
        <w:pStyle w:val="style19"/>
        <w:tabs>
          <w:tab w:val="right" w:leader="dot" w:pos="9638"/>
        </w:tabs>
        <w:rPr>
          <w:noProof/>
        </w:rPr>
      </w:pPr>
      <w:r>
        <w:rPr/>
        <w:fldChar w:fldCharType="begin"/>
      </w:r>
      <w:r>
        <w:instrText xml:space="preserve"> HYPERLINK \l "_Toc9628" </w:instrText>
      </w:r>
      <w:r>
        <w:rPr/>
        <w:fldChar w:fldCharType="separate"/>
      </w:r>
      <w:r>
        <w:rPr>
          <w:rFonts w:ascii="宋体" w:hAnsi="宋体" w:hint="eastAsia"/>
          <w:noProof/>
          <w:kern w:val="44"/>
          <w:szCs w:val="44"/>
        </w:rPr>
        <w:t>第六章　投标文件格式</w:t>
      </w:r>
      <w:r>
        <w:rPr>
          <w:noProof/>
        </w:rPr>
        <w:tab/>
      </w:r>
      <w:r>
        <w:rPr>
          <w:noProof/>
        </w:rPr>
        <w:fldChar w:fldCharType="begin"/>
      </w:r>
      <w:r>
        <w:rPr>
          <w:noProof/>
        </w:rPr>
        <w:instrText xml:space="preserve"> PAGEREF _Toc9628 \h </w:instrText>
      </w:r>
      <w:r>
        <w:rPr>
          <w:noProof/>
        </w:rPr>
        <w:fldChar w:fldCharType="separate"/>
      </w:r>
      <w:r>
        <w:rPr>
          <w:noProof/>
        </w:rPr>
        <w:t>121</w:t>
      </w:r>
      <w:r>
        <w:rPr>
          <w:noProof/>
        </w:rPr>
        <w:fldChar w:fldCharType="end"/>
      </w:r>
      <w:r>
        <w:rPr/>
        <w:fldChar w:fldCharType="end"/>
      </w:r>
    </w:p>
    <w:p>
      <w:pPr>
        <w:pStyle w:val="style90"/>
        <w:spacing w:lineRule="auto" w:line="324"/>
        <w:jc w:val="center"/>
        <w:outlineLvl w:val="0"/>
        <w:rPr>
          <w:rFonts w:hAnsi="宋体"/>
          <w:bCs/>
          <w:caps/>
          <w:sz w:val="28"/>
          <w:szCs w:val="28"/>
        </w:rPr>
      </w:pPr>
      <w:r>
        <w:rPr>
          <w:rFonts w:hAnsi="宋体"/>
          <w:b/>
          <w:bCs/>
          <w:caps/>
          <w:sz w:val="28"/>
          <w:szCs w:val="28"/>
          <w:u w:val="single"/>
        </w:rPr>
        <w:fldChar w:fldCharType="end"/>
      </w:r>
      <w:bookmarkStart w:id="1" w:name="_Toc433"/>
      <w:r>
        <w:rPr>
          <w:rFonts w:hAnsi="宋体"/>
          <w:bCs/>
          <w:caps/>
          <w:sz w:val="28"/>
          <w:szCs w:val="28"/>
        </w:rPr>
        <w:br w:type="page"/>
      </w:r>
      <w:bookmarkEnd w:id="1"/>
    </w:p>
    <w:p>
      <w:pPr>
        <w:pStyle w:val="style90"/>
        <w:spacing w:lineRule="auto" w:line="324"/>
        <w:jc w:val="center"/>
        <w:outlineLvl w:val="0"/>
        <w:rPr>
          <w:rFonts w:hAnsi="宋体"/>
          <w:b/>
          <w:sz w:val="36"/>
          <w:szCs w:val="36"/>
        </w:rPr>
      </w:pPr>
      <w:r>
        <w:rPr>
          <w:rFonts w:hAnsi="宋体"/>
        </w:rPr>
        <w:tab/>
      </w:r>
      <w:bookmarkStart w:id="2" w:name="_Toc119359480"/>
      <w:bookmarkStart w:id="3" w:name="_Toc18117"/>
      <w:r>
        <w:rPr>
          <w:rFonts w:hAnsi="宋体" w:hint="eastAsia"/>
          <w:b/>
          <w:sz w:val="36"/>
        </w:rPr>
        <w:t>第一章招标公告</w:t>
      </w:r>
      <w:bookmarkEnd w:id="2"/>
      <w:bookmarkEnd w:id="3"/>
    </w:p>
    <w:bookmarkStart w:id="4" w:name="_Toc16140"/>
    <w:p>
      <w:pPr>
        <w:pStyle w:val="style90"/>
        <w:jc w:val="center"/>
        <w:outlineLvl w:val="1"/>
        <w:rPr>
          <w:rFonts w:hAnsi="宋体"/>
          <w:b/>
          <w:sz w:val="30"/>
          <w:szCs w:val="30"/>
        </w:rPr>
      </w:pPr>
      <w:r>
        <w:rPr>
          <w:rFonts w:hAnsi="宋体" w:hint="eastAsia"/>
          <w:b/>
          <w:sz w:val="30"/>
          <w:szCs w:val="30"/>
        </w:rPr>
        <w:t>公开招标公告</w:t>
      </w:r>
      <w:bookmarkEnd w:id="4"/>
    </w:p>
    <w:p>
      <w:pPr>
        <w:pStyle w:val="style0"/>
        <w:pBdr>
          <w:left w:val="single" w:sz="4" w:space="4" w:color="auto"/>
          <w:right w:val="single" w:sz="4" w:space="4" w:color="auto"/>
          <w:top w:val="single" w:sz="4" w:space="1" w:color="auto"/>
          <w:bottom w:val="single" w:sz="4" w:space="1" w:color="auto"/>
        </w:pBdr>
        <w:ind w:firstLine="420" w:firstLineChars="200"/>
        <w:rPr>
          <w:rFonts w:ascii="宋体" w:cs="宋体" w:hAnsi="宋体"/>
          <w:szCs w:val="21"/>
        </w:rPr>
      </w:pPr>
      <w:r>
        <w:rPr>
          <w:rFonts w:ascii="宋体" w:cs="宋体" w:hAnsi="宋体" w:hint="eastAsia"/>
          <w:szCs w:val="21"/>
        </w:rPr>
        <w:t>项目概况</w:t>
      </w:r>
    </w:p>
    <w:p>
      <w:pPr>
        <w:pStyle w:val="style0"/>
        <w:pBdr>
          <w:left w:val="single" w:sz="4" w:space="4" w:color="auto"/>
          <w:right w:val="single" w:sz="4" w:space="4" w:color="auto"/>
          <w:top w:val="single" w:sz="4" w:space="1" w:color="auto"/>
          <w:bottom w:val="single" w:sz="4" w:space="1" w:color="auto"/>
        </w:pBdr>
        <w:ind w:firstLine="525" w:firstLineChars="250"/>
        <w:rPr>
          <w:rFonts w:ascii="宋体" w:cs="宋体" w:hAnsi="宋体"/>
          <w:szCs w:val="21"/>
          <w:u w:val="single"/>
        </w:rPr>
      </w:pPr>
      <w:r>
        <w:rPr>
          <w:rFonts w:ascii="宋体" w:cs="宋体" w:hAnsi="宋体" w:hint="eastAsia"/>
          <w:szCs w:val="21"/>
          <w:u w:val="single"/>
        </w:rPr>
        <w:t>广西公安数字化改革之安保平台项目</w:t>
      </w:r>
      <w:r>
        <w:rPr>
          <w:rFonts w:ascii="宋体" w:cs="宋体" w:hAnsi="宋体" w:hint="eastAsia"/>
          <w:szCs w:val="21"/>
        </w:rPr>
        <w:t>招标项目的潜在投标人应在“广西政府采购云平台”（</w:t>
      </w:r>
      <w:r>
        <w:rPr>
          <w:rFonts w:ascii="宋体" w:cs="宋体" w:hAnsi="宋体"/>
          <w:szCs w:val="21"/>
        </w:rPr>
        <w:t>https://www.gcy.zfcg.gxzf.gov.cn）获取（下载）招标文件，并于</w:t>
      </w:r>
      <w:r>
        <w:rPr>
          <w:rFonts w:ascii="宋体" w:cs="宋体" w:hAnsi="宋体"/>
          <w:szCs w:val="21"/>
          <w:u w:val="single"/>
        </w:rPr>
        <w:t>2024年</w:t>
      </w:r>
      <w:r>
        <w:rPr>
          <w:rFonts w:ascii="宋体" w:cs="宋体" w:hAnsi="宋体" w:hint="eastAsia"/>
          <w:szCs w:val="21"/>
          <w:u w:val="single"/>
        </w:rPr>
        <w:t>11</w:t>
      </w:r>
      <w:r>
        <w:rPr>
          <w:rFonts w:ascii="宋体" w:cs="宋体" w:hAnsi="宋体"/>
          <w:szCs w:val="21"/>
          <w:u w:val="single"/>
        </w:rPr>
        <w:t>月</w:t>
      </w:r>
      <w:r>
        <w:rPr>
          <w:rFonts w:ascii="宋体" w:cs="宋体" w:hAnsi="宋体" w:hint="eastAsia"/>
          <w:szCs w:val="21"/>
          <w:u w:val="single"/>
        </w:rPr>
        <w:t>12</w:t>
      </w:r>
      <w:r>
        <w:rPr>
          <w:rFonts w:ascii="宋体" w:cs="宋体" w:hAnsi="宋体"/>
          <w:szCs w:val="21"/>
          <w:u w:val="single"/>
        </w:rPr>
        <w:t>日9时30分</w:t>
      </w:r>
      <w:r>
        <w:rPr>
          <w:rFonts w:ascii="宋体" w:cs="宋体" w:hAnsi="宋体" w:hint="eastAsia"/>
          <w:bCs/>
          <w:szCs w:val="21"/>
        </w:rPr>
        <w:t>（北京时间）前</w:t>
      </w:r>
      <w:r>
        <w:rPr>
          <w:rFonts w:ascii="宋体" w:cs="宋体" w:hAnsi="宋体" w:hint="eastAsia"/>
          <w:szCs w:val="21"/>
        </w:rPr>
        <w:t>递交（上传）投标文件。</w:t>
      </w:r>
    </w:p>
    <w:bookmarkStart w:id="5" w:name="_Toc35393621"/>
    <w:bookmarkStart w:id="6" w:name="_Toc28359079"/>
    <w:bookmarkStart w:id="7" w:name="_Toc28359002"/>
    <w:bookmarkStart w:id="8" w:name="_Toc2657"/>
    <w:bookmarkStart w:id="9" w:name="_Toc35393790"/>
    <w:bookmarkStart w:id="10" w:name="_Hlk24379207"/>
    <w:p>
      <w:pPr>
        <w:pStyle w:val="style0"/>
        <w:spacing w:lineRule="auto" w:line="360"/>
        <w:outlineLvl w:val="1"/>
        <w:rPr>
          <w:rFonts w:ascii="宋体" w:hAnsi="宋体"/>
          <w:b/>
          <w:bCs/>
          <w:sz w:val="24"/>
        </w:rPr>
      </w:pPr>
      <w:r>
        <w:rPr>
          <w:rFonts w:ascii="宋体" w:hAnsi="宋体" w:hint="eastAsia"/>
          <w:b/>
          <w:bCs/>
          <w:sz w:val="24"/>
        </w:rPr>
        <w:t>一、项目基本情况</w:t>
      </w:r>
      <w:bookmarkEnd w:id="5"/>
      <w:bookmarkEnd w:id="6"/>
      <w:bookmarkEnd w:id="7"/>
      <w:bookmarkEnd w:id="8"/>
      <w:bookmarkEnd w:id="9"/>
    </w:p>
    <w:p>
      <w:pPr>
        <w:pStyle w:val="style0"/>
        <w:spacing w:lineRule="auto" w:line="360"/>
        <w:ind w:firstLine="420" w:firstLineChars="200"/>
        <w:rPr>
          <w:rFonts w:ascii="宋体" w:hAnsi="宋体"/>
          <w:szCs w:val="21"/>
        </w:rPr>
      </w:pPr>
      <w:r>
        <w:rPr>
          <w:rFonts w:ascii="宋体" w:hAnsi="宋体" w:hint="eastAsia"/>
          <w:szCs w:val="21"/>
        </w:rPr>
        <w:t>项目编号：</w:t>
      </w:r>
      <w:r>
        <w:rPr>
          <w:rFonts w:ascii="宋体" w:hAnsi="宋体"/>
          <w:szCs w:val="21"/>
        </w:rPr>
        <w:t>GXZC2024-G3-005717-GSZB</w:t>
      </w:r>
    </w:p>
    <w:p>
      <w:pPr>
        <w:pStyle w:val="style0"/>
        <w:spacing w:lineRule="auto" w:line="360"/>
        <w:ind w:firstLine="420" w:firstLineChars="200"/>
        <w:rPr>
          <w:rFonts w:ascii="宋体" w:hAnsi="宋体"/>
          <w:szCs w:val="21"/>
        </w:rPr>
      </w:pPr>
      <w:r>
        <w:rPr>
          <w:rFonts w:ascii="宋体" w:hAnsi="宋体" w:hint="eastAsia"/>
          <w:szCs w:val="21"/>
        </w:rPr>
        <w:t>项目名称：</w:t>
      </w:r>
      <w:bookmarkStart w:id="11" w:name="OLE_LINK11"/>
      <w:bookmarkStart w:id="12" w:name="OLE_LINK12"/>
      <w:r>
        <w:rPr>
          <w:rFonts w:ascii="宋体" w:hAnsi="宋体" w:hint="eastAsia"/>
          <w:szCs w:val="21"/>
        </w:rPr>
        <w:t>广西公安数字化改革之安保平台项目</w:t>
      </w:r>
      <w:bookmarkEnd w:id="11"/>
      <w:bookmarkEnd w:id="12"/>
    </w:p>
    <w:bookmarkEnd w:id="10"/>
    <w:p>
      <w:pPr>
        <w:pStyle w:val="style0"/>
        <w:spacing w:lineRule="auto" w:line="360"/>
        <w:ind w:firstLine="420" w:firstLineChars="200"/>
        <w:rPr>
          <w:rFonts w:ascii="宋体" w:hAnsi="宋体"/>
          <w:szCs w:val="21"/>
        </w:rPr>
      </w:pPr>
      <w:r>
        <w:rPr>
          <w:rFonts w:ascii="宋体" w:hAnsi="宋体"/>
          <w:szCs w:val="21"/>
        </w:rPr>
        <w:t>预算</w:t>
      </w:r>
      <w:r>
        <w:rPr>
          <w:rFonts w:ascii="宋体" w:hAnsi="宋体" w:hint="eastAsia"/>
          <w:szCs w:val="21"/>
        </w:rPr>
        <w:t>总</w:t>
      </w:r>
      <w:r>
        <w:rPr>
          <w:rFonts w:ascii="宋体" w:hAnsi="宋体"/>
          <w:szCs w:val="21"/>
        </w:rPr>
        <w:t>金额（元）：</w:t>
      </w:r>
      <w:bookmarkStart w:id="13" w:name="OLE_LINK4"/>
      <w:bookmarkStart w:id="14" w:name="OLE_LINK8"/>
      <w:r>
        <w:rPr>
          <w:rFonts w:ascii="宋体" w:hAnsi="宋体"/>
          <w:szCs w:val="21"/>
        </w:rPr>
        <w:t>10595600.00</w:t>
      </w:r>
      <w:bookmarkEnd w:id="13"/>
      <w:bookmarkEnd w:id="14"/>
    </w:p>
    <w:p>
      <w:pPr>
        <w:pStyle w:val="style0"/>
        <w:spacing w:lineRule="auto" w:line="360"/>
        <w:ind w:firstLine="420" w:firstLineChars="200"/>
        <w:rPr>
          <w:rFonts w:ascii="宋体" w:hAnsi="宋体"/>
          <w:szCs w:val="21"/>
        </w:rPr>
      </w:pPr>
      <w:r>
        <w:rPr>
          <w:rFonts w:ascii="宋体" w:hAnsi="宋体" w:hint="eastAsia"/>
          <w:szCs w:val="21"/>
        </w:rPr>
        <w:t>采购需求：</w:t>
      </w:r>
    </w:p>
    <w:tbl>
      <w:tblPr>
        <w:tblStyle w:val="style154"/>
        <w:tblW w:w="9854" w:type="dxa"/>
        <w:tblLayout w:type="fixed"/>
        <w:tblLook w:val="04A0" w:firstRow="1" w:lastRow="0" w:firstColumn="1" w:lastColumn="0" w:noHBand="0" w:noVBand="1"/>
      </w:tblPr>
      <w:tblGrid>
        <w:gridCol w:w="1951"/>
        <w:gridCol w:w="7903"/>
      </w:tblGrid>
      <w:tr>
        <w:trPr/>
        <w:tc>
          <w:tcPr>
            <w:tcW w:w="1951" w:type="dxa"/>
            <w:tcBorders/>
          </w:tcPr>
          <w:p>
            <w:pPr>
              <w:pStyle w:val="style0"/>
              <w:spacing w:lineRule="auto" w:line="360"/>
              <w:rPr>
                <w:rFonts w:ascii="宋体" w:hAnsi="宋体"/>
                <w:szCs w:val="21"/>
              </w:rPr>
            </w:pPr>
            <w:r>
              <w:rPr>
                <w:rFonts w:ascii="宋体" w:hAnsi="宋体" w:hint="eastAsia"/>
                <w:szCs w:val="21"/>
              </w:rPr>
              <w:t>标项名称</w:t>
            </w:r>
          </w:p>
        </w:tc>
        <w:tc>
          <w:tcPr>
            <w:tcW w:w="7903" w:type="dxa"/>
            <w:tcBorders/>
          </w:tcPr>
          <w:p>
            <w:pPr>
              <w:pStyle w:val="style0"/>
              <w:spacing w:lineRule="auto" w:line="360"/>
              <w:rPr>
                <w:rFonts w:ascii="宋体" w:hAnsi="宋体"/>
                <w:szCs w:val="21"/>
              </w:rPr>
            </w:pPr>
            <w:r>
              <w:rPr>
                <w:rFonts w:ascii="宋体" w:hAnsi="宋体" w:hint="eastAsia"/>
                <w:szCs w:val="21"/>
              </w:rPr>
              <w:t>广西公安数字化改革之安保平台项目</w:t>
            </w:r>
          </w:p>
        </w:tc>
      </w:tr>
      <w:tr>
        <w:tblPrEx/>
        <w:trPr/>
        <w:tc>
          <w:tcPr>
            <w:tcW w:w="1951" w:type="dxa"/>
            <w:tcBorders/>
          </w:tcPr>
          <w:p>
            <w:pPr>
              <w:pStyle w:val="style0"/>
              <w:spacing w:lineRule="auto" w:line="360"/>
              <w:rPr>
                <w:rFonts w:ascii="宋体" w:hAnsi="宋体"/>
                <w:szCs w:val="21"/>
              </w:rPr>
            </w:pPr>
            <w:r>
              <w:rPr>
                <w:rFonts w:ascii="宋体" w:hAnsi="宋体" w:hint="eastAsia"/>
                <w:szCs w:val="21"/>
              </w:rPr>
              <w:t>数量</w:t>
            </w:r>
          </w:p>
        </w:tc>
        <w:tc>
          <w:tcPr>
            <w:tcW w:w="7903" w:type="dxa"/>
            <w:tcBorders/>
          </w:tcPr>
          <w:p>
            <w:pPr>
              <w:pStyle w:val="style0"/>
              <w:spacing w:lineRule="auto" w:line="360"/>
              <w:rPr>
                <w:rFonts w:ascii="宋体" w:hAnsi="宋体"/>
                <w:szCs w:val="21"/>
              </w:rPr>
            </w:pPr>
            <w:r>
              <w:rPr>
                <w:rFonts w:ascii="宋体" w:hAnsi="宋体" w:hint="eastAsia"/>
                <w:szCs w:val="21"/>
              </w:rPr>
              <w:t>1项</w:t>
            </w:r>
          </w:p>
        </w:tc>
      </w:tr>
      <w:tr>
        <w:tblPrEx/>
        <w:trPr/>
        <w:tc>
          <w:tcPr>
            <w:tcW w:w="1951" w:type="dxa"/>
            <w:tcBorders/>
          </w:tcPr>
          <w:p>
            <w:pPr>
              <w:pStyle w:val="style0"/>
              <w:spacing w:lineRule="auto" w:line="360"/>
              <w:rPr>
                <w:rFonts w:ascii="宋体" w:hAnsi="宋体"/>
                <w:szCs w:val="21"/>
              </w:rPr>
            </w:pPr>
            <w:r>
              <w:rPr>
                <w:rFonts w:ascii="宋体" w:hAnsi="宋体" w:hint="eastAsia"/>
                <w:szCs w:val="21"/>
              </w:rPr>
              <w:t>预算金额（元）</w:t>
            </w:r>
          </w:p>
        </w:tc>
        <w:tc>
          <w:tcPr>
            <w:tcW w:w="7903" w:type="dxa"/>
            <w:tcBorders/>
          </w:tcPr>
          <w:p>
            <w:pPr>
              <w:pStyle w:val="style0"/>
              <w:spacing w:lineRule="auto" w:line="360"/>
              <w:ind w:firstLine="420" w:firstLineChars="200"/>
              <w:rPr>
                <w:rFonts w:ascii="宋体" w:hAnsi="宋体"/>
                <w:szCs w:val="21"/>
              </w:rPr>
            </w:pPr>
            <w:r>
              <w:rPr>
                <w:rFonts w:ascii="宋体" w:hAnsi="宋体"/>
                <w:szCs w:val="21"/>
              </w:rPr>
              <w:t>10595600.00</w:t>
            </w:r>
          </w:p>
        </w:tc>
      </w:tr>
      <w:tr>
        <w:tblPrEx/>
        <w:trPr/>
        <w:tc>
          <w:tcPr>
            <w:tcW w:w="1951" w:type="dxa"/>
            <w:tcBorders/>
          </w:tcPr>
          <w:p>
            <w:pPr>
              <w:pStyle w:val="style0"/>
              <w:spacing w:lineRule="auto" w:line="360"/>
              <w:rPr>
                <w:rFonts w:ascii="宋体" w:hAnsi="宋体"/>
                <w:szCs w:val="21"/>
              </w:rPr>
            </w:pPr>
            <w:r>
              <w:rPr>
                <w:rFonts w:ascii="宋体" w:hAnsi="宋体" w:hint="eastAsia"/>
                <w:szCs w:val="21"/>
              </w:rPr>
              <w:t>简要规格描述或项目基本概况介绍、用途</w:t>
            </w:r>
          </w:p>
        </w:tc>
        <w:tc>
          <w:tcPr>
            <w:tcW w:w="7903" w:type="dxa"/>
            <w:tcBorders/>
          </w:tcPr>
          <w:p>
            <w:pPr>
              <w:pStyle w:val="style0"/>
              <w:spacing w:lineRule="auto" w:line="360"/>
              <w:rPr>
                <w:rFonts w:ascii="宋体" w:hAnsi="宋体"/>
                <w:szCs w:val="21"/>
              </w:rPr>
            </w:pPr>
            <w:r>
              <w:rPr>
                <w:rFonts w:ascii="宋体" w:hAnsi="宋体" w:hint="eastAsia"/>
                <w:szCs w:val="21"/>
              </w:rPr>
              <w:t>数字安保驾驶舱1套、风险要素应用1套、预警研判应用1套、防范管控应用1套、事件处置应用1套、督办考评应用1套、活动管理应用1套、线路安保应用1套、移动警务APP应用1套、安保能力支撑1套、多跨协同管理1套、大型活动现场管理应用1套、外部系统对接1项、与公共支撑能力对接1项，详见招标文件“第二章 采购需求”。</w:t>
            </w:r>
          </w:p>
        </w:tc>
      </w:tr>
      <w:tr>
        <w:tblPrEx/>
        <w:trPr/>
        <w:tc>
          <w:tcPr>
            <w:tcW w:w="1951" w:type="dxa"/>
            <w:tcBorders/>
          </w:tcPr>
          <w:p>
            <w:pPr>
              <w:pStyle w:val="style0"/>
              <w:spacing w:lineRule="auto" w:line="360"/>
              <w:rPr>
                <w:rFonts w:ascii="宋体" w:hAnsi="宋体"/>
                <w:szCs w:val="21"/>
              </w:rPr>
            </w:pPr>
            <w:r>
              <w:t>最高限价（如有）</w:t>
            </w:r>
          </w:p>
        </w:tc>
        <w:tc>
          <w:tcPr>
            <w:tcW w:w="7903" w:type="dxa"/>
            <w:tcBorders/>
          </w:tcPr>
          <w:p>
            <w:pPr>
              <w:pStyle w:val="style0"/>
              <w:spacing w:lineRule="auto" w:line="360"/>
              <w:ind w:firstLine="420" w:firstLineChars="200"/>
              <w:rPr>
                <w:rFonts w:ascii="宋体" w:hAnsi="宋体"/>
                <w:szCs w:val="21"/>
              </w:rPr>
            </w:pPr>
            <w:r>
              <w:rPr>
                <w:rFonts w:ascii="宋体" w:hAnsi="宋体" w:hint="eastAsia"/>
                <w:szCs w:val="21"/>
              </w:rPr>
              <w:t>999</w:t>
            </w:r>
            <w:r>
              <w:rPr>
                <w:rFonts w:ascii="宋体" w:hAnsi="宋体"/>
                <w:szCs w:val="21"/>
              </w:rPr>
              <w:t>0700.00</w:t>
            </w:r>
          </w:p>
        </w:tc>
      </w:tr>
      <w:tr>
        <w:tblPrEx/>
        <w:trPr/>
        <w:tc>
          <w:tcPr>
            <w:tcW w:w="1951" w:type="dxa"/>
            <w:tcBorders/>
          </w:tcPr>
          <w:p>
            <w:pPr>
              <w:pStyle w:val="style0"/>
              <w:spacing w:lineRule="auto" w:line="360"/>
              <w:rPr>
                <w:rFonts w:ascii="宋体" w:hAnsi="宋体"/>
                <w:szCs w:val="21"/>
              </w:rPr>
            </w:pPr>
            <w:r>
              <w:t>合同履约期限</w:t>
            </w:r>
          </w:p>
        </w:tc>
        <w:tc>
          <w:tcPr>
            <w:tcW w:w="7903" w:type="dxa"/>
            <w:tcBorders/>
          </w:tcPr>
          <w:p>
            <w:pPr>
              <w:pStyle w:val="style0"/>
              <w:spacing w:lineRule="auto" w:line="360"/>
              <w:rPr>
                <w:rFonts w:ascii="宋体" w:hAnsi="宋体"/>
                <w:szCs w:val="21"/>
              </w:rPr>
            </w:pPr>
            <w:r>
              <w:rPr>
                <w:rFonts w:ascii="宋体" w:hAnsi="宋体" w:hint="eastAsia"/>
                <w:szCs w:val="21"/>
              </w:rPr>
              <w:t>合同签订之日起</w:t>
            </w:r>
            <w:r>
              <w:rPr>
                <w:rFonts w:ascii="宋体" w:hAnsi="宋体"/>
                <w:szCs w:val="21"/>
              </w:rPr>
              <w:t>180</w:t>
            </w:r>
            <w:r>
              <w:rPr>
                <w:rFonts w:ascii="宋体" w:hAnsi="宋体" w:hint="eastAsia"/>
                <w:szCs w:val="21"/>
              </w:rPr>
              <w:t>日历天内完成全部系统安装、调试完毕，功能无缺陷且达到验收合格标准交付采购人使用。</w:t>
            </w:r>
          </w:p>
        </w:tc>
      </w:tr>
      <w:tr>
        <w:tblPrEx/>
        <w:trPr/>
        <w:tc>
          <w:tcPr>
            <w:tcW w:w="9854" w:type="dxa"/>
            <w:gridSpan w:val="2"/>
            <w:tcBorders/>
          </w:tcPr>
          <w:p>
            <w:pPr>
              <w:pStyle w:val="style0"/>
              <w:spacing w:lineRule="auto" w:line="360"/>
              <w:rPr>
                <w:rFonts w:ascii="宋体" w:hAnsi="宋体"/>
                <w:szCs w:val="21"/>
              </w:rPr>
            </w:pPr>
            <w:r>
              <w:t>本标项</w:t>
            </w:r>
            <w:r>
              <w:rPr>
                <w:rFonts w:hint="eastAsia"/>
              </w:rPr>
              <w:t>不</w:t>
            </w:r>
            <w:r>
              <w:t>接受联合体投标</w:t>
            </w:r>
          </w:p>
        </w:tc>
      </w:tr>
      <w:bookmarkStart w:id="15" w:name="_Toc11228"/>
      <w:bookmarkStart w:id="16" w:name="_Toc35393622"/>
      <w:bookmarkStart w:id="17" w:name="_Toc28359080"/>
      <w:bookmarkStart w:id="18" w:name="_Toc35393791"/>
      <w:bookmarkStart w:id="19" w:name="_Toc28359003"/>
    </w:tbl>
    <w:p>
      <w:pPr>
        <w:pStyle w:val="style0"/>
        <w:spacing w:lineRule="auto" w:line="360"/>
        <w:outlineLvl w:val="1"/>
        <w:rPr>
          <w:rFonts w:ascii="宋体" w:hAnsi="宋体"/>
          <w:b/>
          <w:bCs/>
          <w:sz w:val="24"/>
        </w:rPr>
      </w:pPr>
      <w:r>
        <w:rPr>
          <w:rFonts w:ascii="宋体" w:hAnsi="宋体" w:hint="eastAsia"/>
          <w:b/>
          <w:bCs/>
          <w:sz w:val="24"/>
        </w:rPr>
        <w:t>二、投标人的资格要求：</w:t>
      </w:r>
      <w:bookmarkEnd w:id="15"/>
      <w:bookmarkEnd w:id="16"/>
      <w:bookmarkEnd w:id="17"/>
      <w:bookmarkEnd w:id="18"/>
      <w:bookmarkEnd w:id="19"/>
    </w:p>
    <w:bookmarkStart w:id="20" w:name="_Hlk51746371"/>
    <w:bookmarkStart w:id="21" w:name="_Toc28359004"/>
    <w:bookmarkStart w:id="22" w:name="_Toc28359081"/>
    <w:p>
      <w:pPr>
        <w:pStyle w:val="style0"/>
        <w:spacing w:lineRule="auto" w:line="360"/>
        <w:ind w:firstLine="420" w:firstLineChars="200"/>
        <w:rPr>
          <w:rFonts w:ascii="宋体" w:hAnsi="宋体"/>
          <w:szCs w:val="21"/>
        </w:rPr>
      </w:pPr>
      <w:r>
        <w:rPr>
          <w:rFonts w:ascii="宋体" w:hAnsi="宋体"/>
          <w:szCs w:val="21"/>
        </w:rPr>
        <w:t>1.满足《中华人民共和国政府采购法》第二十二条规定；</w:t>
      </w:r>
    </w:p>
    <w:p>
      <w:pPr>
        <w:pStyle w:val="style0"/>
        <w:spacing w:lineRule="auto" w:line="360"/>
        <w:ind w:firstLine="420" w:firstLineChars="200"/>
        <w:rPr>
          <w:rFonts w:ascii="宋体" w:hAnsi="宋体"/>
          <w:szCs w:val="21"/>
        </w:rPr>
      </w:pPr>
      <w:r>
        <w:rPr>
          <w:rFonts w:ascii="宋体" w:hAnsi="宋体"/>
          <w:szCs w:val="21"/>
        </w:rPr>
        <w:t>2.落实政府采购政策需满足的资格要求：</w:t>
      </w:r>
      <w:r>
        <w:rPr>
          <w:rFonts w:ascii="宋体" w:hAnsi="宋体" w:hint="eastAsia"/>
          <w:szCs w:val="21"/>
          <w:u w:val="single"/>
        </w:rPr>
        <w:t>无</w:t>
      </w:r>
      <w:r>
        <w:rPr>
          <w:rFonts w:ascii="宋体" w:hAnsi="宋体"/>
          <w:szCs w:val="21"/>
        </w:rPr>
        <w:t>；</w:t>
      </w:r>
    </w:p>
    <w:p>
      <w:pPr>
        <w:pStyle w:val="style0"/>
        <w:spacing w:lineRule="auto" w:line="360"/>
        <w:ind w:firstLine="420" w:firstLineChars="200"/>
        <w:rPr>
          <w:rFonts w:ascii="宋体" w:hAnsi="宋体"/>
          <w:szCs w:val="21"/>
        </w:rPr>
      </w:pPr>
      <w:r>
        <w:rPr>
          <w:rFonts w:ascii="宋体" w:hAnsi="宋体"/>
          <w:szCs w:val="21"/>
        </w:rPr>
        <w:t>3.本项目的特定资格要求：</w:t>
      </w:r>
      <w:r>
        <w:rPr>
          <w:rFonts w:ascii="宋体" w:hAnsi="宋体"/>
          <w:szCs w:val="21"/>
          <w:u w:val="single"/>
        </w:rPr>
        <w:t>无</w:t>
      </w:r>
      <w:r>
        <w:rPr>
          <w:rFonts w:ascii="宋体" w:hAnsi="宋体"/>
          <w:szCs w:val="21"/>
        </w:rPr>
        <w:t>；</w:t>
      </w:r>
    </w:p>
    <w:bookmarkStart w:id="23" w:name="_Toc35393623"/>
    <w:bookmarkStart w:id="24" w:name="_Toc7468"/>
    <w:bookmarkStart w:id="25" w:name="_Toc35393792"/>
    <w:bookmarkEnd w:id="20"/>
    <w:p>
      <w:pPr>
        <w:pStyle w:val="style0"/>
        <w:spacing w:lineRule="auto" w:line="360"/>
        <w:outlineLvl w:val="1"/>
        <w:rPr>
          <w:rFonts w:ascii="宋体" w:hAnsi="宋体"/>
          <w:b/>
          <w:bCs/>
          <w:sz w:val="24"/>
        </w:rPr>
      </w:pPr>
      <w:r>
        <w:rPr>
          <w:rFonts w:ascii="宋体" w:hAnsi="宋体" w:hint="eastAsia"/>
          <w:b/>
          <w:bCs/>
          <w:sz w:val="24"/>
        </w:rPr>
        <w:t>三、获取招标文件</w:t>
      </w:r>
      <w:bookmarkEnd w:id="21"/>
      <w:bookmarkEnd w:id="22"/>
      <w:bookmarkEnd w:id="23"/>
      <w:bookmarkEnd w:id="24"/>
      <w:bookmarkEnd w:id="25"/>
    </w:p>
    <w:bookmarkStart w:id="26" w:name="_Toc28359082"/>
    <w:bookmarkStart w:id="27" w:name="_Toc28359005"/>
    <w:bookmarkStart w:id="28" w:name="_Toc35393624"/>
    <w:bookmarkStart w:id="29" w:name="_Toc35393793"/>
    <w:p>
      <w:pPr>
        <w:pStyle w:val="style0"/>
        <w:spacing w:lineRule="auto" w:line="360"/>
        <w:ind w:firstLine="420" w:firstLineChars="200"/>
        <w:rPr>
          <w:rFonts w:ascii="宋体" w:cs="宋体" w:hAnsi="宋体"/>
          <w:bCs/>
          <w:kern w:val="0"/>
          <w:szCs w:val="21"/>
        </w:rPr>
      </w:pPr>
      <w:r>
        <w:rPr>
          <w:rFonts w:ascii="宋体" w:hAnsi="宋体" w:hint="eastAsia"/>
          <w:szCs w:val="21"/>
        </w:rPr>
        <w:t>时间：</w:t>
      </w:r>
      <w:r>
        <w:rPr>
          <w:rFonts w:ascii="宋体" w:cs="宋体" w:hAnsi="宋体"/>
          <w:bCs/>
          <w:kern w:val="0"/>
          <w:szCs w:val="21"/>
          <w:u w:val="single"/>
        </w:rPr>
        <w:t>2024年</w:t>
      </w:r>
      <w:r>
        <w:rPr>
          <w:rFonts w:ascii="宋体" w:cs="宋体" w:hAnsi="宋体" w:hint="eastAsia"/>
          <w:bCs/>
          <w:kern w:val="0"/>
          <w:szCs w:val="21"/>
          <w:u w:val="single"/>
        </w:rPr>
        <w:t>1</w:t>
      </w:r>
      <w:r>
        <w:rPr>
          <w:rFonts w:ascii="宋体" w:cs="宋体" w:hAnsi="宋体" w:hint="eastAsia"/>
          <w:bCs/>
          <w:kern w:val="0"/>
          <w:szCs w:val="21"/>
          <w:u w:val="single"/>
        </w:rPr>
        <w:t>0</w:t>
      </w:r>
      <w:r>
        <w:rPr>
          <w:rFonts w:ascii="宋体" w:cs="宋体" w:hAnsi="宋体"/>
          <w:bCs/>
          <w:kern w:val="0"/>
          <w:szCs w:val="21"/>
          <w:u w:val="single"/>
        </w:rPr>
        <w:t>月</w:t>
      </w:r>
      <w:r>
        <w:rPr>
          <w:rFonts w:ascii="宋体" w:cs="宋体" w:hAnsi="宋体" w:hint="eastAsia"/>
          <w:bCs/>
          <w:kern w:val="0"/>
          <w:szCs w:val="21"/>
          <w:u w:val="single"/>
        </w:rPr>
        <w:t>21</w:t>
      </w:r>
      <w:r>
        <w:rPr>
          <w:rFonts w:ascii="宋体" w:cs="宋体" w:hAnsi="宋体"/>
          <w:bCs/>
          <w:kern w:val="0"/>
          <w:szCs w:val="21"/>
          <w:u w:val="single"/>
        </w:rPr>
        <w:t>日</w:t>
      </w:r>
      <w:r>
        <w:rPr>
          <w:rFonts w:ascii="宋体" w:cs="宋体" w:hAnsi="宋体" w:hint="eastAsia"/>
          <w:bCs/>
          <w:kern w:val="0"/>
          <w:szCs w:val="21"/>
        </w:rPr>
        <w:t>至</w:t>
      </w:r>
      <w:r>
        <w:rPr>
          <w:rFonts w:ascii="宋体" w:cs="宋体" w:hAnsi="宋体"/>
          <w:bCs/>
          <w:kern w:val="0"/>
          <w:szCs w:val="21"/>
          <w:u w:val="single"/>
        </w:rPr>
        <w:t>2024年</w:t>
      </w:r>
      <w:r>
        <w:rPr>
          <w:rFonts w:ascii="宋体" w:cs="宋体" w:hAnsi="宋体" w:hint="eastAsia"/>
          <w:bCs/>
          <w:kern w:val="0"/>
          <w:szCs w:val="21"/>
          <w:u w:val="single"/>
        </w:rPr>
        <w:t>1</w:t>
      </w:r>
      <w:r>
        <w:rPr>
          <w:rFonts w:ascii="宋体" w:cs="宋体" w:hAnsi="宋体" w:hint="eastAsia"/>
          <w:bCs/>
          <w:kern w:val="0"/>
          <w:szCs w:val="21"/>
          <w:u w:val="single"/>
        </w:rPr>
        <w:t>0</w:t>
      </w:r>
      <w:r>
        <w:rPr>
          <w:rFonts w:ascii="宋体" w:cs="宋体" w:hAnsi="宋体"/>
          <w:bCs/>
          <w:kern w:val="0"/>
          <w:szCs w:val="21"/>
          <w:u w:val="single"/>
        </w:rPr>
        <w:t>月</w:t>
      </w:r>
      <w:r>
        <w:rPr>
          <w:rFonts w:ascii="宋体" w:cs="宋体" w:hAnsi="宋体" w:hint="eastAsia"/>
          <w:bCs/>
          <w:kern w:val="0"/>
          <w:szCs w:val="21"/>
          <w:u w:val="single"/>
        </w:rPr>
        <w:t>28</w:t>
      </w:r>
      <w:r>
        <w:rPr>
          <w:rFonts w:ascii="宋体" w:cs="宋体" w:hAnsi="宋体"/>
          <w:bCs/>
          <w:kern w:val="0"/>
          <w:szCs w:val="21"/>
          <w:u w:val="single"/>
        </w:rPr>
        <w:t>日</w:t>
      </w:r>
      <w:r>
        <w:rPr>
          <w:rFonts w:ascii="宋体" w:cs="宋体" w:hAnsi="宋体" w:hint="eastAsia"/>
          <w:bCs/>
          <w:kern w:val="0"/>
          <w:szCs w:val="21"/>
        </w:rPr>
        <w:t>，每天上午</w:t>
      </w:r>
      <w:r>
        <w:rPr>
          <w:rFonts w:ascii="宋体" w:cs="宋体" w:hAnsi="宋体"/>
          <w:bCs/>
          <w:kern w:val="0"/>
          <w:szCs w:val="21"/>
          <w:u w:val="single"/>
        </w:rPr>
        <w:t>08</w:t>
      </w:r>
      <w:r>
        <w:rPr>
          <w:rFonts w:ascii="宋体" w:cs="宋体" w:hAnsi="宋体" w:hint="eastAsia"/>
          <w:bCs/>
          <w:kern w:val="0"/>
          <w:szCs w:val="21"/>
          <w:u w:val="single"/>
        </w:rPr>
        <w:t>：</w:t>
      </w:r>
      <w:r>
        <w:rPr>
          <w:rFonts w:ascii="宋体" w:cs="宋体" w:hAnsi="宋体"/>
          <w:bCs/>
          <w:kern w:val="0"/>
          <w:szCs w:val="21"/>
          <w:u w:val="single"/>
        </w:rPr>
        <w:t>00</w:t>
      </w:r>
      <w:r>
        <w:rPr>
          <w:rFonts w:ascii="宋体" w:cs="宋体" w:hAnsi="宋体" w:hint="eastAsia"/>
          <w:bCs/>
          <w:kern w:val="0"/>
          <w:szCs w:val="21"/>
        </w:rPr>
        <w:t>至</w:t>
      </w:r>
      <w:r>
        <w:rPr>
          <w:rFonts w:ascii="宋体" w:cs="宋体" w:hAnsi="宋体"/>
          <w:bCs/>
          <w:kern w:val="0"/>
          <w:szCs w:val="21"/>
          <w:u w:val="single"/>
        </w:rPr>
        <w:t>12</w:t>
      </w:r>
      <w:r>
        <w:rPr>
          <w:rFonts w:ascii="宋体" w:cs="宋体" w:hAnsi="宋体" w:hint="eastAsia"/>
          <w:bCs/>
          <w:kern w:val="0"/>
          <w:szCs w:val="21"/>
          <w:u w:val="single"/>
        </w:rPr>
        <w:t>：</w:t>
      </w:r>
      <w:r>
        <w:rPr>
          <w:rFonts w:ascii="宋体" w:cs="宋体" w:hAnsi="宋体"/>
          <w:bCs/>
          <w:kern w:val="0"/>
          <w:szCs w:val="21"/>
          <w:u w:val="single"/>
        </w:rPr>
        <w:t>00</w:t>
      </w:r>
      <w:r>
        <w:rPr>
          <w:rFonts w:ascii="宋体" w:cs="宋体" w:hAnsi="宋体" w:hint="eastAsia"/>
          <w:bCs/>
          <w:kern w:val="0"/>
          <w:szCs w:val="21"/>
        </w:rPr>
        <w:t>，下午</w:t>
      </w:r>
      <w:r>
        <w:rPr>
          <w:rFonts w:ascii="宋体" w:cs="宋体" w:hAnsi="宋体"/>
          <w:bCs/>
          <w:kern w:val="0"/>
          <w:szCs w:val="21"/>
          <w:u w:val="single"/>
        </w:rPr>
        <w:t>15</w:t>
      </w:r>
      <w:r>
        <w:rPr>
          <w:rFonts w:ascii="宋体" w:cs="宋体" w:hAnsi="宋体" w:hint="eastAsia"/>
          <w:bCs/>
          <w:kern w:val="0"/>
          <w:szCs w:val="21"/>
          <w:u w:val="single"/>
        </w:rPr>
        <w:t>：</w:t>
      </w:r>
      <w:r>
        <w:rPr>
          <w:rFonts w:ascii="宋体" w:cs="宋体" w:hAnsi="宋体"/>
          <w:bCs/>
          <w:kern w:val="0"/>
          <w:szCs w:val="21"/>
          <w:u w:val="single"/>
        </w:rPr>
        <w:t>00</w:t>
      </w:r>
      <w:r>
        <w:rPr>
          <w:rFonts w:ascii="宋体" w:cs="宋体" w:hAnsi="宋体" w:hint="eastAsia"/>
          <w:bCs/>
          <w:kern w:val="0"/>
          <w:szCs w:val="21"/>
        </w:rPr>
        <w:t>至</w:t>
      </w:r>
      <w:r>
        <w:rPr>
          <w:rFonts w:ascii="宋体" w:cs="宋体" w:hAnsi="宋体"/>
          <w:bCs/>
          <w:kern w:val="0"/>
          <w:szCs w:val="21"/>
          <w:u w:val="single"/>
        </w:rPr>
        <w:t>18</w:t>
      </w:r>
      <w:r>
        <w:rPr>
          <w:rFonts w:ascii="宋体" w:cs="宋体" w:hAnsi="宋体" w:hint="eastAsia"/>
          <w:bCs/>
          <w:kern w:val="0"/>
          <w:szCs w:val="21"/>
          <w:u w:val="single"/>
        </w:rPr>
        <w:t>：</w:t>
      </w:r>
      <w:r>
        <w:rPr>
          <w:rFonts w:ascii="宋体" w:cs="宋体" w:hAnsi="宋体"/>
          <w:bCs/>
          <w:kern w:val="0"/>
          <w:szCs w:val="21"/>
          <w:u w:val="single"/>
        </w:rPr>
        <w:t>00</w:t>
      </w:r>
      <w:r>
        <w:rPr>
          <w:rFonts w:ascii="宋体" w:cs="宋体" w:hAnsi="宋体" w:hint="eastAsia"/>
          <w:bCs/>
          <w:kern w:val="0"/>
          <w:szCs w:val="21"/>
        </w:rPr>
        <w:t>（北京时间）</w:t>
      </w:r>
    </w:p>
    <w:p>
      <w:pPr>
        <w:pStyle w:val="style0"/>
        <w:spacing w:lineRule="auto" w:line="360"/>
        <w:ind w:firstLine="420" w:firstLineChars="200"/>
        <w:rPr>
          <w:rFonts w:ascii="宋体" w:hAnsi="宋体"/>
          <w:szCs w:val="21"/>
        </w:rPr>
      </w:pPr>
      <w:r>
        <w:rPr>
          <w:rFonts w:ascii="宋体" w:hAnsi="宋体" w:hint="eastAsia"/>
          <w:szCs w:val="21"/>
        </w:rPr>
        <w:t>地点（网址）：“广西政府采购云平台”（</w:t>
      </w:r>
      <w:r>
        <w:rPr>
          <w:rFonts w:ascii="宋体" w:hAnsi="宋体"/>
          <w:szCs w:val="21"/>
        </w:rPr>
        <w:t>https://www.gcy.zfcg.gxzf.gov.cn）线上获取</w:t>
      </w:r>
    </w:p>
    <w:p>
      <w:pPr>
        <w:pStyle w:val="style0"/>
        <w:spacing w:lineRule="auto" w:line="360"/>
        <w:ind w:firstLine="420" w:firstLineChars="200"/>
        <w:rPr>
          <w:rFonts w:ascii="宋体" w:hAnsi="宋体"/>
          <w:szCs w:val="21"/>
        </w:rPr>
      </w:pPr>
      <w:r>
        <w:rPr>
          <w:rFonts w:ascii="宋体" w:hAnsi="宋体" w:hint="eastAsia"/>
          <w:szCs w:val="21"/>
        </w:rPr>
        <w:t>方式</w:t>
      </w:r>
      <w:r>
        <w:rPr>
          <w:rFonts w:ascii="宋体" w:hAnsi="宋体"/>
          <w:szCs w:val="21"/>
        </w:rPr>
        <w:t>:网上下载。本项目不发放纸质文件，供应商可自行在</w:t>
      </w:r>
      <w:r>
        <w:rPr/>
        <w:fldChar w:fldCharType="begin"/>
      </w:r>
      <w:r>
        <w:instrText xml:space="preserve"> HYPERLINK </w:instrText>
      </w:r>
      <w:r>
        <w:rPr/>
        <w:fldChar w:fldCharType="separate"/>
      </w:r>
      <w:r>
        <w:rPr/>
        <w:fldChar w:fldCharType="end"/>
      </w:r>
      <w:r>
        <w:rPr>
          <w:rFonts w:ascii="宋体" w:hAnsi="宋体" w:hint="eastAsia"/>
          <w:szCs w:val="21"/>
        </w:rPr>
        <w:t>“广西政府采购云平台”（</w:t>
      </w:r>
      <w:r>
        <w:rPr>
          <w:rFonts w:ascii="宋体" w:hAnsi="宋体"/>
          <w:szCs w:val="21"/>
        </w:rPr>
        <w:t>http：//www.zcygov.cn</w:t>
      </w:r>
      <w:r>
        <w:rPr>
          <w:rFonts w:ascii="宋体" w:hAnsi="宋体" w:hint="eastAsia"/>
          <w:szCs w:val="21"/>
        </w:rPr>
        <w:t>）下载招标文件（操作路径：登录“广西政府采购云平台”</w:t>
      </w:r>
      <w:r>
        <w:rPr>
          <w:rFonts w:ascii="宋体" w:hAnsi="宋体"/>
          <w:szCs w:val="21"/>
        </w:rPr>
        <w:t>-项目采购-获取采购文件-找到本项目-点击“申请获取采购文件”），电子投标文件制作需要基于“广西政府采购云平台”（http：//www.zcygov.cn</w:t>
      </w:r>
      <w:r>
        <w:rPr>
          <w:rFonts w:ascii="宋体" w:hAnsi="宋体" w:hint="eastAsia"/>
          <w:szCs w:val="21"/>
        </w:rPr>
        <w:t>）获取的招标文件编制。</w:t>
      </w:r>
    </w:p>
    <w:p>
      <w:pPr>
        <w:pStyle w:val="style0"/>
        <w:spacing w:lineRule="auto" w:line="360"/>
        <w:ind w:firstLine="420" w:firstLineChars="200"/>
        <w:rPr>
          <w:rFonts w:ascii="宋体" w:hAnsi="宋体"/>
          <w:szCs w:val="21"/>
        </w:rPr>
      </w:pPr>
      <w:r>
        <w:rPr>
          <w:rFonts w:ascii="宋体" w:hAnsi="宋体" w:hint="eastAsia"/>
          <w:szCs w:val="21"/>
        </w:rPr>
        <w:t>售价：</w:t>
      </w:r>
      <w:r>
        <w:rPr>
          <w:rFonts w:ascii="宋体" w:hAnsi="宋体"/>
          <w:szCs w:val="21"/>
        </w:rPr>
        <w:t>0元。</w:t>
      </w:r>
    </w:p>
    <w:bookmarkStart w:id="30" w:name="_Toc26471"/>
    <w:p>
      <w:pPr>
        <w:pStyle w:val="style0"/>
        <w:spacing w:lineRule="auto" w:line="360"/>
        <w:outlineLvl w:val="1"/>
        <w:rPr>
          <w:rFonts w:ascii="宋体" w:hAnsi="宋体"/>
          <w:b/>
          <w:bCs/>
          <w:sz w:val="24"/>
        </w:rPr>
      </w:pPr>
      <w:r>
        <w:rPr>
          <w:rFonts w:ascii="宋体" w:hAnsi="宋体" w:hint="eastAsia"/>
          <w:b/>
          <w:bCs/>
          <w:sz w:val="24"/>
        </w:rPr>
        <w:t>四、提交投标文件</w:t>
      </w:r>
      <w:bookmarkEnd w:id="26"/>
      <w:bookmarkEnd w:id="27"/>
      <w:r>
        <w:rPr>
          <w:rFonts w:ascii="宋体" w:hAnsi="宋体" w:hint="eastAsia"/>
          <w:b/>
          <w:bCs/>
          <w:sz w:val="24"/>
        </w:rPr>
        <w:t>截止时间、开标时间和地点</w:t>
      </w:r>
      <w:bookmarkEnd w:id="28"/>
      <w:bookmarkEnd w:id="29"/>
      <w:bookmarkEnd w:id="30"/>
    </w:p>
    <w:p>
      <w:pPr>
        <w:pStyle w:val="style0"/>
        <w:spacing w:lineRule="auto" w:line="360"/>
        <w:ind w:firstLine="420" w:firstLineChars="200"/>
        <w:rPr>
          <w:rFonts w:ascii="宋体" w:cs="宋体" w:hAnsi="宋体"/>
          <w:szCs w:val="21"/>
          <w:u w:val="single"/>
        </w:rPr>
      </w:pPr>
      <w:r>
        <w:rPr>
          <w:rFonts w:ascii="宋体" w:hAnsi="宋体"/>
          <w:bCs/>
          <w:szCs w:val="21"/>
        </w:rPr>
        <w:t>1、提交投标文件截止时间和开标时间：</w:t>
      </w:r>
      <w:r>
        <w:rPr>
          <w:rFonts w:ascii="宋体" w:hAnsi="宋体"/>
          <w:szCs w:val="21"/>
          <w:u w:val="single"/>
        </w:rPr>
        <w:t>2024年</w:t>
      </w:r>
      <w:r>
        <w:rPr>
          <w:rFonts w:ascii="宋体" w:hAnsi="宋体" w:hint="eastAsia"/>
          <w:szCs w:val="21"/>
          <w:u w:val="single"/>
        </w:rPr>
        <w:t>11</w:t>
      </w:r>
      <w:r>
        <w:rPr>
          <w:rFonts w:ascii="宋体" w:hAnsi="宋体"/>
          <w:szCs w:val="21"/>
          <w:u w:val="single"/>
        </w:rPr>
        <w:t>月</w:t>
      </w:r>
      <w:r>
        <w:rPr>
          <w:rFonts w:ascii="宋体" w:hAnsi="宋体" w:hint="eastAsia"/>
          <w:szCs w:val="21"/>
          <w:u w:val="single"/>
        </w:rPr>
        <w:t>12</w:t>
      </w:r>
      <w:r>
        <w:rPr>
          <w:rFonts w:ascii="宋体" w:hAnsi="宋体"/>
          <w:szCs w:val="21"/>
          <w:u w:val="single"/>
        </w:rPr>
        <w:t>日9时30分（</w:t>
      </w:r>
      <w:r>
        <w:rPr>
          <w:rFonts w:ascii="宋体" w:hAnsi="宋体" w:hint="eastAsia"/>
          <w:bCs/>
          <w:szCs w:val="21"/>
        </w:rPr>
        <w:t>北京时间）</w:t>
      </w:r>
    </w:p>
    <w:p>
      <w:pPr>
        <w:pStyle w:val="style0"/>
        <w:spacing w:lineRule="auto" w:line="360"/>
        <w:ind w:firstLine="420" w:firstLineChars="200"/>
        <w:rPr>
          <w:rFonts w:ascii="宋体" w:hAnsi="宋体"/>
          <w:szCs w:val="21"/>
        </w:rPr>
      </w:pPr>
      <w:r>
        <w:rPr>
          <w:rFonts w:ascii="宋体" w:hAnsi="宋体"/>
          <w:szCs w:val="21"/>
        </w:rPr>
        <w:t>2</w:t>
      </w:r>
      <w:r>
        <w:rPr>
          <w:rFonts w:ascii="宋体" w:hAnsi="宋体" w:hint="eastAsia"/>
          <w:szCs w:val="21"/>
        </w:rPr>
        <w:t>、投标和开标地点：</w:t>
      </w:r>
    </w:p>
    <w:p>
      <w:pPr>
        <w:pStyle w:val="style0"/>
        <w:widowControl/>
        <w:spacing w:lineRule="auto" w:line="360"/>
        <w:ind w:firstLine="420" w:firstLineChars="200"/>
        <w:jc w:val="left"/>
        <w:rPr>
          <w:rFonts w:ascii="宋体" w:hAnsi="宋体"/>
          <w:szCs w:val="21"/>
        </w:rPr>
      </w:pPr>
      <w:r>
        <w:rPr>
          <w:rFonts w:ascii="宋体" w:hAnsi="宋体" w:hint="eastAsia"/>
          <w:szCs w:val="21"/>
        </w:rPr>
        <w:t>（</w:t>
      </w:r>
      <w:r>
        <w:rPr>
          <w:rFonts w:ascii="宋体" w:hAnsi="宋体"/>
          <w:szCs w:val="21"/>
        </w:rPr>
        <w:t>1）投标文件提交方式：本项目为全流程电子化项目，通过“广西政府采购云平台”（http：//www.zcygov.cn</w:t>
      </w:r>
      <w:r>
        <w:rPr>
          <w:rFonts w:ascii="宋体" w:hAnsi="宋体" w:hint="eastAsia"/>
          <w:szCs w:val="21"/>
        </w:rPr>
        <w:t>）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ascii="宋体" w:hAnsi="宋体" w:hint="eastAsia"/>
          <w:b/>
          <w:szCs w:val="21"/>
        </w:rPr>
        <w:t>供应商在“广西政府采购云平台”提交电子版投标文件时，请填写参加远程开标活动经办人联系方式，</w:t>
      </w:r>
      <w:r>
        <w:rPr>
          <w:rFonts w:ascii="宋体" w:hAnsi="宋体" w:hint="eastAsia"/>
          <w:szCs w:val="21"/>
        </w:rPr>
        <w:t>电子投标具体操作流程参考《政府采购项目电子交易管理操作指南</w:t>
      </w:r>
      <w:r>
        <w:rPr>
          <w:rFonts w:ascii="宋体" w:hAnsi="宋体"/>
          <w:szCs w:val="21"/>
        </w:rPr>
        <w:t>-供应商》（详见广西壮族自治区政府采购网—办事服务—下载专区-广西壮族自治区全流程电子招投标项目管理系统--供应商客户端）；如遇平台技术问题详询400-881-7190。</w:t>
      </w:r>
    </w:p>
    <w:p>
      <w:pPr>
        <w:pStyle w:val="style0"/>
        <w:widowControl/>
        <w:spacing w:lineRule="auto" w:line="360"/>
        <w:ind w:firstLine="420" w:firstLineChars="200"/>
        <w:jc w:val="left"/>
        <w:rPr>
          <w:rFonts w:ascii="宋体" w:hAnsi="宋体"/>
          <w:szCs w:val="21"/>
        </w:rPr>
      </w:pPr>
      <w:r>
        <w:rPr>
          <w:rFonts w:ascii="宋体" w:hAnsi="宋体" w:hint="eastAsia"/>
          <w:szCs w:val="21"/>
        </w:rPr>
        <w:t>（</w:t>
      </w:r>
      <w:r>
        <w:rPr>
          <w:rFonts w:ascii="宋体" w:hAnsi="宋体"/>
          <w:szCs w:val="21"/>
        </w:rPr>
        <w:t>2）未进行网上注册并办理数字证书（CA认证）的供应商将无法参与本项目政府采购活动，潜在供应商应当在投标截止时间前，完成电子交易平台上的CA数字证书办理（申领流程见本公告附件）及投标文件的提交。完成CA数字证书办理预计7日左右，</w:t>
      </w:r>
      <w:r>
        <w:rPr>
          <w:rFonts w:ascii="宋体" w:cs="宋体" w:hAnsi="宋体" w:hint="eastAsia"/>
          <w:szCs w:val="21"/>
        </w:rPr>
        <w:t>投标人只需办理其中一家</w:t>
      </w:r>
      <w:r>
        <w:rPr>
          <w:rFonts w:ascii="宋体" w:cs="宋体" w:hAnsi="宋体"/>
          <w:szCs w:val="21"/>
        </w:rPr>
        <w:t>CA数字证书及签章</w:t>
      </w:r>
      <w:r>
        <w:rPr>
          <w:rFonts w:ascii="宋体" w:cs="宋体" w:hAnsi="宋体" w:hint="eastAsia"/>
          <w:szCs w:val="21"/>
        </w:rPr>
        <w:t>，</w:t>
      </w:r>
      <w:r>
        <w:rPr>
          <w:rFonts w:ascii="宋体" w:hAnsi="宋体" w:hint="eastAsia"/>
          <w:szCs w:val="21"/>
        </w:rPr>
        <w:t>建议各投标人抓紧时间办理。</w:t>
      </w:r>
    </w:p>
    <w:p>
      <w:pPr>
        <w:pStyle w:val="style0"/>
        <w:widowControl/>
        <w:spacing w:lineRule="auto" w:line="360"/>
        <w:ind w:firstLine="420" w:firstLineChars="200"/>
        <w:jc w:val="left"/>
        <w:rPr>
          <w:rFonts w:ascii="宋体" w:hAnsi="宋体"/>
          <w:szCs w:val="21"/>
        </w:rPr>
      </w:pPr>
      <w:r>
        <w:rPr>
          <w:rFonts w:ascii="宋体" w:hAnsi="宋体" w:hint="eastAsia"/>
          <w:szCs w:val="21"/>
        </w:rPr>
        <w:t>（</w:t>
      </w:r>
      <w:r>
        <w:rPr>
          <w:rFonts w:ascii="宋体" w:hAnsi="宋体"/>
          <w:szCs w:val="21"/>
        </w:rPr>
        <w:t>3）为确保网上操作合法、有效和安全，请投标供应商确保在电子投标过程中能够对相关数据电文进行加密和使用电子签章，妥善保管CA</w:t>
      </w:r>
      <w:r>
        <w:rPr>
          <w:rFonts w:ascii="宋体" w:hAnsi="宋体" w:hint="eastAsia"/>
          <w:szCs w:val="21"/>
        </w:rPr>
        <w:t>数字证书并使用有效的</w:t>
      </w:r>
      <w:r>
        <w:rPr>
          <w:rFonts w:ascii="宋体" w:hAnsi="宋体"/>
          <w:szCs w:val="21"/>
        </w:rPr>
        <w:t>CA数字证书参与整个招标活动。</w:t>
      </w:r>
    </w:p>
    <w:p>
      <w:pPr>
        <w:pStyle w:val="style0"/>
        <w:spacing w:lineRule="auto" w:line="360"/>
        <w:ind w:firstLine="420" w:firstLineChars="200"/>
        <w:rPr>
          <w:rFonts w:ascii="宋体" w:hAnsi="宋体"/>
          <w:bCs/>
          <w:szCs w:val="21"/>
          <w:u w:val="single"/>
        </w:rPr>
      </w:pPr>
      <w:r>
        <w:rPr>
          <w:rFonts w:ascii="宋体" w:hAnsi="宋体"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pStyle w:val="style0"/>
        <w:widowControl/>
        <w:spacing w:lineRule="auto" w:line="360"/>
        <w:ind w:firstLine="420" w:firstLineChars="200"/>
        <w:jc w:val="left"/>
        <w:rPr>
          <w:rFonts w:ascii="宋体" w:hAnsi="宋体"/>
          <w:szCs w:val="21"/>
        </w:rPr>
      </w:pPr>
      <w:r>
        <w:rPr>
          <w:rFonts w:ascii="宋体" w:hAnsi="宋体" w:hint="eastAsia"/>
          <w:szCs w:val="21"/>
        </w:rPr>
        <w:t>（</w:t>
      </w:r>
      <w:r>
        <w:rPr>
          <w:rFonts w:ascii="宋体" w:hAnsi="宋体"/>
          <w:szCs w:val="21"/>
        </w:rPr>
        <w:t>4）开标地点：本次招标将</w:t>
      </w:r>
      <w:r>
        <w:rPr>
          <w:rFonts w:ascii="宋体" w:hAnsi="宋体" w:hint="eastAsia"/>
          <w:szCs w:val="21"/>
          <w:u w:val="single"/>
        </w:rPr>
        <w:t>于</w:t>
      </w:r>
      <w:r>
        <w:rPr>
          <w:rFonts w:ascii="宋体" w:hAnsi="宋体"/>
          <w:szCs w:val="21"/>
          <w:u w:val="single"/>
        </w:rPr>
        <w:t>2024年</w:t>
      </w:r>
      <w:r>
        <w:rPr>
          <w:rFonts w:ascii="宋体" w:hAnsi="宋体" w:hint="eastAsia"/>
          <w:szCs w:val="21"/>
          <w:u w:val="single"/>
        </w:rPr>
        <w:t>11</w:t>
      </w:r>
      <w:r>
        <w:rPr>
          <w:rFonts w:ascii="宋体" w:hAnsi="宋体"/>
          <w:szCs w:val="21"/>
          <w:u w:val="single"/>
        </w:rPr>
        <w:t>月</w:t>
      </w:r>
      <w:r>
        <w:rPr>
          <w:rFonts w:ascii="宋体" w:hAnsi="宋体" w:hint="eastAsia"/>
          <w:szCs w:val="21"/>
          <w:u w:val="single"/>
        </w:rPr>
        <w:t>12</w:t>
      </w:r>
      <w:r>
        <w:rPr>
          <w:rFonts w:ascii="宋体" w:hAnsi="宋体"/>
          <w:szCs w:val="21"/>
          <w:u w:val="single"/>
        </w:rPr>
        <w:t>日9时30分（北京时间）</w:t>
      </w:r>
      <w:r>
        <w:rPr>
          <w:rFonts w:ascii="宋体" w:hAnsi="宋体" w:hint="eastAsia"/>
          <w:szCs w:val="21"/>
        </w:rPr>
        <w:t>在“广西政府采购云平台”电子开标大厅开标。</w:t>
      </w:r>
    </w:p>
    <w:p>
      <w:pPr>
        <w:pStyle w:val="style0"/>
        <w:widowControl/>
        <w:spacing w:lineRule="auto" w:line="360"/>
        <w:ind w:firstLine="420" w:firstLineChars="200"/>
        <w:jc w:val="left"/>
        <w:rPr>
          <w:rFonts w:ascii="宋体" w:hAnsi="宋体"/>
          <w:szCs w:val="21"/>
        </w:rPr>
      </w:pPr>
      <w:r>
        <w:rPr>
          <w:rFonts w:ascii="宋体" w:hAnsi="宋体" w:hint="eastAsia"/>
          <w:szCs w:val="21"/>
        </w:rPr>
        <w:t>（</w:t>
      </w:r>
      <w:r>
        <w:rPr>
          <w:rFonts w:ascii="宋体" w:hAnsi="宋体"/>
          <w:szCs w:val="21"/>
        </w:rPr>
        <w:t>5）CA证书在线解密：供应商投标时，需携带制作投标文件时用来加密的有效数字证书（CA认证）登录“广西政府采购云平台”电子开标大厅现场按规定时间对加密的投标文件进行解密，否则后果自负。</w:t>
      </w:r>
    </w:p>
    <w:bookmarkStart w:id="31" w:name="_Toc28359007"/>
    <w:bookmarkStart w:id="32" w:name="_Toc28359084"/>
    <w:bookmarkStart w:id="33" w:name="_Toc35393794"/>
    <w:bookmarkStart w:id="34" w:name="_Toc35393625"/>
    <w:bookmarkStart w:id="35" w:name="_Toc4063"/>
    <w:p>
      <w:pPr>
        <w:pStyle w:val="style0"/>
        <w:spacing w:lineRule="auto" w:line="360"/>
        <w:outlineLvl w:val="1"/>
        <w:rPr>
          <w:rFonts w:ascii="宋体" w:hAnsi="宋体"/>
          <w:b/>
          <w:bCs/>
          <w:sz w:val="24"/>
        </w:rPr>
      </w:pPr>
      <w:r>
        <w:rPr>
          <w:rFonts w:ascii="宋体" w:hAnsi="宋体" w:hint="eastAsia"/>
          <w:b/>
          <w:bCs/>
          <w:sz w:val="24"/>
        </w:rPr>
        <w:t>五、公告期限</w:t>
      </w:r>
      <w:bookmarkEnd w:id="31"/>
      <w:bookmarkEnd w:id="32"/>
      <w:bookmarkEnd w:id="33"/>
      <w:bookmarkEnd w:id="34"/>
      <w:bookmarkEnd w:id="35"/>
    </w:p>
    <w:p>
      <w:pPr>
        <w:pStyle w:val="style0"/>
        <w:spacing w:lineRule="auto" w:line="360"/>
        <w:ind w:firstLine="420" w:firstLineChars="200"/>
        <w:rPr>
          <w:rFonts w:ascii="宋体" w:cs="宋体" w:hAnsi="宋体"/>
          <w:kern w:val="0"/>
          <w:szCs w:val="21"/>
        </w:rPr>
      </w:pPr>
      <w:r>
        <w:rPr>
          <w:rFonts w:ascii="宋体" w:cs="宋体" w:hAnsi="宋体" w:hint="eastAsia"/>
          <w:kern w:val="0"/>
          <w:szCs w:val="21"/>
        </w:rPr>
        <w:t>自本公告发布之日起</w:t>
      </w:r>
      <w:r>
        <w:rPr>
          <w:rFonts w:ascii="宋体" w:cs="宋体" w:hAnsi="宋体"/>
          <w:kern w:val="0"/>
          <w:szCs w:val="21"/>
        </w:rPr>
        <w:t>5个工作日。</w:t>
      </w:r>
    </w:p>
    <w:bookmarkStart w:id="36" w:name="_Toc7146"/>
    <w:bookmarkStart w:id="37" w:name="_Toc35393626"/>
    <w:bookmarkStart w:id="38" w:name="_Toc35393795"/>
    <w:p>
      <w:pPr>
        <w:pStyle w:val="style0"/>
        <w:spacing w:lineRule="auto" w:line="360"/>
        <w:outlineLvl w:val="1"/>
        <w:rPr>
          <w:rFonts w:ascii="宋体" w:hAnsi="宋体"/>
          <w:b/>
          <w:bCs/>
          <w:sz w:val="24"/>
        </w:rPr>
      </w:pPr>
      <w:r>
        <w:rPr>
          <w:rFonts w:ascii="宋体" w:hAnsi="宋体" w:hint="eastAsia"/>
          <w:b/>
          <w:bCs/>
          <w:sz w:val="24"/>
        </w:rPr>
        <w:t>六、其他补充事宜</w:t>
      </w:r>
      <w:bookmarkEnd w:id="36"/>
      <w:bookmarkEnd w:id="37"/>
      <w:bookmarkEnd w:id="38"/>
    </w:p>
    <w:bookmarkStart w:id="39" w:name="_Hlk37429585"/>
    <w:p>
      <w:pPr>
        <w:pStyle w:val="style0"/>
        <w:spacing w:lineRule="auto" w:line="360"/>
        <w:ind w:firstLine="315" w:firstLineChars="150"/>
        <w:rPr>
          <w:rFonts w:ascii="宋体" w:cs="宋体" w:hAnsi="宋体"/>
          <w:kern w:val="0"/>
          <w:szCs w:val="21"/>
        </w:rPr>
      </w:pPr>
      <w:r>
        <w:rPr>
          <w:rFonts w:ascii="宋体" w:cs="宋体" w:hAnsi="宋体" w:hint="eastAsia"/>
          <w:kern w:val="0"/>
          <w:szCs w:val="21"/>
        </w:rPr>
        <w:t>1</w:t>
      </w:r>
      <w:r>
        <w:rPr>
          <w:rFonts w:ascii="宋体" w:cs="宋体" w:hAnsi="宋体"/>
          <w:kern w:val="0"/>
          <w:szCs w:val="21"/>
        </w:rPr>
        <w:t>.</w:t>
      </w:r>
      <w:r>
        <w:rPr>
          <w:rFonts w:ascii="宋体" w:cs="宋体" w:hAnsi="宋体" w:hint="eastAsia"/>
          <w:kern w:val="0"/>
          <w:szCs w:val="21"/>
        </w:rPr>
        <w:t>投标保证金：</w:t>
      </w:r>
    </w:p>
    <w:p>
      <w:pPr>
        <w:pStyle w:val="style179"/>
        <w:spacing w:lineRule="auto" w:line="360"/>
        <w:ind w:firstLine="525" w:firstLineChars="250"/>
        <w:rPr>
          <w:rFonts w:ascii="宋体" w:cs="宋体" w:hAnsi="宋体"/>
          <w:kern w:val="0"/>
          <w:szCs w:val="21"/>
        </w:rPr>
      </w:pPr>
      <w:r>
        <w:rPr>
          <w:rFonts w:ascii="宋体" w:cs="宋体" w:hAnsi="宋体" w:hint="eastAsia"/>
          <w:kern w:val="0"/>
          <w:szCs w:val="21"/>
        </w:rPr>
        <w:t>投标保证金金额：人民币壹拾元整（￥100,000.00）</w:t>
      </w:r>
    </w:p>
    <w:p>
      <w:pPr>
        <w:pStyle w:val="style0"/>
        <w:spacing w:lineRule="auto" w:line="360"/>
        <w:ind w:firstLine="315" w:firstLineChars="150"/>
        <w:rPr>
          <w:rFonts w:ascii="宋体" w:cs="宋体" w:hAnsi="宋体"/>
          <w:kern w:val="0"/>
          <w:szCs w:val="21"/>
        </w:rPr>
      </w:pPr>
      <w:r>
        <w:rPr>
          <w:rFonts w:ascii="宋体" w:cs="宋体" w:hAnsi="宋体" w:hint="eastAsia"/>
          <w:kern w:val="0"/>
          <w:szCs w:val="21"/>
        </w:rPr>
        <w:t>投标保证金的交纳方式：银行转账、支票、汇票、本票或者金融、担保机构出具的保函，禁止采用现钞方式。采用银行转账方式的，在投标截止时间前交至采购代理机构指定账户并且到账（开户银行：</w:t>
      </w:r>
      <w:r>
        <w:rPr>
          <w:rFonts w:ascii="宋体" w:cs="宋体" w:hAnsi="宋体" w:hint="eastAsia"/>
          <w:kern w:val="0"/>
          <w:szCs w:val="21"/>
          <w:u w:val="single"/>
        </w:rPr>
        <w:t>上海浦东发展银行南宁分行营业部</w:t>
      </w:r>
      <w:r>
        <w:rPr>
          <w:rFonts w:ascii="宋体" w:cs="宋体" w:hAnsi="宋体" w:hint="eastAsia"/>
          <w:kern w:val="0"/>
          <w:szCs w:val="21"/>
        </w:rPr>
        <w:t>，开户名称：</w:t>
      </w:r>
      <w:r>
        <w:rPr>
          <w:rFonts w:ascii="宋体" w:cs="宋体" w:hAnsi="宋体" w:hint="eastAsia"/>
          <w:kern w:val="0"/>
          <w:szCs w:val="21"/>
          <w:u w:val="single"/>
        </w:rPr>
        <w:t>广西国盛招标有限公司</w:t>
      </w:r>
      <w:r>
        <w:rPr>
          <w:rFonts w:ascii="宋体" w:cs="宋体" w:hAnsi="宋体" w:hint="eastAsia"/>
          <w:kern w:val="0"/>
          <w:szCs w:val="21"/>
        </w:rPr>
        <w:t>，银行账号：</w:t>
      </w:r>
      <w:r>
        <w:rPr>
          <w:rFonts w:ascii="宋体" w:cs="宋体" w:hAnsi="宋体"/>
          <w:kern w:val="0"/>
          <w:szCs w:val="21"/>
          <w:u w:val="single"/>
        </w:rPr>
        <w:t>63010154700016896</w:t>
      </w:r>
      <w:r>
        <w:rPr>
          <w:rFonts w:ascii="宋体" w:cs="宋体" w:hAnsi="宋体" w:hint="eastAsia"/>
          <w:kern w:val="0"/>
          <w:szCs w:val="21"/>
        </w:rPr>
        <w:t>，开户行行号：</w:t>
      </w:r>
      <w:r>
        <w:rPr>
          <w:rFonts w:ascii="宋体" w:cs="宋体" w:hAnsi="宋体"/>
          <w:kern w:val="0"/>
          <w:szCs w:val="21"/>
          <w:u w:val="single"/>
        </w:rPr>
        <w:t>310611000019</w:t>
      </w:r>
      <w:r>
        <w:rPr>
          <w:rFonts w:ascii="宋体" w:cs="宋体" w:hAnsi="宋体" w:hint="eastAsia"/>
          <w:kern w:val="0"/>
          <w:szCs w:val="21"/>
        </w:rPr>
        <w:t>）；采用支票、汇票、本票或者保函等方式的，在投标截止时间前，投标人必须递交单独密封的支票、汇票、本票或者保函原件。否则视为无效投标保证金。</w:t>
      </w:r>
    </w:p>
    <w:p>
      <w:pPr>
        <w:pStyle w:val="style0"/>
        <w:spacing w:lineRule="auto" w:line="360"/>
        <w:ind w:firstLine="315" w:firstLineChars="150"/>
        <w:rPr>
          <w:rFonts w:ascii="宋体" w:cs="宋体" w:hAnsi="宋体"/>
          <w:kern w:val="0"/>
          <w:szCs w:val="21"/>
        </w:rPr>
      </w:pPr>
      <w:r>
        <w:rPr>
          <w:rFonts w:ascii="宋体" w:cs="宋体" w:hAnsi="宋体" w:hint="eastAsia"/>
          <w:kern w:val="0"/>
          <w:szCs w:val="21"/>
        </w:rPr>
        <w:t>2</w:t>
      </w:r>
      <w:r>
        <w:rPr>
          <w:rFonts w:ascii="宋体" w:cs="宋体" w:hAnsi="宋体"/>
          <w:kern w:val="0"/>
          <w:szCs w:val="21"/>
        </w:rPr>
        <w:t>.</w:t>
      </w:r>
      <w:bookmarkStart w:id="40" w:name="_Hlk37429595"/>
      <w:r>
        <w:rPr>
          <w:rFonts w:ascii="宋体" w:cs="宋体" w:hAnsi="宋体" w:hint="eastAsia"/>
          <w:kern w:val="0"/>
          <w:szCs w:val="21"/>
        </w:rPr>
        <w:t>网上查询地址</w:t>
      </w:r>
    </w:p>
    <w:bookmarkStart w:id="41" w:name="_Hlk37429674"/>
    <w:bookmarkEnd w:id="39"/>
    <w:bookmarkEnd w:id="40"/>
    <w:p>
      <w:pPr>
        <w:pStyle w:val="style0"/>
        <w:spacing w:lineRule="auto" w:line="360"/>
        <w:ind w:firstLine="315" w:firstLineChars="150"/>
        <w:rPr>
          <w:rFonts w:ascii="宋体" w:cs="宋体" w:hAnsi="宋体"/>
          <w:kern w:val="0"/>
          <w:szCs w:val="21"/>
        </w:rPr>
      </w:pPr>
      <w:r>
        <w:rPr>
          <w:rFonts w:ascii="宋体" w:cs="宋体" w:hAnsi="宋体"/>
          <w:kern w:val="0"/>
          <w:szCs w:val="21"/>
        </w:rPr>
        <w:t>http://www.ccgp.gov.cn(中国政府采购网)，http://zfcg.gxzf.gov.cn(广西政府采购网)</w:t>
      </w:r>
      <w:r>
        <w:rPr>
          <w:rFonts w:ascii="宋体" w:cs="宋体" w:hAnsi="宋体" w:hint="eastAsia"/>
          <w:kern w:val="0"/>
          <w:szCs w:val="21"/>
        </w:rPr>
        <w:t>，广西壮族自治区公共资源交易中心网（gxggzy.gxzf.gov.cn）</w:t>
      </w:r>
    </w:p>
    <w:p>
      <w:pPr>
        <w:pStyle w:val="style0"/>
        <w:spacing w:lineRule="auto" w:line="360"/>
        <w:ind w:firstLine="315" w:firstLineChars="150"/>
        <w:rPr>
          <w:rFonts w:ascii="宋体" w:cs="宋体" w:hAnsi="宋体"/>
          <w:kern w:val="0"/>
          <w:szCs w:val="21"/>
        </w:rPr>
      </w:pPr>
      <w:r>
        <w:rPr>
          <w:rFonts w:ascii="宋体" w:hAnsi="宋体" w:hint="eastAsia"/>
          <w:szCs w:val="21"/>
        </w:rPr>
        <w:t>3</w:t>
      </w:r>
      <w:r>
        <w:rPr>
          <w:rFonts w:ascii="宋体" w:hAnsi="宋体"/>
          <w:szCs w:val="21"/>
        </w:rPr>
        <w:t>.</w:t>
      </w:r>
      <w:r>
        <w:rPr>
          <w:rFonts w:ascii="宋体" w:cs="宋体" w:hAnsi="宋体" w:hint="eastAsia"/>
          <w:kern w:val="0"/>
          <w:szCs w:val="21"/>
        </w:rPr>
        <w:t>本项目需要落实的政府采购政策</w:t>
      </w:r>
    </w:p>
    <w:p>
      <w:pPr>
        <w:pStyle w:val="style0"/>
        <w:spacing w:lineRule="auto" w:line="360"/>
        <w:ind w:firstLine="315" w:firstLineChars="150"/>
        <w:rPr>
          <w:rFonts w:ascii="宋体" w:cs="宋体" w:hAnsi="宋体"/>
          <w:kern w:val="0"/>
          <w:szCs w:val="21"/>
        </w:rPr>
      </w:pPr>
      <w:r>
        <w:rPr>
          <w:rFonts w:ascii="宋体" w:cs="宋体" w:hAnsi="宋体" w:hint="eastAsia"/>
          <w:kern w:val="0"/>
          <w:szCs w:val="21"/>
        </w:rPr>
        <w:t>（</w:t>
      </w:r>
      <w:r>
        <w:rPr>
          <w:rFonts w:ascii="宋体" w:cs="宋体" w:hAnsi="宋体"/>
          <w:kern w:val="0"/>
          <w:szCs w:val="21"/>
        </w:rPr>
        <w:t>1）政府采购促进中小企业发展。</w:t>
      </w:r>
    </w:p>
    <w:p>
      <w:pPr>
        <w:pStyle w:val="style0"/>
        <w:spacing w:lineRule="auto" w:line="360"/>
        <w:ind w:firstLine="315" w:firstLineChars="150"/>
        <w:rPr>
          <w:rFonts w:ascii="宋体" w:cs="宋体" w:hAnsi="宋体"/>
          <w:kern w:val="0"/>
          <w:szCs w:val="21"/>
        </w:rPr>
      </w:pPr>
      <w:r>
        <w:rPr>
          <w:rFonts w:ascii="宋体" w:cs="宋体" w:hAnsi="宋体" w:hint="eastAsia"/>
          <w:kern w:val="0"/>
          <w:szCs w:val="21"/>
        </w:rPr>
        <w:t>（</w:t>
      </w:r>
      <w:r>
        <w:rPr>
          <w:rFonts w:ascii="宋体" w:cs="宋体" w:hAnsi="宋体"/>
          <w:kern w:val="0"/>
          <w:szCs w:val="21"/>
        </w:rPr>
        <w:t>2）政府采购支持采用本国产品的政策。</w:t>
      </w:r>
    </w:p>
    <w:p>
      <w:pPr>
        <w:pStyle w:val="style0"/>
        <w:spacing w:lineRule="auto" w:line="360"/>
        <w:ind w:firstLine="315" w:firstLineChars="150"/>
        <w:rPr>
          <w:rFonts w:ascii="宋体" w:cs="宋体" w:hAnsi="宋体"/>
          <w:kern w:val="0"/>
          <w:szCs w:val="21"/>
        </w:rPr>
      </w:pPr>
      <w:r>
        <w:rPr>
          <w:rFonts w:ascii="宋体" w:cs="宋体" w:hAnsi="宋体" w:hint="eastAsia"/>
          <w:kern w:val="0"/>
          <w:szCs w:val="21"/>
        </w:rPr>
        <w:t>（</w:t>
      </w:r>
      <w:r>
        <w:rPr>
          <w:rFonts w:ascii="宋体" w:cs="宋体" w:hAnsi="宋体"/>
          <w:kern w:val="0"/>
          <w:szCs w:val="21"/>
        </w:rPr>
        <w:t>3）强制采购节能产品；优先采购节能产品、环境标志产品。</w:t>
      </w:r>
    </w:p>
    <w:p>
      <w:pPr>
        <w:pStyle w:val="style0"/>
        <w:spacing w:lineRule="auto" w:line="360"/>
        <w:ind w:firstLine="315" w:firstLineChars="150"/>
        <w:rPr>
          <w:rFonts w:ascii="宋体" w:cs="宋体" w:hAnsi="宋体"/>
          <w:kern w:val="0"/>
          <w:szCs w:val="21"/>
        </w:rPr>
      </w:pPr>
      <w:r>
        <w:rPr>
          <w:rFonts w:ascii="宋体" w:cs="宋体" w:hAnsi="宋体" w:hint="eastAsia"/>
          <w:kern w:val="0"/>
          <w:szCs w:val="21"/>
        </w:rPr>
        <w:t>（</w:t>
      </w:r>
      <w:r>
        <w:rPr>
          <w:rFonts w:ascii="宋体" w:cs="宋体" w:hAnsi="宋体"/>
          <w:kern w:val="0"/>
          <w:szCs w:val="21"/>
        </w:rPr>
        <w:t>4）政府采购促进残疾人就业政策。</w:t>
      </w:r>
    </w:p>
    <w:p>
      <w:pPr>
        <w:pStyle w:val="style0"/>
        <w:spacing w:lineRule="auto" w:line="360"/>
        <w:ind w:firstLine="315" w:firstLineChars="150"/>
        <w:rPr>
          <w:rFonts w:ascii="宋体" w:cs="宋体" w:hAnsi="宋体"/>
          <w:kern w:val="0"/>
          <w:szCs w:val="21"/>
        </w:rPr>
      </w:pPr>
      <w:r>
        <w:rPr>
          <w:rFonts w:ascii="宋体" w:cs="宋体" w:hAnsi="宋体" w:hint="eastAsia"/>
          <w:kern w:val="0"/>
          <w:szCs w:val="21"/>
        </w:rPr>
        <w:t>（</w:t>
      </w:r>
      <w:r>
        <w:rPr>
          <w:rFonts w:ascii="宋体" w:cs="宋体" w:hAnsi="宋体"/>
          <w:kern w:val="0"/>
          <w:szCs w:val="21"/>
        </w:rPr>
        <w:t>5）政府采购支持监狱企业发展。</w:t>
      </w:r>
      <w:bookmarkEnd w:id="41"/>
    </w:p>
    <w:p>
      <w:pPr>
        <w:pStyle w:val="style0"/>
        <w:spacing w:lineRule="auto" w:line="360"/>
        <w:ind w:firstLine="315" w:firstLineChars="150"/>
        <w:rPr>
          <w:rFonts w:ascii="宋体" w:cs="宋体" w:hAnsi="宋体"/>
          <w:kern w:val="0"/>
          <w:szCs w:val="21"/>
        </w:rPr>
      </w:pPr>
      <w:r>
        <w:rPr>
          <w:rFonts w:ascii="宋体" w:cs="宋体" w:hAnsi="宋体" w:hint="eastAsia"/>
          <w:kern w:val="0"/>
          <w:szCs w:val="21"/>
        </w:rPr>
        <w:t>（</w:t>
      </w:r>
      <w:r>
        <w:rPr>
          <w:rFonts w:ascii="宋体" w:cs="宋体" w:hAnsi="宋体"/>
          <w:kern w:val="0"/>
          <w:szCs w:val="21"/>
        </w:rPr>
        <w:t>6）</w:t>
      </w:r>
      <w:r>
        <w:rPr>
          <w:rFonts w:ascii="宋体" w:hAnsi="宋体" w:hint="eastAsia"/>
        </w:rPr>
        <w:t>扶持不发达地区和少数民族地区政策</w:t>
      </w:r>
    </w:p>
    <w:p>
      <w:pPr>
        <w:pStyle w:val="style0"/>
        <w:spacing w:lineRule="auto" w:line="360"/>
        <w:ind w:firstLine="315" w:firstLineChars="150"/>
        <w:rPr>
          <w:rFonts w:ascii="宋体" w:cs="宋体" w:hAnsi="宋体"/>
          <w:kern w:val="0"/>
          <w:szCs w:val="21"/>
        </w:rPr>
      </w:pPr>
      <w:r>
        <w:rPr>
          <w:rFonts w:ascii="宋体" w:cs="宋体" w:hAnsi="宋体" w:hint="eastAsia"/>
          <w:kern w:val="0"/>
          <w:szCs w:val="21"/>
        </w:rPr>
        <w:t>4</w:t>
      </w:r>
      <w:r>
        <w:rPr>
          <w:rFonts w:ascii="宋体" w:cs="宋体" w:hAnsi="宋体"/>
          <w:kern w:val="0"/>
          <w:szCs w:val="21"/>
        </w:rPr>
        <w:t>.</w:t>
      </w:r>
      <w:r>
        <w:rPr>
          <w:rFonts w:ascii="宋体" w:cs="宋体" w:hAnsi="宋体" w:hint="eastAsia"/>
          <w:kern w:val="0"/>
          <w:szCs w:val="21"/>
        </w:rPr>
        <w:t>供应商认为采购文件使自己的权益受到损害的，可以在知道或者应知其权益受到损害之日起</w:t>
      </w:r>
      <w:r>
        <w:rPr>
          <w:rFonts w:ascii="宋体" w:cs="宋体" w:hAnsi="宋体"/>
          <w:kern w:val="0"/>
          <w:szCs w:val="21"/>
        </w:rPr>
        <w:t>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style0"/>
        <w:spacing w:lineRule="auto" w:line="360"/>
        <w:ind w:firstLine="420" w:firstLineChars="200"/>
        <w:rPr>
          <w:rFonts w:ascii="宋体" w:cs="宋体" w:hAnsi="宋体"/>
          <w:kern w:val="0"/>
          <w:szCs w:val="21"/>
        </w:rPr>
      </w:pPr>
      <w:r>
        <w:rPr>
          <w:rFonts w:ascii="宋体" w:cs="宋体" w:hAnsi="宋体" w:hint="eastAsia"/>
          <w:kern w:val="0"/>
          <w:szCs w:val="21"/>
        </w:rPr>
        <w:t>5</w:t>
      </w:r>
      <w:r>
        <w:rPr>
          <w:rFonts w:ascii="宋体" w:cs="宋体" w:hAnsi="宋体"/>
          <w:kern w:val="0"/>
          <w:szCs w:val="21"/>
        </w:rPr>
        <w:t>.若对项目采购电子交易系统操作有疑问，可登录“广西政府采购云平台”（https://www.gcy.zfcg.gxzf.gov.cn），点击右侧咨询小采，获取</w:t>
      </w:r>
      <w:r>
        <w:rPr>
          <w:rFonts w:ascii="宋体" w:cs="宋体" w:hAnsi="宋体" w:hint="eastAsia"/>
          <w:kern w:val="0"/>
          <w:szCs w:val="21"/>
        </w:rPr>
        <w:t>小采</w:t>
      </w:r>
      <w:r>
        <w:rPr>
          <w:rFonts w:ascii="宋体" w:cs="宋体" w:hAnsi="宋体"/>
          <w:kern w:val="0"/>
          <w:szCs w:val="21"/>
        </w:rPr>
        <w:t>智能服务管家帮助，或拨打广西政府采购云平台服务热线</w:t>
      </w:r>
      <w:r>
        <w:rPr>
          <w:rFonts w:ascii="宋体" w:hAnsi="宋体"/>
          <w:szCs w:val="21"/>
        </w:rPr>
        <w:t>95763</w:t>
      </w:r>
      <w:r>
        <w:rPr>
          <w:rFonts w:ascii="宋体" w:cs="宋体" w:hAnsi="宋体"/>
          <w:kern w:val="0"/>
          <w:szCs w:val="21"/>
        </w:rPr>
        <w:t>获取热线服务帮助。</w:t>
      </w:r>
    </w:p>
    <w:bookmarkStart w:id="42" w:name="_Toc28359085"/>
    <w:bookmarkStart w:id="43" w:name="_Toc28359008"/>
    <w:bookmarkStart w:id="44" w:name="_Toc22179"/>
    <w:bookmarkStart w:id="45" w:name="_Toc35393796"/>
    <w:bookmarkStart w:id="46" w:name="_Toc35393627"/>
    <w:p>
      <w:pPr>
        <w:pStyle w:val="style0"/>
        <w:spacing w:lineRule="auto" w:line="360"/>
        <w:outlineLvl w:val="1"/>
        <w:rPr>
          <w:rFonts w:ascii="宋体" w:hAnsi="宋体"/>
          <w:b/>
          <w:bCs/>
          <w:sz w:val="24"/>
        </w:rPr>
      </w:pPr>
      <w:r>
        <w:rPr>
          <w:rFonts w:ascii="宋体" w:hAnsi="宋体" w:hint="eastAsia"/>
          <w:b/>
          <w:bCs/>
          <w:sz w:val="24"/>
        </w:rPr>
        <w:t>七、对本次招标提出询问，请按</w:t>
      </w:r>
      <w:r>
        <w:rPr>
          <w:rFonts w:ascii="宋体" w:hAnsi="宋体"/>
          <w:b/>
          <w:bCs/>
          <w:sz w:val="24"/>
        </w:rPr>
        <w:t>以下方式</w:t>
      </w:r>
      <w:r>
        <w:rPr>
          <w:rFonts w:ascii="宋体" w:hAnsi="宋体" w:hint="eastAsia"/>
          <w:b/>
          <w:bCs/>
          <w:sz w:val="24"/>
        </w:rPr>
        <w:t>联系。</w:t>
      </w:r>
      <w:bookmarkEnd w:id="42"/>
      <w:bookmarkEnd w:id="43"/>
      <w:bookmarkEnd w:id="44"/>
      <w:bookmarkEnd w:id="45"/>
      <w:bookmarkEnd w:id="46"/>
    </w:p>
    <w:p>
      <w:pPr>
        <w:pStyle w:val="style0"/>
        <w:spacing w:lineRule="auto" w:line="360"/>
        <w:jc w:val="left"/>
        <w:outlineLvl w:val="2"/>
        <w:rPr>
          <w:rFonts w:ascii="宋体" w:hAnsi="宋体"/>
          <w:szCs w:val="21"/>
        </w:rPr>
      </w:pPr>
      <w:r>
        <w:rPr>
          <w:rFonts w:ascii="宋体" w:cs="宋体" w:hAnsi="宋体" w:hint="eastAsia"/>
          <w:szCs w:val="21"/>
        </w:rPr>
        <w:t>　　　</w:t>
      </w:r>
      <w:bookmarkStart w:id="47" w:name="_Toc31834"/>
      <w:r>
        <w:rPr>
          <w:rFonts w:ascii="宋体" w:cs="宋体" w:hAnsi="宋体"/>
          <w:szCs w:val="21"/>
        </w:rPr>
        <w:t>1.采购人信息</w:t>
      </w:r>
      <w:bookmarkEnd w:id="47"/>
    </w:p>
    <w:p>
      <w:pPr>
        <w:pStyle w:val="style0"/>
        <w:spacing w:lineRule="auto" w:line="360"/>
        <w:ind w:left="1042" w:leftChars="371" w:hanging="263" w:hangingChars="125"/>
        <w:jc w:val="left"/>
        <w:rPr>
          <w:rFonts w:ascii="宋体" w:hAnsi="宋体"/>
          <w:szCs w:val="21"/>
          <w:u w:val="single"/>
        </w:rPr>
      </w:pPr>
      <w:r>
        <w:rPr>
          <w:rFonts w:ascii="宋体" w:hAnsi="宋体" w:hint="eastAsia"/>
          <w:szCs w:val="21"/>
        </w:rPr>
        <w:t>名称：</w:t>
      </w:r>
      <w:r>
        <w:rPr>
          <w:rFonts w:ascii="宋体" w:hAnsi="宋体" w:hint="eastAsia"/>
          <w:szCs w:val="21"/>
          <w:u w:val="single"/>
        </w:rPr>
        <w:t>广西壮族自治区公安厅</w:t>
      </w:r>
    </w:p>
    <w:p>
      <w:pPr>
        <w:pStyle w:val="style0"/>
        <w:spacing w:lineRule="auto" w:line="360"/>
        <w:ind w:left="1042" w:leftChars="371" w:hanging="263" w:hangingChars="125"/>
        <w:jc w:val="left"/>
        <w:rPr>
          <w:rFonts w:ascii="宋体" w:hAnsi="宋体"/>
          <w:szCs w:val="21"/>
        </w:rPr>
      </w:pPr>
      <w:r>
        <w:rPr>
          <w:rFonts w:ascii="宋体" w:hAnsi="宋体" w:hint="eastAsia"/>
          <w:szCs w:val="21"/>
        </w:rPr>
        <w:t>地址：</w:t>
      </w:r>
      <w:r>
        <w:rPr>
          <w:rFonts w:ascii="宋体" w:hAnsi="宋体" w:hint="eastAsia"/>
          <w:szCs w:val="21"/>
          <w:u w:val="single"/>
        </w:rPr>
        <w:t>广西南宁市青秀区佛子岭路1</w:t>
      </w:r>
      <w:r>
        <w:rPr>
          <w:rFonts w:ascii="宋体" w:hAnsi="宋体"/>
          <w:szCs w:val="21"/>
          <w:u w:val="single"/>
        </w:rPr>
        <w:t>号</w:t>
      </w:r>
    </w:p>
    <w:p>
      <w:pPr>
        <w:pStyle w:val="style0"/>
        <w:spacing w:lineRule="auto" w:line="360"/>
        <w:ind w:left="1042" w:leftChars="371" w:hanging="263" w:hangingChars="125"/>
        <w:rPr>
          <w:rFonts w:ascii="宋体" w:hAnsi="宋体"/>
        </w:rPr>
      </w:pPr>
      <w:r>
        <w:rPr>
          <w:rFonts w:ascii="宋体" w:hAnsi="宋体" w:hint="eastAsia"/>
        </w:rPr>
        <w:t>项目联系人：</w:t>
      </w:r>
      <w:r>
        <w:rPr>
          <w:rFonts w:ascii="宋体" w:hAnsi="宋体" w:hint="eastAsia"/>
          <w:u w:val="single"/>
        </w:rPr>
        <w:t>蓝警官</w:t>
      </w:r>
    </w:p>
    <w:p>
      <w:pPr>
        <w:pStyle w:val="style0"/>
        <w:spacing w:lineRule="auto" w:line="360"/>
        <w:ind w:left="1042" w:leftChars="371" w:hanging="263" w:hangingChars="125"/>
        <w:jc w:val="left"/>
        <w:rPr>
          <w:rFonts w:ascii="宋体" w:hAnsi="宋体"/>
        </w:rPr>
      </w:pPr>
      <w:r>
        <w:rPr>
          <w:rFonts w:ascii="宋体" w:hAnsi="宋体" w:hint="eastAsia"/>
        </w:rPr>
        <w:t>联系电话：</w:t>
      </w:r>
      <w:r>
        <w:rPr>
          <w:rFonts w:ascii="宋体" w:hAnsi="宋体"/>
          <w:u w:val="single"/>
        </w:rPr>
        <w:t>0771-2892778</w:t>
      </w:r>
    </w:p>
    <w:bookmarkStart w:id="48" w:name="_Toc29247"/>
    <w:p>
      <w:pPr>
        <w:pStyle w:val="style0"/>
        <w:spacing w:lineRule="auto" w:line="360"/>
        <w:ind w:left="1042" w:leftChars="371" w:hanging="263" w:hangingChars="125"/>
        <w:jc w:val="left"/>
        <w:outlineLvl w:val="2"/>
        <w:rPr>
          <w:rFonts w:ascii="宋体" w:hAnsi="宋体"/>
          <w:szCs w:val="21"/>
        </w:rPr>
      </w:pPr>
      <w:r>
        <w:rPr>
          <w:rFonts w:ascii="宋体" w:cs="宋体" w:hAnsi="宋体"/>
          <w:szCs w:val="21"/>
        </w:rPr>
        <w:t>2.采购代理机构信息</w:t>
      </w:r>
      <w:bookmarkEnd w:id="48"/>
    </w:p>
    <w:p>
      <w:pPr>
        <w:pStyle w:val="style0"/>
        <w:spacing w:lineRule="auto" w:line="360"/>
        <w:ind w:firstLine="735" w:firstLineChars="350"/>
        <w:rPr>
          <w:rFonts w:ascii="宋体" w:hAnsi="宋体"/>
          <w:szCs w:val="21"/>
          <w:u w:val="single"/>
        </w:rPr>
      </w:pPr>
      <w:r>
        <w:rPr>
          <w:rFonts w:ascii="宋体" w:hAnsi="宋体" w:hint="eastAsia"/>
          <w:szCs w:val="21"/>
        </w:rPr>
        <w:t>名称：</w:t>
      </w:r>
      <w:r>
        <w:rPr>
          <w:rFonts w:ascii="宋体" w:hAnsi="宋体" w:hint="eastAsia"/>
          <w:szCs w:val="21"/>
          <w:u w:val="single"/>
        </w:rPr>
        <w:t>广西国盛招标有限公司</w:t>
      </w:r>
    </w:p>
    <w:p>
      <w:pPr>
        <w:pStyle w:val="style0"/>
        <w:spacing w:lineRule="auto" w:line="360"/>
        <w:ind w:firstLine="735" w:firstLineChars="350"/>
        <w:rPr>
          <w:rFonts w:ascii="宋体" w:hAnsi="宋体"/>
          <w:szCs w:val="21"/>
        </w:rPr>
      </w:pPr>
      <w:r>
        <w:rPr>
          <w:rFonts w:ascii="宋体" w:hAnsi="宋体" w:hint="eastAsia"/>
          <w:szCs w:val="21"/>
        </w:rPr>
        <w:t>地址：</w:t>
      </w:r>
      <w:r>
        <w:rPr>
          <w:rFonts w:ascii="宋体" w:hAnsi="宋体" w:hint="eastAsia"/>
          <w:szCs w:val="21"/>
          <w:u w:val="single"/>
        </w:rPr>
        <w:t>广西南宁市青秀区朱槿路</w:t>
      </w:r>
      <w:r>
        <w:rPr>
          <w:rFonts w:ascii="宋体" w:hAnsi="宋体"/>
          <w:szCs w:val="21"/>
          <w:u w:val="single"/>
        </w:rPr>
        <w:t>10号新加坡园区星岛国际303号</w:t>
      </w:r>
    </w:p>
    <w:p>
      <w:pPr>
        <w:pStyle w:val="style0"/>
        <w:spacing w:lineRule="auto" w:line="360"/>
        <w:ind w:firstLine="735" w:firstLineChars="350"/>
        <w:rPr>
          <w:rFonts w:ascii="宋体" w:hAnsi="宋体"/>
          <w:szCs w:val="21"/>
        </w:rPr>
      </w:pPr>
      <w:r>
        <w:rPr>
          <w:rFonts w:ascii="宋体" w:hAnsi="宋体" w:hint="eastAsia"/>
          <w:szCs w:val="21"/>
        </w:rPr>
        <w:t>联系电话：</w:t>
      </w:r>
      <w:r>
        <w:rPr>
          <w:rFonts w:ascii="宋体" w:hAnsi="宋体"/>
          <w:szCs w:val="21"/>
          <w:u w:val="single"/>
        </w:rPr>
        <w:t>0771-5828133</w:t>
      </w:r>
    </w:p>
    <w:bookmarkStart w:id="49" w:name="_Toc24932"/>
    <w:p>
      <w:pPr>
        <w:pStyle w:val="style0"/>
        <w:spacing w:lineRule="auto" w:line="360"/>
        <w:ind w:firstLine="735" w:firstLineChars="350"/>
        <w:outlineLvl w:val="2"/>
        <w:rPr>
          <w:rFonts w:ascii="宋体" w:hAnsi="宋体"/>
          <w:szCs w:val="21"/>
        </w:rPr>
      </w:pPr>
      <w:r>
        <w:rPr>
          <w:rFonts w:ascii="宋体" w:hAnsi="宋体"/>
          <w:szCs w:val="21"/>
        </w:rPr>
        <w:t>3.</w:t>
      </w:r>
      <w:r>
        <w:rPr>
          <w:rFonts w:ascii="宋体" w:hAnsi="宋体" w:hint="eastAsia"/>
          <w:szCs w:val="21"/>
        </w:rPr>
        <w:t>项目联系方式</w:t>
      </w:r>
      <w:bookmarkEnd w:id="49"/>
    </w:p>
    <w:p>
      <w:pPr>
        <w:pStyle w:val="style0"/>
        <w:spacing w:lineRule="auto" w:line="360"/>
        <w:ind w:firstLine="735" w:firstLineChars="350"/>
        <w:rPr>
          <w:rFonts w:ascii="宋体" w:hAnsi="宋体"/>
          <w:szCs w:val="21"/>
          <w:u w:val="single"/>
        </w:rPr>
      </w:pPr>
      <w:r>
        <w:rPr>
          <w:rFonts w:ascii="宋体" w:hAnsi="宋体" w:hint="eastAsia"/>
          <w:szCs w:val="21"/>
        </w:rPr>
        <w:t>项目联系人：</w:t>
      </w:r>
      <w:r>
        <w:rPr>
          <w:rFonts w:ascii="宋体" w:hAnsi="宋体" w:hint="eastAsia"/>
          <w:szCs w:val="21"/>
          <w:u w:val="single"/>
        </w:rPr>
        <w:t>梁升</w:t>
      </w:r>
    </w:p>
    <w:p>
      <w:pPr>
        <w:pStyle w:val="style0"/>
        <w:spacing w:lineRule="auto" w:line="360"/>
        <w:ind w:firstLine="735" w:firstLineChars="350"/>
        <w:rPr>
          <w:rFonts w:ascii="宋体" w:hAnsi="宋体"/>
          <w:szCs w:val="21"/>
          <w:u w:val="single"/>
        </w:rPr>
      </w:pPr>
      <w:r>
        <w:rPr>
          <w:rFonts w:ascii="宋体" w:hAnsi="宋体" w:hint="eastAsia"/>
          <w:szCs w:val="21"/>
        </w:rPr>
        <w:t>电话：</w:t>
      </w:r>
      <w:r>
        <w:rPr>
          <w:rFonts w:ascii="宋体" w:hAnsi="宋体"/>
          <w:szCs w:val="21"/>
          <w:u w:val="single"/>
        </w:rPr>
        <w:t>0771-5828133</w:t>
      </w:r>
    </w:p>
    <w:p>
      <w:pPr>
        <w:pStyle w:val="style0"/>
        <w:spacing w:lineRule="auto" w:line="360"/>
        <w:jc w:val="left"/>
        <w:rPr>
          <w:rFonts w:ascii="宋体" w:hAnsi="宋体"/>
          <w:szCs w:val="21"/>
        </w:rPr>
      </w:pPr>
    </w:p>
    <w:p>
      <w:pPr>
        <w:pStyle w:val="style30"/>
        <w:spacing w:lineRule="auto" w:line="360"/>
        <w:ind w:firstLine="420" w:firstLineChars="200"/>
        <w:rPr>
          <w:rFonts w:ascii="宋体" w:hAnsi="宋体"/>
        </w:rPr>
      </w:pPr>
      <w:r>
        <w:rPr>
          <w:rFonts w:ascii="宋体" w:hAnsi="宋体" w:hint="eastAsia"/>
          <w:szCs w:val="21"/>
        </w:rPr>
        <w:t>附件：</w:t>
      </w:r>
      <w:r>
        <w:rPr>
          <w:rFonts w:ascii="宋体" w:hAnsi="宋体"/>
          <w:szCs w:val="21"/>
        </w:rPr>
        <w:t>1.CA证书申请方式</w:t>
      </w:r>
      <w:r>
        <w:rPr>
          <w:rFonts w:ascii="宋体" w:hAnsi="宋体" w:hint="eastAsia"/>
        </w:rPr>
        <w:t>见网址：</w:t>
      </w:r>
      <w:r>
        <w:rPr>
          <w:rStyle w:val="style85"/>
          <w:rFonts w:ascii="宋体" w:hAnsi="宋体"/>
          <w:color w:val="auto"/>
        </w:rPr>
        <w:t>https://helpcenter.zcygov.cn/document/#/document/detail?siteCode=gx&amp;manualId=4553&amp;topicId=33843</w:t>
      </w:r>
    </w:p>
    <w:p>
      <w:pPr>
        <w:pStyle w:val="style0"/>
        <w:spacing w:lineRule="auto" w:line="360"/>
        <w:ind w:firstLine="210" w:firstLineChars="100"/>
        <w:jc w:val="right"/>
        <w:rPr>
          <w:rFonts w:ascii="宋体" w:hAnsi="宋体"/>
          <w:szCs w:val="21"/>
          <w:u w:val="single"/>
        </w:rPr>
      </w:pPr>
    </w:p>
    <w:p>
      <w:pPr>
        <w:pStyle w:val="style0"/>
        <w:spacing w:lineRule="auto" w:line="360"/>
        <w:ind w:firstLine="210" w:firstLineChars="100"/>
        <w:jc w:val="center"/>
        <w:rPr>
          <w:rFonts w:ascii="宋体" w:hAnsi="宋体"/>
          <w:szCs w:val="21"/>
          <w:u w:val="single"/>
        </w:rPr>
      </w:pPr>
      <w:r>
        <w:rPr>
          <w:rFonts w:ascii="宋体" w:hAnsi="宋体" w:hint="eastAsia"/>
          <w:szCs w:val="21"/>
          <w:u w:val="single"/>
        </w:rPr>
        <w:t>广西国盛招标有限公司</w:t>
      </w:r>
    </w:p>
    <w:p>
      <w:pPr>
        <w:pStyle w:val="style0"/>
        <w:wordWrap w:val="false"/>
        <w:spacing w:lineRule="auto" w:line="360"/>
        <w:ind w:firstLine="210" w:firstLineChars="100"/>
        <w:jc w:val="center"/>
        <w:rPr>
          <w:rFonts w:ascii="宋体" w:hAnsi="宋体"/>
        </w:rPr>
      </w:pPr>
      <w:r>
        <w:rPr>
          <w:rFonts w:ascii="宋体" w:hAnsi="宋体"/>
          <w:szCs w:val="21"/>
          <w:u w:val="single"/>
        </w:rPr>
        <w:t>2024</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21</w:t>
      </w:r>
      <w:r>
        <w:rPr>
          <w:rFonts w:ascii="宋体" w:hAnsi="宋体" w:hint="eastAsia"/>
          <w:szCs w:val="21"/>
        </w:rPr>
        <w:t>日</w:t>
      </w:r>
    </w:p>
    <w:p>
      <w:pPr>
        <w:pStyle w:val="style0"/>
        <w:snapToGrid w:val="false"/>
        <w:spacing w:lineRule="auto" w:line="360"/>
        <w:ind w:firstLine="420"/>
        <w:rPr>
          <w:rFonts w:ascii="宋体" w:cs="宋体" w:hAnsi="宋体"/>
          <w:sz w:val="24"/>
          <w:lang w:val="zh-CN"/>
        </w:rPr>
        <w:sectPr>
          <w:footerReference w:type="default" r:id="rId2"/>
          <w:pgSz w:w="11906" w:h="16838" w:orient="portrait"/>
          <w:pgMar w:top="1134" w:right="1134" w:bottom="1134" w:left="1134" w:header="720" w:footer="720" w:gutter="0"/>
          <w:pgNumType w:start="1"/>
          <w:cols w:space="720"/>
          <w:docGrid w:type="lines" w:linePitch="331"/>
        </w:sectPr>
      </w:pPr>
    </w:p>
    <w:bookmarkStart w:id="50" w:name="_Toc532545042"/>
    <w:bookmarkStart w:id="51" w:name="_Toc119359481"/>
    <w:bookmarkStart w:id="52" w:name="_Toc20389"/>
    <w:p>
      <w:pPr>
        <w:pStyle w:val="style90"/>
        <w:jc w:val="center"/>
        <w:outlineLvl w:val="0"/>
        <w:rPr>
          <w:rFonts w:hAnsi="宋体"/>
          <w:b/>
          <w:sz w:val="36"/>
        </w:rPr>
      </w:pPr>
      <w:r>
        <w:rPr>
          <w:rFonts w:hAnsi="宋体" w:hint="eastAsia"/>
          <w:b/>
          <w:sz w:val="36"/>
        </w:rPr>
        <w:t>第二章</w:t>
      </w:r>
      <w:bookmarkEnd w:id="50"/>
      <w:r>
        <w:rPr>
          <w:rFonts w:hAnsi="宋体" w:hint="eastAsia"/>
          <w:b/>
          <w:sz w:val="36"/>
        </w:rPr>
        <w:t>采购需求</w:t>
      </w:r>
      <w:bookmarkEnd w:id="51"/>
      <w:bookmarkEnd w:id="52"/>
    </w:p>
    <w:p>
      <w:pPr>
        <w:pStyle w:val="style0"/>
        <w:adjustRightInd w:val="false"/>
        <w:spacing w:lineRule="exact" w:line="340"/>
        <w:rPr>
          <w:rFonts w:ascii="宋体" w:hAnsi="宋体"/>
          <w:b/>
          <w:szCs w:val="21"/>
        </w:rPr>
      </w:pPr>
    </w:p>
    <w:p>
      <w:pPr>
        <w:pStyle w:val="style0"/>
        <w:adjustRightInd w:val="false"/>
        <w:spacing w:lineRule="exact" w:line="340"/>
        <w:rPr>
          <w:rFonts w:ascii="宋体" w:hAnsi="宋体"/>
          <w:b/>
          <w:szCs w:val="21"/>
        </w:rPr>
      </w:pPr>
      <w:r>
        <w:rPr>
          <w:rFonts w:ascii="宋体" w:hAnsi="宋体" w:hint="eastAsia"/>
          <w:b/>
          <w:szCs w:val="21"/>
        </w:rPr>
        <w:t>说明：</w:t>
      </w:r>
    </w:p>
    <w:p>
      <w:pPr>
        <w:pStyle w:val="style0"/>
        <w:spacing w:lineRule="auto" w:line="360"/>
        <w:ind w:firstLine="424" w:firstLineChars="202"/>
        <w:jc w:val="left"/>
        <w:rPr>
          <w:rFonts w:ascii="宋体" w:hAnsi="宋体"/>
        </w:rPr>
      </w:pPr>
      <w:r>
        <w:rPr>
          <w:rFonts w:ascii="宋体" w:hAnsi="宋体" w:hint="eastAsia"/>
        </w:rPr>
        <w:t>一、为落实政府采购政策需满足的要求，根据项目实际情况填写内容。</w:t>
      </w:r>
    </w:p>
    <w:p>
      <w:pPr>
        <w:pStyle w:val="style0"/>
        <w:spacing w:lineRule="auto" w:line="360"/>
        <w:ind w:firstLine="424" w:firstLineChars="202"/>
        <w:jc w:val="left"/>
        <w:rPr>
          <w:rFonts w:ascii="宋体" w:hAnsi="宋体"/>
        </w:rPr>
      </w:pPr>
      <w:r>
        <w:rPr>
          <w:rFonts w:ascii="宋体" w:hAnsi="宋体" w:hint="eastAsia"/>
        </w:rPr>
        <w:t>（一）本招标文件所称中小企业必须符合《政府采购促进中小企业发展管理办法》（财库〔</w:t>
      </w:r>
      <w:r>
        <w:rPr>
          <w:rFonts w:ascii="宋体" w:hAnsi="宋体"/>
        </w:rPr>
        <w:t>2020〕46号）的规定。</w:t>
      </w:r>
    </w:p>
    <w:p>
      <w:pPr>
        <w:pStyle w:val="style0"/>
        <w:spacing w:lineRule="auto" w:line="360"/>
        <w:ind w:firstLine="424" w:firstLineChars="202"/>
        <w:jc w:val="left"/>
        <w:rPr>
          <w:rFonts w:ascii="宋体" w:hAnsi="宋体"/>
        </w:rPr>
      </w:pPr>
      <w:r>
        <w:rPr>
          <w:rFonts w:ascii="宋体" w:hAnsi="宋体" w:hint="eastAsia"/>
        </w:rPr>
        <w:t>（二）服务项目中伴随货物的，根据《财政部、发展改革委、生态环境部、市场监管总局关于调整优化节能产品、环境标志产品政府采购执行机制的通知》（财库〔</w:t>
      </w:r>
      <w:r>
        <w:rPr>
          <w:rFonts w:ascii="宋体" w:hAnsi="宋体"/>
        </w:rPr>
        <w:t>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w:t>
      </w:r>
    </w:p>
    <w:bookmarkStart w:id="53" w:name="_Hlk118998695"/>
    <w:p>
      <w:pPr>
        <w:pStyle w:val="style0"/>
        <w:spacing w:lineRule="auto" w:line="360"/>
        <w:ind w:firstLine="424" w:firstLineChars="202"/>
        <w:jc w:val="left"/>
        <w:rPr>
          <w:rFonts w:ascii="宋体" w:hAnsi="宋体"/>
        </w:rPr>
      </w:pPr>
      <w:r>
        <w:rPr>
          <w:rFonts w:ascii="宋体" w:hAnsi="宋体" w:hint="eastAsia"/>
        </w:rPr>
        <w:t>二、</w:t>
      </w:r>
      <w:bookmarkEnd w:id="53"/>
      <w:r>
        <w:rPr>
          <w:rFonts w:ascii="宋体" w:hAnsi="宋体" w:hint="eastAsia"/>
        </w:rPr>
        <w:t>采购需求中“技术要求”和“商务要求”所有的条款均为实质性条款，不允许发生负偏离。</w:t>
      </w:r>
    </w:p>
    <w:p>
      <w:pPr>
        <w:pStyle w:val="style0"/>
        <w:spacing w:lineRule="auto" w:line="360"/>
        <w:ind w:firstLine="424" w:firstLineChars="202"/>
        <w:jc w:val="left"/>
        <w:rPr>
          <w:rFonts w:ascii="宋体" w:hAnsi="宋体"/>
        </w:rPr>
      </w:pPr>
      <w:r>
        <w:rPr>
          <w:rFonts w:ascii="宋体" w:hAnsi="宋体" w:hint="eastAsia"/>
        </w:rPr>
        <w:t>三、如投标人投标产品存在侵犯他人的知识产权或者专利成果行为的，应承担相应法律责任。</w:t>
      </w:r>
    </w:p>
    <w:p>
      <w:pPr>
        <w:pStyle w:val="style32"/>
        <w:rPr>
          <w:rFonts w:ascii="宋体" w:hAnsi="宋体"/>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8"/>
        <w:gridCol w:w="275"/>
        <w:gridCol w:w="575"/>
        <w:gridCol w:w="788"/>
        <w:gridCol w:w="6045"/>
      </w:tblGrid>
      <w:tr>
        <w:trPr>
          <w:trHeight w:val="680" w:hRule="atLeast"/>
          <w:jc w:val="center"/>
        </w:trPr>
        <w:tc>
          <w:tcPr>
            <w:tcW w:w="61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rPr>
            </w:pPr>
            <w:r>
              <w:rPr>
                <w:rFonts w:ascii="宋体" w:cs="宋体" w:hAnsi="宋体" w:hint="eastAsia"/>
              </w:rPr>
              <w:t>序号</w:t>
            </w:r>
          </w:p>
        </w:tc>
        <w:tc>
          <w:tcPr>
            <w:tcW w:w="80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标的名称</w:t>
            </w:r>
          </w:p>
        </w:tc>
        <w:tc>
          <w:tcPr>
            <w:tcW w:w="850"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数量及</w:t>
            </w:r>
          </w:p>
          <w:p>
            <w:pPr>
              <w:pStyle w:val="style0"/>
              <w:spacing w:lineRule="exact" w:line="400"/>
              <w:jc w:val="center"/>
              <w:rPr>
                <w:rFonts w:ascii="宋体" w:cs="宋体" w:hAnsi="宋体"/>
                <w:szCs w:val="21"/>
              </w:rPr>
            </w:pPr>
            <w:r>
              <w:rPr>
                <w:rFonts w:ascii="宋体" w:cs="宋体" w:hAnsi="宋体" w:hint="eastAsia"/>
                <w:szCs w:val="21"/>
              </w:rPr>
              <w:t>单位</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所属行业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b/>
                <w:szCs w:val="21"/>
              </w:rPr>
            </w:pPr>
            <w:r>
              <w:rPr>
                <w:rFonts w:ascii="宋体" w:hAnsi="宋体" w:hint="eastAsia"/>
                <w:b/>
                <w:szCs w:val="21"/>
              </w:rPr>
              <w:t>技术要求</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数字安保驾驶舱</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1、首页</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应包含活动列表展示、活动状态、安保等级、活动勤务等级、活动举办时间、活动举办地址、活动内容简介、活动排序、活动切换、活动logo、配置管理、导航目录等功能或组件。</w:t>
            </w:r>
          </w:p>
          <w:p>
            <w:pPr>
              <w:pStyle w:val="style0"/>
              <w:spacing w:lineRule="exact" w:line="400"/>
              <w:jc w:val="left"/>
              <w:rPr>
                <w:rFonts w:ascii="宋体" w:eastAsia="宋体" w:hAnsi="宋体"/>
                <w:kern w:val="0"/>
                <w:szCs w:val="21"/>
              </w:rPr>
            </w:pPr>
            <w:r>
              <w:rPr>
                <w:rFonts w:ascii="宋体" w:eastAsia="宋体" w:hAnsi="宋体" w:hint="eastAsia"/>
                <w:kern w:val="0"/>
                <w:szCs w:val="21"/>
              </w:rPr>
              <w:t>1.1）活动列表展示：支持视图模式和列表模式呈现活动图标、活动倒计时、活动时间、活动地点、活动简介。</w:t>
            </w:r>
          </w:p>
          <w:p>
            <w:pPr>
              <w:pStyle w:val="style0"/>
              <w:spacing w:lineRule="exact" w:line="400"/>
              <w:jc w:val="left"/>
              <w:rPr>
                <w:rFonts w:ascii="宋体" w:eastAsia="宋体" w:hAnsi="宋体"/>
                <w:kern w:val="0"/>
                <w:szCs w:val="21"/>
              </w:rPr>
            </w:pPr>
            <w:r>
              <w:rPr>
                <w:rFonts w:ascii="宋体" w:eastAsia="宋体" w:hAnsi="宋体" w:hint="eastAsia"/>
                <w:kern w:val="0"/>
                <w:szCs w:val="21"/>
              </w:rPr>
              <w:t>1.2）活动状态：支持活动状态分类：未开始，进行中，已结束。</w:t>
            </w:r>
          </w:p>
          <w:p>
            <w:pPr>
              <w:pStyle w:val="style0"/>
              <w:spacing w:lineRule="exact" w:line="400"/>
              <w:jc w:val="left"/>
              <w:rPr>
                <w:rFonts w:ascii="宋体" w:eastAsia="宋体" w:hAnsi="宋体"/>
                <w:kern w:val="0"/>
                <w:szCs w:val="21"/>
              </w:rPr>
            </w:pPr>
            <w:r>
              <w:rPr>
                <w:rFonts w:ascii="宋体" w:eastAsia="宋体" w:hAnsi="宋体" w:hint="eastAsia"/>
                <w:kern w:val="0"/>
                <w:szCs w:val="21"/>
              </w:rPr>
              <w:t>1.3）安保等级：支持活动的安保等级划分，分为：国际级、国家级，省级、市级、区级。</w:t>
            </w:r>
          </w:p>
          <w:p>
            <w:pPr>
              <w:pStyle w:val="style0"/>
              <w:spacing w:lineRule="exact" w:line="400"/>
              <w:jc w:val="left"/>
              <w:rPr>
                <w:rFonts w:ascii="宋体" w:eastAsia="宋体" w:hAnsi="宋体"/>
                <w:kern w:val="0"/>
                <w:szCs w:val="21"/>
              </w:rPr>
            </w:pPr>
            <w:r>
              <w:rPr>
                <w:rFonts w:ascii="宋体" w:eastAsia="宋体" w:hAnsi="宋体" w:hint="eastAsia"/>
                <w:kern w:val="0"/>
                <w:szCs w:val="21"/>
              </w:rPr>
              <w:t>1.4）活动勤务等级：支持活动勤务等级划分，勤务等级分为：一级、二级、三级、四级。</w:t>
            </w:r>
          </w:p>
          <w:p>
            <w:pPr>
              <w:pStyle w:val="style0"/>
              <w:spacing w:lineRule="exact" w:line="400"/>
              <w:jc w:val="left"/>
              <w:rPr>
                <w:rFonts w:ascii="宋体" w:eastAsia="宋体" w:hAnsi="宋体"/>
                <w:kern w:val="0"/>
                <w:szCs w:val="21"/>
              </w:rPr>
            </w:pPr>
            <w:r>
              <w:rPr>
                <w:rFonts w:ascii="宋体" w:eastAsia="宋体" w:hAnsi="宋体" w:hint="eastAsia"/>
                <w:kern w:val="0"/>
                <w:szCs w:val="21"/>
              </w:rPr>
              <w:t>1.5）活动举办时间：支持维护活动的开始时间和结束时间。</w:t>
            </w:r>
          </w:p>
          <w:p>
            <w:pPr>
              <w:pStyle w:val="style0"/>
              <w:spacing w:lineRule="exact" w:line="400"/>
              <w:jc w:val="left"/>
              <w:rPr/>
            </w:pPr>
            <w:r>
              <w:rPr>
                <w:rFonts w:ascii="宋体" w:eastAsia="宋体" w:hAnsi="宋体" w:hint="eastAsia"/>
                <w:kern w:val="0"/>
                <w:szCs w:val="21"/>
              </w:rPr>
              <w:t>1.6）活动举办地址：支持维护活动的举办地址信息。</w:t>
            </w:r>
          </w:p>
          <w:p>
            <w:pPr>
              <w:pStyle w:val="style0"/>
              <w:spacing w:lineRule="exact" w:line="400"/>
              <w:jc w:val="left"/>
              <w:rPr/>
            </w:pPr>
            <w:r>
              <w:rPr>
                <w:rFonts w:ascii="宋体" w:eastAsia="宋体" w:hAnsi="宋体" w:hint="eastAsia"/>
                <w:kern w:val="0"/>
                <w:szCs w:val="21"/>
              </w:rPr>
              <w:t>1.7）活动内容简介：支持维护活动的内容简介。</w:t>
            </w:r>
          </w:p>
          <w:p>
            <w:pPr>
              <w:pStyle w:val="style0"/>
              <w:spacing w:lineRule="exact" w:line="400"/>
              <w:jc w:val="left"/>
              <w:rPr/>
            </w:pPr>
            <w:r>
              <w:rPr>
                <w:rFonts w:ascii="宋体" w:eastAsia="宋体" w:hAnsi="宋体" w:hint="eastAsia"/>
                <w:kern w:val="0"/>
                <w:szCs w:val="21"/>
              </w:rPr>
              <w:t>1.8）活动排序：支持在列表模式展示下按活动举办时间进行排序。</w:t>
            </w:r>
          </w:p>
          <w:p>
            <w:pPr>
              <w:pStyle w:val="style0"/>
              <w:spacing w:lineRule="exact" w:line="400"/>
              <w:jc w:val="left"/>
              <w:rPr/>
            </w:pPr>
            <w:r>
              <w:rPr>
                <w:rFonts w:ascii="宋体" w:eastAsia="宋体" w:hAnsi="宋体" w:hint="eastAsia"/>
                <w:kern w:val="0"/>
                <w:szCs w:val="21"/>
              </w:rPr>
              <w:t>1.9）活动切换：支持在视图模式下对活动进行切换，并联动切换活动关联信息。</w:t>
            </w:r>
          </w:p>
          <w:p>
            <w:pPr>
              <w:pStyle w:val="style0"/>
              <w:spacing w:lineRule="exact" w:line="400"/>
              <w:jc w:val="left"/>
              <w:rPr/>
            </w:pPr>
            <w:r>
              <w:rPr>
                <w:rFonts w:ascii="宋体" w:eastAsia="宋体" w:hAnsi="宋体" w:hint="eastAsia"/>
                <w:kern w:val="0"/>
                <w:szCs w:val="21"/>
              </w:rPr>
              <w:t>1.10）活动logo：支持活动logo图片上传和上传后的展示。</w:t>
            </w:r>
          </w:p>
          <w:p>
            <w:pPr>
              <w:pStyle w:val="style0"/>
              <w:spacing w:lineRule="exact" w:line="400"/>
              <w:jc w:val="left"/>
              <w:rPr/>
            </w:pPr>
            <w:r>
              <w:rPr>
                <w:rFonts w:ascii="宋体" w:eastAsia="宋体" w:hAnsi="宋体" w:hint="eastAsia"/>
                <w:kern w:val="0"/>
                <w:szCs w:val="21"/>
              </w:rPr>
              <w:t>1.11）配置管理：支持配置按钮入口快速跳转至配置管理功能。</w:t>
            </w:r>
          </w:p>
          <w:p>
            <w:pPr>
              <w:pStyle w:val="style0"/>
              <w:spacing w:lineRule="exact" w:line="400"/>
              <w:jc w:val="left"/>
              <w:rPr/>
            </w:pPr>
            <w:r>
              <w:rPr>
                <w:rFonts w:ascii="宋体" w:eastAsia="宋体" w:hAnsi="宋体" w:hint="eastAsia"/>
                <w:kern w:val="0"/>
                <w:szCs w:val="21"/>
              </w:rPr>
              <w:t>1.12）导航目录：支持驾驶舱、风险要素、预警研判、防范管控、事件处置、督办考评的快速入口，并可以进行切换。</w:t>
            </w:r>
          </w:p>
          <w:p>
            <w:pPr>
              <w:pStyle w:val="style0"/>
              <w:spacing w:lineRule="exact" w:line="400"/>
              <w:jc w:val="left"/>
              <w:rPr>
                <w:rFonts w:ascii="宋体" w:eastAsia="宋体" w:hAnsi="宋体"/>
                <w:kern w:val="0"/>
                <w:szCs w:val="21"/>
              </w:rPr>
            </w:pPr>
            <w:r>
              <w:rPr>
                <w:rFonts w:ascii="宋体" w:eastAsia="宋体" w:hAnsi="宋体" w:hint="eastAsia"/>
                <w:kern w:val="0"/>
                <w:szCs w:val="21"/>
              </w:rPr>
              <w:t>2、风险要素</w:t>
            </w:r>
          </w:p>
          <w:p>
            <w:pPr>
              <w:pStyle w:val="style0"/>
              <w:spacing w:lineRule="exact" w:line="400"/>
              <w:jc w:val="left"/>
              <w:rPr>
                <w:rFonts w:ascii="宋体" w:eastAsia="宋体" w:hAnsi="宋体"/>
                <w:kern w:val="0"/>
                <w:szCs w:val="21"/>
              </w:rPr>
            </w:pPr>
            <w:r>
              <w:rPr>
                <w:rFonts w:ascii="宋体" w:eastAsia="宋体" w:hAnsi="宋体" w:hint="eastAsia"/>
                <w:kern w:val="0"/>
                <w:szCs w:val="21"/>
              </w:rPr>
              <w:t>风险要素模块包含对一案三情、重点单位、重点部位、重点人员、重点车辆、重点物品、风险要素列表等功能和统计分析。</w:t>
            </w:r>
          </w:p>
          <w:p>
            <w:pPr>
              <w:pStyle w:val="style0"/>
              <w:spacing w:lineRule="exact" w:line="400"/>
              <w:jc w:val="left"/>
              <w:rPr/>
            </w:pPr>
            <w:r>
              <w:rPr>
                <w:rFonts w:ascii="宋体" w:eastAsia="宋体" w:hAnsi="宋体" w:hint="eastAsia"/>
                <w:kern w:val="0"/>
                <w:szCs w:val="21"/>
              </w:rPr>
              <w:t>2.1）一案三情：支持风险要素的案件、警情、舆情、要情数量统计；分别支持预警研判的案件、警情、舆情、要情的待研判、需核查、无需核查的数量统计。分别支持防范管控案件、警情、舆情、要情的已核查、待核查、已化解、化解失败的数量统计。分别支持突发事件案件、警情、舆情、要情的未预警数、未预警处置数、未预警处置反馈数、转事件数、转事件处置数、转事件处置反馈数统计。一案三情统计支持按地市、区县维度的行政辖区的筛选功能。可以按时间维度进行选择和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2.2）重点单位：应包含重点单位态势，重点单位总数统计分析、重点单位分类型统计、不同单位数量统计、分页呈现重点单位列表信息、重点单位详情、重点单位上图、重点单位模糊搜索等功能。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2.3）重点部位：应包含重点部位态势，重点部位总数统计分析、重点部位分类型统计、不同单位数量统计、分页呈现重点部位列表信息、重点部位详情、重点部位上图、重点部位模糊搜索等功能。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2.4）重点人员：应包含风险要素中重点人员、检查站、重点单位、重点部位底数统计；包含预警研判中重点人员预警、待研判、预警研判中重点人员需核查、无需核查数统计；防范管理中已核查、待核查、已管控、失控重点人数统计，以及检查站、重点单位、重点部位的核查人员、核查正常人员、核查异常人员、核查异常人员现场处置、核查异常人员移交，重点单位核查、核查人员、核查正常人员数统计；支持事件处置中重点人员失控预警转事件数、转事件处置中数、转事件处置反馈数、转事件未预警数、转事件未预警处置中数、转事件未预警处置反馈数；并支持检查站、重点单位、重点部位核查异常人员现场处置反馈、移交处置反馈、现场处置反馈数统计，并支持行政区域筛选、时间维度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2.5）重点车辆：支持重点车辆底数、预警数、待研判数、需核查数、无需核查数、已核查数、待核查数、已管控数、失控数；处置中失控预警转事件数、事件处置中数、事件处置反馈数、事件未预警数、事件未预警处置中数、事件未预警处置反馈数统计；支持行政区域快速筛选，支持时间维度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2.6）重点物品：支持重点物品检查站、重点单位、重点部位排查数、排查正常数、排查异常数、排查异常处置数、排查异常移交数、排查异常移交处置反馈数、排查异常移交处置未反馈数统计，支持时间维度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2.7）风险要素列表：支持以六大类形式展示不同地市风险要素的数量，包含各地市重点人员、重点车辆、重点物品（类）、重点部位、重点单位、风险要素等数量统计展示。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3、预警研判</w:t>
            </w:r>
          </w:p>
          <w:p>
            <w:pPr>
              <w:pStyle w:val="style0"/>
              <w:spacing w:lineRule="exact" w:line="400"/>
              <w:jc w:val="left"/>
              <w:rPr>
                <w:rFonts w:ascii="宋体" w:eastAsia="宋体" w:hAnsi="宋体"/>
                <w:kern w:val="0"/>
                <w:szCs w:val="21"/>
              </w:rPr>
            </w:pPr>
            <w:r>
              <w:rPr>
                <w:rFonts w:ascii="宋体" w:eastAsia="宋体" w:hAnsi="宋体" w:hint="eastAsia"/>
                <w:kern w:val="0"/>
                <w:szCs w:val="21"/>
              </w:rPr>
              <w:t>预警研判模块应包含重点人员预警统计、重点车辆预警统计、一案三情预警统计、预警研判时间筛选、预警研判统计总数、预警研判区域筛选、预警研判日期筛选等功能。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3.1）重点人员预警：支持重点人员预警总数统计和重点人员统计下钻查看。</w:t>
            </w:r>
          </w:p>
          <w:p>
            <w:pPr>
              <w:pStyle w:val="style0"/>
              <w:spacing w:lineRule="exact" w:line="400"/>
              <w:jc w:val="left"/>
              <w:rPr>
                <w:rFonts w:ascii="宋体" w:eastAsia="宋体" w:hAnsi="宋体"/>
                <w:kern w:val="0"/>
                <w:szCs w:val="21"/>
              </w:rPr>
            </w:pPr>
            <w:r>
              <w:rPr>
                <w:rFonts w:ascii="宋体" w:eastAsia="宋体" w:hAnsi="宋体" w:hint="eastAsia"/>
                <w:kern w:val="0"/>
                <w:szCs w:val="21"/>
              </w:rPr>
              <w:t>3.2）重点车辆预警：支持重点车辆预警总数统计和重点车辆统计下钻查看。</w:t>
            </w:r>
          </w:p>
          <w:p>
            <w:pPr>
              <w:pStyle w:val="style0"/>
              <w:spacing w:lineRule="exact" w:line="400"/>
              <w:jc w:val="left"/>
              <w:rPr>
                <w:rFonts w:ascii="宋体" w:eastAsia="宋体" w:hAnsi="宋体"/>
                <w:kern w:val="0"/>
                <w:szCs w:val="21"/>
              </w:rPr>
            </w:pPr>
            <w:r>
              <w:rPr>
                <w:rFonts w:ascii="宋体" w:eastAsia="宋体" w:hAnsi="宋体" w:hint="eastAsia"/>
                <w:kern w:val="0"/>
                <w:szCs w:val="21"/>
              </w:rPr>
              <w:t>3.3）一案三情预警：支持一案三情预警总数统计和下钻至一案三情详细信息界面。</w:t>
            </w:r>
          </w:p>
          <w:p>
            <w:pPr>
              <w:pStyle w:val="style0"/>
              <w:spacing w:lineRule="exact" w:line="400"/>
              <w:jc w:val="left"/>
              <w:rPr>
                <w:rFonts w:ascii="宋体" w:eastAsia="宋体" w:hAnsi="宋体"/>
                <w:kern w:val="0"/>
                <w:szCs w:val="21"/>
              </w:rPr>
            </w:pPr>
            <w:r>
              <w:rPr>
                <w:rFonts w:ascii="宋体" w:eastAsia="宋体" w:hAnsi="宋体" w:hint="eastAsia"/>
                <w:kern w:val="0"/>
                <w:szCs w:val="21"/>
              </w:rPr>
              <w:t>3.4）预警研判时间筛选：支持灵活筛选，可按今日、昨日、近7日、近30日时间维度进行快速精准筛选。</w:t>
            </w:r>
          </w:p>
          <w:p>
            <w:pPr>
              <w:pStyle w:val="style0"/>
              <w:spacing w:lineRule="exact" w:line="400"/>
              <w:jc w:val="left"/>
              <w:rPr>
                <w:rFonts w:ascii="宋体" w:eastAsia="宋体" w:hAnsi="宋体"/>
                <w:kern w:val="0"/>
                <w:szCs w:val="21"/>
              </w:rPr>
            </w:pPr>
            <w:r>
              <w:rPr>
                <w:rFonts w:ascii="宋体" w:eastAsia="宋体" w:hAnsi="宋体" w:hint="eastAsia"/>
                <w:kern w:val="0"/>
                <w:szCs w:val="21"/>
              </w:rPr>
              <w:t>3.5）预警研判统计总数：重点人员、重点车辆及一案三情预警研判总数统计。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3.6）区域筛选：支持预警研判数据按区域进行筛选，并显示相应区域的筛选结果。</w:t>
            </w:r>
          </w:p>
          <w:p>
            <w:pPr>
              <w:pStyle w:val="style0"/>
              <w:spacing w:lineRule="exact" w:line="400"/>
              <w:jc w:val="left"/>
              <w:rPr>
                <w:rFonts w:ascii="宋体" w:eastAsia="宋体" w:hAnsi="宋体"/>
                <w:kern w:val="0"/>
                <w:szCs w:val="21"/>
              </w:rPr>
            </w:pPr>
            <w:r>
              <w:rPr>
                <w:rFonts w:ascii="宋体" w:eastAsia="宋体" w:hAnsi="宋体" w:hint="eastAsia"/>
                <w:kern w:val="0"/>
                <w:szCs w:val="21"/>
              </w:rPr>
              <w:t>3.7）日期筛选：支持预警研判数据自定义日期筛选功能，可根据实际需求设定特定的起止日期，可精准获取指定时间范围内的预警数据。</w:t>
            </w:r>
          </w:p>
          <w:p>
            <w:pPr>
              <w:pStyle w:val="style0"/>
              <w:spacing w:lineRule="exact" w:line="400"/>
              <w:jc w:val="left"/>
              <w:rPr>
                <w:rFonts w:ascii="宋体" w:eastAsia="宋体" w:hAnsi="宋体"/>
                <w:kern w:val="0"/>
                <w:szCs w:val="21"/>
              </w:rPr>
            </w:pPr>
            <w:r>
              <w:rPr>
                <w:rFonts w:ascii="宋体" w:eastAsia="宋体" w:hAnsi="宋体" w:hint="eastAsia"/>
                <w:kern w:val="0"/>
                <w:szCs w:val="21"/>
              </w:rPr>
              <w:t>4、防范管控</w:t>
            </w:r>
          </w:p>
          <w:p>
            <w:pPr>
              <w:pStyle w:val="style0"/>
              <w:spacing w:lineRule="exact" w:line="400"/>
              <w:jc w:val="left"/>
              <w:rPr>
                <w:rFonts w:ascii="宋体" w:eastAsia="宋体" w:hAnsi="宋体"/>
                <w:kern w:val="0"/>
                <w:szCs w:val="21"/>
              </w:rPr>
            </w:pPr>
            <w:r>
              <w:rPr>
                <w:rFonts w:ascii="宋体" w:eastAsia="宋体" w:hAnsi="宋体" w:hint="eastAsia"/>
                <w:kern w:val="0"/>
                <w:szCs w:val="21"/>
              </w:rPr>
              <w:t>防范管控模块应包含危险物品、重点人情况、入桂通道情况、排查情况时间筛选、排查情况日期筛选等功能。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4.1）危险物品情况：支持展示各单位、安全隐患数量、危险物</w:t>
            </w:r>
            <w:r>
              <w:rPr>
                <w:rFonts w:ascii="宋体" w:eastAsia="宋体" w:hAnsi="宋体" w:hint="eastAsia"/>
                <w:kern w:val="0"/>
                <w:szCs w:val="21"/>
              </w:rPr>
              <w:t>品数量的分析统计，采用不同颜色进行区分。</w:t>
            </w:r>
          </w:p>
          <w:p>
            <w:pPr>
              <w:pStyle w:val="style0"/>
              <w:spacing w:lineRule="exact" w:line="400"/>
              <w:jc w:val="left"/>
              <w:rPr>
                <w:rFonts w:ascii="宋体" w:eastAsia="宋体" w:hAnsi="宋体"/>
                <w:kern w:val="0"/>
                <w:szCs w:val="21"/>
              </w:rPr>
            </w:pPr>
            <w:r>
              <w:rPr>
                <w:rFonts w:ascii="宋体" w:eastAsia="宋体" w:hAnsi="宋体" w:hint="eastAsia"/>
                <w:kern w:val="0"/>
                <w:szCs w:val="21"/>
              </w:rPr>
              <w:t>4.2）重点人情况：支持展示排摸重点人、可能赴邕重点人、失控重点人的数量和分析统计，用不同颜色进行区分显示。</w:t>
            </w:r>
          </w:p>
          <w:p>
            <w:pPr>
              <w:pStyle w:val="style0"/>
              <w:spacing w:lineRule="exact" w:line="400"/>
              <w:jc w:val="left"/>
              <w:rPr>
                <w:rFonts w:ascii="宋体" w:eastAsia="宋体" w:hAnsi="宋体"/>
                <w:kern w:val="0"/>
                <w:szCs w:val="21"/>
              </w:rPr>
            </w:pPr>
            <w:r>
              <w:rPr>
                <w:rFonts w:ascii="宋体" w:eastAsia="宋体" w:hAnsi="宋体" w:hint="eastAsia"/>
                <w:kern w:val="0"/>
                <w:szCs w:val="21"/>
              </w:rPr>
              <w:t>4.3）入桂通道情况：支持以不用颜色展示人员、车辆的检查数量、查获数量、劝返数量，以及违禁物品数量的统计分析展示。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4.4）排查情况时间筛选：可灵活选择今日、昨日、近7日及近30日等多种时间范围进行筛选。</w:t>
            </w:r>
          </w:p>
          <w:p>
            <w:pPr>
              <w:pStyle w:val="style0"/>
              <w:spacing w:lineRule="exact" w:line="400"/>
              <w:jc w:val="left"/>
              <w:rPr>
                <w:rFonts w:ascii="宋体" w:eastAsia="宋体" w:hAnsi="宋体"/>
                <w:kern w:val="0"/>
                <w:szCs w:val="21"/>
              </w:rPr>
            </w:pPr>
            <w:r>
              <w:rPr>
                <w:rFonts w:ascii="宋体" w:eastAsia="宋体" w:hAnsi="宋体" w:hint="eastAsia"/>
                <w:kern w:val="0"/>
                <w:szCs w:val="21"/>
              </w:rPr>
              <w:t>4.5）排查情况日期筛选：可以通过自定义日期选择来进行排查情况的查看。</w:t>
            </w:r>
          </w:p>
          <w:p>
            <w:pPr>
              <w:pStyle w:val="style0"/>
              <w:spacing w:lineRule="exact" w:line="400"/>
              <w:jc w:val="left"/>
              <w:rPr>
                <w:rFonts w:ascii="宋体" w:eastAsia="宋体" w:hAnsi="宋体"/>
                <w:kern w:val="0"/>
                <w:szCs w:val="21"/>
              </w:rPr>
            </w:pPr>
            <w:r>
              <w:rPr>
                <w:rFonts w:ascii="宋体" w:eastAsia="宋体" w:hAnsi="宋体" w:hint="eastAsia"/>
                <w:kern w:val="0"/>
                <w:szCs w:val="21"/>
              </w:rPr>
              <w:t>5、事件处置</w:t>
            </w:r>
          </w:p>
          <w:p>
            <w:pPr>
              <w:pStyle w:val="style0"/>
              <w:spacing w:lineRule="exact" w:line="400"/>
              <w:jc w:val="left"/>
              <w:rPr>
                <w:rFonts w:ascii="宋体" w:eastAsia="宋体" w:hAnsi="宋体"/>
                <w:kern w:val="0"/>
                <w:szCs w:val="21"/>
              </w:rPr>
            </w:pPr>
            <w:r>
              <w:rPr>
                <w:rFonts w:ascii="宋体" w:eastAsia="宋体" w:hAnsi="宋体" w:hint="eastAsia"/>
                <w:kern w:val="0"/>
                <w:szCs w:val="21"/>
              </w:rPr>
              <w:t>事件处置模块应包含突发事件总数、突发事件环比、群体性事件、群体性事件环比、刑事类事件、刑事类事件环比、日期筛选、区域筛选等功能。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5.1）突发事件总数：支持对突发事件的总数进行统计分析。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5.2）突发事件环比：支持对突发事件总数做环比趋势分析。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5.3）群体性事件：支持对群体性事件的总数进行统计分析。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5.4）群体性事件环比：支持对群体性事件总数做环比趋势分析。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5.5）刑事类事件：支持对刑事类事件的总数进行统计分析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5.6）刑事类事件环比：支持对刑事类事件总数做环比趋势分析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5.7）日期筛选：可根据具体日期对数据进行筛选</w:t>
            </w:r>
          </w:p>
          <w:p>
            <w:pPr>
              <w:pStyle w:val="style0"/>
              <w:spacing w:lineRule="exact" w:line="400"/>
              <w:jc w:val="left"/>
              <w:rPr>
                <w:rFonts w:ascii="宋体" w:eastAsia="宋体" w:hAnsi="宋体"/>
                <w:kern w:val="0"/>
                <w:szCs w:val="21"/>
              </w:rPr>
            </w:pPr>
            <w:r>
              <w:rPr>
                <w:rFonts w:ascii="宋体" w:eastAsia="宋体" w:hAnsi="宋体" w:hint="eastAsia"/>
                <w:kern w:val="0"/>
                <w:szCs w:val="21"/>
              </w:rPr>
              <w:t>5.8）区域筛选：可以通过地图上的特定区域筛选功能，对突发事件数据进行过滤。</w:t>
            </w:r>
          </w:p>
          <w:p>
            <w:pPr>
              <w:pStyle w:val="style0"/>
              <w:spacing w:lineRule="exact" w:line="400"/>
              <w:jc w:val="left"/>
              <w:rPr>
                <w:rFonts w:ascii="宋体" w:eastAsia="宋体" w:hAnsi="宋体"/>
                <w:kern w:val="0"/>
                <w:szCs w:val="21"/>
              </w:rPr>
            </w:pPr>
            <w:r>
              <w:rPr>
                <w:rFonts w:ascii="宋体" w:eastAsia="宋体" w:hAnsi="宋体" w:hint="eastAsia"/>
                <w:kern w:val="0"/>
                <w:szCs w:val="21"/>
              </w:rPr>
              <w:t>6、一办七组</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应包含一办七组柱状图态势分析、一办七组任务数分析、一办七组完成数分析。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6.1）一办七组柱状图分析：支持展示各组数据的柱状图，清晰呈现运行态势和变化趋势。</w:t>
            </w:r>
          </w:p>
          <w:p>
            <w:pPr>
              <w:pStyle w:val="style0"/>
              <w:spacing w:lineRule="exact" w:line="400"/>
              <w:jc w:val="left"/>
              <w:rPr>
                <w:rFonts w:ascii="宋体" w:eastAsia="宋体" w:hAnsi="宋体"/>
                <w:kern w:val="0"/>
                <w:szCs w:val="21"/>
              </w:rPr>
            </w:pPr>
            <w:r>
              <w:rPr>
                <w:rFonts w:ascii="宋体" w:eastAsia="宋体" w:hAnsi="宋体" w:hint="eastAsia"/>
                <w:kern w:val="0"/>
                <w:szCs w:val="21"/>
              </w:rPr>
              <w:t>6.2）一办七组任务数分析：支持清晰地看到一办七组各自所承担的任务数量。</w:t>
            </w:r>
          </w:p>
          <w:p>
            <w:pPr>
              <w:pStyle w:val="style0"/>
              <w:spacing w:lineRule="exact" w:line="400"/>
              <w:jc w:val="left"/>
              <w:rPr>
                <w:rFonts w:ascii="宋体" w:eastAsia="宋体" w:hAnsi="宋体"/>
                <w:kern w:val="0"/>
                <w:szCs w:val="21"/>
              </w:rPr>
            </w:pPr>
            <w:r>
              <w:rPr>
                <w:rFonts w:ascii="宋体" w:eastAsia="宋体" w:hAnsi="宋体" w:hint="eastAsia"/>
                <w:kern w:val="0"/>
                <w:szCs w:val="21"/>
              </w:rPr>
              <w:t>6.3）一办七组完成数分析：支持展示一办七组的任务完成数，通过对比各组的任务完成数，用户可以发现优势和不足。</w:t>
            </w:r>
          </w:p>
          <w:p>
            <w:pPr>
              <w:pStyle w:val="style0"/>
              <w:spacing w:lineRule="exact" w:line="400"/>
              <w:jc w:val="left"/>
              <w:rPr>
                <w:rFonts w:ascii="宋体" w:eastAsia="宋体" w:hAnsi="宋体"/>
                <w:kern w:val="0"/>
                <w:szCs w:val="21"/>
              </w:rPr>
            </w:pPr>
            <w:r>
              <w:rPr>
                <w:rFonts w:ascii="宋体" w:eastAsia="宋体" w:hAnsi="宋体" w:hint="eastAsia"/>
                <w:kern w:val="0"/>
                <w:szCs w:val="21"/>
              </w:rPr>
              <w:t>7、各市排查情况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应包含活动期间的检查危险物品单位数、检查寄递物流数、整治治安乱点数、各市排查任务总数、社会面排查柱状图态势分析、十四个地市数据情况以及各市排查情况昨日数。</w:t>
            </w:r>
          </w:p>
          <w:p>
            <w:pPr>
              <w:pStyle w:val="style0"/>
              <w:spacing w:lineRule="exact" w:line="400"/>
              <w:jc w:val="left"/>
              <w:rPr>
                <w:rFonts w:ascii="宋体" w:eastAsia="宋体" w:hAnsi="宋体"/>
                <w:kern w:val="0"/>
                <w:szCs w:val="21"/>
              </w:rPr>
            </w:pPr>
            <w:r>
              <w:rPr>
                <w:rFonts w:ascii="宋体" w:eastAsia="宋体" w:hAnsi="宋体" w:hint="eastAsia"/>
                <w:kern w:val="0"/>
                <w:szCs w:val="21"/>
              </w:rPr>
              <w:t>7.1）检查危险物品单位数：支持在活动期间展示危险物品单位数的排查数量。</w:t>
            </w:r>
          </w:p>
          <w:p>
            <w:pPr>
              <w:pStyle w:val="style0"/>
              <w:spacing w:lineRule="exact" w:line="400"/>
              <w:jc w:val="left"/>
              <w:rPr>
                <w:rFonts w:ascii="宋体" w:eastAsia="宋体" w:hAnsi="宋体"/>
                <w:kern w:val="0"/>
                <w:szCs w:val="21"/>
              </w:rPr>
            </w:pPr>
            <w:r>
              <w:rPr>
                <w:rFonts w:ascii="宋体" w:eastAsia="宋体" w:hAnsi="宋体" w:hint="eastAsia"/>
                <w:kern w:val="0"/>
                <w:szCs w:val="21"/>
              </w:rPr>
              <w:t>7.2）检查寄递物流数：支持在活动期间展示寄递物流企业的排查情况。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7.3）整治治安乱点数：支持在活动期间展示治安乱点的整治数。</w:t>
            </w:r>
          </w:p>
          <w:p>
            <w:pPr>
              <w:pStyle w:val="style0"/>
              <w:spacing w:lineRule="exact" w:line="400"/>
              <w:jc w:val="left"/>
              <w:rPr>
                <w:rFonts w:ascii="宋体" w:eastAsia="宋体" w:hAnsi="宋体"/>
                <w:kern w:val="0"/>
                <w:szCs w:val="21"/>
              </w:rPr>
            </w:pPr>
            <w:r>
              <w:rPr>
                <w:rFonts w:ascii="宋体" w:eastAsia="宋体" w:hAnsi="宋体" w:hint="eastAsia"/>
                <w:kern w:val="0"/>
                <w:szCs w:val="21"/>
              </w:rPr>
              <w:t>7.4）各市排查任务总数：支持在活动期间展示各地市排查任务总数。</w:t>
            </w:r>
          </w:p>
          <w:p>
            <w:pPr>
              <w:pStyle w:val="style0"/>
              <w:spacing w:lineRule="exact" w:line="400"/>
              <w:jc w:val="left"/>
              <w:rPr>
                <w:rFonts w:ascii="宋体" w:eastAsia="宋体" w:hAnsi="宋体"/>
                <w:kern w:val="0"/>
                <w:szCs w:val="21"/>
              </w:rPr>
            </w:pPr>
            <w:r>
              <w:rPr>
                <w:rFonts w:ascii="宋体" w:eastAsia="宋体" w:hAnsi="宋体" w:hint="eastAsia"/>
                <w:kern w:val="0"/>
                <w:szCs w:val="21"/>
              </w:rPr>
              <w:t>7.5）社会面排查柱状图：支持社会面排查柱状图态势分析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7.6）十四个地市数据：展示十四个地市数据情况进行数据对比和分析。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7.7）各市排查情况昨日数：可根据昨日数查询各市排查情况的昨日情况。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8、排查列表页</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应包含各地市重点排查社会面情况、各地市的检查危险物品单位数、各地市的检查寄递物流数、各地市的整治治安乱点数以及各地市的社会面排查情况总计的统计及展示。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8.1）重点排查社会面情况：支持以表格形式展示各地市重点排查社会面情况，列出各地市在排查工作中的关键数据和信息。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8.2）检查危险物品单位数：支持展示各地市的检查危险物品单位数。</w:t>
            </w:r>
          </w:p>
          <w:p>
            <w:pPr>
              <w:pStyle w:val="style0"/>
              <w:spacing w:lineRule="exact" w:line="400"/>
              <w:jc w:val="left"/>
              <w:rPr>
                <w:rFonts w:ascii="宋体" w:eastAsia="宋体" w:hAnsi="宋体"/>
                <w:kern w:val="0"/>
                <w:szCs w:val="21"/>
              </w:rPr>
            </w:pPr>
            <w:r>
              <w:rPr>
                <w:rFonts w:ascii="宋体" w:eastAsia="宋体" w:hAnsi="宋体" w:hint="eastAsia"/>
                <w:kern w:val="0"/>
                <w:szCs w:val="21"/>
              </w:rPr>
              <w:t>8.3）检查寄递物流数：支持展示各地市的检查寄递物流数。</w:t>
            </w:r>
          </w:p>
          <w:p>
            <w:pPr>
              <w:pStyle w:val="style0"/>
              <w:spacing w:lineRule="exact" w:line="400"/>
              <w:jc w:val="left"/>
              <w:rPr>
                <w:rFonts w:ascii="宋体" w:eastAsia="宋体" w:hAnsi="宋体"/>
                <w:kern w:val="0"/>
                <w:szCs w:val="21"/>
              </w:rPr>
            </w:pPr>
            <w:r>
              <w:rPr>
                <w:rFonts w:ascii="宋体" w:eastAsia="宋体" w:hAnsi="宋体" w:hint="eastAsia"/>
                <w:kern w:val="0"/>
                <w:szCs w:val="21"/>
              </w:rPr>
              <w:t>8.4）整治治安乱点数：支持展示各地市的整治治安乱点数</w:t>
            </w:r>
          </w:p>
          <w:p>
            <w:pPr>
              <w:pStyle w:val="style0"/>
              <w:spacing w:lineRule="exact" w:line="400"/>
              <w:jc w:val="left"/>
              <w:rPr>
                <w:rFonts w:ascii="宋体" w:eastAsia="宋体" w:hAnsi="宋体"/>
                <w:kern w:val="0"/>
                <w:szCs w:val="21"/>
              </w:rPr>
            </w:pPr>
            <w:r>
              <w:rPr>
                <w:rFonts w:ascii="宋体" w:eastAsia="宋体" w:hAnsi="宋体" w:hint="eastAsia"/>
                <w:kern w:val="0"/>
                <w:szCs w:val="21"/>
              </w:rPr>
              <w:t>8.5）社会面排查情况总计：支持展示各地市的社会面排查情况总计。</w:t>
            </w:r>
          </w:p>
          <w:p>
            <w:pPr>
              <w:pStyle w:val="style0"/>
              <w:spacing w:lineRule="exact" w:line="400"/>
              <w:jc w:val="left"/>
              <w:rPr>
                <w:rFonts w:ascii="宋体" w:eastAsia="宋体" w:hAnsi="宋体"/>
                <w:kern w:val="0"/>
                <w:szCs w:val="21"/>
              </w:rPr>
            </w:pPr>
            <w:r>
              <w:rPr>
                <w:rFonts w:ascii="宋体" w:eastAsia="宋体" w:hAnsi="宋体" w:hint="eastAsia"/>
                <w:kern w:val="0"/>
                <w:szCs w:val="21"/>
              </w:rPr>
              <w:t>9、安保要素</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应包含活动信息、场馆、住地以及线路的总数以及某个要素的信息查看功能。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9.1）活动信息：支持活动信息展示、包括活动时间、地址、简介、级别、状态等信息。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9.2）场馆总数：支持查看活动的场馆数以及各个场馆的名称。</w:t>
            </w:r>
          </w:p>
          <w:p>
            <w:pPr>
              <w:pStyle w:val="style0"/>
              <w:spacing w:lineRule="exact" w:line="400"/>
              <w:jc w:val="left"/>
              <w:rPr>
                <w:rFonts w:ascii="宋体" w:eastAsia="宋体" w:hAnsi="宋体"/>
                <w:kern w:val="0"/>
                <w:szCs w:val="21"/>
              </w:rPr>
            </w:pPr>
            <w:r>
              <w:rPr>
                <w:rFonts w:ascii="宋体" w:eastAsia="宋体" w:hAnsi="宋体" w:hint="eastAsia"/>
                <w:kern w:val="0"/>
                <w:szCs w:val="21"/>
              </w:rPr>
              <w:t>9.3）住地总数：支持查看活动的住地数以及住地名称功能。</w:t>
            </w:r>
          </w:p>
          <w:p>
            <w:pPr>
              <w:pStyle w:val="style0"/>
              <w:spacing w:lineRule="exact" w:line="400"/>
              <w:jc w:val="left"/>
              <w:rPr/>
            </w:pPr>
            <w:r>
              <w:rPr>
                <w:rFonts w:ascii="宋体" w:eastAsia="宋体" w:hAnsi="宋体" w:hint="eastAsia"/>
                <w:kern w:val="0"/>
                <w:szCs w:val="21"/>
              </w:rPr>
              <w:t>9.4）线路总数：支持查看活动相关的线路总数以及每条线路的起点和终点信息。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10、安保警力</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应包含民警、学警、辅警、保安等列表、到岗及详情，使得每个</w:t>
            </w:r>
            <w:r>
              <w:rPr>
                <w:rFonts w:ascii="宋体" w:eastAsia="宋体" w:hAnsi="宋体" w:hint="eastAsia"/>
                <w:kern w:val="0"/>
                <w:szCs w:val="21"/>
              </w:rPr>
              <w:t>警力都能够迅速定位并履行自己的职责。</w:t>
            </w:r>
          </w:p>
          <w:p>
            <w:pPr>
              <w:pStyle w:val="style0"/>
              <w:spacing w:lineRule="exact" w:line="400"/>
              <w:jc w:val="left"/>
              <w:rPr>
                <w:rFonts w:ascii="宋体" w:eastAsia="宋体" w:hAnsi="宋体"/>
                <w:kern w:val="0"/>
                <w:szCs w:val="21"/>
              </w:rPr>
            </w:pPr>
            <w:r>
              <w:rPr>
                <w:rFonts w:ascii="宋体" w:eastAsia="宋体" w:hAnsi="宋体" w:hint="eastAsia"/>
                <w:kern w:val="0"/>
                <w:szCs w:val="21"/>
              </w:rPr>
              <w:t>10.1）民警数：支持展示安保民警总数、到岗民警、警员列表和详情信息。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10.2）学警数：支持展示安保学警总数、到岗学警、学警列表和详情信息。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10.3）辅警数：支持展示安保辅警总数、到岗辅警、辅警列表和详情信息。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10.4）保安数：支持展示安保保安总数、到岗保安、保安列表和详情信息。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10.5）总警数：支持展示总警力数量情况。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11、安保设备</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应包含警车、对讲机、执法仪、单兵、警务通、监控视频等上图及统计，确保在紧急情况下能够迅速调度和部署。</w:t>
            </w:r>
          </w:p>
          <w:p>
            <w:pPr>
              <w:pStyle w:val="style0"/>
              <w:spacing w:lineRule="exact" w:line="400"/>
              <w:jc w:val="left"/>
              <w:rPr>
                <w:rFonts w:ascii="宋体" w:eastAsia="宋体" w:hAnsi="宋体"/>
                <w:kern w:val="0"/>
                <w:szCs w:val="21"/>
              </w:rPr>
            </w:pPr>
            <w:r>
              <w:rPr>
                <w:rFonts w:ascii="宋体" w:eastAsia="宋体" w:hAnsi="宋体" w:hint="eastAsia"/>
                <w:kern w:val="0"/>
                <w:szCs w:val="21"/>
              </w:rPr>
              <w:t>11.1）警车：支持安保设备态势下展示警车统计、警车列表、警车详情情况。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11.2）对讲机：支持安保设备态势下展示对讲机统计、对讲机列表、对讲机详情情况。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11.3）执法仪：支持安保设备态势下展示执法仪统计、执法仪列表、执法仪详情情况。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11.4）单兵：支持安保设备态势下展示单兵统计、单兵列表、单兵详情情况。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11.5）警务通：支持安保设备态势下展示警务通统计、警务通列表、警务通详情情况。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11.6）视频监控：支持安保设备态势下展示监控视频统计、监控视频列表、监控视频详情情况。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12、安保岗位布控</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应包含安保岗位、卡点统计、安保检查站、警务站等上图及统计，确保在紧急情况下能够迅速调度和部署。</w:t>
            </w:r>
          </w:p>
          <w:p>
            <w:pPr>
              <w:pStyle w:val="style0"/>
              <w:spacing w:lineRule="exact" w:line="400"/>
              <w:jc w:val="left"/>
              <w:rPr>
                <w:rFonts w:ascii="宋体" w:eastAsia="宋体" w:hAnsi="宋体"/>
                <w:kern w:val="0"/>
                <w:szCs w:val="21"/>
              </w:rPr>
            </w:pPr>
            <w:r>
              <w:rPr>
                <w:rFonts w:ascii="宋体" w:eastAsia="宋体" w:hAnsi="宋体" w:hint="eastAsia"/>
                <w:kern w:val="0"/>
                <w:szCs w:val="21"/>
              </w:rPr>
              <w:t>12.1）岗位：在安保岗位布控下展示岗位统计、岗位列表、岗位详情，支持岗位在地图上定位展示。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12.2）卡点：在安保岗位布控下展示卡点统计、卡点列表、卡点详情，支持卡点在地图上定位展示。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12.3）检查站：在安保岗位布控下展示检查站统计、检查站列表、检查站详情，支持检查站在地图上定位展示。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12.4）警务站：在安保岗位布控下展示警务站统计、警务站列表、</w:t>
            </w:r>
            <w:r>
              <w:rPr>
                <w:rFonts w:ascii="宋体" w:eastAsia="宋体" w:hAnsi="宋体" w:hint="eastAsia"/>
                <w:kern w:val="0"/>
                <w:szCs w:val="21"/>
              </w:rPr>
              <w:t>警务站详情，支持警务站在地图上定位展示。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13、活动控制区预警</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应包含预警列表以及活动控制区预警详情等功能。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13.1）预警列表：支持查看活动控制区预警列表，最新的预警信息滚动展示。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13.2）预警详情：支持预警详情时间筛选、预警排序、关键字筛选和预警详情查看。</w:t>
            </w:r>
          </w:p>
          <w:p>
            <w:pPr>
              <w:pStyle w:val="style0"/>
              <w:spacing w:lineRule="exact" w:line="400"/>
              <w:jc w:val="left"/>
              <w:rPr>
                <w:rFonts w:ascii="宋体" w:eastAsia="宋体" w:hAnsi="宋体"/>
                <w:kern w:val="0"/>
                <w:szCs w:val="21"/>
              </w:rPr>
            </w:pPr>
            <w:r>
              <w:rPr>
                <w:rFonts w:ascii="宋体" w:eastAsia="宋体" w:hAnsi="宋体" w:hint="eastAsia"/>
                <w:kern w:val="0"/>
                <w:szCs w:val="21"/>
              </w:rPr>
              <w:t>14、场馆客流</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应包含场馆实时客流以及场馆客流趋势等功能。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14.1）场馆实时客流：支持查看场馆当前实时客流数，场馆最大承载人数，以及实时的客流进客和出客人数。</w:t>
            </w:r>
          </w:p>
          <w:p>
            <w:pPr>
              <w:pStyle w:val="style0"/>
              <w:spacing w:lineRule="exact" w:line="400"/>
              <w:jc w:val="left"/>
              <w:rPr>
                <w:rFonts w:ascii="宋体" w:eastAsia="宋体" w:hAnsi="宋体"/>
                <w:kern w:val="0"/>
                <w:szCs w:val="21"/>
              </w:rPr>
            </w:pPr>
            <w:r>
              <w:rPr>
                <w:rFonts w:ascii="宋体" w:eastAsia="宋体" w:hAnsi="宋体" w:hint="eastAsia"/>
                <w:kern w:val="0"/>
                <w:szCs w:val="21"/>
              </w:rPr>
              <w:t>14.2）场馆客流趋势：支持以折线图形式展示场馆客流的变化趋势。</w:t>
            </w:r>
          </w:p>
          <w:p>
            <w:pPr>
              <w:pStyle w:val="style0"/>
              <w:spacing w:lineRule="exact" w:line="400"/>
              <w:jc w:val="left"/>
              <w:rPr>
                <w:rFonts w:ascii="宋体" w:eastAsia="宋体" w:hAnsi="宋体"/>
                <w:kern w:val="0"/>
                <w:szCs w:val="21"/>
              </w:rPr>
            </w:pPr>
            <w:r>
              <w:rPr>
                <w:rFonts w:ascii="宋体" w:eastAsia="宋体" w:hAnsi="宋体" w:hint="eastAsia"/>
                <w:kern w:val="0"/>
                <w:szCs w:val="21"/>
              </w:rPr>
              <w:t>15、风险预警态势图</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应包含预警地图、四色预警展示、预警详情、风险指数权重、四色预警计算规则及说明等功能。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15.1）预警地图：支持以地图方式直观的可视化方式呈现各类风险预警信息，并支持地图下钻功能。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15.2）四色预警：支持对各地市进行多维度统计展示出风险四色图。</w:t>
            </w:r>
          </w:p>
          <w:p>
            <w:pPr>
              <w:pStyle w:val="style0"/>
              <w:spacing w:lineRule="exact" w:line="400"/>
              <w:jc w:val="left"/>
              <w:rPr>
                <w:rFonts w:ascii="宋体" w:eastAsia="宋体" w:hAnsi="宋体"/>
                <w:kern w:val="0"/>
                <w:szCs w:val="21"/>
              </w:rPr>
            </w:pPr>
            <w:r>
              <w:rPr>
                <w:rFonts w:ascii="宋体" w:eastAsia="宋体" w:hAnsi="宋体" w:hint="eastAsia"/>
                <w:kern w:val="0"/>
                <w:szCs w:val="21"/>
              </w:rPr>
              <w:t>15.3）预警详情：预警详情支持预警指数、重大事件统计、人员指数、物品指数、车辆指数、案件指数、指数详情等信息。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15.4）风险指数权重：支持人、车、物、事风险指数权重说明。</w:t>
            </w:r>
          </w:p>
          <w:p>
            <w:pPr>
              <w:pStyle w:val="style0"/>
              <w:spacing w:lineRule="exact" w:line="400"/>
              <w:jc w:val="left"/>
              <w:rPr>
                <w:rFonts w:ascii="宋体" w:eastAsia="宋体" w:hAnsi="宋体"/>
                <w:kern w:val="0"/>
                <w:szCs w:val="21"/>
              </w:rPr>
            </w:pPr>
            <w:r>
              <w:rPr>
                <w:rFonts w:ascii="宋体" w:eastAsia="宋体" w:hAnsi="宋体" w:hint="eastAsia"/>
                <w:kern w:val="0"/>
                <w:szCs w:val="21"/>
              </w:rPr>
              <w:t>15.5）四色预警计算规则：支持查看到整个四色图的计算规则。</w:t>
            </w:r>
          </w:p>
          <w:p>
            <w:pPr>
              <w:pStyle w:val="style0"/>
              <w:spacing w:lineRule="exact" w:line="400"/>
              <w:jc w:val="left"/>
              <w:rPr>
                <w:rFonts w:ascii="宋体" w:eastAsia="宋体" w:hAnsi="宋体"/>
                <w:kern w:val="0"/>
                <w:szCs w:val="21"/>
              </w:rPr>
            </w:pPr>
            <w:r>
              <w:rPr>
                <w:rFonts w:ascii="宋体" w:eastAsia="宋体" w:hAnsi="宋体" w:hint="eastAsia"/>
                <w:kern w:val="0"/>
                <w:szCs w:val="21"/>
              </w:rPr>
              <w:t>16、模板库</w:t>
            </w:r>
          </w:p>
          <w:p>
            <w:pPr>
              <w:pStyle w:val="style0"/>
              <w:spacing w:lineRule="exact" w:line="400"/>
              <w:jc w:val="left"/>
              <w:rPr>
                <w:rFonts w:ascii="宋体" w:eastAsia="宋体" w:hAnsi="宋体"/>
                <w:kern w:val="0"/>
                <w:szCs w:val="21"/>
              </w:rPr>
            </w:pPr>
            <w:r>
              <w:rPr>
                <w:rFonts w:ascii="宋体" w:eastAsia="宋体" w:hAnsi="宋体" w:hint="eastAsia"/>
                <w:kern w:val="0"/>
                <w:szCs w:val="21"/>
              </w:rPr>
              <w:t>提供模板库看板、大屏模板上传、模板预览、模板删除等功能。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16.1）模板库看板：支持查看当前已上传模板库的各模板的名称、缩略图。</w:t>
            </w:r>
          </w:p>
          <w:p>
            <w:pPr>
              <w:pStyle w:val="style0"/>
              <w:spacing w:lineRule="exact" w:line="400"/>
              <w:jc w:val="left"/>
              <w:rPr>
                <w:rFonts w:ascii="宋体" w:eastAsia="宋体" w:hAnsi="宋体"/>
                <w:kern w:val="0"/>
                <w:szCs w:val="21"/>
              </w:rPr>
            </w:pPr>
            <w:r>
              <w:rPr>
                <w:rFonts w:ascii="宋体" w:eastAsia="宋体" w:hAnsi="宋体" w:hint="eastAsia"/>
                <w:kern w:val="0"/>
                <w:szCs w:val="21"/>
              </w:rPr>
              <w:t>16.2）大屏模板上传：支持模板上传，上传完成后可以展示已上传的模板</w:t>
            </w:r>
          </w:p>
          <w:p>
            <w:pPr>
              <w:pStyle w:val="style0"/>
              <w:spacing w:lineRule="exact" w:line="400"/>
              <w:jc w:val="left"/>
              <w:rPr>
                <w:rFonts w:ascii="宋体" w:eastAsia="宋体" w:hAnsi="宋体"/>
                <w:kern w:val="0"/>
                <w:szCs w:val="21"/>
              </w:rPr>
            </w:pPr>
            <w:r>
              <w:rPr>
                <w:rFonts w:ascii="宋体" w:eastAsia="宋体" w:hAnsi="宋体" w:hint="eastAsia"/>
                <w:kern w:val="0"/>
                <w:szCs w:val="21"/>
              </w:rPr>
              <w:t>16.3）模板预览：支持预览上传的模板效果。</w:t>
            </w:r>
          </w:p>
          <w:p>
            <w:pPr>
              <w:pStyle w:val="style0"/>
              <w:spacing w:lineRule="exact" w:line="400"/>
              <w:jc w:val="left"/>
              <w:rPr>
                <w:rFonts w:ascii="宋体" w:eastAsia="宋体" w:hAnsi="宋体"/>
                <w:kern w:val="0"/>
                <w:szCs w:val="21"/>
              </w:rPr>
            </w:pPr>
            <w:r>
              <w:rPr>
                <w:rFonts w:ascii="宋体" w:eastAsia="宋体" w:hAnsi="宋体" w:hint="eastAsia"/>
                <w:kern w:val="0"/>
                <w:szCs w:val="21"/>
              </w:rPr>
              <w:t>16.4）模板删除：支持用户删除选中的已上传的模板。</w:t>
            </w:r>
          </w:p>
          <w:p>
            <w:pPr>
              <w:pStyle w:val="style0"/>
              <w:spacing w:lineRule="exact" w:line="400"/>
              <w:jc w:val="left"/>
              <w:rPr>
                <w:rFonts w:ascii="宋体" w:eastAsia="宋体" w:hAnsi="宋体"/>
                <w:kern w:val="0"/>
                <w:szCs w:val="21"/>
              </w:rPr>
            </w:pPr>
            <w:r>
              <w:rPr>
                <w:rFonts w:ascii="宋体" w:eastAsia="宋体" w:hAnsi="宋体" w:hint="eastAsia"/>
                <w:kern w:val="0"/>
                <w:szCs w:val="21"/>
              </w:rPr>
              <w:t>17、模型超市</w:t>
            </w:r>
          </w:p>
          <w:p>
            <w:pPr>
              <w:pStyle w:val="style0"/>
              <w:spacing w:lineRule="exact" w:line="400"/>
              <w:jc w:val="left"/>
              <w:rPr>
                <w:rFonts w:ascii="宋体" w:eastAsia="宋体" w:hAnsi="宋体"/>
                <w:kern w:val="0"/>
                <w:szCs w:val="21"/>
              </w:rPr>
            </w:pPr>
            <w:r>
              <w:rPr>
                <w:rFonts w:ascii="宋体" w:eastAsia="宋体" w:hAnsi="宋体" w:hint="eastAsia"/>
                <w:kern w:val="0"/>
                <w:szCs w:val="21"/>
              </w:rPr>
              <w:t>提供模型超市看板、模型组件上传、模型组件搜索、模型组件筛选、统计维度、数据项、图表生成、草稿箱、数据预览、修改专</w:t>
            </w:r>
            <w:r>
              <w:rPr>
                <w:rFonts w:ascii="宋体" w:eastAsia="宋体" w:hAnsi="宋体" w:hint="eastAsia"/>
                <w:kern w:val="0"/>
                <w:szCs w:val="21"/>
              </w:rPr>
              <w:t>题库、删除专题、数据查询等功能。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17.1）模型超市看板：能够展示当前已上传至模板库的各组件信息，包括组件的名称和缩略图，以及对已上传的组件进行分页显示。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17.2）模型组件上传：可以通过系统上传模型组件，上传操作完成后，系统会立即自动刷新模板库列表。</w:t>
            </w:r>
          </w:p>
          <w:p>
            <w:pPr>
              <w:pStyle w:val="style0"/>
              <w:spacing w:lineRule="exact" w:line="400"/>
              <w:jc w:val="left"/>
              <w:rPr>
                <w:rFonts w:ascii="宋体" w:eastAsia="宋体" w:hAnsi="宋体"/>
                <w:kern w:val="0"/>
                <w:szCs w:val="21"/>
              </w:rPr>
            </w:pPr>
            <w:r>
              <w:rPr>
                <w:rFonts w:ascii="宋体" w:eastAsia="宋体" w:hAnsi="宋体" w:hint="eastAsia"/>
                <w:kern w:val="0"/>
                <w:szCs w:val="21"/>
              </w:rPr>
              <w:t>17.3）模型组件搜索：支持根据组件名称进行快速搜索过滤，只需输入组件名称的关键字，即可自动筛选出符合条件的组件，并展示在列表中。</w:t>
            </w:r>
          </w:p>
          <w:p>
            <w:pPr>
              <w:pStyle w:val="style0"/>
              <w:spacing w:lineRule="exact" w:line="400"/>
              <w:jc w:val="left"/>
              <w:rPr>
                <w:rFonts w:ascii="宋体" w:eastAsia="宋体" w:hAnsi="宋体"/>
                <w:kern w:val="0"/>
                <w:szCs w:val="21"/>
              </w:rPr>
            </w:pPr>
            <w:r>
              <w:rPr>
                <w:rFonts w:ascii="宋体" w:eastAsia="宋体" w:hAnsi="宋体" w:hint="eastAsia"/>
                <w:kern w:val="0"/>
                <w:szCs w:val="21"/>
              </w:rPr>
              <w:t>17.4）模型组件筛选：支持显示/隐藏组件分类筛选条件的功能，能够实时显示当前上传的组件整体数量，支持按组件类型过滤显示对应的组件，具备按组件适用场景过滤显示对应组件的功能。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17.5）统计维度：支持对登录用户所在单位安保警情、警情类型、警情发生时间段进行统计分析。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17.6）数据项：支持对选择日期的安保警情数量、日均数量、各单位占比、上期警情数量、上期数量差值、上期数量环比、去年同期警情、去年同期警情差值、去年同期数量环比、警情数量排名、警情同比排名、警情环比排名进行统计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17.7）图表生成：支持专题库默认数据项图表，支持不同统计维度的图表类型，支持表格、饼图、柱状图、折线图等图表组件。</w:t>
            </w:r>
          </w:p>
          <w:p>
            <w:pPr>
              <w:pStyle w:val="style0"/>
              <w:spacing w:lineRule="exact" w:line="400"/>
              <w:jc w:val="left"/>
              <w:rPr>
                <w:rFonts w:ascii="宋体" w:eastAsia="宋体" w:hAnsi="宋体"/>
                <w:kern w:val="0"/>
                <w:szCs w:val="21"/>
              </w:rPr>
            </w:pPr>
            <w:r>
              <w:rPr>
                <w:rFonts w:ascii="宋体" w:eastAsia="宋体" w:hAnsi="宋体" w:hint="eastAsia"/>
                <w:kern w:val="0"/>
                <w:szCs w:val="21"/>
              </w:rPr>
              <w:t>17.8）草稿箱：支持新建的专题库默认存入草稿箱，正式发布后进入正式库。</w:t>
            </w:r>
          </w:p>
          <w:p>
            <w:pPr>
              <w:pStyle w:val="style0"/>
              <w:spacing w:lineRule="exact" w:line="400"/>
              <w:jc w:val="left"/>
              <w:rPr>
                <w:rFonts w:ascii="宋体" w:eastAsia="宋体" w:hAnsi="宋体"/>
                <w:kern w:val="0"/>
                <w:szCs w:val="21"/>
              </w:rPr>
            </w:pPr>
            <w:r>
              <w:rPr>
                <w:rFonts w:ascii="宋体" w:eastAsia="宋体" w:hAnsi="宋体" w:hint="eastAsia"/>
                <w:kern w:val="0"/>
                <w:szCs w:val="21"/>
              </w:rPr>
              <w:t>17.9）数据预览：支持对新建的专题库进行数据预览</w:t>
            </w:r>
          </w:p>
          <w:p>
            <w:pPr>
              <w:pStyle w:val="style0"/>
              <w:spacing w:lineRule="exact" w:line="400"/>
              <w:jc w:val="left"/>
              <w:rPr>
                <w:rFonts w:ascii="宋体" w:eastAsia="宋体" w:hAnsi="宋体"/>
                <w:kern w:val="0"/>
                <w:szCs w:val="21"/>
              </w:rPr>
            </w:pPr>
            <w:r>
              <w:rPr>
                <w:rFonts w:ascii="宋体" w:eastAsia="宋体" w:hAnsi="宋体" w:hint="eastAsia"/>
                <w:kern w:val="0"/>
                <w:szCs w:val="21"/>
              </w:rPr>
              <w:t>17.10）修改专题库：支持提供修改专题库功能。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17.11）删除专题：支持提供删除专题库功能。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17.12）数据查询：支持提供数据查询功能，支持按日、按周、按月、按季、按自定义时间段进行数据查询。</w:t>
            </w:r>
          </w:p>
          <w:p>
            <w:pPr>
              <w:pStyle w:val="style0"/>
              <w:spacing w:lineRule="exact" w:line="400"/>
              <w:jc w:val="left"/>
              <w:rPr>
                <w:rFonts w:ascii="宋体" w:eastAsia="宋体" w:hAnsi="宋体"/>
                <w:kern w:val="0"/>
                <w:szCs w:val="21"/>
              </w:rPr>
            </w:pPr>
            <w:r>
              <w:rPr>
                <w:rFonts w:ascii="宋体" w:eastAsia="宋体" w:hAnsi="宋体" w:hint="eastAsia"/>
                <w:kern w:val="0"/>
                <w:szCs w:val="21"/>
              </w:rPr>
              <w:t>18、工程库</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应包含工程库看板、新建工程、复制工程、查看发布、删除工程、编辑工程、场景区、视图工具、属性面板、头部功能区等功能。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18.1）工程库看板：支持显示当前已建立的工程的名称和缩略图，支持对已建立的工程进行分页显示。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18.2）新建工程：支持创建新的工程时，系统允许用户进行工程命名，支持从已上传的模板库中选择合适的模板作为工程，支持搜索功能。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18.3）复制工程：支持对要已建的工程进行复制操作，复制工程时同时复制该工程的数据、模型、模板、配置等信息。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18.4）查看发布：支持对已发布大屏的展示链接，对外开放工程大屏进行查看展示。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18.5）删除工程：支持删除选中工程的功能。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18.6）编辑工程：编辑工程前支持查看工程预览、显示场景列表，新建场景、场景布局、场景编辑和删除等功能。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18.7）场景区：支持场景列表查看、新建场景、修改场景和删除场景功能。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18.8）视图工具：支持11:1视图展示、满宽视图、满高视图、比例滑块等功能。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18.9）属性面板：支持添加事件触发方式、添加事件类型、添加事件执行结果等功能。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18.10）头部功能区：支持编辑器取消、编辑器预览、编辑器修改、编辑器地图设置、编辑器保存等功能。</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2</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风险要素应用</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1、重点人员总览</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应包含人员档案统计、人员档案列表、重点人员列表等功能。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1.1）人员档案统计：支持人员档案重点人总数、反恐、治安、国保、监管、信访、禁毒、警令、刑侦等重点人统计。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1.2）人员档案列表：支持人员档案按名称、身份证等搜索和相关条件筛选，展示人员档案列，显示人员基本信息、人脸、购票、上网、住宿、移交等轨迹信息。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1.3）重点人员列表：支持展示各地市治安、国保、监管、禁毒、警令、卫健委、反恐、信访、刑侦等重点人员数。</w:t>
            </w:r>
          </w:p>
          <w:p>
            <w:pPr>
              <w:pStyle w:val="style0"/>
              <w:spacing w:lineRule="exact" w:line="400"/>
              <w:jc w:val="left"/>
              <w:rPr>
                <w:rFonts w:ascii="宋体" w:eastAsia="宋体" w:hAnsi="宋体"/>
                <w:kern w:val="0"/>
                <w:szCs w:val="21"/>
              </w:rPr>
            </w:pPr>
            <w:r>
              <w:rPr>
                <w:rFonts w:ascii="宋体" w:eastAsia="宋体" w:hAnsi="宋体" w:hint="eastAsia"/>
                <w:kern w:val="0"/>
                <w:szCs w:val="21"/>
              </w:rPr>
              <w:t>2、重点人员管控状态</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应包含在控人员和失控人员等类别展示、风险等级、责任单位、人员信息等。</w:t>
            </w:r>
          </w:p>
          <w:p>
            <w:pPr>
              <w:pStyle w:val="style0"/>
              <w:spacing w:lineRule="exact" w:line="400"/>
              <w:jc w:val="left"/>
              <w:rPr>
                <w:rFonts w:ascii="宋体" w:eastAsia="宋体" w:hAnsi="宋体"/>
                <w:kern w:val="0"/>
                <w:szCs w:val="21"/>
              </w:rPr>
            </w:pPr>
            <w:r>
              <w:rPr>
                <w:rFonts w:ascii="宋体" w:eastAsia="宋体" w:hAnsi="宋体" w:hint="eastAsia"/>
                <w:kern w:val="0"/>
                <w:szCs w:val="21"/>
              </w:rPr>
              <w:t>2.1）失控人员：支持失控人员类别、风险等级、责任单位、身份基本信息等内容展示。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2.2）在控人员：支持展示在控人员类别、风险等级、责任单位、身份信息等内容。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3、重点人员类型</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应包含对维稳类、吸毒人员、涉恐人员、在逃人员、非访重点人、肇事肇祸等严重精神障碍患者、有严重刑事犯罪嫌疑人员等的类别、风险等级、责任单位、档案的管理，并能够分页展示十四个</w:t>
            </w:r>
            <w:r>
              <w:rPr>
                <w:rFonts w:ascii="宋体" w:eastAsia="宋体" w:hAnsi="宋体" w:hint="eastAsia"/>
                <w:kern w:val="0"/>
                <w:szCs w:val="21"/>
              </w:rPr>
              <w:t>地市的各类重点人员信息。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3.1）维稳类：包含维稳类重点人类别、风险等级、责任单位和人员档案。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3.2）吸毒人员：包含吸毒人员类别、风险等级、责任单位和人员档案。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3.3）涉恐人员：包含涉恐人员类别、风险等级、责任单位和人员档案。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3.4）在逃人员：包含在逃人员类别、风险等级、责任单位和人员档案。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3.5）非访重点人：包含非访重点人员类别、风险等级、责任单位和人员档案。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3.6）肇事肇祸等严重精神障碍患者：包含肇事肇祸等严重精神障碍患者类别、风险等级、责任单位和人员档案。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3.7）有严重刑事犯罪嫌疑：包含有严重刑事犯罪嫌疑人员类别、风险等级、责任单位和人员档案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3.8）重点人员类型列表：展示各地市重点人员类型列表、有严重刑事犯罪嫌疑、肇事肇祸等严重精神障碍患者、非访重点人、在逃人员、涉恐人员、吸毒人员、维稳类重点人数量。</w:t>
            </w:r>
          </w:p>
          <w:p>
            <w:pPr>
              <w:pStyle w:val="style0"/>
              <w:spacing w:lineRule="exact" w:line="400"/>
              <w:jc w:val="left"/>
              <w:rPr>
                <w:rFonts w:ascii="宋体" w:eastAsia="宋体" w:hAnsi="宋体"/>
                <w:kern w:val="0"/>
                <w:szCs w:val="21"/>
              </w:rPr>
            </w:pPr>
            <w:r>
              <w:rPr>
                <w:rFonts w:ascii="宋体" w:eastAsia="宋体" w:hAnsi="宋体" w:hint="eastAsia"/>
                <w:kern w:val="0"/>
                <w:szCs w:val="21"/>
              </w:rPr>
              <w:t>4、重点人员风险等级</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应包含重点人员风险图、低风险、中风险和高风险重点人员情况。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4.1）风险图：风险图表方式横轴纵轴呈现低风险、中风险、高风险情况。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4.2）低风险：展示低风险重点人类别、等级、责任单位和档案。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4.3）中风险：展示中风险重点人类别、等级、责任单位和档案。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4.4）高风险：展示高风险重点人类别、等级、责任单位和档案。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5、重点部位档案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应包含重点部位统计、重点部位档案列表和重点部位列表功能。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5.1）重点部位统计：展示重点场所档案总量、重点建设工程、物储商贸、交通枢纽、基础设施、旅游景点等重点部位统计，并显示柱状图。</w:t>
            </w:r>
          </w:p>
          <w:p>
            <w:pPr>
              <w:pStyle w:val="style0"/>
              <w:spacing w:lineRule="exact" w:line="400"/>
              <w:jc w:val="left"/>
              <w:rPr>
                <w:rFonts w:ascii="宋体" w:eastAsia="宋体" w:hAnsi="宋体"/>
                <w:kern w:val="0"/>
                <w:szCs w:val="21"/>
              </w:rPr>
            </w:pPr>
            <w:r>
              <w:rPr>
                <w:rFonts w:ascii="宋体" w:eastAsia="宋体" w:hAnsi="宋体" w:hint="eastAsia"/>
                <w:kern w:val="0"/>
                <w:szCs w:val="21"/>
              </w:rPr>
              <w:t>5.2）重点部位档案列表：支持按重点部位名称、城市进行搜索，并展示搜索结果列表和查看详情。</w:t>
            </w:r>
          </w:p>
          <w:p>
            <w:pPr>
              <w:pStyle w:val="style0"/>
              <w:spacing w:lineRule="exact" w:line="400"/>
              <w:jc w:val="left"/>
              <w:rPr>
                <w:rFonts w:ascii="宋体" w:eastAsia="宋体" w:hAnsi="宋体"/>
                <w:kern w:val="0"/>
                <w:szCs w:val="21"/>
              </w:rPr>
            </w:pPr>
            <w:r>
              <w:rPr>
                <w:rFonts w:ascii="宋体" w:eastAsia="宋体" w:hAnsi="宋体" w:hint="eastAsia"/>
                <w:kern w:val="0"/>
                <w:szCs w:val="21"/>
              </w:rPr>
              <w:t>5.3）重点部位列表：支持展示各地市重点场所、重点建设工程、物储商贸、交通枢纽、基础设施、旅游景点等数量。</w:t>
            </w:r>
          </w:p>
          <w:p>
            <w:pPr>
              <w:pStyle w:val="style0"/>
              <w:spacing w:lineRule="exact" w:line="400"/>
              <w:jc w:val="left"/>
              <w:rPr>
                <w:rFonts w:ascii="宋体" w:eastAsia="宋体" w:hAnsi="宋体"/>
                <w:kern w:val="0"/>
                <w:szCs w:val="21"/>
              </w:rPr>
            </w:pPr>
            <w:r>
              <w:rPr>
                <w:rFonts w:ascii="宋体" w:eastAsia="宋体" w:hAnsi="宋体" w:hint="eastAsia"/>
                <w:kern w:val="0"/>
                <w:szCs w:val="21"/>
              </w:rPr>
              <w:t>6、重点单位档案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应包含重点单位档案统计、重点单位档案列表和重点单位列表功能。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6.1）重点单位档案统计：展示重点单位总量、高校、加油站、医院、物流、党政机关等统计，并显示柱状图。</w:t>
            </w:r>
          </w:p>
          <w:p>
            <w:pPr>
              <w:pStyle w:val="style0"/>
              <w:spacing w:lineRule="exact" w:line="400"/>
              <w:jc w:val="left"/>
              <w:rPr>
                <w:rFonts w:ascii="宋体" w:eastAsia="宋体" w:hAnsi="宋体"/>
                <w:kern w:val="0"/>
                <w:szCs w:val="21"/>
              </w:rPr>
            </w:pPr>
            <w:r>
              <w:rPr>
                <w:rFonts w:ascii="宋体" w:eastAsia="宋体" w:hAnsi="宋体" w:hint="eastAsia"/>
                <w:kern w:val="0"/>
                <w:szCs w:val="21"/>
              </w:rPr>
              <w:t>6.2）重点单位档案列表：支持按重点单位名称、城市进行搜索，并展示搜索结果列表和查看详情。</w:t>
            </w:r>
          </w:p>
          <w:p>
            <w:pPr>
              <w:pStyle w:val="style0"/>
              <w:spacing w:lineRule="exact" w:line="400"/>
              <w:jc w:val="left"/>
              <w:rPr>
                <w:rFonts w:ascii="宋体" w:eastAsia="宋体" w:hAnsi="宋体"/>
                <w:kern w:val="0"/>
                <w:szCs w:val="21"/>
              </w:rPr>
            </w:pPr>
            <w:r>
              <w:rPr>
                <w:rFonts w:ascii="宋体" w:eastAsia="宋体" w:hAnsi="宋体" w:hint="eastAsia"/>
                <w:kern w:val="0"/>
                <w:szCs w:val="21"/>
              </w:rPr>
              <w:t>6.3）重点单位列表：支持展示十四个地市高校、加油站、医院、物流、党政机关等数量。</w:t>
            </w:r>
          </w:p>
          <w:p>
            <w:pPr>
              <w:pStyle w:val="style0"/>
              <w:spacing w:lineRule="exact" w:line="400"/>
              <w:jc w:val="left"/>
              <w:rPr>
                <w:rFonts w:ascii="宋体" w:eastAsia="宋体" w:hAnsi="宋体"/>
                <w:kern w:val="0"/>
                <w:szCs w:val="21"/>
              </w:rPr>
            </w:pPr>
            <w:r>
              <w:rPr>
                <w:rFonts w:ascii="宋体" w:eastAsia="宋体" w:hAnsi="宋体" w:hint="eastAsia"/>
                <w:kern w:val="0"/>
                <w:szCs w:val="21"/>
              </w:rPr>
              <w:t>7、低小慢飞行器档案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应包含对低小慢档案统计、低小慢档案列表功能。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7.1）低小慢档案统计：支持低小慢档案总量、个人飞行器、企业飞行器数量统计。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7.2）低小慢档案列表：支持按名称、序列号、型号、地址和设备类型进行搜索，展示低小慢档案列表，并可以查看详情。</w:t>
            </w:r>
          </w:p>
          <w:p>
            <w:pPr>
              <w:pStyle w:val="style0"/>
              <w:spacing w:lineRule="exact" w:line="400"/>
              <w:jc w:val="left"/>
              <w:rPr>
                <w:rFonts w:ascii="宋体" w:eastAsia="宋体" w:hAnsi="宋体"/>
                <w:kern w:val="0"/>
                <w:szCs w:val="21"/>
              </w:rPr>
            </w:pPr>
            <w:r>
              <w:rPr>
                <w:rFonts w:ascii="宋体" w:eastAsia="宋体" w:hAnsi="宋体" w:hint="eastAsia"/>
                <w:kern w:val="0"/>
                <w:szCs w:val="21"/>
              </w:rPr>
              <w:t>8、一案三情</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应包含案件、警情、要情、舆情的总数展示和相关的分析统计功能。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8.1）一案三情总数：支持展示一案三情统计总数（案件、警情、要情、舆情）</w:t>
            </w:r>
          </w:p>
          <w:p>
            <w:pPr>
              <w:pStyle w:val="style0"/>
              <w:spacing w:lineRule="exact" w:line="400"/>
              <w:jc w:val="left"/>
              <w:rPr>
                <w:rFonts w:ascii="宋体" w:eastAsia="宋体" w:hAnsi="宋体"/>
                <w:kern w:val="0"/>
                <w:szCs w:val="21"/>
              </w:rPr>
            </w:pPr>
            <w:r>
              <w:rPr>
                <w:rFonts w:ascii="宋体" w:eastAsia="宋体" w:hAnsi="宋体" w:hint="eastAsia"/>
                <w:kern w:val="0"/>
                <w:szCs w:val="21"/>
              </w:rPr>
              <w:t>8.2）案件数：包含案件总数、列表、查询、状态、基础信息、处置记录、位置上图、指令信息、指令处置信息等功能。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8.3）要情数：包含要情总数、列表、标签、查询、状态、基础信息等功能。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8.4）警情数：包含警情总数、列表、标签、查询、状态、基础信息、处置记录、位置上图、地址信息、报警记录、报警人信息、辅助分析等功能。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8.5）高发市局：包含高发市局、万人警情数高发、同比增长高发、警情数高发、档案列表查看、地图查看等功能。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8.6）高发部位：包含高发部位标绘、高发部位列表、上图、详情等功能。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8.7）高发地址：包含高发地址档案创建、高发地址档案列表、高发地址档案分析、高发地址档案研判等功能。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8.8）高发警情类型：包含高发类别、类型、细类、子类分析功能。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8.9）高发警情类型详情：包含专题警情列表、查询、聚合上图、</w:t>
            </w:r>
            <w:r>
              <w:rPr>
                <w:rFonts w:ascii="宋体" w:eastAsia="宋体" w:hAnsi="宋体" w:hint="eastAsia"/>
                <w:kern w:val="0"/>
                <w:szCs w:val="21"/>
              </w:rPr>
              <w:t>四色图、热力图、蜂窝图、高发分类档案、档案查看等功能。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8.10）多报号码：包含多报号码档案创建、列表、多报号码档案分析登功能。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8.11）多报人员：包含多报人员档案创建、列表、档案分析等功能。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8.12）警情搜索：支持警情、人员、车辆的各类条件搜索功能，并展示搜索结果和详情。</w:t>
            </w:r>
          </w:p>
          <w:p>
            <w:pPr>
              <w:pStyle w:val="style0"/>
              <w:spacing w:lineRule="exact" w:line="400"/>
              <w:jc w:val="left"/>
              <w:rPr>
                <w:rFonts w:ascii="宋体" w:eastAsia="宋体" w:hAnsi="宋体"/>
                <w:kern w:val="0"/>
                <w:szCs w:val="21"/>
              </w:rPr>
            </w:pPr>
            <w:r>
              <w:rPr>
                <w:rFonts w:ascii="宋体" w:eastAsia="宋体" w:hAnsi="宋体" w:hint="eastAsia"/>
                <w:kern w:val="0"/>
                <w:szCs w:val="21"/>
              </w:rPr>
              <w:t>8.13）安保期警情统计：支持统计安保期间的总警情数、刑事治安未立案数、其他警情未立案数、刑事警情立案数、治安警情立案数、其他警情立案、立案规范率、刑事未破案、治安未破案、刑事新增破案数、治安新增破案数、刑事朝发夕破、治安朝发夕破、刑事警情转治安案件等统计，并支持excel导出。</w:t>
            </w:r>
          </w:p>
          <w:p>
            <w:pPr>
              <w:pStyle w:val="style0"/>
              <w:spacing w:lineRule="exact" w:line="400"/>
              <w:jc w:val="left"/>
              <w:rPr>
                <w:rFonts w:ascii="宋体" w:eastAsia="宋体" w:hAnsi="宋体"/>
                <w:kern w:val="0"/>
                <w:szCs w:val="21"/>
              </w:rPr>
            </w:pPr>
            <w:r>
              <w:rPr>
                <w:rFonts w:ascii="宋体" w:eastAsia="宋体" w:hAnsi="宋体" w:hint="eastAsia"/>
                <w:kern w:val="0"/>
                <w:szCs w:val="21"/>
              </w:rPr>
              <w:t>8.14）警情专题：支持刑事警情、盗窃两电、盗窃手机、入室盗窃、缉查数量、重复犯罪率等警情专题统计，并支持同比环比分析。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8.15）破案专题：支持刑事警情、治安警情、盗窃两电、盗窃手机、入室盗窃等警情的破案专题。</w:t>
            </w:r>
          </w:p>
          <w:p>
            <w:pPr>
              <w:pStyle w:val="style0"/>
              <w:spacing w:lineRule="exact" w:line="400"/>
              <w:jc w:val="left"/>
              <w:rPr>
                <w:rFonts w:ascii="宋体" w:eastAsia="宋体" w:hAnsi="宋体"/>
                <w:kern w:val="0"/>
                <w:szCs w:val="21"/>
              </w:rPr>
            </w:pPr>
            <w:r>
              <w:rPr>
                <w:rFonts w:ascii="宋体" w:eastAsia="宋体" w:hAnsi="宋体" w:hint="eastAsia"/>
                <w:kern w:val="0"/>
                <w:szCs w:val="21"/>
              </w:rPr>
              <w:t>8.16）警案分析：支持对涉警案的手机、电动车、电瓶，涉警情的两电、盗窃手机、入室盗窃，以及涉案件的两电、盗窃手机、入室盗窃、电诈等进行统计分析，并支持对刑事嫌疑人、行政嫌疑人和重复犯罪进行分类统计和对比。</w:t>
            </w:r>
          </w:p>
          <w:p>
            <w:pPr>
              <w:pStyle w:val="style0"/>
              <w:spacing w:lineRule="exact" w:line="400"/>
              <w:jc w:val="left"/>
              <w:rPr>
                <w:rFonts w:ascii="宋体" w:eastAsia="宋体" w:hAnsi="宋体"/>
                <w:kern w:val="0"/>
                <w:szCs w:val="21"/>
              </w:rPr>
            </w:pPr>
            <w:r>
              <w:rPr>
                <w:rFonts w:ascii="宋体" w:eastAsia="宋体" w:hAnsi="宋体" w:hint="eastAsia"/>
                <w:kern w:val="0"/>
                <w:szCs w:val="21"/>
              </w:rPr>
              <w:t>8.17）专题库：包含警情类型分组、新建、修改、删除和查询专题库信息。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8.18）数据查询：提供数据查询能力，可直接使用自定义的专题库进行数据查询统计，可按日、周、月、季以及自定义时间段进行数据查询统计。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8.19）警情分析报告：可设置日报、周边、月报、季报以及自定义日期时间区间的报告模板，生成的分析研判报告可自动生成并进行编辑、发布、下载。</w:t>
            </w:r>
          </w:p>
          <w:p>
            <w:pPr>
              <w:pStyle w:val="style0"/>
              <w:spacing w:lineRule="exact" w:line="400"/>
              <w:jc w:val="left"/>
              <w:rPr>
                <w:rFonts w:ascii="宋体" w:eastAsia="宋体" w:hAnsi="宋体"/>
                <w:kern w:val="0"/>
                <w:szCs w:val="21"/>
              </w:rPr>
            </w:pPr>
            <w:r>
              <w:rPr>
                <w:rFonts w:ascii="宋体" w:eastAsia="宋体" w:hAnsi="宋体" w:hint="eastAsia"/>
                <w:kern w:val="0"/>
                <w:szCs w:val="21"/>
              </w:rPr>
              <w:t>8.20）舆情数：支持展示舆情总数、舆情列表、标签、查询状态和基础信息等功能。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9、重点车辆档案</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应包含重点车辆档案统计、重点车辆档案列表和重点车辆态势等功能。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9.1）重点车辆档案统计：包含重点车辆档案总数、公路客运车</w:t>
            </w:r>
            <w:r>
              <w:rPr>
                <w:rFonts w:ascii="宋体" w:eastAsia="宋体" w:hAnsi="宋体" w:hint="eastAsia"/>
                <w:kern w:val="0"/>
                <w:szCs w:val="21"/>
              </w:rPr>
              <w:t>辆、危化品运输车辆、旅游客运车辆的分析和统计功能。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9.2）重点车辆档案列表：支持按车牌号、管辖单位、类别等条件搜索和筛选，并显示车辆档案列表，包含车辆基本信息和详情，并可以查看3小时、12小时、1天、7天、30天的轨迹，可在地图上展示轨迹。</w:t>
            </w:r>
          </w:p>
          <w:p>
            <w:pPr>
              <w:pStyle w:val="style0"/>
              <w:spacing w:lineRule="exact" w:line="400"/>
              <w:jc w:val="left"/>
              <w:rPr>
                <w:rFonts w:ascii="宋体" w:eastAsia="宋体" w:hAnsi="宋体"/>
                <w:kern w:val="0"/>
                <w:szCs w:val="21"/>
              </w:rPr>
            </w:pPr>
            <w:r>
              <w:rPr>
                <w:rFonts w:ascii="宋体" w:eastAsia="宋体" w:hAnsi="宋体" w:hint="eastAsia"/>
                <w:kern w:val="0"/>
                <w:szCs w:val="21"/>
              </w:rPr>
              <w:t>9.3）重点车辆态势：包含重点车辆分析筛选条件、档案总数、档案类别，可在地图上撒点。</w:t>
            </w:r>
          </w:p>
          <w:p>
            <w:pPr>
              <w:pStyle w:val="style0"/>
              <w:spacing w:lineRule="exact" w:line="400"/>
              <w:jc w:val="left"/>
              <w:rPr>
                <w:rFonts w:ascii="宋体" w:eastAsia="宋体" w:hAnsi="宋体"/>
                <w:kern w:val="0"/>
                <w:szCs w:val="21"/>
              </w:rPr>
            </w:pPr>
            <w:r>
              <w:rPr>
                <w:rFonts w:ascii="宋体" w:eastAsia="宋体" w:hAnsi="宋体" w:hint="eastAsia"/>
                <w:kern w:val="0"/>
                <w:szCs w:val="21"/>
              </w:rPr>
              <w:t>10、危爆品</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应包含危爆品档案统计、危爆品档案列表、危爆品单位态势、危爆品单位列表等。</w:t>
            </w:r>
          </w:p>
          <w:p>
            <w:pPr>
              <w:pStyle w:val="style0"/>
              <w:spacing w:lineRule="exact" w:line="400"/>
              <w:jc w:val="left"/>
              <w:rPr>
                <w:rFonts w:ascii="宋体" w:eastAsia="宋体" w:hAnsi="宋体"/>
                <w:kern w:val="0"/>
                <w:szCs w:val="21"/>
              </w:rPr>
            </w:pPr>
            <w:r>
              <w:rPr>
                <w:rFonts w:ascii="宋体" w:eastAsia="宋体" w:hAnsi="宋体" w:hint="eastAsia"/>
                <w:kern w:val="0"/>
                <w:szCs w:val="21"/>
              </w:rPr>
              <w:t>10.1）危爆品档案统计：对危爆品形态分类、制爆固体、制爆液体、剧毒固体、剧毒液体、放射源固体、放射源液体进行分析和统计。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10.2）危爆品档案列表：支持按危爆品名称、管辖单位进行搜索，并显示搜索结果。</w:t>
            </w:r>
          </w:p>
          <w:p>
            <w:pPr>
              <w:pStyle w:val="style0"/>
              <w:spacing w:lineRule="exact" w:line="400"/>
              <w:jc w:val="left"/>
              <w:rPr>
                <w:rFonts w:ascii="宋体" w:eastAsia="宋体" w:hAnsi="宋体"/>
                <w:kern w:val="0"/>
                <w:szCs w:val="21"/>
              </w:rPr>
            </w:pPr>
            <w:r>
              <w:rPr>
                <w:rFonts w:ascii="宋体" w:eastAsia="宋体" w:hAnsi="宋体" w:hint="eastAsia"/>
                <w:kern w:val="0"/>
                <w:szCs w:val="21"/>
              </w:rPr>
              <w:t>10.3）危爆品单位态势：支持按危爆品单位筛选，统计单位态势档案总数和地图撒点图。</w:t>
            </w:r>
          </w:p>
          <w:p>
            <w:pPr>
              <w:pStyle w:val="style0"/>
              <w:spacing w:lineRule="exact" w:line="400"/>
              <w:jc w:val="left"/>
              <w:rPr>
                <w:rFonts w:ascii="宋体" w:eastAsia="宋体" w:hAnsi="宋体"/>
                <w:kern w:val="0"/>
                <w:szCs w:val="21"/>
              </w:rPr>
            </w:pPr>
            <w:r>
              <w:rPr>
                <w:rFonts w:ascii="宋体" w:eastAsia="宋体" w:hAnsi="宋体" w:hint="eastAsia"/>
                <w:kern w:val="0"/>
                <w:szCs w:val="21"/>
              </w:rPr>
              <w:t>10.4）危爆品单位列表：支持按危爆品单位名称、管辖单位、类别等条件进行搜索，并线索搜索列表和查看详情。</w:t>
            </w:r>
          </w:p>
          <w:p>
            <w:pPr>
              <w:pStyle w:val="style0"/>
              <w:spacing w:lineRule="exact" w:line="400"/>
              <w:jc w:val="left"/>
              <w:rPr>
                <w:rFonts w:ascii="宋体" w:eastAsia="宋体" w:hAnsi="宋体"/>
                <w:kern w:val="0"/>
                <w:szCs w:val="21"/>
              </w:rPr>
            </w:pPr>
            <w:r>
              <w:rPr>
                <w:rFonts w:ascii="宋体" w:eastAsia="宋体" w:hAnsi="宋体" w:hint="eastAsia"/>
                <w:kern w:val="0"/>
                <w:szCs w:val="21"/>
              </w:rPr>
              <w:t>11、民爆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应包含民爆品档案统计、民爆品档案列表、民爆单位态势、民爆单位详情、民爆列表页等。</w:t>
            </w:r>
          </w:p>
          <w:p>
            <w:pPr>
              <w:pStyle w:val="style0"/>
              <w:spacing w:lineRule="exact" w:line="400"/>
              <w:jc w:val="left"/>
              <w:rPr>
                <w:rFonts w:ascii="宋体" w:eastAsia="宋体" w:hAnsi="宋体"/>
                <w:kern w:val="0"/>
                <w:szCs w:val="21"/>
              </w:rPr>
            </w:pPr>
            <w:r>
              <w:rPr>
                <w:rFonts w:ascii="宋体" w:eastAsia="宋体" w:hAnsi="宋体" w:hint="eastAsia"/>
                <w:kern w:val="0"/>
                <w:szCs w:val="21"/>
              </w:rPr>
              <w:t>11.1）民爆品档案统计：支持对炸药、导爆锁、雷管、索类、硝酸铵、汽油、传爆管、乳化品、起爆具、导爆管进行分析统计。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11.2）民爆品档案列表：支持对民爆品按名称、管辖单位进行搜索，并显示查询列表。</w:t>
            </w:r>
          </w:p>
          <w:p>
            <w:pPr>
              <w:pStyle w:val="style0"/>
              <w:spacing w:lineRule="exact" w:line="400"/>
              <w:jc w:val="left"/>
              <w:rPr>
                <w:rFonts w:ascii="宋体" w:eastAsia="宋体" w:hAnsi="宋体"/>
                <w:kern w:val="0"/>
                <w:szCs w:val="21"/>
              </w:rPr>
            </w:pPr>
            <w:r>
              <w:rPr>
                <w:rFonts w:ascii="宋体" w:eastAsia="宋体" w:hAnsi="宋体" w:hint="eastAsia"/>
                <w:kern w:val="0"/>
                <w:szCs w:val="21"/>
              </w:rPr>
              <w:t>11.3）民爆单位态势：支持按民爆类型、各地市单位筛选民爆单位，并统计总数和地图撒点。</w:t>
            </w:r>
          </w:p>
          <w:p>
            <w:pPr>
              <w:pStyle w:val="style0"/>
              <w:spacing w:lineRule="exact" w:line="400"/>
              <w:jc w:val="left"/>
              <w:rPr>
                <w:rFonts w:ascii="宋体" w:eastAsia="宋体" w:hAnsi="宋体"/>
                <w:kern w:val="0"/>
                <w:szCs w:val="21"/>
              </w:rPr>
            </w:pPr>
            <w:r>
              <w:rPr>
                <w:rFonts w:ascii="宋体" w:eastAsia="宋体" w:hAnsi="宋体" w:hint="eastAsia"/>
                <w:kern w:val="0"/>
                <w:szCs w:val="21"/>
              </w:rPr>
              <w:t>11.4）民爆单位列表：支持民爆单位的筛选条件和民爆单位列表展示。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11.5）民爆单位详情：支持显示单位详情和民爆单位视频。</w:t>
            </w:r>
          </w:p>
          <w:p>
            <w:pPr>
              <w:pStyle w:val="style0"/>
              <w:spacing w:lineRule="exact" w:line="400"/>
              <w:jc w:val="left"/>
              <w:rPr>
                <w:rFonts w:ascii="宋体" w:eastAsia="宋体" w:hAnsi="宋体"/>
                <w:kern w:val="0"/>
                <w:szCs w:val="21"/>
              </w:rPr>
            </w:pPr>
            <w:r>
              <w:rPr>
                <w:rFonts w:ascii="宋体" w:eastAsia="宋体" w:hAnsi="宋体" w:hint="eastAsia"/>
                <w:kern w:val="0"/>
                <w:szCs w:val="21"/>
              </w:rPr>
              <w:t>11.6）民爆列表页：支持展示十四个地市的炸药、导爆锁、雷管、索类、硝酸铵、汽油、传爆管、乳化品、起爆具、导爆管存储量统计。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12、风险要素上图</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应包含重点人员上图、重点部位上图、重点单位上图、民爆信息上图等功能。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12.1）重点人员上图：支持涉恐、维稳类、严重刑事犯罪嫌疑重点人、在逃人员、非访重点人、吸毒人员、肇事肇祸严重精神障碍患者等重点人员上图和查看详情。</w:t>
            </w:r>
          </w:p>
          <w:p>
            <w:pPr>
              <w:pStyle w:val="style0"/>
              <w:spacing w:lineRule="exact" w:line="400"/>
              <w:jc w:val="left"/>
              <w:rPr>
                <w:rFonts w:ascii="宋体" w:eastAsia="宋体" w:hAnsi="宋体"/>
                <w:kern w:val="0"/>
                <w:szCs w:val="21"/>
              </w:rPr>
            </w:pPr>
            <w:r>
              <w:rPr>
                <w:rFonts w:ascii="宋体" w:eastAsia="宋体" w:hAnsi="宋体" w:hint="eastAsia"/>
                <w:kern w:val="0"/>
                <w:szCs w:val="21"/>
              </w:rPr>
              <w:t>12.2）重点部位上图：支持重点建设工程、物储商贸、交通枢纽、基础设施、旅游景点等重点部位的上图和查看详情。</w:t>
            </w:r>
          </w:p>
          <w:p>
            <w:pPr>
              <w:pStyle w:val="style0"/>
              <w:spacing w:lineRule="exact" w:line="400"/>
              <w:jc w:val="left"/>
              <w:rPr>
                <w:rFonts w:ascii="宋体" w:eastAsia="宋体" w:hAnsi="宋体"/>
                <w:kern w:val="0"/>
                <w:szCs w:val="21"/>
              </w:rPr>
            </w:pPr>
            <w:r>
              <w:rPr>
                <w:rFonts w:ascii="宋体" w:eastAsia="宋体" w:hAnsi="宋体" w:hint="eastAsia"/>
                <w:kern w:val="0"/>
                <w:szCs w:val="21"/>
              </w:rPr>
              <w:t>12.3）重点单位上图：支持高校、加油站、医院、物流、党政机关等重点部位的上图和查看详情。</w:t>
            </w:r>
          </w:p>
          <w:p>
            <w:pPr>
              <w:pStyle w:val="style0"/>
              <w:spacing w:lineRule="exact" w:line="400"/>
              <w:jc w:val="left"/>
              <w:rPr>
                <w:rFonts w:ascii="宋体" w:eastAsia="宋体" w:hAnsi="宋体"/>
                <w:kern w:val="0"/>
                <w:szCs w:val="21"/>
              </w:rPr>
            </w:pPr>
            <w:r>
              <w:rPr>
                <w:rFonts w:ascii="宋体" w:eastAsia="宋体" w:hAnsi="宋体" w:hint="eastAsia"/>
                <w:kern w:val="0"/>
                <w:szCs w:val="21"/>
              </w:rPr>
              <w:t>12.4）民爆信息上图：支持对十四个地址的炸药、导爆锁、雷管、索类、硝酸铵、汽油、传爆管、乳化品、起爆具、导爆管进行图上展示。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13、资源入口</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应包含分组导航、分组列表功能。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13.1） 分组导航，支持以导航方式显示资源分组，点击导航可快速定位到对应的资源分组。</w:t>
            </w:r>
          </w:p>
          <w:p>
            <w:pPr>
              <w:pStyle w:val="style0"/>
              <w:spacing w:lineRule="exact" w:line="400"/>
              <w:jc w:val="left"/>
              <w:rPr>
                <w:rFonts w:ascii="宋体" w:eastAsia="宋体" w:hAnsi="宋体"/>
                <w:kern w:val="0"/>
                <w:szCs w:val="21"/>
              </w:rPr>
            </w:pPr>
            <w:r>
              <w:rPr>
                <w:rFonts w:ascii="宋体" w:eastAsia="宋体" w:hAnsi="宋体" w:hint="eastAsia"/>
                <w:kern w:val="0"/>
                <w:szCs w:val="21"/>
              </w:rPr>
              <w:t>13.2） 分组列表，支持以卡片方式显示分组内各类资源，支持统计显示资源条数。</w:t>
            </w:r>
          </w:p>
          <w:p>
            <w:pPr>
              <w:pStyle w:val="style0"/>
              <w:spacing w:lineRule="exact" w:line="400"/>
              <w:jc w:val="left"/>
              <w:rPr>
                <w:rFonts w:ascii="宋体" w:eastAsia="宋体" w:hAnsi="宋体"/>
                <w:kern w:val="0"/>
                <w:szCs w:val="21"/>
              </w:rPr>
            </w:pPr>
            <w:r>
              <w:rPr>
                <w:rFonts w:ascii="宋体" w:eastAsia="宋体" w:hAnsi="宋体" w:hint="eastAsia"/>
                <w:kern w:val="0"/>
                <w:szCs w:val="21"/>
              </w:rPr>
              <w:t>14、基础资源</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应包含重点单位管理、行政区划、标准地址、辖区管理等。</w:t>
            </w:r>
          </w:p>
          <w:p>
            <w:pPr>
              <w:pStyle w:val="style0"/>
              <w:spacing w:lineRule="exact" w:line="400"/>
              <w:jc w:val="left"/>
              <w:rPr>
                <w:rFonts w:ascii="宋体" w:eastAsia="宋体" w:hAnsi="宋体"/>
                <w:kern w:val="0"/>
                <w:szCs w:val="21"/>
              </w:rPr>
            </w:pPr>
            <w:r>
              <w:rPr>
                <w:rFonts w:ascii="宋体" w:eastAsia="宋体" w:hAnsi="宋体" w:hint="eastAsia"/>
                <w:kern w:val="0"/>
                <w:szCs w:val="21"/>
              </w:rPr>
              <w:t>14.1） 重点单位管理：应包含重点单位数据信息、分类管理、分类查询、列表模式、地图模式、查询、新增、查看、编辑、删除、批量删除、数据导出、导入等功能。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14.2） 行政区划：应包含行政区划列表、编辑、辖区编辑器等功能。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14.3） 标准地址：应包含标准地址列表模式、地图模式、标准地址新增、查看、编辑、删除、批量删除、数据导出、导入等功能。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14.4） 辖区管理：应包含组织机构列表、辖区列表、辖区编辑、辖区编辑器等功能。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15、设备资源</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应包含视频监控管理、警车管理、执法记录仪管理、对讲机管理等功能。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15.1）视频监控管理：应包含外观类型管理、查询；功能类型管理、查询；视频分辨率管理、查询；视频流畅度管理、查询、视</w:t>
            </w:r>
            <w:r>
              <w:rPr>
                <w:rFonts w:ascii="宋体" w:eastAsia="宋体" w:hAnsi="宋体" w:hint="eastAsia"/>
                <w:kern w:val="0"/>
                <w:szCs w:val="21"/>
              </w:rPr>
              <w:t>频监控品牌管理、查询；使用频率管理、查询；视频监控标签管理、查询；视频监控列表模式、地图模式；视频监控目录数据信息、视频监控目录树、目录查询、目录节点新增/编辑/删除；视频监控查询、新增、查看、编辑、删除、批量删除、数据导出、导入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15.2）警车管理：应包含警车品牌查询、管理和维护；警车标签查询、管理和维护；警车查询、管理和维护等功能。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15.3）执法记录仪管理：应包含执法记录仪品牌查询、管理和维护；执法记录仪标签查询、管理和维护；执法记录仪查询、管理和维护等功能。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15.4）对讲机管理：应包含对讲机品牌查询、管理和维护；对讲机标签查询、管理和维护；对讲机查询、管理和维护等功能。</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3</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预警研判应用</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tcPr>
          <w:p>
            <w:pPr>
              <w:pStyle w:val="style0"/>
              <w:spacing w:lineRule="exact" w:line="400"/>
              <w:jc w:val="left"/>
              <w:rPr>
                <w:rFonts w:ascii="宋体" w:eastAsia="宋体" w:hAnsi="宋体"/>
                <w:kern w:val="0"/>
                <w:szCs w:val="21"/>
              </w:rPr>
            </w:pPr>
            <w:r>
              <w:rPr>
                <w:rFonts w:ascii="宋体" w:eastAsia="宋体" w:hAnsi="宋体" w:hint="eastAsia"/>
                <w:kern w:val="0"/>
                <w:szCs w:val="21"/>
              </w:rPr>
              <w:t>1、人员预警</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应包含重点人员预警统计、重点人员预警列表、重点人预警详情、态势统计等功能。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1.1）重点人员预警统计：包含人员预警分析预警总人次统计、人员预警分析高、中、低风险人员预警统计及列表查看，人员预警分析分页展示预警列表、最新预警信息轮播展示。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1.2）重点人员预警列表：支持重点人员预警时间、所属辖区筛选、预警排序、重点人员预警关键字搜索、重点人员预警点位上图、重点人信息展示。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1.3）重点人预警详情：支持查看预警详情基本信息、对比、信息展示、指挥记录、研判、指令信息等功能。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1.4）态势统计：预警态势支持按时间、区域、类别分类、纳管单位等进行筛选，并分析预警趋势、预警来源、常住人口、流动人口等态势。</w:t>
            </w:r>
          </w:p>
          <w:p>
            <w:pPr>
              <w:pStyle w:val="style0"/>
              <w:spacing w:lineRule="exact" w:line="400"/>
              <w:jc w:val="left"/>
              <w:rPr>
                <w:rFonts w:ascii="宋体" w:eastAsia="宋体" w:hAnsi="宋体"/>
                <w:kern w:val="0"/>
                <w:szCs w:val="21"/>
              </w:rPr>
            </w:pPr>
            <w:r>
              <w:rPr>
                <w:rFonts w:ascii="宋体" w:eastAsia="宋体" w:hAnsi="宋体" w:hint="eastAsia"/>
                <w:kern w:val="0"/>
                <w:szCs w:val="21"/>
              </w:rPr>
              <w:t>2、车辆预警</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应包含重点车辆预警统计、重点车辆预警列表、车辆预警详情功能。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2.1）重点车辆预警统计：支持车辆预警、公路车辆、旅游客运车辆、危化品运输车辆、重点人车辆的预警分析和统计，查看预警列表和按时间倒序轮播以及列表查看和态势查看。</w:t>
            </w:r>
          </w:p>
          <w:p>
            <w:pPr>
              <w:pStyle w:val="style0"/>
              <w:spacing w:lineRule="exact" w:line="400"/>
              <w:jc w:val="left"/>
              <w:rPr>
                <w:rFonts w:ascii="宋体" w:eastAsia="宋体" w:hAnsi="宋体"/>
                <w:kern w:val="0"/>
                <w:szCs w:val="21"/>
              </w:rPr>
            </w:pPr>
            <w:r>
              <w:rPr>
                <w:rFonts w:ascii="宋体" w:eastAsia="宋体" w:hAnsi="宋体" w:hint="eastAsia"/>
                <w:kern w:val="0"/>
                <w:szCs w:val="21"/>
              </w:rPr>
              <w:t>2.2）重点车辆预警列表：支持查看预警车辆列表，可以按时间、区域、关键子搜索，支持排序和地图上图展示。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2.3）车辆预警详情：支持展示预警基本信息、预警对比、车辆</w:t>
            </w:r>
            <w:r>
              <w:rPr>
                <w:rFonts w:ascii="宋体" w:eastAsia="宋体" w:hAnsi="宋体" w:hint="eastAsia"/>
                <w:kern w:val="0"/>
                <w:szCs w:val="21"/>
              </w:rPr>
              <w:t>人员信息和管控信息，以及车辆画像。</w:t>
            </w:r>
          </w:p>
          <w:p>
            <w:pPr>
              <w:pStyle w:val="style0"/>
              <w:spacing w:lineRule="exact" w:line="400"/>
              <w:jc w:val="left"/>
              <w:rPr>
                <w:rFonts w:ascii="宋体" w:eastAsia="宋体" w:hAnsi="宋体"/>
                <w:kern w:val="0"/>
                <w:szCs w:val="21"/>
              </w:rPr>
            </w:pPr>
            <w:r>
              <w:rPr>
                <w:rFonts w:ascii="宋体" w:eastAsia="宋体" w:hAnsi="宋体" w:hint="eastAsia"/>
                <w:kern w:val="0"/>
                <w:szCs w:val="21"/>
              </w:rPr>
              <w:t>3、要情预警</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应包含要情预警统计、要情预警列表、要情预警详情等功能。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3.1）要情预警统计：支持要情预警分析和统计，查看分析列表，按时间倒序轮播。</w:t>
            </w:r>
          </w:p>
          <w:p>
            <w:pPr>
              <w:pStyle w:val="style0"/>
              <w:spacing w:lineRule="exact" w:line="400"/>
              <w:jc w:val="left"/>
              <w:rPr>
                <w:rFonts w:ascii="宋体" w:eastAsia="宋体" w:hAnsi="宋体"/>
                <w:kern w:val="0"/>
                <w:szCs w:val="21"/>
              </w:rPr>
            </w:pPr>
            <w:r>
              <w:rPr>
                <w:rFonts w:ascii="宋体" w:eastAsia="宋体" w:hAnsi="宋体" w:hint="eastAsia"/>
                <w:kern w:val="0"/>
                <w:szCs w:val="21"/>
              </w:rPr>
              <w:t>3.2）要情预警列表：支持按时间、区域、关键字进行搜索，预警排序和预警指令下发和预警标记。</w:t>
            </w:r>
          </w:p>
          <w:p>
            <w:pPr>
              <w:pStyle w:val="style0"/>
              <w:spacing w:lineRule="exact" w:line="400"/>
              <w:jc w:val="left"/>
              <w:rPr>
                <w:rFonts w:ascii="宋体" w:eastAsia="宋体" w:hAnsi="宋体"/>
                <w:kern w:val="0"/>
                <w:szCs w:val="21"/>
              </w:rPr>
            </w:pPr>
            <w:r>
              <w:rPr>
                <w:rFonts w:ascii="宋体" w:eastAsia="宋体" w:hAnsi="宋体" w:hint="eastAsia"/>
                <w:kern w:val="0"/>
                <w:szCs w:val="21"/>
              </w:rPr>
              <w:t>3.3）要情预警详情：支持展示要情预警基本信息、来源和要情内容等信息。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4、舆情预警</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应包含舆情预警统计、舆情预警列表、舆情预警详情等功能。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4.1）舆情预警统计：支持舆情预警分析和统计，查看分析列表，按时间倒序轮播。</w:t>
            </w:r>
          </w:p>
          <w:p>
            <w:pPr>
              <w:pStyle w:val="style0"/>
              <w:spacing w:lineRule="exact" w:line="400"/>
              <w:jc w:val="left"/>
              <w:rPr>
                <w:rFonts w:ascii="宋体" w:eastAsia="宋体" w:hAnsi="宋体"/>
                <w:kern w:val="0"/>
                <w:szCs w:val="21"/>
              </w:rPr>
            </w:pPr>
            <w:r>
              <w:rPr>
                <w:rFonts w:ascii="宋体" w:eastAsia="宋体" w:hAnsi="宋体" w:hint="eastAsia"/>
                <w:kern w:val="0"/>
                <w:szCs w:val="21"/>
              </w:rPr>
              <w:t>4.2）舆情预警列表：支持按时间、区域、关键字进行搜索，预警排序和预警指令下发和预警标记。</w:t>
            </w:r>
          </w:p>
          <w:p>
            <w:pPr>
              <w:pStyle w:val="style0"/>
              <w:spacing w:lineRule="exact" w:line="400"/>
              <w:jc w:val="left"/>
              <w:rPr>
                <w:rFonts w:ascii="宋体" w:eastAsia="宋体" w:hAnsi="宋体"/>
                <w:kern w:val="0"/>
                <w:szCs w:val="21"/>
              </w:rPr>
            </w:pPr>
            <w:r>
              <w:rPr>
                <w:rFonts w:ascii="宋体" w:eastAsia="宋体" w:hAnsi="宋体" w:hint="eastAsia"/>
                <w:kern w:val="0"/>
                <w:szCs w:val="21"/>
              </w:rPr>
              <w:t>4.3）舆情预警详情：支持展示舆情预警基本信息、来源和舆情内容等信息。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5、警情预警</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应包含警情预警统计、警情预警列表、警情预警详情、三色预警、地市四色预警、110警情、自接警、警综警情等功能。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5.1）警情预警统计：支持警情预警分析和统计，查看分析列表，按时间倒序轮播。</w:t>
            </w:r>
          </w:p>
          <w:p>
            <w:pPr>
              <w:pStyle w:val="style0"/>
              <w:spacing w:lineRule="exact" w:line="400"/>
              <w:jc w:val="left"/>
              <w:rPr>
                <w:rFonts w:ascii="宋体" w:eastAsia="宋体" w:hAnsi="宋体"/>
                <w:kern w:val="0"/>
                <w:szCs w:val="21"/>
              </w:rPr>
            </w:pPr>
            <w:r>
              <w:rPr>
                <w:rFonts w:ascii="宋体" w:eastAsia="宋体" w:hAnsi="宋体" w:hint="eastAsia"/>
                <w:kern w:val="0"/>
                <w:szCs w:val="21"/>
              </w:rPr>
              <w:t>5.2）警情预警列表：支持按时间、区域、关键字进行搜索，预警排序和预警指令下发和预警标记。</w:t>
            </w:r>
          </w:p>
          <w:p>
            <w:pPr>
              <w:pStyle w:val="style0"/>
              <w:spacing w:lineRule="exact" w:line="400"/>
              <w:jc w:val="left"/>
              <w:rPr>
                <w:rFonts w:ascii="宋体" w:eastAsia="宋体" w:hAnsi="宋体"/>
                <w:kern w:val="0"/>
                <w:szCs w:val="21"/>
              </w:rPr>
            </w:pPr>
            <w:r>
              <w:rPr>
                <w:rFonts w:ascii="宋体" w:eastAsia="宋体" w:hAnsi="宋体" w:hint="eastAsia"/>
                <w:kern w:val="0"/>
                <w:szCs w:val="21"/>
              </w:rPr>
              <w:t>5.3）警情预警详情：支持展示警情预警基本信息、来源和警情内容等信息。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5.4）三色预警：支持红、橙、蓝三个风险等级，并可以根据预警阈值进行汇总统计。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5.5）地市四色预警：支持综合指数、警情数、万人警情数、同比增长等四色预警。</w:t>
            </w:r>
          </w:p>
          <w:p>
            <w:pPr>
              <w:pStyle w:val="style0"/>
              <w:spacing w:lineRule="exact" w:line="400"/>
              <w:jc w:val="left"/>
              <w:rPr>
                <w:rFonts w:ascii="宋体" w:eastAsia="宋体" w:hAnsi="宋体"/>
                <w:kern w:val="0"/>
                <w:szCs w:val="21"/>
              </w:rPr>
            </w:pPr>
            <w:r>
              <w:rPr>
                <w:rFonts w:ascii="宋体" w:eastAsia="宋体" w:hAnsi="宋体" w:hint="eastAsia"/>
                <w:kern w:val="0"/>
                <w:szCs w:val="21"/>
              </w:rPr>
              <w:t>5.6）110警情：包含有效派警、未流入警综、流入警综、刑治警情、非刑治警情等专题警情分析统计。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5.7）自接警：支持自接警专题、非刑治应受立案、非刑治应受立案专题、非刑治警情专题等统计和排名展示。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5.8）警综警情：支持二次确认刑治警情、刑治警情专题、刑治</w:t>
            </w:r>
            <w:r>
              <w:rPr>
                <w:rFonts w:ascii="宋体" w:eastAsia="宋体" w:hAnsi="宋体" w:hint="eastAsia"/>
                <w:kern w:val="0"/>
                <w:szCs w:val="21"/>
              </w:rPr>
              <w:t>警情流入警综、非刑治警情流入警综、刑治警情转警综二次确认非刑治警情、警综非刑治警情应受立案、不应受立案警情、应受立案警情、重点关注警情等功能。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5.9）专题警情：支持纳入当前专题应受立案警情专题、应受立案警情专题、一警多案警情专题、核查中警情专题、排除案件警情专题等功能。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5.10）异常案件：包含刑事已受未立案件专题、非刑治警情受立案专题功能。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5.11）刑事案件抓获破案：包含刑事案件抓获破案、刑事案件未抓获破案、刑事案件立案功能。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5.12）治安案件结案：包含治安案件抓获破案、治安案件未抓获破案、治安案件受案功能。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5.13）抓获破案数：包含总抓获破案、总未抓获破案、总案件受立案功能。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5.14）积案立破：包含受立案数量、抓破非当前时段受立案积案数量、受理历史警情的抓破案数量功能。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5.15）直立案：包含直接受立案件抓获破案、直接受立案件未抓获破案、直接受立案件受立案、直接受立案件打处嫌疑人功能。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5.16）抓获破案：包含抓获破案总数、受立案总数功能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5.17）犯罪嫌疑人：包含总抓获违法犯罪嫌疑人和总打处违法犯罪嫌疑人功能。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5.18）安保期案赃双打：包含活动安保期间受立案但未抓破、抓破未受立、抓破的非当前时段受立的案件功能。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5.19）安保期追赃挽损：包含损失物品案件数、损失物品抓获破案数、返赃案件数功能。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5.20）出入所人员：包含送押人员、不送押人员、应入所人员、实际入所人员、不予收押人员、应出所人员、实际出所人员等统计功能。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5.21）荣誉榜：应包含</w:t>
            </w:r>
            <w:r>
              <w:rPr>
                <w:rFonts w:ascii="宋体" w:eastAsia="宋体" w:hAnsi="宋体"/>
                <w:kern w:val="0"/>
                <w:szCs w:val="21"/>
              </w:rPr>
              <w:t>连续三天零发案分局</w:t>
            </w:r>
            <w:r>
              <w:rPr>
                <w:rFonts w:ascii="宋体" w:eastAsia="宋体" w:hAnsi="宋体" w:hint="eastAsia"/>
                <w:kern w:val="0"/>
                <w:szCs w:val="21"/>
              </w:rPr>
              <w:t>、今日传统盗抢骗案件全破案分县局、一周连续3天零发案或全部朝发夕破派出所等统计功能。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6、案件预警</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应包含案件预警统计、案件预警列表、案件预警详情等功能。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6.1）案件预警统计：支持案件预警分析和统计，查看分析列表，按时间倒序轮播。</w:t>
            </w:r>
          </w:p>
          <w:p>
            <w:pPr>
              <w:pStyle w:val="style0"/>
              <w:spacing w:lineRule="exact" w:line="400"/>
              <w:jc w:val="left"/>
              <w:rPr>
                <w:rFonts w:ascii="宋体" w:eastAsia="宋体" w:hAnsi="宋体"/>
                <w:kern w:val="0"/>
                <w:szCs w:val="21"/>
              </w:rPr>
            </w:pPr>
            <w:r>
              <w:rPr>
                <w:rFonts w:ascii="宋体" w:eastAsia="宋体" w:hAnsi="宋体" w:hint="eastAsia"/>
                <w:kern w:val="0"/>
                <w:szCs w:val="21"/>
              </w:rPr>
              <w:t>6.2）案件预警列表：支持按时间、区域、关键字进行搜索，预警排序和预警指令下发和预警标记。</w:t>
            </w:r>
          </w:p>
          <w:p>
            <w:pPr>
              <w:pStyle w:val="style0"/>
              <w:spacing w:lineRule="exact" w:line="400"/>
              <w:jc w:val="left"/>
              <w:rPr>
                <w:rFonts w:ascii="宋体" w:eastAsia="宋体" w:hAnsi="宋体"/>
                <w:kern w:val="0"/>
                <w:szCs w:val="21"/>
              </w:rPr>
            </w:pPr>
            <w:r>
              <w:rPr>
                <w:rFonts w:ascii="宋体" w:eastAsia="宋体" w:hAnsi="宋体" w:hint="eastAsia"/>
                <w:kern w:val="0"/>
                <w:szCs w:val="21"/>
              </w:rPr>
              <w:t>6.3）案件预警详情：支持展示案件预警基本信息、来源和案件内容等信息。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7、预警研判态势图</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应包含四色预警、图例功能。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7.1）四色预警：支持采用预警四色方式进行精准上图，通过不同颜色直观展示预警级别的差异。</w:t>
            </w:r>
          </w:p>
          <w:p>
            <w:pPr>
              <w:pStyle w:val="style0"/>
              <w:spacing w:lineRule="exact" w:line="400"/>
              <w:jc w:val="left"/>
              <w:rPr>
                <w:rFonts w:ascii="宋体" w:eastAsia="宋体" w:hAnsi="宋体"/>
                <w:kern w:val="0"/>
                <w:szCs w:val="21"/>
              </w:rPr>
            </w:pPr>
            <w:r>
              <w:rPr>
                <w:rFonts w:ascii="宋体" w:eastAsia="宋体" w:hAnsi="宋体" w:hint="eastAsia"/>
                <w:kern w:val="0"/>
                <w:szCs w:val="21"/>
              </w:rPr>
              <w:t>7.2）图例：支持针对人员、车辆、警情、案件、要情预警用不同的图例进行直观展示。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8、研判一张图</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配置项管理、配置项基本信息、底图配置、地图配置组件、地图控制组件、地图状态栏组件、地图测量组件、地图标绘组件、综合查询组件、业务图层组件、前端组件库、地图服务集成、多源数据接入、地图定位、交互操作、环绕飞行、地图控件、测量、要素绘制、要素编辑、军事标绘、事件、信息属性框、客户端图层、三维模型集成、通用组件等空间研判相关功能，为后续的决策和处置提供有力支持。</w:t>
            </w:r>
          </w:p>
          <w:p>
            <w:pPr>
              <w:pStyle w:val="style0"/>
              <w:spacing w:lineRule="exact" w:line="400"/>
              <w:jc w:val="left"/>
              <w:rPr>
                <w:rFonts w:ascii="宋体" w:eastAsia="宋体" w:hAnsi="宋体"/>
                <w:kern w:val="0"/>
                <w:szCs w:val="21"/>
              </w:rPr>
            </w:pPr>
            <w:r>
              <w:rPr>
                <w:rFonts w:ascii="宋体" w:eastAsia="宋体" w:hAnsi="宋体" w:hint="eastAsia"/>
                <w:kern w:val="0"/>
                <w:szCs w:val="21"/>
              </w:rPr>
              <w:t>8.1）配置项管理：支持一张图配置项增删改查、复制、预览、导出等功能。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8.2）配置项基本信息：支持配置项基本信息的维护。</w:t>
            </w:r>
          </w:p>
          <w:p>
            <w:pPr>
              <w:pStyle w:val="style0"/>
              <w:spacing w:lineRule="exact" w:line="400"/>
              <w:jc w:val="left"/>
              <w:rPr>
                <w:rFonts w:ascii="宋体" w:eastAsia="宋体" w:hAnsi="宋体"/>
                <w:kern w:val="0"/>
                <w:szCs w:val="21"/>
              </w:rPr>
            </w:pPr>
            <w:r>
              <w:rPr>
                <w:rFonts w:ascii="宋体" w:eastAsia="宋体" w:hAnsi="宋体" w:hint="eastAsia"/>
                <w:kern w:val="0"/>
                <w:szCs w:val="21"/>
              </w:rPr>
              <w:t>8.3）底图配置：包含地图底图组件显示、图层、专题图层、地形图层、图层类别等配置。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8.4）地图配置组件：支持地图默认视角、三维特性配置。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8.5）地图控制组件：支持地图组件显示、地图组件交互功能等组件控制。</w:t>
            </w:r>
          </w:p>
          <w:p>
            <w:pPr>
              <w:pStyle w:val="style0"/>
              <w:spacing w:lineRule="exact" w:line="400"/>
              <w:jc w:val="left"/>
              <w:rPr>
                <w:rFonts w:ascii="宋体" w:eastAsia="宋体" w:hAnsi="宋体"/>
                <w:kern w:val="0"/>
                <w:szCs w:val="21"/>
              </w:rPr>
            </w:pPr>
            <w:r>
              <w:rPr>
                <w:rFonts w:ascii="宋体" w:eastAsia="宋体" w:hAnsi="宋体" w:hint="eastAsia"/>
                <w:kern w:val="0"/>
                <w:szCs w:val="21"/>
              </w:rPr>
              <w:t>8.6）地图状态栏组件：支持地图状态显示配置和地图状态组件功能。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8.7）地图测量组件：支持测量组件显示配置和地图测量组件功能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8.8）地图标绘组件：支持地图标绘组件显示和地图标绘组件功能。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8.9）综合查询组件：支持综合查询组件显示配置和综合查询组件功能。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8.10）业务图层组件：支持业务组件显示配置和业务组件功能。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8.11）前端组件库：支持样式库组件、基础地图组件和一张图组件功能。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8.12）地图服务集成：支持天地图、PGIS、GeoScene地图、超图、WMS瓦片、WMS服务、TMS瓦片等地图服务集成。</w:t>
            </w:r>
          </w:p>
          <w:p>
            <w:pPr>
              <w:pStyle w:val="style0"/>
              <w:spacing w:lineRule="exact" w:line="400"/>
              <w:jc w:val="left"/>
              <w:rPr>
                <w:rFonts w:ascii="宋体" w:eastAsia="宋体" w:hAnsi="宋体"/>
                <w:kern w:val="0"/>
                <w:szCs w:val="21"/>
              </w:rPr>
            </w:pPr>
            <w:r>
              <w:rPr>
                <w:rFonts w:ascii="宋体" w:eastAsia="宋体" w:hAnsi="宋体" w:hint="eastAsia"/>
                <w:kern w:val="0"/>
                <w:szCs w:val="21"/>
              </w:rPr>
              <w:t>8.13）多源数据接入：支持空间接口、geojson结构、wkt结构数据源接入和坐标转换、投影转换、像素坐标转换。</w:t>
            </w:r>
          </w:p>
          <w:p>
            <w:pPr>
              <w:pStyle w:val="style0"/>
              <w:spacing w:lineRule="exact" w:line="400"/>
              <w:jc w:val="left"/>
              <w:rPr>
                <w:rFonts w:ascii="宋体" w:eastAsia="宋体" w:hAnsi="宋体"/>
                <w:kern w:val="0"/>
                <w:szCs w:val="21"/>
              </w:rPr>
            </w:pPr>
            <w:r>
              <w:rPr>
                <w:rFonts w:ascii="宋体" w:eastAsia="宋体" w:hAnsi="宋体" w:hint="eastAsia"/>
                <w:kern w:val="0"/>
                <w:szCs w:val="21"/>
              </w:rPr>
              <w:t>8.14）地图定位：支持地图默认参数设置、坐标、图层、要素、模型等定位。</w:t>
            </w:r>
          </w:p>
          <w:p>
            <w:pPr>
              <w:pStyle w:val="style0"/>
              <w:spacing w:lineRule="exact" w:line="400"/>
              <w:jc w:val="left"/>
              <w:rPr>
                <w:rFonts w:ascii="宋体" w:eastAsia="宋体" w:hAnsi="宋体"/>
                <w:kern w:val="0"/>
                <w:szCs w:val="21"/>
              </w:rPr>
            </w:pPr>
            <w:r>
              <w:rPr>
                <w:rFonts w:ascii="宋体" w:eastAsia="宋体" w:hAnsi="宋体" w:hint="eastAsia"/>
                <w:kern w:val="0"/>
                <w:szCs w:val="21"/>
              </w:rPr>
              <w:t>8.15）交互操作：支持地图平移、旋转视角、俯仰角调整、放大缩小、视图模式切换功能。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8.16）环绕飞行：支持达到相机位置和目标位置环绕飞行效果。</w:t>
            </w:r>
          </w:p>
          <w:p>
            <w:pPr>
              <w:pStyle w:val="style0"/>
              <w:spacing w:lineRule="exact" w:line="400"/>
              <w:jc w:val="left"/>
              <w:rPr>
                <w:rFonts w:ascii="宋体" w:eastAsia="宋体" w:hAnsi="宋体"/>
                <w:kern w:val="0"/>
                <w:szCs w:val="21"/>
              </w:rPr>
            </w:pPr>
            <w:r>
              <w:rPr>
                <w:rFonts w:ascii="宋体" w:eastAsia="宋体" w:hAnsi="宋体" w:hint="eastAsia"/>
                <w:kern w:val="0"/>
                <w:szCs w:val="21"/>
              </w:rPr>
              <w:t>8.17）地图控件：支持指北针、比例尺、拾取鼠标当前坐标控件。</w:t>
            </w:r>
          </w:p>
          <w:p>
            <w:pPr>
              <w:pStyle w:val="style0"/>
              <w:spacing w:lineRule="exact" w:line="400"/>
              <w:jc w:val="left"/>
              <w:rPr>
                <w:rFonts w:ascii="宋体" w:eastAsia="宋体" w:hAnsi="宋体"/>
                <w:kern w:val="0"/>
                <w:szCs w:val="21"/>
              </w:rPr>
            </w:pPr>
            <w:r>
              <w:rPr>
                <w:rFonts w:ascii="宋体" w:eastAsia="宋体" w:hAnsi="宋体" w:hint="eastAsia"/>
                <w:kern w:val="0"/>
                <w:szCs w:val="21"/>
              </w:rPr>
              <w:t>8.18）测量：支持距离、面积、三角、高度、坡度测量功能。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8.19）要素绘制：支持点、线、多边面、圆面等要素绘制和编辑功能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8.20）军事标绘：支持聚集、带尾箭头、双箭头、闭合曲面、攻击箭头、矩形、弧线、半圆、直线箭头、面类型直箭头、曲线、斜箭头、自由面椭圆、扇形等标绘。</w:t>
            </w:r>
          </w:p>
          <w:p>
            <w:pPr>
              <w:pStyle w:val="style0"/>
              <w:spacing w:lineRule="exact" w:line="400"/>
              <w:jc w:val="left"/>
              <w:rPr>
                <w:rFonts w:ascii="宋体" w:eastAsia="宋体" w:hAnsi="宋体"/>
                <w:kern w:val="0"/>
                <w:szCs w:val="21"/>
              </w:rPr>
            </w:pPr>
            <w:r>
              <w:rPr>
                <w:rFonts w:ascii="宋体" w:eastAsia="宋体" w:hAnsi="宋体" w:hint="eastAsia"/>
                <w:kern w:val="0"/>
                <w:szCs w:val="21"/>
              </w:rPr>
              <w:t>8.21）事件：支持地图对象、图层、要素、覆盖物、组件等事件监听。</w:t>
            </w:r>
          </w:p>
          <w:p>
            <w:pPr>
              <w:pStyle w:val="style0"/>
              <w:spacing w:lineRule="exact" w:line="400"/>
              <w:jc w:val="left"/>
              <w:rPr>
                <w:rFonts w:ascii="宋体" w:eastAsia="宋体" w:hAnsi="宋体"/>
                <w:kern w:val="0"/>
                <w:szCs w:val="21"/>
              </w:rPr>
            </w:pPr>
            <w:r>
              <w:rPr>
                <w:rFonts w:ascii="宋体" w:eastAsia="宋体" w:hAnsi="宋体" w:hint="eastAsia"/>
                <w:kern w:val="0"/>
                <w:szCs w:val="21"/>
              </w:rPr>
              <w:t>8.22）信息属性框：支持地图信息框和提示框功能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8.23）客户端图层：支持客户端点要素、线要素、面要素、静态图片、聚合、热力、立体热力、四色等图层叠加。</w:t>
            </w:r>
          </w:p>
          <w:p>
            <w:pPr>
              <w:pStyle w:val="style0"/>
              <w:spacing w:lineRule="exact" w:line="400"/>
              <w:jc w:val="left"/>
              <w:rPr>
                <w:rFonts w:ascii="宋体" w:eastAsia="宋体" w:hAnsi="宋体"/>
                <w:kern w:val="0"/>
                <w:szCs w:val="21"/>
              </w:rPr>
            </w:pPr>
            <w:r>
              <w:rPr>
                <w:rFonts w:ascii="宋体" w:eastAsia="宋体" w:hAnsi="宋体" w:hint="eastAsia"/>
                <w:kern w:val="0"/>
                <w:szCs w:val="21"/>
              </w:rPr>
              <w:t>8.24）三维模型集成：支持gltf、glb、建筑物白膜、人工建精模、倾斜摄影等模型加载，支持模型剖面、倾斜摄影单体化、地形加载等功能。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8.25）通用组件：支持右键菜单、历史轨迹、周边搜索、点实时移动、区划面、旋转圈、扩散圈、流动墙、光照粒子、火焰、雨、雪、水流、遮罩等效果，支持视频融合、迁徙图、航线图、散点图、统计图，并支持导出pdf格式。</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4</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防范管控应用</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1、入桂通道核查</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应包含入桂通道时间筛选、入桂通道核查详情、检查车辆等功能。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1.1）入桂通道时间筛选：支持今日、昨日、7日、30日核查统计，支持针对活动期间核查统计。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1.2）入桂通道核查详情：支持入桂通道查获人数、检查人员、</w:t>
            </w:r>
            <w:r>
              <w:rPr>
                <w:rFonts w:ascii="宋体" w:eastAsia="宋体" w:hAnsi="宋体" w:hint="eastAsia"/>
                <w:kern w:val="0"/>
                <w:szCs w:val="21"/>
              </w:rPr>
              <w:t>劝返人员统计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1.3）检查车辆：支持入桂通道检车车辆总数、货车车辆、大型客车、小型客车等核查统计。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2、重点单位核查</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应包含重点单位核查筛选、重点单位核查、重点单位运输车核查功能。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2.1）重点单位核查筛选：支持今日、昨日、7日、30日重点单位核查统计，支持针对活动期间重点单位的核查统计。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2.2）重点单位核查：支持按检查单位、整改隐患、核查异常事件进行统计和分析。</w:t>
            </w:r>
          </w:p>
          <w:p>
            <w:pPr>
              <w:pStyle w:val="style0"/>
              <w:spacing w:lineRule="exact" w:line="400"/>
              <w:jc w:val="left"/>
              <w:rPr>
                <w:rFonts w:ascii="宋体" w:eastAsia="宋体" w:hAnsi="宋体"/>
                <w:kern w:val="0"/>
                <w:szCs w:val="21"/>
              </w:rPr>
            </w:pPr>
            <w:r>
              <w:rPr>
                <w:rFonts w:ascii="宋体" w:eastAsia="宋体" w:hAnsi="宋体" w:hint="eastAsia"/>
                <w:kern w:val="0"/>
                <w:szCs w:val="21"/>
              </w:rPr>
              <w:t>2.3）重点单位运输车核查：支持按运输车核查总数、审批许可、不予许可、查处等维度进行统计，实现对重点单位的排查以及重点单位中的车辆排查，并对所排查的数据进行展示。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3、重点人管控</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应包含重点人管控时间筛选、重点人管控、稳控人员等功能。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3.1）重点人管控时间筛选：支持按今日、昨日、7日、30日重点人员核查统计，支持针对活动期间重点人员的核查情况统计。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3.2）重点人管控：支持对可能赴邕、排摸人员、失控人员的分析和统计。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3.3）稳控人员：支持对稳控人员总数、涉疆涉藏、暴恐分子和重性精神病人员的分析统计。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4、社会面巡逻防控</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应包含社会面巡逻防空时间筛选和社会面巡逻防控功能。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4.1）社会面巡逻防空时间筛选：支持按今日、昨日、7日、30日社会面巡逻核查统计，支持针对活动期间社会面巡逻核查情况统计。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4.2）社会面巡逻防控：支持对社会面巡逻防控的盘查人员、抓获在逃人员和抓获嫌疑人员进行分析统计。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5、打击涉爆涉枪</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应包含打击涉爆涉枪时间筛选、打击涉爆涉枪功能。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5.1）打击涉爆涉枪时间筛选：支持按今日、昨日、7日、30日涉爆涉枪核查统计，支持针对活动期间涉爆涉枪核查情况统计。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5.2）打击涉爆涉枪：支持对涉爆涉枪立案案件、处理嫌疑人、收缴枪支等进行分析统计。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6、检查站核查</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应包含检查站核查时间筛选、检查站核查、检查站态势、核查/查获人员、核查/查获车辆、查获物品、各市核查统计、战果详情等功能。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6.1）检查站核查时间筛选：支持按今日、昨日、7日、30日检查站核查统计，支持针对活动期间检查站核查情况统计。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6.2）检查站核查：支持对已查获人员、核查人员总数、已核查车辆数、车辆数、已查获物品总数进行分析和统计。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6.3）检查站态势：支持指定时间段的按全区、环桂、环邕、环城、边境检查站的统计，支持检查站撒点上图、信息展示、民警信息、核查信息等功能，以及活动期间的检查站核查人员、车辆、物品情况，支持检查站视频监控查看。</w:t>
            </w:r>
          </w:p>
          <w:p>
            <w:pPr>
              <w:pStyle w:val="style0"/>
              <w:spacing w:lineRule="exact" w:line="400"/>
              <w:jc w:val="left"/>
              <w:rPr>
                <w:rFonts w:ascii="宋体" w:eastAsia="宋体" w:hAnsi="宋体"/>
                <w:kern w:val="0"/>
                <w:szCs w:val="21"/>
              </w:rPr>
            </w:pPr>
            <w:r>
              <w:rPr>
                <w:rFonts w:ascii="宋体" w:eastAsia="宋体" w:hAnsi="宋体" w:hint="eastAsia"/>
                <w:kern w:val="0"/>
                <w:szCs w:val="21"/>
              </w:rPr>
              <w:t>6.4）核查/查获人员：支持检查站查获人数、核查人数、核查人员的统计和列表展示，并支持人员搜索。</w:t>
            </w:r>
          </w:p>
          <w:p>
            <w:pPr>
              <w:pStyle w:val="style0"/>
              <w:spacing w:lineRule="exact" w:line="400"/>
              <w:jc w:val="left"/>
              <w:rPr>
                <w:rFonts w:ascii="宋体" w:eastAsia="宋体" w:hAnsi="宋体"/>
                <w:kern w:val="0"/>
                <w:szCs w:val="21"/>
              </w:rPr>
            </w:pPr>
            <w:r>
              <w:rPr>
                <w:rFonts w:ascii="宋体" w:eastAsia="宋体" w:hAnsi="宋体" w:hint="eastAsia"/>
                <w:kern w:val="0"/>
                <w:szCs w:val="21"/>
              </w:rPr>
              <w:t>6.5）核查/查获车辆：支持查获车辆、核查车辆统计和列表展示功能，并支持车辆搜索。</w:t>
            </w:r>
          </w:p>
          <w:p>
            <w:pPr>
              <w:pStyle w:val="style0"/>
              <w:spacing w:lineRule="exact" w:line="400"/>
              <w:jc w:val="left"/>
              <w:rPr>
                <w:rFonts w:ascii="宋体" w:eastAsia="宋体" w:hAnsi="宋体"/>
                <w:kern w:val="0"/>
                <w:szCs w:val="21"/>
              </w:rPr>
            </w:pPr>
            <w:r>
              <w:rPr>
                <w:rFonts w:ascii="宋体" w:eastAsia="宋体" w:hAnsi="宋体" w:hint="eastAsia"/>
                <w:kern w:val="0"/>
                <w:szCs w:val="21"/>
              </w:rPr>
              <w:t>6.6）查获物品：支持对查获物品总数和各类物品的分类统计。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6.7） 战果详情：支持各市战果、各市人员战果、各市车辆战果、各市物品战果统计，并可以对今日、7日、30天、自定义时间段进行战果搜索等功能。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7、图层防控态势图</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应包含防控检查站、图例详情、检查站列表等功能。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7.1）防控检查站：支持在地图上展示环桂、环邕、环城和边境检查站分布情况。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7.2）图例详情：支持检查站定位、查看过车、过人数据，对检查站进行筛选和查看责任人及联系方式等详情信息，能够查看实时视频监控。</w:t>
            </w:r>
          </w:p>
          <w:p>
            <w:pPr>
              <w:pStyle w:val="style0"/>
              <w:spacing w:lineRule="exact" w:line="400"/>
              <w:jc w:val="left"/>
              <w:rPr>
                <w:rFonts w:ascii="宋体" w:eastAsia="宋体" w:hAnsi="宋体"/>
                <w:kern w:val="0"/>
                <w:szCs w:val="21"/>
              </w:rPr>
            </w:pPr>
            <w:r>
              <w:rPr>
                <w:rFonts w:ascii="宋体" w:eastAsia="宋体" w:hAnsi="宋体" w:hint="eastAsia"/>
                <w:kern w:val="0"/>
                <w:szCs w:val="21"/>
              </w:rPr>
              <w:t>7.3）检查站列表：支持环桂、环邕、环城以及边境检查站、卡点的搜索、定位、列表和统计信息。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8、核心场馆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应包含核心场馆统计时间筛选、参会人员核查、物品核查、场馆客流、活动保障、保障图例等功能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8.1）核心场馆统计时间筛选：支持今日、昨日、7日、30日的核心场馆数据统计和分析展示。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8.2）参会人员核查：支持参会人员总数、异常人数、人员核查、核查正常异常等信息的搜索、统计、列表和详情展示。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8.3）物品核查：支持核查物品、物品人数、物品正常异常、物品待定的搜索、统计，以及列表和详情展示。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8.4）场馆客流：支持场馆承载量、客流量、进客、出客统计和分析展示。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8.5）活动保障：支持活动核心区预警、单位指令、警力、处置记录的筛选和查看，支持场馆3D切换、视频方案、安保岗点、值班排班人员、警组以及活动保障任务等信息的统计、管理、搜索和列表详情展示。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8.6）保障图例：支持活动保障的圈层、警情、警员、警车、视频、警务通、对讲机、执法记录仪、检查站、重点部位、警务站、岗位、治安卡点、快反圈的图例展示和图上定位，并可以查看详情。</w:t>
            </w:r>
          </w:p>
          <w:p>
            <w:pPr>
              <w:pStyle w:val="style0"/>
              <w:spacing w:lineRule="exact" w:line="400"/>
              <w:jc w:val="left"/>
              <w:rPr>
                <w:rFonts w:ascii="宋体" w:eastAsia="宋体" w:hAnsi="宋体"/>
                <w:kern w:val="0"/>
                <w:szCs w:val="21"/>
              </w:rPr>
            </w:pPr>
            <w:r>
              <w:rPr>
                <w:rFonts w:ascii="宋体" w:eastAsia="宋体" w:hAnsi="宋体" w:hint="eastAsia"/>
                <w:kern w:val="0"/>
                <w:szCs w:val="21"/>
              </w:rPr>
              <w:t>9、应急资源</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应包含队伍管理、人员管理、避灾点管理和车辆管理等功能。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9.1）队伍管理：支持队伍分类管理，包含队伍车辆、装备等信息关联维护，支持分层分级展示和增删改查操作。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9.2）队员管理：支持队员的增删改查管理操作和导入导出功能。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9.3）避灾点管理：支持避灾点分类管理以及避灾点的的增删改查管理操作和导入导出功能。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9.4）车辆管理：持车辆分类管理以及车辆的的增删改查管理操作和导入导出功能。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10、物资资源</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应包含物资清单分类管理、物资清单管理和物资屯放点管理功能。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10.1） 物资清单分类管理：支持物资清单分类信息的增删改查等管理功能和数据导入导出功能。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10.2） 物资清单管理：支持物资清单信息的增删改查等管理功能和数据导入导出功能。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10.3） 物资屯放点管理：支持物资屯放点信息的增删改查等管理功能和数据导入导出功能。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11、智库资源</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应包含知识库、法律库、专家库、案例库的管理及分类管理等功能。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11.1）知识库：支持知识库信息的增删改查等管理功能、统计功能和数据导入导出功能。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11.2）支持法律库的分类管理以及法律库信息的增删改查等管理功能、统计功能和数据导入导出功能。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11.3）支持专家库的分类管理以及专家库信息的增删改查等管理功能、统计功能和数据导入导出功能。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11.4）支持案例库的分类管理以及案例库信息的增删改查等管理功能、统计功能和数据导入导出功能。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12、资源配置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应包含资源分组和资源项配置管理功能。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12.1）资源分组：支持资源分组信息的增删改查等管理功能、列表展示和排序功能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12.2）资源项配置管理：支持资源配置项信息的增删改查等管理功能、列表展示和排序功能。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13、资源接入</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应包含防范管控涉及的给类资源接入及对外服务支撑功能。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13.1）资源接入：支持通过接口、中间件、数据平台等方式分别接入视频数据、定位数据。</w:t>
            </w:r>
          </w:p>
          <w:p>
            <w:pPr>
              <w:pStyle w:val="style0"/>
              <w:spacing w:lineRule="exact" w:line="400"/>
              <w:jc w:val="left"/>
              <w:rPr>
                <w:rFonts w:ascii="宋体" w:eastAsia="宋体" w:hAnsi="宋体"/>
                <w:kern w:val="0"/>
                <w:szCs w:val="21"/>
              </w:rPr>
            </w:pPr>
            <w:r>
              <w:rPr>
                <w:rFonts w:ascii="宋体" w:eastAsia="宋体" w:hAnsi="宋体" w:hint="eastAsia"/>
                <w:kern w:val="0"/>
                <w:szCs w:val="21"/>
              </w:rPr>
              <w:t>13.2）对外服务支撑：支持对外提供资源空间、所属单位、分类、等单类或多类的查询服务。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14、样式库管理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应包含分组目录管理、样式库管理、样式配置功能。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14.1）分组目录管理：支持分组节点目录树维护和分组节点的增删改查等管理功能、列表展示和排序功能。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14.2）样式库管理：支持样式库节点的增删改查等管理功能、列表展示和导入导出功能。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14.3）样式配置：支持图标样式、线样式、面样式、动图样式、标注样式、模型样式等配置功能。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15、图层管理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应包含图库管理、图层组管理和图层管理功能。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15.1）图库管理：支持图库的增删改查等管理功能、列表展示、排序和导入导出功能。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15.2）图层组管理：支持图层组的增删改查等管理功能、列表展示、排序和导入导出功能，支持在任意节点添加图层和图层打开和关闭功能。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15.3）图层管理：支持图层数据展示，以及图层信息、图层数据源数据、图层数据、图层弹窗、图层控制、图层样式等配置功能。</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5</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事件处置应用</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1、图上指挥</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应包含事件总数、事件列表详情、相关人员、相关车辆、相关警情、历史报案记录、拦截目标、预案拦截、卡口拦截、指令信息、卡点上图、触网碰撞、拦截记录、指令接收处置、指挥回溯、专项指挥功能。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1.1）事件总数：支持事件总数、待处置、处置中、已处置的数量统计和分类展示。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1.2）事件列表详情：支持全部、待处理、处置中、已处置的事件列表和排序功能，并展示事件基础信息、标签、状态等信息详情，支持事件地图定位和周边警员、警车、监控、快反圈等资源展示。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1.3）相关人员：支持添加相关人员，可以通过手机号、身份证号进行人员档案获取，可以移除已添加人员。</w:t>
            </w:r>
          </w:p>
          <w:p>
            <w:pPr>
              <w:pStyle w:val="style0"/>
              <w:spacing w:lineRule="exact" w:line="400"/>
              <w:jc w:val="left"/>
              <w:rPr>
                <w:rFonts w:ascii="宋体" w:eastAsia="宋体" w:hAnsi="宋体"/>
                <w:kern w:val="0"/>
                <w:szCs w:val="21"/>
              </w:rPr>
            </w:pPr>
            <w:r>
              <w:rPr>
                <w:rFonts w:ascii="宋体" w:eastAsia="宋体" w:hAnsi="宋体" w:hint="eastAsia"/>
                <w:kern w:val="0"/>
                <w:szCs w:val="21"/>
              </w:rPr>
              <w:t>1.4）相关车辆：支持添加相关车辆，根据车牌号码获取档案信息，移除车辆等功能。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1.5）相关警情：支持根据电话报警和相近地址报警查询。</w:t>
            </w:r>
          </w:p>
          <w:p>
            <w:pPr>
              <w:pStyle w:val="style0"/>
              <w:spacing w:lineRule="exact" w:line="400"/>
              <w:jc w:val="left"/>
              <w:rPr>
                <w:rFonts w:ascii="宋体" w:eastAsia="宋体" w:hAnsi="宋体"/>
                <w:kern w:val="0"/>
                <w:szCs w:val="21"/>
              </w:rPr>
            </w:pPr>
            <w:r>
              <w:rPr>
                <w:rFonts w:ascii="宋体" w:eastAsia="宋体" w:hAnsi="宋体" w:hint="eastAsia"/>
                <w:kern w:val="0"/>
                <w:szCs w:val="21"/>
              </w:rPr>
              <w:t>1.6）历史报案记录：支持报案人员历史报案记录查询展示。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1.7）拦截目标：支持车辆、人员拦截，可以设置多拦截目标。</w:t>
            </w:r>
          </w:p>
          <w:p>
            <w:pPr>
              <w:pStyle w:val="style0"/>
              <w:spacing w:lineRule="exact" w:line="400"/>
              <w:jc w:val="left"/>
              <w:rPr>
                <w:rFonts w:ascii="宋体" w:eastAsia="宋体" w:hAnsi="宋体"/>
                <w:kern w:val="0"/>
                <w:szCs w:val="21"/>
              </w:rPr>
            </w:pPr>
            <w:r>
              <w:rPr>
                <w:rFonts w:ascii="宋体" w:eastAsia="宋体" w:hAnsi="宋体" w:hint="eastAsia"/>
                <w:kern w:val="0"/>
                <w:szCs w:val="21"/>
              </w:rPr>
              <w:t>1.8）预案拦截：支持预案自动推荐、手动查找预案、防线拦截，可以添加、删除、展示卡点，并支持卡点相关人员、单位配置。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1.9）卡口拦截：支持人脸、车辆卡口拦截，可以通过地址查询、框选、圈选、不规则区域选择布控范围，可对布控范围进行编辑。</w:t>
            </w:r>
          </w:p>
          <w:p>
            <w:pPr>
              <w:pStyle w:val="style0"/>
              <w:spacing w:lineRule="exact" w:line="400"/>
              <w:jc w:val="left"/>
              <w:rPr>
                <w:rFonts w:ascii="宋体" w:eastAsia="宋体" w:hAnsi="宋体"/>
                <w:kern w:val="0"/>
                <w:szCs w:val="21"/>
              </w:rPr>
            </w:pPr>
            <w:r>
              <w:rPr>
                <w:rFonts w:ascii="宋体" w:eastAsia="宋体" w:hAnsi="宋体" w:hint="eastAsia"/>
                <w:kern w:val="0"/>
                <w:szCs w:val="21"/>
              </w:rPr>
              <w:t>1.10）指令信息：支持下发拦截指令，快速选取指令内容，支持指令常用短语维护。</w:t>
            </w:r>
          </w:p>
          <w:p>
            <w:pPr>
              <w:pStyle w:val="style0"/>
              <w:spacing w:lineRule="exact" w:line="400"/>
              <w:jc w:val="left"/>
              <w:rPr>
                <w:rFonts w:ascii="宋体" w:eastAsia="宋体" w:hAnsi="宋体"/>
                <w:kern w:val="0"/>
                <w:szCs w:val="21"/>
              </w:rPr>
            </w:pPr>
            <w:r>
              <w:rPr>
                <w:rFonts w:ascii="宋体" w:eastAsia="宋体" w:hAnsi="宋体" w:hint="eastAsia"/>
                <w:kern w:val="0"/>
                <w:szCs w:val="21"/>
              </w:rPr>
              <w:t>1.11）卡点上图：支持卡点上图、警员上图和上图关闭功能。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1.12）触网碰撞：支持一定范围内的触网碰撞自动记录到达情况。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1.13）拦截记录：支持显示拦截记录和关联信息，包括开单警力达到情况和地图展示预警信息。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1.14）指令接收处置：支持新指令接收提醒，显示指令信息、指令签收、到场、反馈等处置，支持附件上传。</w:t>
            </w:r>
          </w:p>
          <w:p>
            <w:pPr>
              <w:pStyle w:val="style0"/>
              <w:spacing w:lineRule="exact" w:line="400"/>
              <w:jc w:val="left"/>
              <w:rPr>
                <w:rFonts w:ascii="宋体" w:eastAsia="宋体" w:hAnsi="宋体"/>
                <w:kern w:val="0"/>
                <w:szCs w:val="21"/>
              </w:rPr>
            </w:pPr>
            <w:r>
              <w:rPr>
                <w:rFonts w:ascii="宋体" w:eastAsia="宋体" w:hAnsi="宋体" w:hint="eastAsia"/>
                <w:kern w:val="0"/>
                <w:szCs w:val="21"/>
              </w:rPr>
              <w:t>1.15）指挥回溯：支持指挥过程统计、预案总结、指挥总结、报告生成和回溯记录等功能。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1.16）专项指挥：支持主城防控、警务片区、一键封控、重点人预警、警情列表等专项行动进行指挥。</w:t>
            </w:r>
          </w:p>
          <w:p>
            <w:pPr>
              <w:pStyle w:val="style0"/>
              <w:spacing w:lineRule="exact" w:line="400"/>
              <w:jc w:val="left"/>
              <w:rPr>
                <w:rFonts w:ascii="宋体" w:eastAsia="宋体" w:hAnsi="宋体"/>
                <w:kern w:val="0"/>
                <w:szCs w:val="21"/>
              </w:rPr>
            </w:pPr>
            <w:r>
              <w:rPr>
                <w:rFonts w:ascii="宋体" w:eastAsia="宋体" w:hAnsi="宋体" w:hint="eastAsia"/>
                <w:kern w:val="0"/>
                <w:szCs w:val="21"/>
              </w:rPr>
              <w:t>2、指令类型</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应包含指令类型统计和单位指令排名统计功能。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2.1）指令类型统计：支持按稳控指令、提示指令、核查指令、多跨指令的分析统计，并以图形化方式展示指令数量变化趋势。</w:t>
            </w:r>
          </w:p>
          <w:p>
            <w:pPr>
              <w:pStyle w:val="style0"/>
              <w:spacing w:lineRule="exact" w:line="400"/>
              <w:jc w:val="left"/>
              <w:rPr>
                <w:rFonts w:ascii="宋体" w:eastAsia="宋体" w:hAnsi="宋体"/>
                <w:kern w:val="0"/>
                <w:szCs w:val="21"/>
              </w:rPr>
            </w:pPr>
            <w:r>
              <w:rPr>
                <w:rFonts w:ascii="宋体" w:eastAsia="宋体" w:hAnsi="宋体" w:hint="eastAsia"/>
                <w:kern w:val="0"/>
                <w:szCs w:val="21"/>
              </w:rPr>
              <w:t>2.2）单位指令排名：支持活动期间各单位的指令签收、办结进行过滤和排序。</w:t>
            </w:r>
          </w:p>
          <w:p>
            <w:pPr>
              <w:pStyle w:val="style0"/>
              <w:spacing w:lineRule="exact" w:line="400"/>
              <w:jc w:val="left"/>
              <w:rPr>
                <w:rFonts w:ascii="宋体" w:eastAsia="宋体" w:hAnsi="宋体"/>
                <w:kern w:val="0"/>
                <w:szCs w:val="21"/>
              </w:rPr>
            </w:pPr>
            <w:r>
              <w:rPr>
                <w:rFonts w:ascii="宋体" w:eastAsia="宋体" w:hAnsi="宋体" w:hint="eastAsia"/>
                <w:kern w:val="0"/>
                <w:szCs w:val="21"/>
              </w:rPr>
              <w:t>3、今日警力</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应包含今日警员、警车、对讲机、单兵、执法仪、警务通和安保设备列表功能。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3.1）今日警员：支持对今日值班警员数量统计和展示。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3.2）今日警车：支持对今日在岗警车数量统计和展示。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3.3）今日对讲机：支持对今日在线对讲机数量统计和展示。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3.4）今日单兵：支持对今日单兵数量统计和展示。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3.5）今日执法仪：支持对今日执法仪数量统计和展示。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3.6）今日警务通：支持对今日警务通数量统计和展示。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3.7）安保设备列表：支持显示警车、警务通、对讲机、执法仪、单兵等安保设备进行查询、列表展示和查看详情。</w:t>
            </w:r>
          </w:p>
          <w:p>
            <w:pPr>
              <w:pStyle w:val="style0"/>
              <w:spacing w:lineRule="exact" w:line="400"/>
              <w:jc w:val="left"/>
              <w:rPr>
                <w:rFonts w:ascii="宋体" w:eastAsia="宋体" w:hAnsi="宋体"/>
                <w:kern w:val="0"/>
                <w:szCs w:val="21"/>
              </w:rPr>
            </w:pPr>
            <w:r>
              <w:rPr>
                <w:rFonts w:ascii="宋体" w:eastAsia="宋体" w:hAnsi="宋体" w:hint="eastAsia"/>
                <w:kern w:val="0"/>
                <w:szCs w:val="21"/>
              </w:rPr>
              <w:t>4、勤务类型</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应包含勤务类型统计功能。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4.1）勤务类型统计：支持地市街面勤务、地市值班勤务、地市专项勤务、勤务统计图等统计功能，以图表形式直观展示各类勤务的统计数据。</w:t>
            </w:r>
          </w:p>
          <w:p>
            <w:pPr>
              <w:pStyle w:val="style0"/>
              <w:spacing w:lineRule="exact" w:line="400"/>
              <w:jc w:val="left"/>
              <w:rPr>
                <w:rFonts w:ascii="宋体" w:eastAsia="宋体" w:hAnsi="宋体"/>
                <w:kern w:val="0"/>
                <w:szCs w:val="21"/>
              </w:rPr>
            </w:pPr>
            <w:r>
              <w:rPr>
                <w:rFonts w:ascii="宋体" w:eastAsia="宋体" w:hAnsi="宋体" w:hint="eastAsia"/>
                <w:kern w:val="0"/>
                <w:szCs w:val="21"/>
              </w:rPr>
              <w:t>5、指挥预案</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应包含指挥预案和突发事件图例功能。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5.1）指挥预案：支持专项预案、单位预案、安保预案统计和展示。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5.2）突发事件图例：支持警情、警员、警车、设备、视频、环城检查站、环桂检查站、环邕检查站、边境检查站、重点部位、重点场所图例和上图等功能。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6、流程管理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应包含流程模版管理、流程任务管理、实例管理、流程应用、流程配置功能。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6.1）流程模版管理：支持流程模板的新增、修改、删除、批量删除和查询、预览功能，查询结果以列表方式展示。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6.2）流程任务管理：支持以卡片方式展示任务列表，查询、查看任务基本信息和当前节点，以及通过时间轴查看。支持对待办</w:t>
            </w:r>
            <w:r>
              <w:rPr>
                <w:rFonts w:ascii="宋体" w:eastAsia="宋体" w:hAnsi="宋体" w:hint="eastAsia"/>
                <w:kern w:val="0"/>
                <w:szCs w:val="21"/>
              </w:rPr>
              <w:t>任务回复、反馈、拒绝、同意、提醒等操作。对已办任务支持查看、撤回操作。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6.3）实例管理：支持任务流程预览查看、放缩操作、实例卡片展示、实例列表展示，支持状态筛选、流程实例预览查看、预览缩放操作等功能。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6.4）流程应用：支持应用流程标签、分类展示，按名称查询应用、可以发起、启动、预览、查看流程等操作。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6.5）流程配置：支持新增、修改禁用、发起、预览、发布流程。支持新增、编辑、删除、预览草稿箱流程。可对流程和草稿箱流程进行查询、列表展示和详情展示。支持流程绘制。</w:t>
            </w:r>
          </w:p>
          <w:p>
            <w:pPr>
              <w:pStyle w:val="style0"/>
              <w:spacing w:lineRule="exact" w:line="400"/>
              <w:jc w:val="left"/>
              <w:rPr>
                <w:rFonts w:ascii="宋体" w:eastAsia="宋体" w:hAnsi="宋体"/>
                <w:kern w:val="0"/>
                <w:szCs w:val="21"/>
              </w:rPr>
            </w:pPr>
            <w:r>
              <w:rPr>
                <w:rFonts w:ascii="宋体" w:eastAsia="宋体" w:hAnsi="宋体" w:hint="eastAsia"/>
                <w:kern w:val="0"/>
                <w:szCs w:val="21"/>
              </w:rPr>
              <w:t>7、任务管理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应包含任务发起、任务中心、任务列表、任务详情、任务操作、任务配置、模板管理、实例管理、运行管理等功能。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7.1）任务发起：支持任务分组、卡片展示、任务列表、按权限过滤展示，手动输入任务信息后发起任务等功能。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7.2）任务中心：支持以图标方式展示可发起任务，支持关键字搜索，展示已配置任务表单和任务流程，可快速发起任务。</w:t>
            </w:r>
          </w:p>
          <w:p>
            <w:pPr>
              <w:pStyle w:val="style0"/>
              <w:spacing w:lineRule="exact" w:line="400"/>
              <w:jc w:val="left"/>
              <w:rPr>
                <w:rFonts w:ascii="宋体" w:eastAsia="宋体" w:hAnsi="宋体"/>
                <w:kern w:val="0"/>
                <w:szCs w:val="21"/>
              </w:rPr>
            </w:pPr>
            <w:r>
              <w:rPr>
                <w:rFonts w:ascii="宋体" w:eastAsia="宋体" w:hAnsi="宋体" w:hint="eastAsia"/>
                <w:kern w:val="0"/>
                <w:szCs w:val="21"/>
              </w:rPr>
              <w:t>7.3）任务列表：支持根据关键字、任务状态、发起人、重要程度、紧急程度、是否收藏、任务类型、发起单位、任务时间等筛选查询任务，支持待办、已办任务展示，支持收藏、取消收藏任务，支持对任务进行标识。支持查询任务列表展示并进行排序。</w:t>
            </w:r>
          </w:p>
          <w:p>
            <w:pPr>
              <w:pStyle w:val="style0"/>
              <w:spacing w:lineRule="exact" w:line="400"/>
              <w:jc w:val="left"/>
              <w:rPr>
                <w:rFonts w:ascii="宋体" w:eastAsia="宋体" w:hAnsi="宋体"/>
                <w:kern w:val="0"/>
                <w:szCs w:val="21"/>
              </w:rPr>
            </w:pPr>
            <w:r>
              <w:rPr>
                <w:rFonts w:ascii="宋体" w:eastAsia="宋体" w:hAnsi="宋体" w:hint="eastAsia"/>
                <w:kern w:val="0"/>
                <w:szCs w:val="21"/>
              </w:rPr>
              <w:t>7.4）任务详情：支持查看任务发起表单详情，不同任务类型匹配不同表单，以时间轴、流程图方式查看全流程及审批记录，支持类型扩展。</w:t>
            </w:r>
          </w:p>
          <w:p>
            <w:pPr>
              <w:pStyle w:val="style0"/>
              <w:spacing w:lineRule="exact" w:line="400"/>
              <w:jc w:val="left"/>
              <w:rPr>
                <w:rFonts w:ascii="宋体" w:eastAsia="宋体" w:hAnsi="宋体"/>
                <w:kern w:val="0"/>
                <w:szCs w:val="21"/>
              </w:rPr>
            </w:pPr>
            <w:r>
              <w:rPr>
                <w:rFonts w:ascii="宋体" w:eastAsia="宋体" w:hAnsi="宋体" w:hint="eastAsia"/>
                <w:kern w:val="0"/>
                <w:szCs w:val="21"/>
              </w:rPr>
              <w:t>7.5）任务操作：支持任务认领、不可认领、归还、签收、回复、反馈、提醒、倒计时提醒、超时提醒、审批、拒绝、退回、抄送、转办、委托、跳转、加签、会签、撤回、撤销、挂起、重启等任务操作。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7.6）任务配置：支持任务以分组、卡片方式展示任务分类，支持添加、移除、修改分组，支持任务分组排序等配置支持对任务处理中的接收操作、审批操作、流转操作、特殊操作进行维护管理等功能。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7.7）模板管理：支持新增、编辑、预览、删除模板管理操作，支持关键字搜索和列表展示。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7.8）实例管理：支持以列表方式分别显示执行中和已结束的任</w:t>
            </w:r>
            <w:r>
              <w:rPr>
                <w:rFonts w:ascii="宋体" w:eastAsia="宋体" w:hAnsi="宋体" w:hint="eastAsia"/>
                <w:kern w:val="0"/>
                <w:szCs w:val="21"/>
              </w:rPr>
              <w:t>务实例，支持查询和实例数据信息展示。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7.9）运行管理：支持对当前运行的任务进行监测统计，支持任务实例和任务节点数量的监测统计，并可以按不同条件进行查询和以列表方式展示所有任务实例。</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6</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督办考评应用</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1、一办七组</w:t>
            </w:r>
          </w:p>
          <w:p>
            <w:pPr>
              <w:pStyle w:val="style0"/>
              <w:spacing w:lineRule="exact" w:line="400"/>
              <w:jc w:val="left"/>
              <w:rPr>
                <w:rFonts w:ascii="宋体" w:eastAsia="宋体" w:hAnsi="宋体"/>
                <w:kern w:val="0"/>
                <w:szCs w:val="21"/>
              </w:rPr>
            </w:pPr>
            <w:r>
              <w:rPr>
                <w:rFonts w:ascii="宋体" w:eastAsia="宋体" w:hAnsi="宋体" w:hint="eastAsia"/>
                <w:kern w:val="0"/>
                <w:szCs w:val="21"/>
              </w:rPr>
              <w:t>1.1）一办七组任务：支持树状图展示“一办七组”组织架构和任务分工；支持指挥部、办公室、情报信息和背景审查组、网络安全组、维稳和社会面管控组、现场保卫及反恐应急处置组、安全生成和消防安全组完成任务数及总任务数统计；支持警务督察组完成任务数统计；</w:t>
            </w:r>
          </w:p>
          <w:p>
            <w:pPr>
              <w:pStyle w:val="style0"/>
              <w:numPr>
                <w:ilvl w:val="0"/>
                <w:numId w:val="5"/>
              </w:numPr>
              <w:spacing w:lineRule="exact" w:line="400"/>
              <w:jc w:val="left"/>
              <w:rPr>
                <w:rFonts w:ascii="宋体" w:eastAsia="宋体" w:hAnsi="宋体"/>
                <w:kern w:val="0"/>
                <w:szCs w:val="21"/>
              </w:rPr>
            </w:pPr>
            <w:r>
              <w:rPr>
                <w:rFonts w:ascii="宋体" w:eastAsia="宋体" w:hAnsi="宋体" w:hint="eastAsia"/>
                <w:kern w:val="0"/>
                <w:szCs w:val="21"/>
              </w:rPr>
              <w:t>重点单位排查情况</w:t>
            </w:r>
          </w:p>
          <w:p>
            <w:pPr>
              <w:pStyle w:val="style0"/>
              <w:spacing w:lineRule="exact" w:line="400"/>
              <w:jc w:val="left"/>
              <w:rPr/>
            </w:pPr>
            <w:r>
              <w:rPr>
                <w:rFonts w:hint="eastAsia"/>
              </w:rPr>
              <w:t>2.1</w:t>
            </w:r>
            <w:r>
              <w:rPr>
                <w:rFonts w:hint="eastAsia"/>
              </w:rPr>
              <w:t>）支持重点单位排查排行榜及重点单位排查比例展示；</w:t>
            </w:r>
          </w:p>
          <w:p>
            <w:pPr>
              <w:pStyle w:val="style0"/>
              <w:numPr>
                <w:ilvl w:val="0"/>
                <w:numId w:val="5"/>
              </w:numPr>
              <w:spacing w:lineRule="exact" w:line="400"/>
              <w:jc w:val="left"/>
              <w:rPr>
                <w:rFonts w:ascii="宋体" w:eastAsia="宋体" w:hAnsi="宋体"/>
                <w:kern w:val="0"/>
                <w:szCs w:val="21"/>
              </w:rPr>
            </w:pPr>
            <w:r>
              <w:rPr>
                <w:rFonts w:ascii="宋体" w:eastAsia="宋体" w:hAnsi="宋体" w:hint="eastAsia"/>
                <w:kern w:val="0"/>
                <w:szCs w:val="21"/>
              </w:rPr>
              <w:t>地市任务</w:t>
            </w:r>
          </w:p>
          <w:p>
            <w:pPr>
              <w:pStyle w:val="style0"/>
              <w:spacing w:lineRule="exact" w:line="400"/>
              <w:jc w:val="left"/>
              <w:rPr>
                <w:rFonts w:ascii="宋体" w:eastAsia="宋体" w:hAnsi="宋体"/>
                <w:kern w:val="0"/>
                <w:szCs w:val="21"/>
              </w:rPr>
            </w:pPr>
            <w:r>
              <w:rPr>
                <w:rFonts w:ascii="宋体" w:eastAsia="宋体" w:hAnsi="宋体" w:hint="eastAsia"/>
                <w:kern w:val="0"/>
                <w:szCs w:val="21"/>
              </w:rPr>
              <w:t>3.1）支持地市任务完成情况展示及统计，包含：地市人员、地市物品、地市单位排查统计；柱状图形式展示各地市排查任务完成情况；支持排班人员是否到岗报备及修改已登记报备、展示报备记录列表；支持筛选查找、统计应报备人数、实际报备人数、各单位报备数据质量；统计计算排班指标，统计应排率和排班率；支持对车辆及人员巡逻时长、巡逻里程进行统计；对巡车或人员长期停留同一位置及超出巡逻范围进行预警并统计等项；</w:t>
            </w:r>
          </w:p>
          <w:p>
            <w:pPr>
              <w:pStyle w:val="style0"/>
              <w:spacing w:lineRule="exact" w:line="400"/>
              <w:jc w:val="left"/>
              <w:rPr>
                <w:rFonts w:ascii="宋体" w:eastAsia="宋体" w:hAnsi="宋体"/>
                <w:kern w:val="0"/>
                <w:szCs w:val="21"/>
              </w:rPr>
            </w:pPr>
            <w:r>
              <w:rPr>
                <w:rFonts w:ascii="宋体" w:eastAsia="宋体" w:hAnsi="宋体" w:hint="eastAsia"/>
                <w:kern w:val="0"/>
                <w:szCs w:val="21"/>
              </w:rPr>
              <w:t>4、地市综合排名</w:t>
            </w:r>
          </w:p>
          <w:p>
            <w:pPr>
              <w:pStyle w:val="style0"/>
              <w:spacing w:lineRule="exact" w:line="400"/>
              <w:jc w:val="left"/>
              <w:rPr>
                <w:rFonts w:ascii="宋体" w:eastAsia="宋体" w:hAnsi="宋体"/>
                <w:kern w:val="0"/>
                <w:szCs w:val="21"/>
              </w:rPr>
            </w:pPr>
            <w:r>
              <w:rPr>
                <w:rFonts w:ascii="宋体" w:eastAsia="宋体" w:hAnsi="宋体" w:hint="eastAsia"/>
                <w:kern w:val="0"/>
                <w:szCs w:val="21"/>
              </w:rPr>
              <w:t>4.1）根据各地市在人员、物品、单位排查等任务中的表现，进行综合评价和排名，以全面反映各地市的工作成效。</w:t>
            </w:r>
          </w:p>
          <w:p>
            <w:pPr>
              <w:pStyle w:val="style0"/>
              <w:spacing w:lineRule="exact" w:line="400"/>
              <w:jc w:val="left"/>
              <w:rPr>
                <w:rFonts w:ascii="宋体" w:eastAsia="宋体" w:hAnsi="宋体"/>
                <w:kern w:val="0"/>
                <w:szCs w:val="21"/>
              </w:rPr>
            </w:pPr>
            <w:r>
              <w:rPr>
                <w:rFonts w:ascii="宋体" w:eastAsia="宋体" w:hAnsi="宋体" w:hint="eastAsia"/>
                <w:kern w:val="0"/>
                <w:szCs w:val="21"/>
              </w:rPr>
              <w:t>5、风险隐患整改情况</w:t>
            </w:r>
          </w:p>
          <w:p>
            <w:pPr>
              <w:pStyle w:val="style0"/>
              <w:spacing w:lineRule="exact" w:line="400"/>
              <w:jc w:val="left"/>
              <w:rPr>
                <w:rFonts w:ascii="宋体" w:eastAsia="宋体" w:hAnsi="宋体"/>
                <w:kern w:val="0"/>
                <w:szCs w:val="21"/>
              </w:rPr>
            </w:pPr>
            <w:r>
              <w:rPr>
                <w:rFonts w:ascii="宋体" w:eastAsia="宋体" w:hAnsi="宋体" w:hint="eastAsia"/>
                <w:kern w:val="0"/>
                <w:szCs w:val="21"/>
              </w:rPr>
              <w:t>5.1）支持风险隐患整改排名、地市风险隐患已整改及未整改统计、单位名称展示、风险点数列表展示；支持按风险类型、风险状态、检查单位、时间范围、被检单位名称关键字过滤风险隐患；支持被检查单位名称展示、风险类型、风险状态、检查单位、检查人、检查清单PDF展示。</w:t>
            </w:r>
          </w:p>
          <w:p>
            <w:pPr>
              <w:pStyle w:val="style0"/>
              <w:numPr>
                <w:ilvl w:val="0"/>
                <w:numId w:val="6"/>
              </w:numPr>
              <w:spacing w:lineRule="exact" w:line="400"/>
              <w:jc w:val="left"/>
              <w:rPr/>
            </w:pPr>
            <w:r>
              <w:rPr>
                <w:rFonts w:ascii="宋体" w:eastAsia="宋体" w:hAnsi="宋体" w:hint="eastAsia"/>
                <w:kern w:val="0"/>
                <w:szCs w:val="21"/>
              </w:rPr>
              <w:t>图上评分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应包含各市得分、得分详情及计算规则；</w:t>
            </w:r>
          </w:p>
          <w:p>
            <w:pPr>
              <w:pStyle w:val="style0"/>
              <w:spacing w:lineRule="exact" w:line="400"/>
              <w:jc w:val="left"/>
              <w:rPr>
                <w:rFonts w:ascii="宋体" w:eastAsia="宋体" w:hAnsi="宋体"/>
                <w:kern w:val="0"/>
                <w:szCs w:val="21"/>
              </w:rPr>
            </w:pPr>
            <w:r>
              <w:rPr>
                <w:rFonts w:ascii="宋体" w:eastAsia="宋体" w:hAnsi="宋体" w:hint="eastAsia"/>
                <w:kern w:val="0"/>
                <w:szCs w:val="21"/>
              </w:rPr>
              <w:t>6.1）各市得分：地图上展示各地市督办考核得分；</w:t>
            </w:r>
          </w:p>
          <w:p>
            <w:pPr>
              <w:pStyle w:val="style0"/>
              <w:spacing w:lineRule="exact" w:line="400"/>
              <w:jc w:val="left"/>
              <w:rPr>
                <w:rFonts w:ascii="宋体" w:eastAsia="宋体" w:hAnsi="宋体"/>
                <w:kern w:val="0"/>
                <w:szCs w:val="21"/>
              </w:rPr>
            </w:pPr>
            <w:r>
              <w:rPr>
                <w:rFonts w:ascii="宋体" w:eastAsia="宋体" w:hAnsi="宋体" w:hint="eastAsia"/>
                <w:kern w:val="0"/>
                <w:szCs w:val="21"/>
              </w:rPr>
              <w:t>6.2）得分详情：展示风险隐患整改、重点单位排查、人员排查、物品排查得分；并展示风险隐患整改得分影响因子、重点单位排查得分影响因子、人员排查得分影响因子、物品排查得分影响因</w:t>
            </w:r>
            <w:r>
              <w:rPr>
                <w:rFonts w:ascii="宋体" w:eastAsia="宋体" w:hAnsi="宋体" w:hint="eastAsia"/>
                <w:kern w:val="0"/>
                <w:szCs w:val="21"/>
              </w:rPr>
              <w:t>子；</w:t>
            </w:r>
          </w:p>
          <w:p>
            <w:pPr>
              <w:pStyle w:val="style0"/>
              <w:spacing w:lineRule="exact" w:line="400"/>
              <w:jc w:val="left"/>
              <w:rPr>
                <w:rFonts w:ascii="宋体" w:eastAsia="宋体" w:hAnsi="宋体"/>
                <w:kern w:val="0"/>
                <w:szCs w:val="21"/>
              </w:rPr>
            </w:pPr>
            <w:r>
              <w:rPr>
                <w:rFonts w:ascii="宋体" w:eastAsia="宋体" w:hAnsi="宋体" w:hint="eastAsia"/>
                <w:kern w:val="0"/>
                <w:szCs w:val="21"/>
              </w:rPr>
              <w:t>6.3）计算规则：展示督办考核分数计算规则。</w:t>
            </w:r>
          </w:p>
          <w:p>
            <w:pPr>
              <w:pStyle w:val="style0"/>
              <w:spacing w:lineRule="exact" w:line="400"/>
              <w:jc w:val="left"/>
              <w:rPr>
                <w:rFonts w:ascii="宋体" w:eastAsia="宋体" w:hAnsi="宋体"/>
                <w:kern w:val="0"/>
                <w:szCs w:val="21"/>
              </w:rPr>
            </w:pPr>
            <w:r>
              <w:rPr>
                <w:rFonts w:ascii="宋体" w:eastAsia="宋体" w:hAnsi="宋体" w:hint="eastAsia"/>
                <w:kern w:val="0"/>
                <w:szCs w:val="21"/>
              </w:rPr>
              <w:t>7、考评项目管理</w:t>
            </w:r>
          </w:p>
          <w:p>
            <w:pPr>
              <w:pStyle w:val="style0"/>
              <w:spacing w:lineRule="exact" w:line="400"/>
              <w:jc w:val="left"/>
              <w:rPr/>
            </w:pPr>
            <w:r>
              <w:rPr>
                <w:rFonts w:hint="eastAsia"/>
              </w:rPr>
              <w:t>应包含考评项目列表、项目信息、项目查询、项目新增、项目编辑、项目删除、项目批量删除、考评导出代码、导出项目、导入项目等内容；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7.1）考评项目列表：支持以列表方式显示项目信息，支持分页切换和显示；</w:t>
            </w:r>
          </w:p>
          <w:p>
            <w:pPr>
              <w:pStyle w:val="style0"/>
              <w:spacing w:lineRule="exact" w:line="400"/>
              <w:jc w:val="left"/>
              <w:rPr>
                <w:rFonts w:ascii="宋体" w:eastAsia="宋体" w:hAnsi="宋体"/>
                <w:kern w:val="0"/>
                <w:szCs w:val="21"/>
              </w:rPr>
            </w:pPr>
            <w:r>
              <w:rPr>
                <w:rFonts w:ascii="宋体" w:eastAsia="宋体" w:hAnsi="宋体" w:hint="eastAsia"/>
                <w:kern w:val="0"/>
                <w:szCs w:val="21"/>
              </w:rPr>
              <w:t>7.2）考评项目信息：包含项目名称、考评内容、考评对象等字段</w:t>
            </w:r>
          </w:p>
          <w:p>
            <w:pPr>
              <w:pStyle w:val="style0"/>
              <w:spacing w:lineRule="exact" w:line="400"/>
              <w:jc w:val="left"/>
              <w:rPr>
                <w:rFonts w:ascii="宋体" w:eastAsia="宋体" w:hAnsi="宋体"/>
                <w:kern w:val="0"/>
                <w:szCs w:val="21"/>
              </w:rPr>
            </w:pPr>
            <w:r>
              <w:rPr>
                <w:rFonts w:ascii="宋体" w:eastAsia="宋体" w:hAnsi="宋体" w:hint="eastAsia"/>
                <w:kern w:val="0"/>
                <w:szCs w:val="21"/>
              </w:rPr>
              <w:t>7.3）考评项目查询：支持通过关键字查询项目信息。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7.4）考评项目新增：支持新增项目，可选择需要的数据源。</w:t>
            </w:r>
          </w:p>
          <w:p>
            <w:pPr>
              <w:pStyle w:val="style0"/>
              <w:spacing w:lineRule="exact" w:line="400"/>
              <w:jc w:val="left"/>
              <w:rPr>
                <w:rFonts w:ascii="宋体" w:eastAsia="宋体" w:hAnsi="宋体"/>
                <w:kern w:val="0"/>
                <w:szCs w:val="21"/>
              </w:rPr>
            </w:pPr>
            <w:r>
              <w:rPr>
                <w:rFonts w:ascii="宋体" w:eastAsia="宋体" w:hAnsi="宋体" w:hint="eastAsia"/>
                <w:kern w:val="0"/>
                <w:szCs w:val="21"/>
              </w:rPr>
              <w:t>7.5）考评项目编辑：支持对已建项目进行编辑。</w:t>
            </w:r>
          </w:p>
          <w:p>
            <w:pPr>
              <w:pStyle w:val="style0"/>
              <w:spacing w:lineRule="exact" w:line="400"/>
              <w:jc w:val="left"/>
              <w:rPr>
                <w:rFonts w:ascii="宋体" w:eastAsia="宋体" w:hAnsi="宋体"/>
                <w:kern w:val="0"/>
                <w:szCs w:val="21"/>
              </w:rPr>
            </w:pPr>
            <w:r>
              <w:rPr>
                <w:rFonts w:ascii="宋体" w:eastAsia="宋体" w:hAnsi="宋体" w:hint="eastAsia"/>
                <w:kern w:val="0"/>
                <w:szCs w:val="21"/>
              </w:rPr>
              <w:t>7.6）考评项目删除：支持对已建项目进行删除，支持二次确认再执行删除。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7.7）项目批量删除：支持对已建项目进行批量删除，支持二次确认再执行删除。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7.8）考评导出代码：支持批量导出项目中所有表单的数据SQL和页面代码。</w:t>
            </w:r>
          </w:p>
          <w:p>
            <w:pPr>
              <w:pStyle w:val="style0"/>
              <w:spacing w:lineRule="exact" w:line="400"/>
              <w:jc w:val="left"/>
              <w:rPr>
                <w:rFonts w:ascii="宋体" w:eastAsia="宋体" w:hAnsi="宋体"/>
                <w:kern w:val="0"/>
                <w:szCs w:val="21"/>
              </w:rPr>
            </w:pPr>
            <w:r>
              <w:rPr>
                <w:rFonts w:ascii="宋体" w:eastAsia="宋体" w:hAnsi="宋体" w:hint="eastAsia"/>
                <w:kern w:val="0"/>
                <w:szCs w:val="21"/>
              </w:rPr>
              <w:t>7.9）考评导出项目：支持批量导出项目中所有表单的基本信息、数据源、模块分组、模块、表单结构、前端方案等。</w:t>
            </w:r>
          </w:p>
          <w:p>
            <w:pPr>
              <w:pStyle w:val="style0"/>
              <w:spacing w:lineRule="exact" w:line="400"/>
              <w:jc w:val="left"/>
              <w:rPr>
                <w:rFonts w:ascii="宋体" w:eastAsia="宋体" w:hAnsi="宋体"/>
                <w:kern w:val="0"/>
                <w:szCs w:val="21"/>
              </w:rPr>
            </w:pPr>
            <w:r>
              <w:rPr>
                <w:rFonts w:ascii="宋体" w:eastAsia="宋体" w:hAnsi="宋体" w:hint="eastAsia"/>
                <w:kern w:val="0"/>
                <w:szCs w:val="21"/>
              </w:rPr>
              <w:t>7.10）考评导入项目：支持导入由表单引擎导出的ZIP压缩包。</w:t>
            </w:r>
          </w:p>
          <w:p>
            <w:pPr>
              <w:pStyle w:val="style0"/>
              <w:spacing w:lineRule="exact" w:line="400"/>
              <w:jc w:val="left"/>
              <w:rPr>
                <w:rFonts w:ascii="宋体" w:eastAsia="宋体" w:hAnsi="宋体"/>
                <w:kern w:val="0"/>
                <w:szCs w:val="21"/>
              </w:rPr>
            </w:pPr>
            <w:r>
              <w:rPr>
                <w:rFonts w:ascii="宋体" w:eastAsia="宋体" w:hAnsi="宋体" w:hint="eastAsia"/>
                <w:kern w:val="0"/>
                <w:szCs w:val="21"/>
              </w:rPr>
              <w:t>8、考评表单管理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目录列表，考评表单信息，目录新增、编辑、删除，表单新增、编辑、删除，修改分组，表单复制，数据表单列表、新增、编辑、删除、发布，生成代码，导出、导入数据表单，导入数据库表，页面方案列表、新增、编辑、删除，新增页面配置，编辑页面配置，详情页面配置，列表页面配置，页面预览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8.1）目录列表：支持以目录方式展示表单目录；</w:t>
            </w:r>
          </w:p>
          <w:p>
            <w:pPr>
              <w:pStyle w:val="style0"/>
              <w:spacing w:lineRule="exact" w:line="400"/>
              <w:jc w:val="left"/>
              <w:rPr>
                <w:rFonts w:ascii="宋体" w:eastAsia="宋体" w:hAnsi="宋体"/>
                <w:kern w:val="0"/>
                <w:szCs w:val="21"/>
              </w:rPr>
            </w:pPr>
            <w:r>
              <w:rPr>
                <w:rFonts w:ascii="宋体" w:eastAsia="宋体" w:hAnsi="宋体" w:hint="eastAsia"/>
                <w:kern w:val="0"/>
                <w:szCs w:val="21"/>
              </w:rPr>
              <w:t>8.2）考评表单信息：包含表单名称、考评表单内容、考评表单分数</w:t>
            </w:r>
          </w:p>
          <w:p>
            <w:pPr>
              <w:pStyle w:val="style0"/>
              <w:spacing w:lineRule="exact" w:line="400"/>
              <w:jc w:val="left"/>
              <w:rPr>
                <w:rFonts w:ascii="宋体" w:eastAsia="宋体" w:hAnsi="宋体"/>
                <w:kern w:val="0"/>
                <w:szCs w:val="21"/>
              </w:rPr>
            </w:pPr>
            <w:r>
              <w:rPr>
                <w:rFonts w:ascii="宋体" w:eastAsia="宋体" w:hAnsi="宋体" w:hint="eastAsia"/>
                <w:kern w:val="0"/>
                <w:szCs w:val="21"/>
              </w:rPr>
              <w:t>8.3）目录新增、目录编辑、目录删除：支持新增目录、对已建目录进行编辑、对已建目录进行删除；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8.4）表单新增、编辑、删除：支持新增表单节点、对已建表单节点进行编辑、对已建表单节点进行删除；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8.5）修改分组：支持对表单节点进行拖拽修改所属分组操作；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8.6）表单复制：支持对表单节点进行复制操作；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8.7）数据表单列表、新增、编辑、删除、发布：支持以卡片方式展示数据表单列表、支持新增数据表单、支持对已建表数据表单进行编辑删除、支持对新建的数据表单或修改的数据表单进行发布；</w:t>
            </w:r>
          </w:p>
          <w:p>
            <w:pPr>
              <w:pStyle w:val="style0"/>
              <w:spacing w:lineRule="exact" w:line="400"/>
              <w:jc w:val="left"/>
              <w:rPr>
                <w:rFonts w:ascii="宋体" w:eastAsia="宋体" w:hAnsi="宋体"/>
                <w:kern w:val="0"/>
                <w:szCs w:val="21"/>
              </w:rPr>
            </w:pPr>
            <w:r>
              <w:rPr>
                <w:rFonts w:ascii="宋体" w:eastAsia="宋体" w:hAnsi="宋体" w:hint="eastAsia"/>
                <w:kern w:val="0"/>
                <w:szCs w:val="21"/>
              </w:rPr>
              <w:t>8.8）生成代码：支持生成表单节点内主表、单表及附表的的数据SQL和页面代码；</w:t>
            </w:r>
          </w:p>
          <w:p>
            <w:pPr>
              <w:pStyle w:val="style0"/>
              <w:spacing w:lineRule="exact" w:line="400"/>
              <w:jc w:val="left"/>
              <w:rPr>
                <w:rFonts w:ascii="宋体" w:eastAsia="宋体" w:hAnsi="宋体"/>
                <w:kern w:val="0"/>
                <w:szCs w:val="21"/>
              </w:rPr>
            </w:pPr>
            <w:r>
              <w:rPr>
                <w:rFonts w:ascii="宋体" w:eastAsia="宋体" w:hAnsi="宋体" w:hint="eastAsia"/>
                <w:kern w:val="0"/>
                <w:szCs w:val="21"/>
              </w:rPr>
              <w:t>8.9）导出、导入数据表单：支持导出表单节点内主表、单表及附表的表单结构、前端方案、字典数据、关联表结构方案及数据，导出格式为ZIP压缩包；支持导入由表单引擎导出的ZIP压缩包；</w:t>
            </w:r>
          </w:p>
          <w:p>
            <w:pPr>
              <w:pStyle w:val="style0"/>
              <w:spacing w:lineRule="exact" w:line="400"/>
              <w:jc w:val="left"/>
              <w:rPr>
                <w:rFonts w:ascii="宋体" w:eastAsia="宋体" w:hAnsi="宋体"/>
                <w:kern w:val="0"/>
                <w:szCs w:val="21"/>
              </w:rPr>
            </w:pPr>
            <w:r>
              <w:rPr>
                <w:rFonts w:ascii="宋体" w:eastAsia="宋体" w:hAnsi="宋体" w:hint="eastAsia"/>
                <w:kern w:val="0"/>
                <w:szCs w:val="21"/>
              </w:rPr>
              <w:t>8.10）导入数据库表：支持导入数据库中已建的数据表单；</w:t>
            </w:r>
          </w:p>
          <w:p>
            <w:pPr>
              <w:pStyle w:val="style0"/>
              <w:spacing w:lineRule="exact" w:line="400"/>
              <w:jc w:val="left"/>
              <w:rPr>
                <w:rFonts w:ascii="宋体" w:eastAsia="宋体" w:hAnsi="宋体"/>
                <w:kern w:val="0"/>
                <w:szCs w:val="21"/>
              </w:rPr>
            </w:pPr>
            <w:r>
              <w:rPr>
                <w:rFonts w:ascii="宋体" w:eastAsia="宋体" w:hAnsi="宋体" w:hint="eastAsia"/>
                <w:kern w:val="0"/>
                <w:szCs w:val="21"/>
              </w:rPr>
              <w:t>8.11）页面方案列表、新增、编辑、删除：支持以卡片方式展示页面方案列表，支持新增页面方案，支持对已建页面方案进行编辑、删除；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8.12）新增页面配置：新增页面表单支持通过拖拽方式设计页面布局和页面排版，系统提供布局组件、基础组件和高级组件，页面组件支持和数据表单的字段进行关联绑定，绑定后可实现数据存储，支持页面预览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8.13）编辑页面配置：编辑页面支持在新增页面的基础上对已设置的表单组件设置是否可见、是否可编辑以完成编辑页面的配置，支持页面预览功能；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8.14）详情页面配置：详情页面支持在数据表单的所有字段中选择需要在详情页面中显示的字段，支持对显示的字段调整显示标题以完成详情页面的配置；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8.15）列表页面配置：列表页面支持在数据表单的所有字段中选择需要在列表页面中显示或或查询的字段，支持配置可导出的字段、对显示的字段调整显示标题；</w:t>
            </w:r>
            <w:r>
              <w:rPr>
                <w:rFonts w:ascii="宋体" w:eastAsia="宋体" w:hAnsi="宋体" w:hint="eastAsia"/>
                <w:kern w:val="0"/>
                <w:szCs w:val="21"/>
              </w:rPr>
              <w:br/>
            </w:r>
            <w:r>
              <w:rPr>
                <w:rFonts w:ascii="宋体" w:eastAsia="宋体" w:hAnsi="宋体" w:hint="eastAsia"/>
                <w:kern w:val="0"/>
                <w:szCs w:val="21"/>
              </w:rPr>
              <w:t>8.16）页面预览：支持新增页面、编辑页面、详情页面、列表页面的预览和链接地址复制。</w:t>
            </w:r>
          </w:p>
          <w:p>
            <w:pPr>
              <w:pStyle w:val="style0"/>
              <w:spacing w:lineRule="exact" w:line="400"/>
              <w:jc w:val="left"/>
              <w:rPr>
                <w:rFonts w:ascii="宋体" w:eastAsia="宋体" w:hAnsi="宋体"/>
                <w:kern w:val="0"/>
                <w:szCs w:val="21"/>
              </w:rPr>
            </w:pPr>
            <w:r>
              <w:rPr>
                <w:rFonts w:ascii="宋体" w:eastAsia="宋体" w:hAnsi="宋体" w:hint="eastAsia"/>
                <w:kern w:val="0"/>
                <w:szCs w:val="21"/>
              </w:rPr>
              <w:t>9、考评模板管理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应包含模板列表、模板查询、模板新增、查看、编辑、引用、删除及批量删除。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9.1）模板列表：支持以列表方式显示模板信息，支持分页切换和显示，列表默认按创建时间倒序；</w:t>
            </w:r>
          </w:p>
          <w:p>
            <w:pPr>
              <w:pStyle w:val="style0"/>
              <w:spacing w:lineRule="exact" w:line="400"/>
              <w:jc w:val="left"/>
              <w:rPr>
                <w:rFonts w:ascii="宋体" w:eastAsia="宋体" w:hAnsi="宋体"/>
                <w:kern w:val="0"/>
                <w:szCs w:val="21"/>
              </w:rPr>
            </w:pPr>
            <w:r>
              <w:rPr>
                <w:rFonts w:ascii="宋体" w:eastAsia="宋体" w:hAnsi="宋体" w:hint="eastAsia"/>
                <w:kern w:val="0"/>
                <w:szCs w:val="21"/>
              </w:rPr>
              <w:t>9.2）模板查询：支持通过关键字查询模板信息；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9.3）模板新增：支持新增模板，模版设置和表单设置一致，支持进行数据表单和页面表单设置。</w:t>
            </w:r>
          </w:p>
          <w:p>
            <w:pPr>
              <w:pStyle w:val="style0"/>
              <w:spacing w:lineRule="exact" w:line="400"/>
              <w:jc w:val="left"/>
              <w:rPr>
                <w:rFonts w:ascii="宋体" w:eastAsia="宋体" w:hAnsi="宋体"/>
                <w:kern w:val="0"/>
                <w:szCs w:val="21"/>
              </w:rPr>
            </w:pPr>
            <w:r>
              <w:rPr>
                <w:rFonts w:ascii="宋体" w:eastAsia="宋体" w:hAnsi="宋体" w:hint="eastAsia"/>
                <w:kern w:val="0"/>
                <w:szCs w:val="21"/>
              </w:rPr>
              <w:t>9.4）模板查看：支持查看已建模板；</w:t>
            </w:r>
          </w:p>
          <w:p>
            <w:pPr>
              <w:pStyle w:val="style0"/>
              <w:spacing w:lineRule="exact" w:line="400"/>
              <w:jc w:val="left"/>
              <w:rPr>
                <w:rFonts w:ascii="宋体" w:eastAsia="宋体" w:hAnsi="宋体"/>
                <w:kern w:val="0"/>
                <w:szCs w:val="21"/>
              </w:rPr>
            </w:pPr>
            <w:r>
              <w:rPr>
                <w:rFonts w:ascii="宋体" w:eastAsia="宋体" w:hAnsi="宋体" w:hint="eastAsia"/>
                <w:kern w:val="0"/>
                <w:szCs w:val="21"/>
              </w:rPr>
              <w:t>9.5）模板编辑：支持编辑已建模板</w:t>
            </w:r>
          </w:p>
          <w:p>
            <w:pPr>
              <w:pStyle w:val="style0"/>
              <w:spacing w:lineRule="exact" w:line="400"/>
              <w:jc w:val="left"/>
              <w:rPr>
                <w:rFonts w:ascii="宋体" w:eastAsia="宋体" w:hAnsi="宋体"/>
                <w:kern w:val="0"/>
                <w:szCs w:val="21"/>
              </w:rPr>
            </w:pPr>
            <w:r>
              <w:rPr>
                <w:rFonts w:ascii="宋体" w:eastAsia="宋体" w:hAnsi="宋体" w:hint="eastAsia"/>
                <w:kern w:val="0"/>
                <w:szCs w:val="21"/>
              </w:rPr>
              <w:t>9.6）模板引用：支持引用已建模版到指定表单项目中；</w:t>
            </w:r>
          </w:p>
          <w:p>
            <w:pPr>
              <w:pStyle w:val="style0"/>
              <w:spacing w:lineRule="exact" w:line="400"/>
              <w:jc w:val="left"/>
              <w:rPr>
                <w:rFonts w:ascii="宋体" w:eastAsia="宋体" w:hAnsi="宋体"/>
                <w:kern w:val="0"/>
                <w:szCs w:val="21"/>
              </w:rPr>
            </w:pPr>
            <w:r>
              <w:rPr>
                <w:rFonts w:ascii="宋体" w:eastAsia="宋体" w:hAnsi="宋体" w:hint="eastAsia"/>
                <w:kern w:val="0"/>
                <w:szCs w:val="21"/>
              </w:rPr>
              <w:t>9.7）模板删除：支持删除已建模板，支持二次确认再执行删除；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9.8）模板批量删除：支持批量删除已建模板，支持二次确认再执行删除。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10、考评业务字典</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应包含字典列表、字典查询、字典新增、编辑、删除、批量删除、字典项查看、新增、编辑及删除，字典项批量删除等内容。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10.1）字典列表：支持以列表方式显示字典信息，支持分页切换和显示，列表默认按创建时间倒序。</w:t>
            </w:r>
          </w:p>
          <w:p>
            <w:pPr>
              <w:pStyle w:val="style0"/>
              <w:spacing w:lineRule="exact" w:line="400"/>
              <w:jc w:val="left"/>
              <w:rPr>
                <w:rFonts w:ascii="宋体" w:eastAsia="宋体" w:hAnsi="宋体"/>
                <w:kern w:val="0"/>
                <w:szCs w:val="21"/>
              </w:rPr>
            </w:pPr>
            <w:r>
              <w:rPr>
                <w:rFonts w:ascii="宋体" w:eastAsia="宋体" w:hAnsi="宋体" w:hint="eastAsia"/>
                <w:kern w:val="0"/>
                <w:szCs w:val="21"/>
              </w:rPr>
              <w:t>10.2）字典查询：支持通过关键字查询字典信息；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10.3）字典新增：支持新增字典；</w:t>
            </w:r>
          </w:p>
          <w:p>
            <w:pPr>
              <w:pStyle w:val="style0"/>
              <w:spacing w:lineRule="exact" w:line="400"/>
              <w:jc w:val="left"/>
              <w:rPr>
                <w:rFonts w:ascii="宋体" w:eastAsia="宋体" w:hAnsi="宋体"/>
                <w:kern w:val="0"/>
                <w:szCs w:val="21"/>
              </w:rPr>
            </w:pPr>
            <w:r>
              <w:rPr>
                <w:rFonts w:ascii="宋体" w:eastAsia="宋体" w:hAnsi="宋体" w:hint="eastAsia"/>
                <w:kern w:val="0"/>
                <w:szCs w:val="21"/>
              </w:rPr>
              <w:t>10.4）字典编辑：支持编辑已建字典；</w:t>
            </w:r>
          </w:p>
          <w:p>
            <w:pPr>
              <w:pStyle w:val="style0"/>
              <w:spacing w:lineRule="exact" w:line="400"/>
              <w:jc w:val="left"/>
              <w:rPr>
                <w:rFonts w:ascii="宋体" w:eastAsia="宋体" w:hAnsi="宋体"/>
                <w:kern w:val="0"/>
                <w:szCs w:val="21"/>
              </w:rPr>
            </w:pPr>
            <w:r>
              <w:rPr>
                <w:rFonts w:ascii="宋体" w:eastAsia="宋体" w:hAnsi="宋体" w:hint="eastAsia"/>
                <w:kern w:val="0"/>
                <w:szCs w:val="21"/>
              </w:rPr>
              <w:t>10.5）字典删除：支持删除已建字典，支持二次确认再执行删除；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10.6）字典批量删除：支持批量删除已建字典，支持二次确认再执行删除；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10.7)字典项查看：支持对已建字典内字典项以列表方式进行查看，分页切换和显示；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10.8）字典项新增：支持新增字典项，字典项支持排序和启用、禁用状态；</w:t>
            </w:r>
          </w:p>
          <w:p>
            <w:pPr>
              <w:pStyle w:val="style0"/>
              <w:spacing w:lineRule="exact" w:line="400"/>
              <w:jc w:val="left"/>
              <w:rPr>
                <w:rFonts w:ascii="宋体" w:eastAsia="宋体" w:hAnsi="宋体"/>
                <w:kern w:val="0"/>
                <w:szCs w:val="21"/>
              </w:rPr>
            </w:pPr>
            <w:r>
              <w:rPr>
                <w:rFonts w:ascii="宋体" w:eastAsia="宋体" w:hAnsi="宋体" w:hint="eastAsia"/>
                <w:kern w:val="0"/>
                <w:szCs w:val="21"/>
              </w:rPr>
              <w:t>10.9）字典项编辑：支持对已建字典项进行编辑；</w:t>
            </w:r>
          </w:p>
          <w:p>
            <w:pPr>
              <w:pStyle w:val="style0"/>
              <w:spacing w:lineRule="exact" w:line="400"/>
              <w:jc w:val="left"/>
              <w:rPr>
                <w:rFonts w:ascii="宋体" w:eastAsia="宋体" w:hAnsi="宋体"/>
                <w:kern w:val="0"/>
                <w:szCs w:val="21"/>
              </w:rPr>
            </w:pPr>
            <w:r>
              <w:rPr>
                <w:rFonts w:ascii="宋体" w:eastAsia="宋体" w:hAnsi="宋体" w:hint="eastAsia"/>
                <w:kern w:val="0"/>
                <w:szCs w:val="21"/>
              </w:rPr>
              <w:t>10.10）字典项删除：支持对已建字典项进行删除，支持二次确认再执行删除；</w:t>
            </w:r>
            <w:r>
              <w:rPr>
                <w:rFonts w:ascii="宋体" w:eastAsia="宋体" w:hAnsi="宋体" w:hint="eastAsia"/>
                <w:kern w:val="0"/>
                <w:szCs w:val="21"/>
              </w:rPr>
              <w:br/>
            </w:r>
            <w:r>
              <w:rPr>
                <w:rFonts w:ascii="宋体" w:eastAsia="宋体" w:hAnsi="宋体" w:hint="eastAsia"/>
                <w:kern w:val="0"/>
                <w:szCs w:val="21"/>
              </w:rPr>
              <w:t>10.11）字典项批量删除：支持对已建字典项进行批量删除，支持二次确认再执行删除。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11、考评检索管理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应包含检索列表、检索查询、检索新增、查看、编辑、删除，检索批量删除等功能。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11.1）检索列表：支持以列表方式显示检索信息，支持分页切换和显示；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11.2）检索查询：支持通过关键字查询检索信息；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11.3）检索新增：支持新增检索，选择一个或多个数据表作为检索数据源，对于多个数据表的查询，支持自动提取共性字段作为查询的结果字段，也支持通过字段别名将两个数据格式一致但字段不一致的字段进行拟合；</w:t>
            </w:r>
          </w:p>
          <w:p>
            <w:pPr>
              <w:pStyle w:val="style0"/>
              <w:spacing w:lineRule="exact" w:line="400"/>
              <w:jc w:val="left"/>
              <w:rPr>
                <w:rFonts w:ascii="宋体" w:eastAsia="宋体" w:hAnsi="宋体"/>
                <w:kern w:val="0"/>
                <w:szCs w:val="21"/>
              </w:rPr>
            </w:pPr>
            <w:r>
              <w:rPr>
                <w:rFonts w:ascii="宋体" w:eastAsia="宋体" w:hAnsi="宋体" w:hint="eastAsia"/>
                <w:kern w:val="0"/>
                <w:szCs w:val="21"/>
              </w:rPr>
              <w:t>11.4）检索查看、编辑、删除：支持对已建检索进行查看、编辑、删除，支持二次确认再执行删除；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11.5）检索批量删除：支持对已建检索进行批量删除，支持二次确认再执行删除。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12、考评数据源管理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应包含数据源列表、数据源查询、新增、查看、编辑、删除、批量删除等功能。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12.1）数据源列表：支持以列表方式显示所有数据源，支持分页切换和显示；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12.2）数据源查询：支持通过关键字查询数据源；</w:t>
            </w:r>
          </w:p>
          <w:p>
            <w:pPr>
              <w:pStyle w:val="style0"/>
              <w:spacing w:lineRule="exact" w:line="400"/>
              <w:jc w:val="left"/>
              <w:rPr>
                <w:rFonts w:ascii="宋体" w:eastAsia="宋体" w:hAnsi="宋体"/>
                <w:kern w:val="0"/>
                <w:szCs w:val="21"/>
              </w:rPr>
            </w:pPr>
            <w:r>
              <w:rPr>
                <w:rFonts w:ascii="宋体" w:eastAsia="宋体" w:hAnsi="宋体" w:hint="eastAsia"/>
                <w:kern w:val="0"/>
                <w:szCs w:val="21"/>
              </w:rPr>
              <w:t>12.3）数据源新增：支持新增数据源；</w:t>
            </w:r>
          </w:p>
          <w:p>
            <w:pPr>
              <w:pStyle w:val="style0"/>
              <w:spacing w:lineRule="exact" w:line="400"/>
              <w:jc w:val="left"/>
              <w:rPr>
                <w:rFonts w:ascii="宋体" w:eastAsia="宋体" w:hAnsi="宋体"/>
                <w:kern w:val="0"/>
                <w:szCs w:val="21"/>
              </w:rPr>
            </w:pPr>
            <w:r>
              <w:rPr>
                <w:rFonts w:ascii="宋体" w:eastAsia="宋体" w:hAnsi="宋体" w:hint="eastAsia"/>
                <w:kern w:val="0"/>
                <w:szCs w:val="21"/>
              </w:rPr>
              <w:t>12.4）数据源查看、编辑、删除：支持对已建数据源进行查看、编辑、删除，支持二次确认再执行删除；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12.5）数据源批量删除：支持对已建数据源进行批量删除，支持二次确认再执行删除。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13、考评前端组件库</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基本信息配置、基础字段配置、通用字段配置、数据字段配置、数据索引配置、数据查询配置、页面布局组件、基础组件、高级组件、业务组件、页面属性配置、通用组件配置、选项数据配置、表单组件、表格组件、弹窗组件、视频组件、新增页面组件、编辑页面组件、详情页面组件、列表页面组件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13.1）基本信息配置：支持对数据表单的表名、表描述、表类型进行配置；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13.2）基础字段配置：支持对主键、编号、名称、别名、创建人、创建时间、更新人、更新时间的基础字段进行配置；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13.3）通用字段配置：支持对数据权限、逻辑删除、排序、树形结构、动态定位、空间位置、视频监控等通用字段选择启用或不启用的配置；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13.4）数据字段配置：支持自定义扩展数据表单的数据字段;</w:t>
            </w:r>
          </w:p>
          <w:p>
            <w:pPr>
              <w:pStyle w:val="style0"/>
              <w:spacing w:lineRule="exact" w:line="400"/>
              <w:jc w:val="left"/>
              <w:rPr>
                <w:rFonts w:ascii="宋体" w:eastAsia="宋体" w:hAnsi="宋体"/>
                <w:kern w:val="0"/>
                <w:szCs w:val="21"/>
              </w:rPr>
            </w:pPr>
            <w:r>
              <w:rPr>
                <w:rFonts w:ascii="宋体" w:eastAsia="宋体" w:hAnsi="宋体" w:hint="eastAsia"/>
                <w:kern w:val="0"/>
                <w:szCs w:val="21"/>
              </w:rPr>
              <w:t>13.5）数据索引配置：支持自定义创建索引字段，支持对索引名称、索引栏位、索引类型等进行配置;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13.6）数据查询配置：支持对已配置的字段设置不同的查询方式;</w:t>
            </w:r>
          </w:p>
          <w:p>
            <w:pPr>
              <w:pStyle w:val="style0"/>
              <w:spacing w:lineRule="exact" w:line="400"/>
              <w:jc w:val="left"/>
              <w:rPr>
                <w:rFonts w:ascii="宋体" w:eastAsia="宋体" w:hAnsi="宋体"/>
                <w:kern w:val="0"/>
                <w:szCs w:val="21"/>
              </w:rPr>
            </w:pPr>
            <w:r>
              <w:rPr>
                <w:rFonts w:ascii="宋体" w:eastAsia="宋体" w:hAnsi="宋体" w:hint="eastAsia"/>
                <w:kern w:val="0"/>
                <w:szCs w:val="21"/>
              </w:rPr>
              <w:t>13.7）页面布局组件：支持Tab布局组件、栅格布局、分割线组件；</w:t>
            </w:r>
          </w:p>
          <w:p>
            <w:pPr>
              <w:pStyle w:val="style0"/>
              <w:spacing w:lineRule="exact" w:line="400"/>
              <w:jc w:val="left"/>
              <w:rPr>
                <w:rFonts w:ascii="宋体" w:eastAsia="宋体" w:hAnsi="宋体"/>
                <w:kern w:val="0"/>
                <w:szCs w:val="21"/>
              </w:rPr>
            </w:pPr>
            <w:r>
              <w:rPr>
                <w:rFonts w:ascii="宋体" w:eastAsia="宋体" w:hAnsi="宋体" w:hint="eastAsia"/>
                <w:kern w:val="0"/>
                <w:szCs w:val="21"/>
              </w:rPr>
              <w:t>13.8）基础组件：支持单行文本、多行文本、计数器组件；支持单选框、多选框、下拉选择框组件；支持日期选择器、时间选择器组件；支持文本、开关、滑块、评分组件；</w:t>
            </w:r>
          </w:p>
          <w:p>
            <w:pPr>
              <w:pStyle w:val="style0"/>
              <w:spacing w:lineRule="exact" w:line="400"/>
              <w:jc w:val="left"/>
              <w:rPr>
                <w:rFonts w:ascii="宋体" w:eastAsia="宋体" w:hAnsi="宋体"/>
                <w:kern w:val="0"/>
                <w:szCs w:val="21"/>
              </w:rPr>
            </w:pPr>
            <w:r>
              <w:rPr>
                <w:rFonts w:ascii="宋体" w:eastAsia="宋体" w:hAnsi="宋体" w:hint="eastAsia"/>
                <w:kern w:val="0"/>
                <w:szCs w:val="21"/>
              </w:rPr>
              <w:t>13.9）高级组件：支持图片、文件上传组件、地图组件；支持点、线、圆、矩形、多边形的绘制；支持导入GeoJson数据、快捷导入行政区域；支持配置使用一张图作为底图；支持行政区划联动组件、富文本编辑器组件</w:t>
            </w:r>
          </w:p>
          <w:p>
            <w:pPr>
              <w:pStyle w:val="style0"/>
              <w:spacing w:lineRule="exact" w:line="400"/>
              <w:jc w:val="left"/>
              <w:rPr>
                <w:rFonts w:ascii="宋体" w:eastAsia="宋体" w:hAnsi="宋体"/>
                <w:kern w:val="0"/>
                <w:szCs w:val="21"/>
              </w:rPr>
            </w:pPr>
            <w:r>
              <w:rPr>
                <w:rFonts w:ascii="宋体" w:eastAsia="宋体" w:hAnsi="宋体" w:hint="eastAsia"/>
                <w:kern w:val="0"/>
                <w:szCs w:val="21"/>
              </w:rPr>
              <w:t>13.10）业务组件：支持用户选择、单位选择组件；支持下拉树组件、设计子表组件；支持设备关联组件；</w:t>
            </w:r>
          </w:p>
          <w:p>
            <w:pPr>
              <w:pStyle w:val="style0"/>
              <w:spacing w:lineRule="exact" w:line="400"/>
              <w:jc w:val="left"/>
              <w:rPr>
                <w:rFonts w:ascii="宋体" w:eastAsia="宋体" w:hAnsi="宋体"/>
                <w:kern w:val="0"/>
                <w:szCs w:val="21"/>
              </w:rPr>
            </w:pPr>
            <w:r>
              <w:rPr>
                <w:rFonts w:ascii="宋体" w:eastAsia="宋体" w:hAnsi="宋体" w:hint="eastAsia"/>
                <w:kern w:val="0"/>
                <w:szCs w:val="21"/>
              </w:rPr>
              <w:t>13.11）页面属性配置：支持对整个页面布局进行调整、行内模式呈现的开关；支持左对齐、右对齐、顶部对齐的标签对齐方式调整、自定义标签宽度调整；支持统一添加标签后缀的调整；</w:t>
            </w:r>
          </w:p>
          <w:p>
            <w:pPr>
              <w:pStyle w:val="style0"/>
              <w:spacing w:lineRule="exact" w:line="400"/>
              <w:jc w:val="left"/>
              <w:rPr>
                <w:rFonts w:ascii="宋体" w:eastAsia="宋体" w:hAnsi="宋体"/>
                <w:kern w:val="0"/>
                <w:szCs w:val="21"/>
              </w:rPr>
            </w:pPr>
            <w:r>
              <w:rPr>
                <w:rFonts w:ascii="宋体" w:eastAsia="宋体" w:hAnsi="宋体" w:hint="eastAsia"/>
                <w:kern w:val="0"/>
                <w:szCs w:val="21"/>
              </w:rPr>
              <w:t>13.12）通用组件配置:支持选择数据绑定，支持标题名称等相关通用属性配置，支持不同组件特有的扩展属性配置，支持选择类组件的选项数据属性配置；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13.13）选项数据配置：支持手工配置静态数据字典,选择已有表单作为数据字典，支持通过表名查询并选择数据表,支持选择业务字典中已经准备好的各类字典进行快捷应用;选择系统字典中已经配置好的各类字典进行应用；支持符合标准规范的远端服务接入，支持配置Get和Post两种服务方式；</w:t>
            </w:r>
          </w:p>
          <w:p>
            <w:pPr>
              <w:pStyle w:val="style0"/>
              <w:spacing w:lineRule="exact" w:line="400"/>
              <w:jc w:val="left"/>
              <w:rPr>
                <w:rFonts w:ascii="宋体" w:eastAsia="宋体" w:hAnsi="宋体"/>
                <w:kern w:val="0"/>
                <w:szCs w:val="21"/>
              </w:rPr>
            </w:pPr>
            <w:r>
              <w:rPr>
                <w:rFonts w:ascii="宋体" w:eastAsia="宋体" w:hAnsi="宋体" w:hint="eastAsia"/>
                <w:kern w:val="0"/>
                <w:szCs w:val="21"/>
              </w:rPr>
              <w:t>13.14）表单组件：支持基础组件、高级组件、业务组件任意组合并统一提交；</w:t>
            </w:r>
          </w:p>
          <w:p>
            <w:pPr>
              <w:pStyle w:val="style0"/>
              <w:spacing w:lineRule="exact" w:line="400"/>
              <w:jc w:val="left"/>
              <w:rPr>
                <w:rFonts w:ascii="宋体" w:eastAsia="宋体" w:hAnsi="宋体"/>
                <w:kern w:val="0"/>
                <w:szCs w:val="21"/>
              </w:rPr>
            </w:pPr>
            <w:r>
              <w:rPr>
                <w:rFonts w:ascii="宋体" w:eastAsia="宋体" w:hAnsi="宋体" w:hint="eastAsia"/>
                <w:kern w:val="0"/>
                <w:szCs w:val="21"/>
              </w:rPr>
              <w:t>13.15）表格组件：支持数据驱动视图，支持自定义列，支持列表和分页融合，同时兼容elementui的属性；</w:t>
            </w:r>
          </w:p>
          <w:p>
            <w:pPr>
              <w:pStyle w:val="style0"/>
              <w:spacing w:lineRule="exact" w:line="400"/>
              <w:jc w:val="left"/>
              <w:rPr>
                <w:rFonts w:ascii="宋体" w:eastAsia="宋体" w:hAnsi="宋体"/>
                <w:kern w:val="0"/>
                <w:szCs w:val="21"/>
              </w:rPr>
            </w:pPr>
            <w:r>
              <w:rPr>
                <w:rFonts w:ascii="宋体" w:eastAsia="宋体" w:hAnsi="宋体" w:hint="eastAsia"/>
                <w:kern w:val="0"/>
                <w:szCs w:val="21"/>
              </w:rPr>
              <w:t>13.16）弹窗组件：以弹窗方式展示数据，支持全屏、拖动弹窗；</w:t>
            </w:r>
          </w:p>
          <w:p>
            <w:pPr>
              <w:pStyle w:val="style0"/>
              <w:spacing w:lineRule="exact" w:line="400"/>
              <w:jc w:val="left"/>
              <w:rPr>
                <w:rFonts w:ascii="宋体" w:eastAsia="宋体" w:hAnsi="宋体"/>
                <w:kern w:val="0"/>
                <w:szCs w:val="21"/>
              </w:rPr>
            </w:pPr>
            <w:r>
              <w:rPr>
                <w:rFonts w:ascii="宋体" w:eastAsia="宋体" w:hAnsi="宋体" w:hint="eastAsia"/>
                <w:kern w:val="0"/>
                <w:szCs w:val="21"/>
              </w:rPr>
              <w:t>13.17）视频组件：支持直播流（flv、m3u8)、mp4 播放；流异常时自动重连及自定义配置，支持配置兜底视频，配置流类型；支持http或ws配置，工具条配置；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13.18）新增页面组件：支持根据表单配置数据渲染新增页面；</w:t>
            </w:r>
          </w:p>
          <w:p>
            <w:pPr>
              <w:pStyle w:val="style0"/>
              <w:spacing w:lineRule="exact" w:line="400"/>
              <w:jc w:val="left"/>
              <w:rPr>
                <w:rFonts w:ascii="宋体" w:eastAsia="宋体" w:hAnsi="宋体"/>
                <w:kern w:val="0"/>
                <w:szCs w:val="21"/>
              </w:rPr>
            </w:pPr>
            <w:r>
              <w:rPr>
                <w:rFonts w:ascii="宋体" w:eastAsia="宋体" w:hAnsi="宋体" w:hint="eastAsia"/>
                <w:kern w:val="0"/>
                <w:szCs w:val="21"/>
              </w:rPr>
              <w:t>13.19）编辑页面组件：支持根据表单配置数据渲染编辑页面；</w:t>
            </w:r>
          </w:p>
          <w:p>
            <w:pPr>
              <w:pStyle w:val="style0"/>
              <w:spacing w:lineRule="exact" w:line="400"/>
              <w:jc w:val="left"/>
              <w:rPr>
                <w:rFonts w:ascii="宋体" w:eastAsia="宋体" w:hAnsi="宋体"/>
                <w:kern w:val="0"/>
                <w:szCs w:val="21"/>
              </w:rPr>
            </w:pPr>
            <w:r>
              <w:rPr>
                <w:rFonts w:ascii="宋体" w:eastAsia="宋体" w:hAnsi="宋体" w:hint="eastAsia"/>
                <w:kern w:val="0"/>
                <w:szCs w:val="21"/>
              </w:rPr>
              <w:t>13.20）详情页面组件：支持根据表单配置数据渲染详情页面</w:t>
            </w:r>
          </w:p>
          <w:p>
            <w:pPr>
              <w:pStyle w:val="style0"/>
              <w:spacing w:lineRule="exact" w:line="400"/>
              <w:jc w:val="left"/>
              <w:rPr>
                <w:rFonts w:ascii="宋体" w:eastAsia="宋体" w:hAnsi="宋体"/>
                <w:kern w:val="0"/>
                <w:szCs w:val="21"/>
              </w:rPr>
            </w:pPr>
            <w:r>
              <w:rPr>
                <w:rFonts w:ascii="宋体" w:eastAsia="宋体" w:hAnsi="宋体" w:hint="eastAsia"/>
                <w:kern w:val="0"/>
                <w:szCs w:val="21"/>
              </w:rPr>
              <w:t>13.21）列表页面组件：支持根据表单配置数据渲染列表页面；</w:t>
            </w:r>
          </w:p>
          <w:p>
            <w:pPr>
              <w:pStyle w:val="style0"/>
              <w:spacing w:lineRule="exact" w:line="400"/>
              <w:jc w:val="left"/>
              <w:rPr>
                <w:rFonts w:ascii="宋体" w:eastAsia="宋体" w:hAnsi="宋体"/>
                <w:kern w:val="0"/>
                <w:szCs w:val="21"/>
              </w:rPr>
            </w:pPr>
            <w:r>
              <w:rPr>
                <w:rFonts w:ascii="宋体" w:eastAsia="宋体" w:hAnsi="宋体" w:hint="eastAsia"/>
                <w:kern w:val="0"/>
                <w:szCs w:val="21"/>
              </w:rPr>
              <w:t>14、开放服务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基础服务、层级排序服务、数据权限服务、空间查询服务、时空轨迹服务、业务字典服务、业务标签服务、字段脱敏服务、下载模板服务、数据导入导出服务、数据表单备份服务、数据表单版本服务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14.1）基础服务：提供针对表单的新增、修改、删除、查询服务；支持通过自定义参数查询单条或集合，支持分页查询；</w:t>
            </w:r>
          </w:p>
          <w:p>
            <w:pPr>
              <w:pStyle w:val="style0"/>
              <w:spacing w:lineRule="exact" w:line="400"/>
              <w:jc w:val="left"/>
              <w:rPr>
                <w:rFonts w:ascii="宋体" w:eastAsia="宋体" w:hAnsi="宋体"/>
                <w:kern w:val="0"/>
                <w:szCs w:val="21"/>
              </w:rPr>
            </w:pPr>
            <w:r>
              <w:rPr>
                <w:rFonts w:ascii="宋体" w:eastAsia="宋体" w:hAnsi="宋体" w:hint="eastAsia"/>
                <w:kern w:val="0"/>
                <w:szCs w:val="21"/>
              </w:rPr>
              <w:t>14.2）层级排序服务：提供排序修改和查询服务；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14.3）数据权限服务：提供指定创建人或修改人的查询服务、提供拥有者或拥有部门的查询服务；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14.4）空间查询服务：提供指定空间几何要素Geometry范围内的查询；支持缓冲范围查询；</w:t>
            </w:r>
          </w:p>
          <w:p>
            <w:pPr>
              <w:pStyle w:val="style0"/>
              <w:spacing w:lineRule="exact" w:line="400"/>
              <w:jc w:val="left"/>
              <w:rPr>
                <w:rFonts w:ascii="宋体" w:eastAsia="宋体" w:hAnsi="宋体"/>
                <w:kern w:val="0"/>
                <w:szCs w:val="21"/>
              </w:rPr>
            </w:pPr>
            <w:r>
              <w:rPr>
                <w:rFonts w:ascii="宋体" w:eastAsia="宋体" w:hAnsi="宋体" w:hint="eastAsia"/>
                <w:kern w:val="0"/>
                <w:szCs w:val="21"/>
              </w:rPr>
              <w:t>14.5）时空轨迹服务：提供指定要素的最新位置和历史轨迹查询服务；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14.6）业务字典服务：提供指定字典ID下各字典项的查询服务，支持字典ID集合查询；</w:t>
            </w:r>
          </w:p>
          <w:p>
            <w:pPr>
              <w:pStyle w:val="style0"/>
              <w:spacing w:lineRule="exact" w:line="400"/>
              <w:jc w:val="left"/>
              <w:rPr>
                <w:rFonts w:ascii="宋体" w:eastAsia="宋体" w:hAnsi="宋体"/>
                <w:kern w:val="0"/>
                <w:szCs w:val="21"/>
              </w:rPr>
            </w:pPr>
            <w:r>
              <w:rPr>
                <w:rFonts w:ascii="宋体" w:eastAsia="宋体" w:hAnsi="宋体" w:hint="eastAsia"/>
                <w:kern w:val="0"/>
                <w:szCs w:val="21"/>
              </w:rPr>
              <w:t>14.7）业务标签服务：提供指定标签ID、Code或拥有者的标签查询；</w:t>
            </w:r>
          </w:p>
          <w:p>
            <w:pPr>
              <w:pStyle w:val="style0"/>
              <w:spacing w:lineRule="exact" w:line="400"/>
              <w:jc w:val="left"/>
              <w:rPr>
                <w:rFonts w:ascii="宋体" w:eastAsia="宋体" w:hAnsi="宋体"/>
                <w:kern w:val="0"/>
                <w:szCs w:val="21"/>
              </w:rPr>
            </w:pPr>
            <w:r>
              <w:rPr>
                <w:rFonts w:ascii="宋体" w:eastAsia="宋体" w:hAnsi="宋体" w:hint="eastAsia"/>
                <w:kern w:val="0"/>
                <w:szCs w:val="21"/>
              </w:rPr>
              <w:t>14.8）字段脱敏服务：可指定数据表单字任意段是否脱敏，并配置字段值脱敏规则；</w:t>
            </w:r>
          </w:p>
          <w:p>
            <w:pPr>
              <w:pStyle w:val="style0"/>
              <w:spacing w:lineRule="exact" w:line="400"/>
              <w:jc w:val="left"/>
              <w:rPr>
                <w:rFonts w:ascii="宋体" w:eastAsia="宋体" w:hAnsi="宋体"/>
                <w:kern w:val="0"/>
                <w:szCs w:val="21"/>
              </w:rPr>
            </w:pPr>
            <w:r>
              <w:rPr>
                <w:rFonts w:ascii="宋体" w:eastAsia="宋体" w:hAnsi="宋体" w:hint="eastAsia"/>
                <w:kern w:val="0"/>
                <w:szCs w:val="21"/>
              </w:rPr>
              <w:t>14.9）下载模版服务：提供下载数据导入模版的服务，数据导入的文件需要基于此模版；</w:t>
            </w:r>
          </w:p>
          <w:p>
            <w:pPr>
              <w:pStyle w:val="style0"/>
              <w:spacing w:lineRule="exact" w:line="400"/>
              <w:jc w:val="left"/>
              <w:rPr>
                <w:rFonts w:ascii="宋体" w:eastAsia="宋体" w:hAnsi="宋体"/>
                <w:kern w:val="0"/>
                <w:szCs w:val="21"/>
              </w:rPr>
            </w:pPr>
            <w:r>
              <w:rPr>
                <w:rFonts w:ascii="宋体" w:eastAsia="宋体" w:hAnsi="宋体" w:hint="eastAsia"/>
                <w:kern w:val="0"/>
                <w:szCs w:val="21"/>
              </w:rPr>
              <w:t>14.10）数据导入服务：提供表单数据导入服务，支持按模版批量导入数据，如导入失败，系统会提示导入失败原因；</w:t>
            </w:r>
          </w:p>
          <w:p>
            <w:pPr>
              <w:pStyle w:val="style0"/>
              <w:spacing w:lineRule="exact" w:line="400"/>
              <w:jc w:val="left"/>
              <w:rPr>
                <w:rFonts w:ascii="宋体" w:eastAsia="宋体" w:hAnsi="宋体"/>
                <w:kern w:val="0"/>
                <w:szCs w:val="21"/>
              </w:rPr>
            </w:pPr>
            <w:r>
              <w:rPr>
                <w:rFonts w:ascii="宋体" w:eastAsia="宋体" w:hAnsi="宋体" w:hint="eastAsia"/>
                <w:kern w:val="0"/>
                <w:szCs w:val="21"/>
              </w:rPr>
              <w:t>14.11）数据导出服务：提供表单数据导出服务，支持按模版批量导出数据；</w:t>
            </w:r>
          </w:p>
          <w:p>
            <w:pPr>
              <w:pStyle w:val="style0"/>
              <w:spacing w:lineRule="exact" w:line="400"/>
              <w:jc w:val="left"/>
              <w:rPr>
                <w:rFonts w:ascii="宋体" w:eastAsia="宋体" w:hAnsi="宋体"/>
                <w:kern w:val="0"/>
                <w:szCs w:val="21"/>
              </w:rPr>
            </w:pPr>
            <w:r>
              <w:rPr>
                <w:rFonts w:ascii="宋体" w:eastAsia="宋体" w:hAnsi="宋体" w:hint="eastAsia"/>
                <w:kern w:val="0"/>
                <w:szCs w:val="21"/>
              </w:rPr>
              <w:t>14.12）数据表单备份服务：提供对指定表单的当前数据结构、页面方案、数据进行备份服务；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14.13）数据表单版本服务：提供对指定表单的版本创建、维护、查询服务，支持回滚到指定版本。</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7</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活动管理应用</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1、活动管理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应包含活动管理列表、活动发布、活动删除、活动圈层等。</w:t>
            </w:r>
          </w:p>
          <w:p>
            <w:pPr>
              <w:pStyle w:val="style0"/>
              <w:spacing w:lineRule="exact" w:line="400"/>
              <w:jc w:val="left"/>
              <w:rPr>
                <w:rFonts w:ascii="宋体" w:eastAsia="宋体" w:hAnsi="宋体"/>
                <w:kern w:val="0"/>
                <w:szCs w:val="21"/>
              </w:rPr>
            </w:pPr>
            <w:r>
              <w:rPr>
                <w:rFonts w:ascii="宋体" w:eastAsia="宋体" w:hAnsi="宋体" w:hint="eastAsia"/>
                <w:kern w:val="0"/>
                <w:szCs w:val="21"/>
              </w:rPr>
              <w:t>1.1）活动管理列表：支持以列表形式展示活动简要信息；支持按时间、创建单位、责任单位对已有的活动进行筛选；支持通过关键字对活动进行模糊匹配筛选；支持活动统计，对已创建活动</w:t>
            </w:r>
            <w:r>
              <w:rPr>
                <w:rFonts w:ascii="宋体" w:eastAsia="宋体" w:hAnsi="宋体" w:hint="eastAsia"/>
                <w:kern w:val="0"/>
                <w:szCs w:val="21"/>
              </w:rPr>
              <w:t>进行操作；</w:t>
            </w:r>
          </w:p>
          <w:p>
            <w:pPr>
              <w:pStyle w:val="style0"/>
              <w:spacing w:lineRule="exact" w:line="400"/>
              <w:jc w:val="left"/>
              <w:rPr/>
            </w:pPr>
            <w:r>
              <w:rPr>
                <w:rFonts w:ascii="宋体" w:eastAsia="宋体" w:hAnsi="宋体" w:hint="eastAsia"/>
                <w:kern w:val="0"/>
                <w:szCs w:val="21"/>
              </w:rPr>
              <w:t>1.2）活动发布：支持对已经完成编辑的活动进行发布；对已发布的活动，发布按钮置灰，不可再二次发布；</w:t>
            </w:r>
          </w:p>
          <w:p>
            <w:pPr>
              <w:pStyle w:val="style0"/>
              <w:spacing w:lineRule="exact" w:line="400"/>
              <w:jc w:val="left"/>
              <w:rPr/>
            </w:pPr>
            <w:r>
              <w:rPr>
                <w:rFonts w:ascii="宋体" w:eastAsia="宋体" w:hAnsi="宋体" w:hint="eastAsia"/>
                <w:kern w:val="0"/>
                <w:szCs w:val="21"/>
              </w:rPr>
              <w:t>1.3）活动删除：支持对创建的活动可进行删除操作，删除前二次确认提醒。</w:t>
            </w:r>
          </w:p>
          <w:p>
            <w:pPr>
              <w:pStyle w:val="style0"/>
              <w:spacing w:lineRule="exact" w:line="400"/>
              <w:jc w:val="left"/>
              <w:rPr/>
            </w:pPr>
            <w:r>
              <w:rPr>
                <w:rFonts w:ascii="宋体" w:eastAsia="宋体" w:hAnsi="宋体" w:hint="eastAsia"/>
                <w:kern w:val="0"/>
                <w:szCs w:val="21"/>
              </w:rPr>
              <w:t>1.4）</w:t>
            </w:r>
            <w:r>
              <w:rPr>
                <w:rFonts w:hint="eastAsia"/>
              </w:rPr>
              <w:t>活动圈层：对活动技防资源进行列表展示，区分类型信息、类型添加、删除、资源类型图标和名称配置等；支持对固定枪机、球机、人脸卡口、车辆卡口、全景相机、高点监控、基站、电子围栏进行信息展示、列表展示、地图撒点、名称搜索、分组过滤、责任单位过滤、搜索结果展示、图上圈选、信息编辑、信息删除、选中的图标高亮显示、地图查看详情、名称设置、地址信息设置、责任单位及责任人联系方式设置等；支持固定枪机、球机、人脸卡口、车辆卡口、全景相机、高点监控实时监控视频播放、视频自动拉流和手动拉流等；支持对活动场所设施，包含场所电梯、场所安检、场所卫生间、消火栓、应急疏散通道、烟火传感器、应急照明灯等进行信息展示、列表展示、地图撒点、名称搜索、责任单位过滤、搜索结果展示、信息编辑、信息删除、选中的图标高亮显示、地图查看详情、名称设置、地址信息设置、责任单位及责任人联系方式设置、显示附近监控点位等；</w:t>
            </w:r>
          </w:p>
          <w:p>
            <w:pPr>
              <w:pStyle w:val="style0"/>
              <w:spacing w:lineRule="exact" w:line="400"/>
              <w:jc w:val="left"/>
              <w:rPr>
                <w:rFonts w:ascii="宋体" w:eastAsia="宋体" w:hAnsi="宋体"/>
                <w:kern w:val="0"/>
                <w:szCs w:val="21"/>
              </w:rPr>
            </w:pPr>
            <w:r>
              <w:rPr>
                <w:rFonts w:ascii="宋体" w:eastAsia="宋体" w:hAnsi="宋体" w:hint="eastAsia"/>
                <w:kern w:val="0"/>
                <w:szCs w:val="21"/>
              </w:rPr>
              <w:t>2、新增活动</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应包含基本信息、涉及要素、部署设置、指挥架构、活动日程、活动任务、触网预警规则等内容。</w:t>
            </w:r>
          </w:p>
          <w:p>
            <w:pPr>
              <w:pStyle w:val="style0"/>
              <w:tabs>
                <w:tab w:val="left" w:leader="none" w:pos="0"/>
              </w:tabs>
              <w:spacing w:lineRule="exact" w:line="400"/>
              <w:jc w:val="left"/>
              <w:rPr/>
            </w:pPr>
            <w:r>
              <w:rPr>
                <w:rFonts w:ascii="宋体" w:eastAsia="宋体" w:hAnsi="宋体" w:hint="eastAsia"/>
                <w:kern w:val="0"/>
                <w:szCs w:val="21"/>
              </w:rPr>
              <w:t>2.1）</w:t>
            </w:r>
            <w:r>
              <w:rPr>
                <w:rFonts w:hint="eastAsia"/>
              </w:rPr>
              <w:t>基本信息：需支持在新增活动时，对活动名称、活动代码、活动责任部门、活动排查时间、活动地址自定义输入，支持活动级别、活动勤务等级的选择；支持上传活动专题图、活动缩略图、人员背景审查文档；支持活动圈层新增、对于不同的圈层设置不同的圈层区域颜色、对活动圈层的边线颜色和宽度设置；支持对活动简介、活动圈层名称自定义输入；支持手动绘制、框选、圈选、线选、多边形形式进行圈层绘制并实时修改呈现；对已绘制圈层支持一键清除及圈层保存；支持圈层信息列表展示，圈层编辑、删除等操作；</w:t>
            </w:r>
          </w:p>
          <w:p>
            <w:pPr>
              <w:pStyle w:val="style0"/>
              <w:tabs>
                <w:tab w:val="left" w:leader="none" w:pos="0"/>
              </w:tabs>
              <w:spacing w:lineRule="exact" w:line="400"/>
              <w:jc w:val="left"/>
              <w:rPr/>
            </w:pPr>
            <w:r>
              <w:rPr>
                <w:rFonts w:ascii="宋体" w:eastAsia="宋体" w:hAnsi="宋体" w:hint="eastAsia"/>
                <w:kern w:val="0"/>
                <w:szCs w:val="21"/>
              </w:rPr>
              <w:t>2.2）</w:t>
            </w:r>
            <w:r>
              <w:rPr>
                <w:rFonts w:hint="eastAsia"/>
              </w:rPr>
              <w:t>涉及要素：支持对待选场馆列表展示、选择；支持对已选场馆列表展示并进行活动管理，对不同的已选场馆进行不同的圈层设置及圈层名称自定义输入；支持绘制圈层时对地图进行缩放；支持待选驻地列表展示并进行驻地选择；支持已选驻地列表</w:t>
            </w:r>
            <w:r>
              <w:rPr>
                <w:rFonts w:hint="eastAsia"/>
              </w:rPr>
              <w:t>展示及关联；支持驻地圈层新增及圈层名称自定义；支持圈层区域、边线颜色、边线宽度自定义设定，边线样式自主选择；支持手动绘制、框选、圈选、线选、多边形等方式绘制圈层；支持清空图层，对于绘制的圈层进行保存及取消保存；支持待选线路列表展示，并进行线路选择；支持对已选线路列表展示并进行活动关联；支持对待选团组、待选组织列表展示并进行团组、组织选择；支持对已选团组、组织列表展示并进行活动关联；</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2.3）</w:t>
            </w:r>
            <w:r>
              <w:rPr>
                <w:rFonts w:hint="eastAsia"/>
              </w:rPr>
              <w:t>部署设置：支持</w:t>
            </w:r>
            <w:r>
              <w:rPr>
                <w:rFonts w:ascii="宋体" w:eastAsia="宋体" w:hAnsi="宋体" w:hint="eastAsia"/>
                <w:kern w:val="0"/>
                <w:szCs w:val="21"/>
              </w:rPr>
              <w:t>岗位管理、岗位新增、岗位名称自定义输入、岗位地址自定义输入；支持以画点的形式在地图上进行岗位标点，以画圈的形式在地图上进行岗位圈选，岗位框选、以自定义线选形式及多边形形式进行岗位线选和岗位多边形选择；支持岗位图层清除、岗位取消、岗位确定、新增岗位数据列表展示及预览；支持岗位编辑、岗位删除；支持点击治安卡点可以进入到治安卡点界面；支持对治安卡点、检查站、警务站进行关联、搜索，以列表形式展示可关联卡点及检查站、警务站资源，并进行关联选择、统计、地图预览等操作；系统需支持对已关联卡点、检查站、警务站进行搜索、统计、列表展示、预览、删除等；支持屯兵点管理、屯兵点新增、屯兵点名称、屯兵点地址；支持在地图上以画点、框选、圈选、线选、多边形的形式，进行屯兵点新增；支持屯兵点图层清除、屯兵点取消、屯兵点确定、屯兵点列表、屯兵点预览、屯兵点编辑、屯兵点删除；支持已有的视频组列表展示、新增视频组并自定义名称，可选择视频组关联的核心场馆，支持新增保存、新增取消操作，及视频组编辑、删除、搜索，视频组关联视频统计、已关联视频展示、已关联视频预览、已关联视频删除、已关联视频搜索、关联视频、未关联视频搜索、未关联视频统计、未关联视频预览、未关联视频选择、未关联视频提交等功能；</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2.4）指挥架构：支持指挥架构详细信息展示；列表展示本次活动中的指挥架构的信息；可进行指挥部新增操作；支持自定义输入指挥部名称并实时修改呈现；支持保存指挥部，指挥部新增保存后，系统会根据指挥部所选择的层级自动进行指挥机构划分；自定义设置指挥部设备频点；可根据活动的实际部署情况，对指挥部进行对讲机号关联；根据指挥部下的人员安排，可对指挥部进行人员关联，将相关人员关联到指挥部；支持根据活动方案中设定的人员角色进行自定义角色新增录入；提供人员组织机构信</w:t>
            </w:r>
            <w:r>
              <w:rPr>
                <w:rFonts w:ascii="宋体" w:eastAsia="宋体" w:hAnsi="宋体" w:hint="eastAsia"/>
                <w:kern w:val="0"/>
                <w:szCs w:val="21"/>
              </w:rPr>
              <w:t>息，可直接通过下拉框形式进行人员选择；提供自定义的文本框，可根据活动方案，进行配合单位的信息录入；提供了自定义的文本框，可对指挥部录入的人员进行职位输入；支持对指挥部人员进行顺序调整；可对指挥部相关数据进行数据编辑修改，包括指挥部的名称，和指挥部的层级；可对指挥部进行删除操作，在进行指挥部删除操作中，支持二次确认后删除；可切换到多跨协同界面，展示当前的多跨协同信息；支持自定义新增多跨协同单位信息；支持自定义输入多跨协同单位简称；支持自定义输入多跨协同单位全称；支持以列表形式展示多跨协同单位及单位相关信息，并且支持多跨协同单位的顺序调整；可对多跨协同单位进行编辑；可对多跨协同单位进行删除；支持对多跨协同单位进行人员新增；支持对新增人员进行已有的多跨协同单位进行选择；支持对新增人员进行自定义姓名输入；可对新增人员进行职位输入并展示；可对新增人员进行联系电话输入并展示；支持对多跨协同单位人员新增保存；根据安保活动方案，系统提供了自定义文本输入框，支持自定义输入主要责任描述并呈现；可自定义输入安保工作措施；支持多跨协同单位人员新增取消；支持多跨协同单位人员批量新增；提供人员批量新增模板；支持批量新增人员；支持批量对多跨协同人员进行删除，支持二次确认后删除，并且支持单选，多选，一键全选的删除操作；支持列表形式展示单位人员及人员相关信息；支持对人员信息进行编辑修改并展示；支持对人员信息进行删除；支持对人员信息进行统计展示；</w:t>
            </w:r>
          </w:p>
          <w:p>
            <w:pPr>
              <w:pStyle w:val="style0"/>
              <w:tabs>
                <w:tab w:val="left" w:leader="none" w:pos="0"/>
              </w:tabs>
              <w:spacing w:lineRule="exact" w:line="400"/>
              <w:jc w:val="left"/>
              <w:rPr/>
            </w:pPr>
            <w:r>
              <w:rPr>
                <w:rFonts w:ascii="宋体" w:eastAsia="宋体" w:hAnsi="宋体" w:hint="eastAsia"/>
                <w:kern w:val="0"/>
                <w:szCs w:val="21"/>
              </w:rPr>
              <w:t>2.5）活动日程：支持展示出活动中的所有日期；可对每日活动日程进行新增并展示，支持对活动进行多次的日程新增；提供输入框进行活动日程名称自定义输入；支持自动关联活动团组数据，并提供给用户进行选择；支持对活动日程的时间进行选择，并且系统跟根据日程的时间自动进行活动日程排序展示；支持自动关联活动场馆，并且在创建日程的时候提供给用户进行选择；提供输入框进行活动地址输入；支持对编辑完成的活动日程进行保存；支持对编辑完成的活动日程进行取消操作，取消后所输入的内容不进行保存；系统会自动将活动中关联的场馆进行分类，并且以场馆的维度展示出活动相关的所有场馆及场馆相关信息；通过活动日程中关联的场馆，可跟进活动场馆进行日常筛选，展示出不同场馆的相关日程；支持统计出每日的活动日程并展示，并且统计出每个场馆的每日日程统计。</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2.6）活动任务：支持列表形式展示所有岗位及岗位相关信息；通过关键字的形式进行岗位精准搜索；岗位上图展示；支持对岗位进行岗位任务设置；支持展示选择的岗位名称；支持展示选择的岗位地址；支持显示岗位执勤单位并提供选择功能；支持显示岗位执勤力量民警并提供选择功能；可根据岗位类型不同，选择岗位图标；可对当前岗位上的责任单位进行选择；可对当前单位上的责任民警进行选择；支持显示岗位关联的对讲机并提供选择功能；支持显示岗位关联的执法记录仪并提供选择功能；支持显示岗位关联的警务通并提供选择功能；支持显示岗位关联的警车并提供选择功能；以列表形式展示所有治安卡点及卡点相关信息；可以通过关键字的形式进行治安卡点搜索；点击治安卡点可以将治安卡点展示在地图上；可对治安卡点进行治安卡点任务设置；支持显示治安卡点执勤单位并提供选择功能；支持显示治安卡点执勤力量民警并提供选择功能；支持显示治安卡点关联的对讲机并提供选择功能；支持显示治安卡点关联的执法记录仪并提供选择功能；支持显示治安卡点关联的警务通并提供选择功能；支持显示治安卡点关联的警车并提供选择功能；支持列表形式展示所有检查站及检查站相关信息；可以通过关键字的形式进行检查站搜索；点击检查站可以将检查站展示在地图上；支持对检查站进行检查站任务设置；支持展示选择的检查站名称；支持展示选择的检查站地址；支持显示检查站执勤单位并提供选择功能；支持显示检查站执勤力量民警并提供选择功能；支持显示检查站关联的对讲机并提供选择功能；支持显示检查站关联的执法记录仪并提供选择功能；支持显示检查站关联的警务通并提供选择功能；支持显示检查站关联的警车并提供选择功能；以列表形式展示所有警务站及警务站相关信息；支持通过关键字的形式进行警务站精准搜索；点击警务站可以将警务站展示在地图上；可对警务站进行警务站任务设置；支持展示选择的警务站名称；支持展示选择的警务站地址；支持显示警务站执勤单位并提供选择功能；支持显示警务站执勤力量民警并提供选择功能；支持显示警务站关联的对讲机并提供选择功能；支持显示警务站关联的执法记录仪并提供选择功能；支持显示警务站关联的警务通并提供选择功能；支持显示警务站关联的警车并提供选择功能；以列表形式展示所有屯兵点；可以通过关键字的形式进行屯兵点搜索；点击屯兵点可以将屯兵点展示在地图上；可对屯兵点进行屯兵点任</w:t>
            </w:r>
            <w:r>
              <w:rPr>
                <w:rFonts w:ascii="宋体" w:eastAsia="宋体" w:hAnsi="宋体" w:hint="eastAsia"/>
                <w:kern w:val="0"/>
                <w:szCs w:val="21"/>
              </w:rPr>
              <w:t>务设置；支持展示选择的屯兵点名称；支持展示选择的屯兵点地址；支持显示屯兵点执勤单位并提供选择功能；支持显示屯兵点执勤力量民警并提供选择功能；支持显示屯兵点关联的对讲机并提供选择功能；支持显示屯兵点关联的执法记录仪并提供选择功能；支持显示屯兵点关联的警务通并提供选择功能；支持显示屯兵点关联的警车并提供选择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2.7）触网预警规则：支持自定义新增触网预警规则；支持自定义输入预警规则名称；支持确认并生效新增触网预警规则；支持取消新增并生效触网预警规则；以列表的形式展示布控预警时间信息；提供布控预警时间新增功能；提供自定义框输入预警名称功能；提供自定义框输入预警时间功能；提供自定义框输入预警地址功能；支持对创建的布控预警时间进行保存并生效，保存时系统会自动校验；支持对创建的布控预警时间进行取消保存；支持列表形式展示活动创建的布控范围，系统会自动关联到活动关联的场馆圈层范围，进行展示；支持对布控范围进行选择配置，提供了单选，多选和全选功能，进行布控范围选择；提供单个布控圈层选择功能，可对活动中单个圈层进行布控设置；提供多个布控圈层选择功能，可对活动中进行多个圈层绘制，进行多圈层布控选择；提供多个布控范围选择功能，可对活动中关联的多个场馆进行预警布控；提供布控范围圈层查看功能；点击布控范围新增，系统会打开布控范围绘制界面，可新增布控范围；提供自定义输入新增圈层名称功能；提供自定义框选绘制圈层功能；提供自定义圈选绘制圈层功能；提供自定义线选绘制圈层功能；提供自定义多边形绘制圈层功能；提供一键清除图层功能；提供圈层绘制线条颜色选择功能；可对绘制的圈层进行自定义颜色填充；可自定义选择并配置线条样式；可对绘制的圈层进行保存并即时生效；可对绘制的圈层进行取消保存；可选择不同的预警对象进行触网预警；按照人员类型选择关注人员功能；提供按照按稳控状态选择关注人员功能；提供按照按警种选择关注人员功能；提供按照人员属性选择关注人员功能；提供按照预警处置级别选择关注人员功能；提供按照风险等级选择关注人员功能；可自定义添加关注人员并展示；支持对临时关注人员按照关键字对关注人员进行精准搜索；支持进行单选或多选关注人员，支持人员单选、人员多选、人员一键全选进行添加选择；关注人员选择后可进行一键清除选择；进行关注人员选择提供二次确认功能；</w:t>
            </w:r>
            <w:r>
              <w:rPr>
                <w:rFonts w:ascii="宋体" w:eastAsia="宋体" w:hAnsi="宋体" w:hint="eastAsia"/>
                <w:kern w:val="0"/>
                <w:szCs w:val="21"/>
              </w:rPr>
              <w:t>取消关注人员选择并提供二次确认功能；支持自主选择关注车辆进行预警；支持根据关注车辆类型并自主选择；关注车辆类型支持对关注车辆进行一键全选功能；支持根据关注警情进行预警功能；支持根据关注警情类型进行选择功能；系统提供刑事类警情细项选择功能；提供治安类警情细项选择功能；提供交通事故类警情细项选择功能；提供其他维度预警设置功能，包括大客流预警设置，和交通拥堵预警设置；提供大客流预警阈值功能；提供交通拥堵预警阈值功能；点击生成预警规则，可对配置的预警规则进行生效保存。</w:t>
            </w:r>
          </w:p>
          <w:p>
            <w:pPr>
              <w:pStyle w:val="style0"/>
              <w:spacing w:lineRule="exact" w:line="400"/>
              <w:jc w:val="left"/>
              <w:rPr>
                <w:rFonts w:ascii="宋体" w:eastAsia="宋体" w:hAnsi="宋体"/>
                <w:kern w:val="0"/>
                <w:szCs w:val="21"/>
              </w:rPr>
            </w:pPr>
            <w:r>
              <w:rPr>
                <w:rFonts w:ascii="宋体" w:eastAsia="宋体" w:hAnsi="宋体" w:hint="eastAsia"/>
                <w:kern w:val="0"/>
                <w:szCs w:val="21"/>
              </w:rPr>
              <w:t>3、事件配置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应包含事件列表、方案新增、规则设置、规则新增等内容。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3.1）事件列表：支持以列表形式展示方案名称；以列表形式展示方案创建时间；支持展示每个方案的当前状态；支持对已经创建的方案进行编辑修改操作；支持已经创建的方案进行删除操作，并且会进行二次提醒，进行删除确认之后才能进行删除；可对事件进行规则设置。</w:t>
            </w:r>
          </w:p>
          <w:p>
            <w:pPr>
              <w:pStyle w:val="style0"/>
              <w:spacing w:lineRule="exact" w:line="400"/>
              <w:jc w:val="left"/>
              <w:rPr>
                <w:rFonts w:ascii="宋体" w:eastAsia="宋体" w:hAnsi="宋体"/>
                <w:kern w:val="0"/>
                <w:szCs w:val="21"/>
              </w:rPr>
            </w:pPr>
            <w:r>
              <w:rPr>
                <w:rFonts w:ascii="宋体" w:eastAsia="宋体" w:hAnsi="宋体" w:hint="eastAsia"/>
                <w:kern w:val="0"/>
                <w:szCs w:val="21"/>
              </w:rPr>
              <w:t>3.2）方案新增：需包含方案名称输入、方案新增确认、方案新增取消等功能。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3.3）规则设置：支持展示方案的名称、创建时间；列表形式展示方案中的规则；支持从全局角度统计出当前方案中的规则数；支持在列表中展示事件类型供用户查看；支持在列表中展示出事件规则供用户查看；提供启用状态按钮，可控制规则的启用和关闭；支持对当前的规则进行编辑修改操作；支持删除当前规则，支持二次确认删除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3.4）规则新增：应支持自定义输入事件类型并即时生效；支持对方案状态进行设置并即时生效；支持对警情进行事件规则设置并即时生效；支持显示一级警情并提供选择功能；支持显示二级警情并提供选择功能；支持显示三级警情并提供选择功能；支持显示四级警情并提供选择功能；支持显示警情等级并提供组合选择功能；可按照警情类型进行事件规则设置；可对警情中的内容进行事件关键字筛选；支持规则新增确认，提供二次确认功能；支持规则新增取消，提供二次确认功能；支持提供舆情规则筛选功能；支持提供要情规则筛选功能；支持提供情报规则筛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4、活动舆情</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应包含活动列表、舆情列表、舆情新增等内容。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4.1）活动列表：支持列表形式展示活动及活动相关信息；按照活动状态对活动列表进行过滤；按照关键字对活动进行精准搜索；展示活动当前状态，如进行中、筹备中等状态。</w:t>
            </w:r>
          </w:p>
          <w:p>
            <w:pPr>
              <w:pStyle w:val="style0"/>
              <w:spacing w:lineRule="exact" w:line="400"/>
              <w:jc w:val="left"/>
              <w:rPr>
                <w:rFonts w:ascii="宋体" w:eastAsia="宋体" w:hAnsi="宋体"/>
                <w:kern w:val="0"/>
                <w:szCs w:val="21"/>
              </w:rPr>
            </w:pPr>
            <w:r>
              <w:rPr>
                <w:rFonts w:ascii="宋体" w:eastAsia="宋体" w:hAnsi="宋体" w:hint="eastAsia"/>
                <w:kern w:val="0"/>
                <w:szCs w:val="21"/>
              </w:rPr>
              <w:t>4.2）舆情列表：支持按照日期进行舆情数据筛选并呈现筛选结果；按照名称进行舆情数据搜索并呈现搜索结果；提供舆情发布时间展示功能。；提供舆情关键字展示功能；提供舆情标题展示功能；提供舆情发布源展示功能；提供舆情作者展示功能；提供舆情内容展示功能；支持对现有舆情数据进行编辑修改并即时生效；支持对现有舆情数据进行删除操作，提供二次确认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4.3）舆情新增：支持对舆情标题进行自定义输入并即时生效；支持舆情时间选择输入并即时生效；支持舆情信源选择输入并即时生效；支持舆情来源网站选择输入并即时生效；支持舆情发布作者选择输入并即时生效；支持舆情关键词输入并即时生效；支持舆情来源地址输入并即时生效；支持舆情描述输入并即时生效；支持对编辑的舆情数据进行保存操作；对舆情新增可进行保存取消操作；支持对舆情按照系统提供的标准模板进行批量导入；提供舆情批量导入模板下载功能；可以文件的形式批量上传舆情数据；可对现有舆情数据进行批量删除，提供二次确认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5、背景审核</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应包含背审查询、背审管理、背审核实、背审记录、结果审批等内容。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5.1）背审查询：支持按姓名进行背景审核记录的查询和筛选；按被审核人员的身份证号码查询特定的背景审核记录；支持用户批量导入背审人员名单，实现多个背审对象的快速查询和审核；提供背审模板的下载功能；支持展示所有历史背景审核记录；提供日期筛选功能，查看特定时间段的审核情况；支持通过输入姓名进行筛选，快速定位特定背审人员的审核记录；支持通过输入身份证号进行筛选，精确查找特定背审人员的背景审核记录；支持展示背景审核的核查结果；支持在查询结果中展示背审人员的姓名；支持展示背审人员的身份证号码；支持展示背审人员的审核状态；支持展示背景审核的具体类型；支持展示背景审核的具体结果；支持展示背景审核过程中的备注信息；背景审核记录统计等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5.2）背审管理：支持列表展示所有背审任务；提供任务编号查询功能，快速定位并查看特定的背审任务；支持新增背审任务；</w:t>
            </w:r>
            <w:r>
              <w:rPr>
                <w:rFonts w:ascii="宋体" w:eastAsia="宋体" w:hAnsi="宋体" w:hint="eastAsia"/>
                <w:kern w:val="0"/>
                <w:szCs w:val="21"/>
              </w:rPr>
              <w:t>背审任务与活动相关联；支持编辑背审任务的名称；支持设置背审任务的开始日期，；支持设置背审任务的结束日期；支持对已存在的背审任务进行编辑；提供任务删除功能；支持对背审任务进行批次管理；支持展示背审任务的名称；支持展示背审任务的开始时间；支持展示背审任务的结束时间；支持展示背审任务的创建时间；支持新增需要进行背景审核的人员；在新增审核人员时，用户需输入被审核人员的姓名，以确保审核对象的准确性；用户需输入被审核人员的身份证号码，以便进行身份验证和背景核查；系统自动支持判断输入的身份证号是否合法和有效；支持用户批量导入需要进行背景审核的人员名单，提高审核效率；提供背审模板的下载功能；支持用户批量导出背审结果；支持以列表形式展示背审批次信息；支持展示背审任务的接入方式；支持展示接入背审数据的批次；支持展示当前批次或任务中需要进行背景审核的人员总数；支持展示背审任务中成功通过审核的人员数量；支持展示背审任务中未通过审核的人员数量；支持展示背审任务的执行状态，；支持展示背审批次的创建时间；支持在符合规定的条件下对已完成的背审结果进行修改；支持展示被审核人员的姓名；支持展示被审核人员的身份证号码；提供审核状态修改功能，可输入修改理由记录修改原因和追溯操作历史;支持用户上传与背审相关的附件文件；完成审核结果修改后，可提交修改，系统将更新背审记录并通知相关人员；在用户进行结果修改过程中，若发生误操作或需要取消修改，可撤销之前的修改操作；支持查看被审核人员的核查结果；提供背审人员核查结果姓名展示功能；提供背审人员核查结果身份证号展示；支持展示被核查人员的状态信息；提供背审人员核查结果核查类型展示；支持在核查结果中展示具体的核查类型；提供背审人员核查结果备注展示功能；支持展示背审任务的操作记录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5.3）背审核实：支持背审相关的说明文档下载；支持用户根据背审结果（如通过、未通过等）对背审记录进行筛选；根据登记日期范围筛选背审记录；提供任务搜索筛选功能；支持通过输入姓名进行筛选，；支持通过输入身份证号进行筛选；支持展示需进行背景核实的人员列表；支持展示当前任务的名称；支持背审任务的编号；支持展示每个人的姓名，方便用户识别核实对象；支持展示需核实人员的证件号码；支持展示需核实人员的登记时间；支持展示背审核实的结果和状态；提供详情查看功能；支持</w:t>
            </w:r>
            <w:r>
              <w:rPr>
                <w:rFonts w:ascii="宋体" w:eastAsia="宋体" w:hAnsi="宋体" w:hint="eastAsia"/>
                <w:kern w:val="0"/>
                <w:szCs w:val="21"/>
              </w:rPr>
              <w:t>展示参与核查的人员姓名；支持展示核查人员的身份证号码，用于身份验证和责任追究；支持展示核查人员的当前状态，方便了解核查团队的运作情况；支持展示具体的核查类型；支持展示背审核实的结果；支持展示核查过程中的备注信息；支持展示背审核实过程中的操作记录；提供背审审核功能；支持对需进行背景核实的人员进行统计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5.4）背审记录：支持在背审记录中展示对应的任务名称；支持展示背审记录的任务编号；支持展示被审核人员的姓名；支持展示被审核人员的证件号码；支持展示被审核人员的登记时间；支持展示背审记录中的审核情况；提供详情查看功能；支持在背审记录中展示警种信息；支持对背审记录进行统计；支持用户批量导出背审记录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5.5）结果审批：支持据审批状态筛选背审结果；支持用户根据审批结果筛选背审记录；通过审核结果筛选出符合特定审核结果的背审记录；支持根据背审记录的登记日期进行筛选；提供姓名筛选功能；支持通过身份证号进行筛选；支持根据任务名称筛选背审结果；支持展示背审任务的名称；支持展示背审任务的唯一编号；支持展示被审核人员的姓名；支持展示被审核人员的证件号码；支持展示背审结果的登记时间；支持展示背审结果；提供详情查看功能查看背审人员详情；支持展示目前人员是否通过最终审批；支持展示背审人员的最终审批状态；支持通过点击审批打开人员最终审批界面；支持展示需审核人员的姓名；提供需审核人员证件号码展示；提供同意和不同意对人员背审最终状态进行审批；在审批完成后，提供审批确认功能，确保审批操作的准确性和不可逆性，防止误操作导致的后果；在审批过程中，若发生误操作或需要取消审批，可撤销之前的审批操作；支持对审批任务进行统计，包括待审批任务数、已审批任务数、驳回任务数等，为用户提供数据支持和决策依据。</w:t>
            </w:r>
          </w:p>
          <w:p>
            <w:pPr>
              <w:pStyle w:val="style0"/>
              <w:spacing w:lineRule="exact" w:line="400"/>
              <w:jc w:val="left"/>
              <w:rPr>
                <w:rFonts w:ascii="宋体" w:eastAsia="宋体" w:hAnsi="宋体"/>
                <w:kern w:val="0"/>
                <w:szCs w:val="21"/>
              </w:rPr>
            </w:pPr>
            <w:r>
              <w:rPr>
                <w:rFonts w:ascii="宋体" w:eastAsia="宋体" w:hAnsi="宋体" w:hint="eastAsia"/>
                <w:kern w:val="0"/>
                <w:szCs w:val="21"/>
              </w:rPr>
              <w:t>6、事件处置</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应包含突发事件列表、事件新增等模块。</w:t>
            </w:r>
          </w:p>
          <w:p>
            <w:pPr>
              <w:pStyle w:val="style0"/>
              <w:spacing w:lineRule="exact" w:line="400"/>
              <w:jc w:val="left"/>
              <w:rPr>
                <w:rFonts w:ascii="宋体" w:eastAsia="宋体" w:hAnsi="宋体"/>
                <w:kern w:val="0"/>
                <w:szCs w:val="21"/>
              </w:rPr>
            </w:pPr>
            <w:r>
              <w:rPr>
                <w:rFonts w:ascii="宋体" w:eastAsia="宋体" w:hAnsi="宋体" w:hint="eastAsia"/>
                <w:kern w:val="0"/>
                <w:szCs w:val="21"/>
              </w:rPr>
              <w:t>6.1）突发事件列表：支持在突发事件列表中展示事件的类型；提供事件排序功能，可根据时间、等级、紧急程度等条件对事件进行排序；支持展示事件的等级，反映事件的严重程度和影响范围；支持展示事件的来源或报告渠道；支持展示事件的发生时间；支持展示事件的地点或位置信息；支持展示事件的内容或描述；</w:t>
            </w:r>
            <w:r>
              <w:rPr>
                <w:rFonts w:ascii="宋体" w:eastAsia="宋体" w:hAnsi="宋体" w:hint="eastAsia"/>
                <w:kern w:val="0"/>
                <w:szCs w:val="21"/>
              </w:rPr>
              <w:t>支持将事件的位置信息在地图上标注出来；提供关键字搜索功能；支持根据事件等级进行过滤；提供事件类型过滤功能；支持根据事件的状态（如已处理、未处理、处理中等）进行过滤等功能。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6.2）事件新增：支持支持监控发现、群众举报、巡逻发现等输入事件的来源信息；提供事件类型输入功能；支持根据事件的紧急程度和影响范围选择相应的事件等级，便于事件处置的优先级划分和资源配置；提供事件名称输入功能；支持用户通过地图定位、地址搜索等方式选择或输入事件的发生地点；支持输入事件发生的具体时间；提供事件描述输入功能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7、任务管理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应包含：任务发布、任务处置、任务抄送等内容。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7.1）任务发布：支持列表形式展示当前所有已创建或进行中的活动；支持用户创建并发布新的任务；提供根据活动名称、编号等快速定位并查找特定活动；支持按任务状态进行过滤；支持用户根据任务发布或执行的日期范围进行过滤；提供任务名称的过滤功能；支持展示所有已发布或待发布的任务列表；支持在任务列表中显示任务的名称；支持展示任务的详细描述；支持显示任务签发的单位或部门；支持展示任务的签发时间；展示任务的开始和结束时间；支持展示任务所属的类型；支持显示任务的签收状态；支持用户创建新的任务；在新建任务时，支持用户选择任务所属的活动，确保任务与活动的关联性和一致性；提供多种任务类型供用户选择；支持选择物品排查任务；支持选择人员排查任务；支持选择车辆排查任务；支持选择旅店治安排查任务；支持选择物流寄递排查任务；支持选择重点企业排查任务；支持选择加油站排查任务；支持选择机动车修理业排查任务；支持选择日常消防排查任务；支持用户输入任务的名称；提供日期选择功能设置任务的开始和结束时间；支持用户输入任务的签发单位或部门；支持输入任务的拟办人或负责人，明确任务执行的责任主体；支持用户输入联系电话；可根据所选的任务类型提供相应的排查要素供用户选择；支持用户输入任务的名称;支持用户上传与任务相关的附件;在新建任务时，支持选择任务的接收单位或部门；支持用户选择抄送单位或部门，将任务信息同时发送给其他相关人员或部门；完成任务的创建和设置后，可进行任务发布操作，支持将任务信息推送给相关执行人员；可以在用户发布任</w:t>
            </w:r>
            <w:r>
              <w:rPr>
                <w:rFonts w:ascii="宋体" w:eastAsia="宋体" w:hAnsi="宋体" w:hint="eastAsia"/>
                <w:kern w:val="0"/>
                <w:szCs w:val="21"/>
              </w:rPr>
              <w:t>务前取消发布操作，返回任务编辑状态进行修改；支持对已发布或未发布的任务进行编辑操作；对于已发布的任务，如因特殊原因需要撤销，可通过任务撤销功能进行操作，停止任务的执行，并通知相关执行人员；提供任务统计功能，对发布的任务进行数量、类型、执行进度等方面的统计和分析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7.2）任务处置：支持任务状态筛选、任务日期筛选、任务名称搜索、列表展示所有待处理或已处理的任务、展示任务状态、支持展示当前任务涉及的执行单位数量、支持展示任务中待排查的部位数量、支持展示已经排查且确认无异常的部位数量、支持展示在排查过程中发现的异常部位数量、支持将复杂任务拆分为多个子任务；支持展示每个任务所属的活动信息；支持展示任务的类型，如安全检查、巡逻、应急处理等；支持展示每个任务的名称，确保用户能够准确识别并处理任务；支持展示任务的开始和结束时间，提醒用户按时完成任务；支持展示任务的签发单位或部门；支持展示任务的拟办人或负责人；支持展示拟办人或负责人的联系电话；支持展示任务的描述信息、支持展示与任务相关的附件；在任务分解后，可展示各个子任务的执行单位，确保任务能够准确分配给相关执行人员；支持对已分解的子任务的执行单位进行编辑和调整；支持展示任务的抄送单位或部门；支持展示已排查或待排查的部位列表；支持展示每个部位的名称；支持展示排查部位的详细地址；支持排查部位的法人代表信息；支持展示排查部位的责任单位或部门；支持展示每个部位的责任单位名称；支持记录并展示排查部位法人的身份证信息；支持展示排查部位的经营范围；输入部位名称、地址等关键词可快速定位并查找相关排查部位；支持对排查部位进行统计分析；支持新增排查部位；在新增排查部位时，提供搜索功能，帮助用户快速查找并确定新增部位的相关信息；支持展示所有排查部位的列表；支持统计并展示排查部位的总数；提供部位详情查看功能；支持删除不再需要或错误的排查部位；提供部位编辑功能；支持修改部位的名称；提供部位地址修改功能；支持修改部位的行政区划信息；提供部位空间数据的修改功能；支持修改部位的组织机构信息；提供部位分类的修改功能；支持修改部位的法定责任人信息；提供部位标签数据的修改功能；支持修改部位图片的URL地址；提供部位监管单位的修改功能；支持修改部位组织的名称；提供部位责任单位的修改功能；支持修改部位的经营范围信息；删除</w:t>
            </w:r>
            <w:r>
              <w:rPr>
                <w:rFonts w:ascii="宋体" w:eastAsia="宋体" w:hAnsi="宋体" w:hint="eastAsia"/>
                <w:kern w:val="0"/>
                <w:szCs w:val="21"/>
              </w:rPr>
              <w:t>不再需要排查的部位等操作。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7.3）任务抄送：支持所属活动展示；支持展示被抄送任务的具体类型；支持展示被抄送的任务名称；支持显示任务的起止时间；支持展示任务的签发单位；支持展示任务的拟办人或负责人；支持展示拟办人或相关责任人的联系电话；支持展示任务的描述信息；支持展示与任务相关的附件；如果任务被分解为多个子任务并分配给不同的执行单位，则可在抄送时展示这些分解后的执行单位，；支持抄送人员根据需要对已分解的执行单位进行编辑和调整；支持展示任务的抄送单位或部门；如果任务涉及排查工作，系统支持展示相关的排查部位列；支持展示每个部位的名称；支持展示排查部位的详细地址；支持展示排查部位的法人代表信息；支持展示排查部位的责任单位或部门；支持展示每个部位的责任单位名称；支持展示排查部位法人的身份证信息；支持展示排查部位的经营范围或业务性质；系统提供模糊搜索功能；排查部位统计分析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8、战果上报</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应包含人员上报、车辆上报、物品上报等内容。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8.1）人员上报：支持用户上报人员的战果信息，包括人员的基本情况和查获的详细数据；提供人员战果上报的模板下载服务，方便按统一格式填写和整理数据，减少因格式错误导致的信息录入问题；支持将填写好的人员战果信息附件上传至系统；提供地市级别的数据过滤功能，快速筛选出该地区的人员战果信息，便于地域性的数据分析和统计；支持通过检查站名称进行数据过滤，对特定检查站的工作情况进行详细分析和评估；支持按查获时间设定时间范围，快速获取该时间段内的人员战果信息，便于进行时间维度的数据分析和对比；人员战果信息展示，包含人员姓名的显示；人员性别信息展示，便于了解人员构成和性别分布情况；支持展示人员的证件类型；支持展示人员的证件号码；支持展示人员的出生日期；支持展示人员的民族信息；支持展示人员查获时的检查站编码；支持展示人员查获时的检查站名称信息；支持展示人员查获时的地市信息；支持展示人员的查获原因；支持展示人员的处置方式；支持展示人员的居住地信息；支持展示人员战果的人员详细地址；支持对人员战果数据进行统计和分析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8.2）车辆上报：支持车辆战果信息在线上报功能；提供地市级</w:t>
            </w:r>
            <w:r>
              <w:rPr>
                <w:rFonts w:ascii="宋体" w:eastAsia="宋体" w:hAnsi="宋体" w:hint="eastAsia"/>
                <w:kern w:val="0"/>
                <w:szCs w:val="21"/>
              </w:rPr>
              <w:t>别的数据过滤选项；支持通过检查站名称进行数据过滤；支持按照查获时间范围进行数据筛选；提供标准的车辆战果上报模板供用户下载；支持上报车牌号码、号牌颜色、车身颜色、车辆类型、车辆识别代码、机动车档案编号等信息；支持记录并展示驾驶人、驾驶人证件、性别、所属地市编码、所属地市、查获事由、检查站编码、检查站名称、处置方式、查获时间、车辆战果统计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8.3）物品上报：支持按物品名称进行查询；按物品所属人进行查询；按证件号码查询；按检查站进行查询；按查获时间范围进行查询；物品战果信息的在线上报；物品战果上报的模板下载服务；提供物品展示上报功能；在物品战果信息展示中，支持展示物品名称；支持展示物品的类型信息；支持展示物品的查获事由；物品所属人展示、物品数量展示、检查站编码展示、检查站名称展示、证件号码展示、查获事由展示、特征描述、战果备注展示等操作。</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8</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线路安保应用</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1、车辆管理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车辆查询、车辆新增、新增车辆名称、新增车辆手台、布控球名称、车牌号、4G/5G编码、布控球播放ID、备注、车辆新增保存、车辆管理-新增取消、名称展示、手台号、布控球展示、车牌号展示、4G/5G编码展示、布控球ID展示、备注展示、车辆编辑、车辆删除等内容。</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车辆查询：支持对车辆信息进行查询；</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车辆新增：支持手动新增车辆信息；</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新增车辆名称：支持用户输入或编辑车辆的名称，确保每辆车有唯一且明确的标识；</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新增车辆手台：支持提供输入车辆手台信息的功能，便于后续通讯和调度；</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布控球名称：支持输入车辆布控球的名称，用于识别和管理车载监控设备；</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车牌号：支持用户输入车辆的车牌号，确保车辆信息的准确性和可追溯性；</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4G编码：提供输入车辆4G/5G编码的功能，用于数据传输和远程监控；</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布控球播放ID：支持输入布控球的播放ID，便于流媒体服务的调用和管理；</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备注：支持输入车辆备注信息的字段，用于记录车辆的特殊说明或额外信息；</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车辆新增保存：车辆输入完整后需有保存功能；</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车辆管理－新增取消：在新增车辆信息过程中，支持取消保存操作；</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名称展示：支持在车辆列表中展示每辆车的名称，便于用户快速识别和查找；</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手台号：支持在列表中展示车辆的手台号，方便通讯和调度操作；</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布控球展示：支持展示车辆布控球的名称或状态，便于监控和管理车载设备；</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车牌号展示：支持在车辆列表中清晰展示每辆车的车牌号，确保信息的准确性和可视性；</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４G编码展示：支持展示车辆的4G/5G编码信息，用于高级数据传输和远程监控功能的实现；</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布控球ID展示：支持在列表中展示布控球的播放ID，便于流媒体服务的快速调用和管理；</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备注展示：支持展示车辆的备注信息，提供额外的车辆详情或特殊说明；</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车辆编辑：支持用户对已保存的车辆数据进行编辑和修改，确保信息的实时性和准确性；</w:t>
            </w:r>
          </w:p>
          <w:p>
            <w:pPr>
              <w:pStyle w:val="style0"/>
              <w:numPr>
                <w:ilvl w:val="1"/>
                <w:numId w:val="7"/>
              </w:numPr>
              <w:spacing w:lineRule="exact" w:line="400"/>
              <w:jc w:val="left"/>
              <w:rPr>
                <w:rFonts w:ascii="宋体" w:eastAsia="宋体" w:hAnsi="宋体"/>
                <w:kern w:val="0"/>
                <w:szCs w:val="21"/>
              </w:rPr>
            </w:pPr>
            <w:r>
              <w:rPr>
                <w:rFonts w:ascii="宋体" w:eastAsia="宋体" w:hAnsi="宋体" w:hint="eastAsia"/>
                <w:kern w:val="0"/>
                <w:szCs w:val="21"/>
              </w:rPr>
              <w:t>车辆删除：提供删除车辆数据的功能，用于清理无效或过期信息，保持数据库的整洁性。</w:t>
            </w:r>
          </w:p>
          <w:p>
            <w:pPr>
              <w:pStyle w:val="style0"/>
              <w:spacing w:lineRule="exact" w:line="400"/>
              <w:jc w:val="left"/>
              <w:rPr>
                <w:rFonts w:ascii="宋体" w:eastAsia="宋体" w:hAnsi="宋体"/>
                <w:kern w:val="0"/>
                <w:szCs w:val="21"/>
              </w:rPr>
            </w:pPr>
            <w:r>
              <w:rPr>
                <w:rFonts w:ascii="宋体" w:eastAsia="宋体" w:hAnsi="宋体" w:hint="eastAsia"/>
                <w:kern w:val="0"/>
                <w:szCs w:val="21"/>
              </w:rPr>
              <w:t>2、场馆管理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应包含场馆列表、场馆名称查询、新增场馆、场馆名称输入、场馆地址输入、场馆类型选择、场馆区域绘制、内容重置、场馆新增保存、场馆名称、类型、地址展示、场馆上图定位及场馆编辑等。</w:t>
            </w:r>
          </w:p>
          <w:p>
            <w:pPr>
              <w:pStyle w:val="style0"/>
              <w:numPr>
                <w:ilvl w:val="1"/>
                <w:numId w:val="8"/>
              </w:numPr>
              <w:spacing w:lineRule="exact" w:line="400"/>
              <w:jc w:val="left"/>
              <w:rPr>
                <w:rFonts w:ascii="宋体" w:eastAsia="宋体" w:hAnsi="宋体"/>
                <w:kern w:val="0"/>
                <w:szCs w:val="21"/>
              </w:rPr>
            </w:pPr>
            <w:r>
              <w:rPr>
                <w:rFonts w:ascii="宋体" w:eastAsia="宋体" w:hAnsi="宋体" w:hint="eastAsia"/>
                <w:kern w:val="0"/>
                <w:szCs w:val="21"/>
              </w:rPr>
              <w:t>场馆列表：支持通过清晰直观的列表形式展示已有场馆的详细信息；</w:t>
            </w:r>
          </w:p>
          <w:p>
            <w:pPr>
              <w:pStyle w:val="style0"/>
              <w:numPr>
                <w:ilvl w:val="1"/>
                <w:numId w:val="8"/>
              </w:numPr>
              <w:spacing w:lineRule="exact" w:line="400"/>
              <w:jc w:val="left"/>
              <w:rPr>
                <w:rFonts w:ascii="宋体" w:eastAsia="宋体" w:hAnsi="宋体"/>
                <w:kern w:val="0"/>
                <w:szCs w:val="21"/>
              </w:rPr>
            </w:pPr>
            <w:r>
              <w:rPr>
                <w:rFonts w:ascii="宋体" w:eastAsia="宋体" w:hAnsi="宋体" w:hint="eastAsia"/>
                <w:kern w:val="0"/>
                <w:szCs w:val="21"/>
              </w:rPr>
              <w:t>场馆名称查询：支持用户通过输入场馆名称快速检索和定位特定的场馆信息；</w:t>
            </w:r>
          </w:p>
          <w:p>
            <w:pPr>
              <w:pStyle w:val="style0"/>
              <w:numPr>
                <w:ilvl w:val="1"/>
                <w:numId w:val="8"/>
              </w:numPr>
              <w:spacing w:lineRule="exact" w:line="400"/>
              <w:jc w:val="left"/>
              <w:rPr>
                <w:rFonts w:ascii="宋体" w:eastAsia="宋体" w:hAnsi="宋体"/>
                <w:kern w:val="0"/>
                <w:szCs w:val="21"/>
              </w:rPr>
            </w:pPr>
            <w:r>
              <w:rPr>
                <w:rFonts w:ascii="宋体" w:eastAsia="宋体" w:hAnsi="宋体" w:hint="eastAsia"/>
                <w:kern w:val="0"/>
                <w:szCs w:val="21"/>
              </w:rPr>
              <w:t>新增场馆：支持用户手动添加新的场馆数据，场馆名称输入、场馆地址输入、场馆类型选择；</w:t>
            </w:r>
          </w:p>
          <w:p>
            <w:pPr>
              <w:pStyle w:val="style0"/>
              <w:numPr>
                <w:ilvl w:val="1"/>
                <w:numId w:val="8"/>
              </w:numPr>
              <w:spacing w:lineRule="exact" w:line="400"/>
              <w:jc w:val="left"/>
              <w:rPr>
                <w:rFonts w:ascii="宋体" w:eastAsia="宋体" w:hAnsi="宋体"/>
                <w:kern w:val="0"/>
                <w:szCs w:val="21"/>
              </w:rPr>
            </w:pPr>
            <w:r>
              <w:rPr>
                <w:rFonts w:ascii="宋体" w:eastAsia="宋体" w:hAnsi="宋体" w:hint="eastAsia"/>
                <w:kern w:val="0"/>
                <w:szCs w:val="21"/>
              </w:rPr>
              <w:t>场馆区域绘制：支持用户在地图上绘制场馆的实际区域范</w:t>
            </w:r>
            <w:r>
              <w:rPr>
                <w:rFonts w:ascii="宋体" w:eastAsia="宋体" w:hAnsi="宋体" w:hint="eastAsia"/>
                <w:kern w:val="0"/>
                <w:szCs w:val="21"/>
              </w:rPr>
              <w:t>围；</w:t>
            </w:r>
          </w:p>
          <w:p>
            <w:pPr>
              <w:pStyle w:val="style0"/>
              <w:numPr>
                <w:ilvl w:val="1"/>
                <w:numId w:val="8"/>
              </w:numPr>
              <w:spacing w:lineRule="exact" w:line="400"/>
              <w:jc w:val="left"/>
              <w:rPr>
                <w:rFonts w:ascii="宋体" w:eastAsia="宋体" w:hAnsi="宋体"/>
                <w:kern w:val="0"/>
                <w:szCs w:val="21"/>
              </w:rPr>
            </w:pPr>
            <w:r>
              <w:rPr>
                <w:rFonts w:ascii="宋体" w:eastAsia="宋体" w:hAnsi="宋体" w:hint="eastAsia"/>
                <w:kern w:val="0"/>
                <w:szCs w:val="21"/>
              </w:rPr>
              <w:t>内容重置：提供内容重置功能，方便用户快速清除已输入信息，重新输入或修改；</w:t>
            </w:r>
          </w:p>
          <w:p>
            <w:pPr>
              <w:pStyle w:val="style0"/>
              <w:numPr>
                <w:ilvl w:val="1"/>
                <w:numId w:val="8"/>
              </w:numPr>
              <w:spacing w:lineRule="exact" w:line="400"/>
              <w:jc w:val="left"/>
              <w:rPr>
                <w:rFonts w:ascii="宋体" w:eastAsia="宋体" w:hAnsi="宋体"/>
                <w:kern w:val="0"/>
                <w:szCs w:val="21"/>
              </w:rPr>
            </w:pPr>
            <w:r>
              <w:rPr>
                <w:rFonts w:ascii="宋体" w:eastAsia="宋体" w:hAnsi="宋体" w:hint="eastAsia"/>
                <w:kern w:val="0"/>
                <w:szCs w:val="21"/>
              </w:rPr>
              <w:t>场馆新增保存：支持在新增场馆信息完整且准确后，提供保存功能，将新增的场馆信息存储至系统数据库中；</w:t>
            </w:r>
          </w:p>
          <w:p>
            <w:pPr>
              <w:pStyle w:val="style0"/>
              <w:numPr>
                <w:ilvl w:val="1"/>
                <w:numId w:val="8"/>
              </w:numPr>
              <w:spacing w:lineRule="exact" w:line="400"/>
              <w:jc w:val="left"/>
              <w:rPr>
                <w:rFonts w:ascii="宋体" w:eastAsia="宋体" w:hAnsi="宋体"/>
                <w:kern w:val="0"/>
                <w:szCs w:val="21"/>
              </w:rPr>
            </w:pPr>
            <w:r>
              <w:rPr>
                <w:rFonts w:ascii="宋体" w:eastAsia="宋体" w:hAnsi="宋体" w:hint="eastAsia"/>
                <w:kern w:val="0"/>
                <w:szCs w:val="21"/>
              </w:rPr>
              <w:t>场馆名称展示：支持在相关界面或列表中展示场馆的名称；</w:t>
            </w:r>
          </w:p>
          <w:p>
            <w:pPr>
              <w:pStyle w:val="style0"/>
              <w:numPr>
                <w:ilvl w:val="1"/>
                <w:numId w:val="8"/>
              </w:numPr>
              <w:spacing w:lineRule="exact" w:line="400"/>
              <w:jc w:val="left"/>
              <w:rPr>
                <w:rFonts w:ascii="宋体" w:eastAsia="宋体" w:hAnsi="宋体"/>
                <w:kern w:val="0"/>
                <w:szCs w:val="21"/>
              </w:rPr>
            </w:pPr>
            <w:r>
              <w:rPr>
                <w:rFonts w:ascii="宋体" w:eastAsia="宋体" w:hAnsi="宋体" w:hint="eastAsia"/>
                <w:kern w:val="0"/>
                <w:szCs w:val="21"/>
              </w:rPr>
              <w:t>场馆类型展示：支持展示场馆的类型信息；</w:t>
            </w:r>
          </w:p>
          <w:p>
            <w:pPr>
              <w:pStyle w:val="style0"/>
              <w:numPr>
                <w:ilvl w:val="1"/>
                <w:numId w:val="8"/>
              </w:numPr>
              <w:spacing w:lineRule="exact" w:line="400"/>
              <w:jc w:val="left"/>
              <w:rPr>
                <w:rFonts w:ascii="宋体" w:eastAsia="宋体" w:hAnsi="宋体"/>
                <w:kern w:val="0"/>
                <w:szCs w:val="21"/>
              </w:rPr>
            </w:pPr>
            <w:r>
              <w:rPr>
                <w:rFonts w:ascii="宋体" w:eastAsia="宋体" w:hAnsi="宋体" w:hint="eastAsia"/>
                <w:kern w:val="0"/>
                <w:szCs w:val="21"/>
              </w:rPr>
              <w:t>场馆地址展示：支持在相关界面展示场馆的详细地址信息；</w:t>
            </w:r>
          </w:p>
          <w:p>
            <w:pPr>
              <w:pStyle w:val="style0"/>
              <w:numPr>
                <w:ilvl w:val="1"/>
                <w:numId w:val="8"/>
              </w:numPr>
              <w:spacing w:lineRule="exact" w:line="400"/>
              <w:jc w:val="left"/>
              <w:rPr>
                <w:rFonts w:ascii="宋体" w:eastAsia="宋体" w:hAnsi="宋体"/>
                <w:kern w:val="0"/>
                <w:szCs w:val="21"/>
              </w:rPr>
            </w:pPr>
            <w:r>
              <w:rPr>
                <w:rFonts w:ascii="宋体" w:eastAsia="宋体" w:hAnsi="宋体" w:hint="eastAsia"/>
                <w:kern w:val="0"/>
                <w:szCs w:val="21"/>
              </w:rPr>
              <w:t>场馆上图定位：支持在地图上定位并展示场馆的位置；</w:t>
            </w:r>
          </w:p>
          <w:p>
            <w:pPr>
              <w:pStyle w:val="style0"/>
              <w:numPr>
                <w:ilvl w:val="1"/>
                <w:numId w:val="8"/>
              </w:numPr>
              <w:spacing w:lineRule="exact" w:line="400"/>
              <w:jc w:val="left"/>
              <w:rPr>
                <w:rFonts w:ascii="宋体" w:eastAsia="宋体" w:hAnsi="宋体"/>
                <w:kern w:val="0"/>
                <w:szCs w:val="21"/>
              </w:rPr>
            </w:pPr>
            <w:r>
              <w:rPr>
                <w:rFonts w:ascii="宋体" w:eastAsia="宋体" w:hAnsi="宋体" w:hint="eastAsia"/>
                <w:kern w:val="0"/>
                <w:szCs w:val="21"/>
              </w:rPr>
              <w:t>场馆编辑：支持用户对已创建的场馆数据进行修改和更新，确保场馆信息的实时性和准确性。</w:t>
            </w:r>
          </w:p>
          <w:p>
            <w:pPr>
              <w:pStyle w:val="style0"/>
              <w:spacing w:lineRule="exact" w:line="400"/>
              <w:jc w:val="left"/>
              <w:rPr>
                <w:rFonts w:ascii="宋体" w:eastAsia="宋体" w:hAnsi="宋体"/>
                <w:kern w:val="0"/>
                <w:szCs w:val="21"/>
              </w:rPr>
            </w:pPr>
            <w:r>
              <w:rPr>
                <w:rFonts w:ascii="宋体" w:eastAsia="宋体" w:hAnsi="宋体" w:hint="eastAsia"/>
                <w:kern w:val="0"/>
                <w:szCs w:val="21"/>
              </w:rPr>
              <w:t>3、路段管理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路段查询、路段列表、路段新增、路段名称输入、路段代码输入、路段起点、路段终点、长度、最大宽度、最小宽度设置、车道数量设置、道路类型设置、路面设置、中间隔离设置、管辖大队设置、所经辖区设置、警卫要求设置、一级警卫、二级警卫、普通警卫设置、新增数据重置、新增路段保存、关联资源、新增资源类型、资源类型选择、资源图画上传、新增资源重置、资源列表、定位、资源编辑删除新增、资源名称、所属大队、所属中队、资源点责任人、资源责任联系电话、资源备注、资源新增重置等内容。</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路段查询：提供路段查询服务，根据特定条件快速检索并定位相关路段信息；</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路段列表：支持以清晰直观的列表方式展示所有路段信息；</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路段新增：支持用户新增路段信息；</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路段名称输入：支持用户输入路段名称，确保路段信息的准确标识和识别；</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路段代码输入：支持提供路段代码输入；</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路段起点、终点、长度设置：支持用户设置路段的起点位置，确保路段信息的地理准确性；设置路段的终点位置，与起点共同确定路段的完整范围；提供路段长度设置功能，便于用户了解和管理路段的物理长度信息；</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车道数量设置：支持用户设置路段的车道数量，反映路段的交通容量和通行能力；</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路段最大宽度、最小宽度设置：提供路段最大宽度设置功</w:t>
            </w:r>
            <w:r>
              <w:rPr>
                <w:rFonts w:ascii="宋体" w:eastAsia="宋体" w:hAnsi="宋体" w:hint="eastAsia"/>
                <w:kern w:val="0"/>
                <w:szCs w:val="21"/>
              </w:rPr>
              <w:t>能，确保路段设计符合安全通行要求；支持用户设置路段的最小宽度，保障车辆和行人的基本通行需求；</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道路类型设置：支持道路类型选择功能，如高速公路、城市主干道等，便于用户根据道路类型进行管理和规划；</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路面设置：支持用户设置路面的材质和状况，反映路面的使用状况和维护需求；</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中间隔离设置：提供中间隔离设置功能，如设置中央隔离带或护栏，增强路段的安全性和通行效率；</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管辖大队设置：支持用户设置路段的管辖大队，明确路段管理的责任主体；</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所经辖区设置：提供所经辖区设置功能，标识路段经过的行政区域，便于跨区协同管理；</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警卫要求设置：支持用户设置路段的警卫要求，根据安保级别制定相应的警卫措施；</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一级警卫、二级警卫、普通警卫设置：提供一级警卫设置功能，对重要路段实施最高级别的安全保卫措施；支持设置二级警卫，对一般重要路段实施适度的安全保卫措施；提供普通警卫设置功能，满足日常安保需求，确保路段的基本安全；</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新增数据重置：在新增路段过程中，提供数据重置功能，方便用户重新输入或修改路段信息；</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新增路段保存：在新增路段过程中，提供数据重置功能，方便用户重新输入或修改路段信息；</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关联资源：支持用户在路段信息界面中查看和管理与该路段相关的资源信息；</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新增资源类型及类型选择：提供新增资源类型的功能；支持从预设的资源类型中选择合适的类型；</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资源图画上传：提供资源图面上传功能，允许用户上传与资源相关的图片或地图；</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新增资源重置:在新增资源过程中，提供数据重置功能，方便用户重新输入或修改资源信息；</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资源列表：在关联资源界面中，以列表形式展示与该路段相关的所有资源信息；</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资源定位：支持在地图上展示资源的位置信息；</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资源编辑、删除、新增、名称：支持对已存在的资源信息进行编辑和修改；提供资源删除功能；支持根据特定需求自定义</w:t>
            </w:r>
            <w:r>
              <w:rPr>
                <w:rFonts w:ascii="宋体" w:eastAsia="宋体" w:hAnsi="宋体" w:hint="eastAsia"/>
                <w:kern w:val="0"/>
                <w:szCs w:val="21"/>
              </w:rPr>
              <w:t>新增资源，满足线路安保工作中多样化的资源管理需求；支持输入资源的名称，确保资源信息的准确标识和快速检索；</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资源所属大队、中队：在添加或编辑资源时，可设置资源所属的大队、中队，明确资源的管理责任主体；</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资源点责任人、责任联系电话：支持为资源点设置具体的责任人，设置资源责任人的联系电话；</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资源备注：支持为资源添加备注信息；</w:t>
            </w:r>
          </w:p>
          <w:p>
            <w:pPr>
              <w:pStyle w:val="style0"/>
              <w:numPr>
                <w:ilvl w:val="1"/>
                <w:numId w:val="9"/>
              </w:numPr>
              <w:spacing w:lineRule="exact" w:line="400"/>
              <w:jc w:val="left"/>
              <w:rPr>
                <w:rFonts w:ascii="宋体" w:eastAsia="宋体" w:hAnsi="宋体"/>
                <w:kern w:val="0"/>
                <w:szCs w:val="21"/>
              </w:rPr>
            </w:pPr>
            <w:r>
              <w:rPr>
                <w:rFonts w:ascii="宋体" w:eastAsia="宋体" w:hAnsi="宋体" w:hint="eastAsia"/>
                <w:kern w:val="0"/>
                <w:szCs w:val="21"/>
              </w:rPr>
              <w:t>资源新增重置：在新增资源过程中，如发现输入信息有误或需重新输入，可提供重置功能；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4、行车状态</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行车状态界面显示，支持在行车状态界面展示车队的唯一编号、名称、开道车辆车牌号、起始出发地点、预定达到地点，展示车队的实际或计划出发时间、预计达到时间、随车人员信息；支持标明车队的安保等级；展示车队的类型或功能，如运输车队、巡逻车队等；</w:t>
            </w:r>
          </w:p>
          <w:p>
            <w:pPr>
              <w:pStyle w:val="style0"/>
              <w:spacing w:lineRule="exact" w:line="400"/>
              <w:jc w:val="left"/>
              <w:rPr>
                <w:rFonts w:ascii="宋体" w:eastAsia="宋体" w:hAnsi="宋体"/>
                <w:kern w:val="0"/>
                <w:szCs w:val="21"/>
              </w:rPr>
            </w:pPr>
            <w:r>
              <w:rPr>
                <w:rFonts w:ascii="宋体" w:eastAsia="宋体" w:hAnsi="宋体" w:hint="eastAsia"/>
                <w:kern w:val="0"/>
                <w:szCs w:val="21"/>
              </w:rPr>
              <w:t>5、任务管理</w:t>
            </w:r>
          </w:p>
          <w:p>
            <w:pPr>
              <w:pStyle w:val="style0"/>
              <w:spacing w:lineRule="exact" w:line="400"/>
              <w:jc w:val="left"/>
              <w:rPr/>
            </w:pPr>
            <w:r>
              <w:rPr>
                <w:rFonts w:hint="eastAsia"/>
              </w:rPr>
              <w:t>应包含新增任务、线路安保</w:t>
            </w:r>
            <w:r>
              <w:rPr>
                <w:rFonts w:hint="eastAsia"/>
              </w:rPr>
              <w:t>-</w:t>
            </w:r>
            <w:r>
              <w:rPr>
                <w:rFonts w:hint="eastAsia"/>
              </w:rPr>
              <w:t>任务列表、车队配置、车队线路设置、新增岗位等内容。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5.1）新增任务：支持一键跳转至任务新增页面，自定义任务的名称，设置任务的具体执行时间，根据任务性质选择相应的任务类型，根据任务的紧急程度和重要性设置任务级别，指定任务的负责人，录入负责人的联系电话，指定任务的指挥员，录入指挥员的联系电话，设置任务的详细描述、目标、要求等信息，提供数据重置功能，方便用户重新填写任务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5.2）线路安保-任务列表：支持按任务名称关键字搜索，按任务执行时间范围搜索任务；通过任务类型进行筛选；根据任务等级进行过滤，在任务列表中清晰展示每个任务的名称，支持显示每个任务的等级标识，展示与任务相关联的车队信息，在列表中呈现任务的详细信息，显示任务负责人的姓名及联系方式；展示任务指挥员的姓名及联系方式；显示任务计划的开始时间；提供任务编辑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5.3）车队配置：支持展示当前所有的车队列表信息；支持自定义新增车队，为车队设置或修改名称，从车辆库中选择指定车辆作为车队的开道车；为车队指定负责人，明确责任人和管理权限；支持记录并展示车队负责人的联系电话；展示车队中每辆车的车</w:t>
            </w:r>
            <w:r>
              <w:rPr>
                <w:rFonts w:ascii="宋体" w:eastAsia="宋体" w:hAnsi="宋体" w:hint="eastAsia"/>
                <w:kern w:val="0"/>
                <w:szCs w:val="21"/>
              </w:rPr>
              <w:t>牌号码；展示车队的联系人信息，车队的计划出发时间、预计结束时间、车队中配备的警用力量情况；支持在车队相关页面或列表中展示车队的名称、车队的起始点和终点位置；支持编辑车队的信息。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5.4）车队线路设置：支持列表展示所有配置的车队，选择车队的起始点和终点；提供线路查询功能；支持对车队的主线进行编辑，设定或修改主线的预计行驶时间，在主线路径中选择特定的路段进行配置或管理；在编辑线路时，支持新增路段并自动跳转到新增位置，对已选路段进行筛选和分类，可提供线路模板库，支持对线路模板库中的模板进行筛选和搜索，删除不再需要的线路模板；提供删除主线的操作，支持在主线的基础上新增辅线，将某条线路设为活跃状态；支持将视频监控系统与线路关联，提供视频预览功能；</w:t>
            </w:r>
            <w:r>
              <w:rPr>
                <w:rFonts w:hint="eastAsia"/>
              </w:rPr>
              <w:t>支持根据线路区域或特定需求，筛选和展示相关的视频监控范围，</w:t>
            </w:r>
            <w:r>
              <w:rPr>
                <w:rFonts w:ascii="宋体" w:eastAsia="宋体" w:hAnsi="宋体" w:hint="eastAsia"/>
                <w:kern w:val="0"/>
                <w:szCs w:val="21"/>
              </w:rPr>
              <w:t>在地图上精确定位视频监控点的位置；。</w:t>
            </w:r>
          </w:p>
          <w:p>
            <w:pPr>
              <w:pStyle w:val="style0"/>
              <w:spacing w:lineRule="exact" w:line="400"/>
              <w:jc w:val="left"/>
              <w:rPr>
                <w:rFonts w:ascii="宋体" w:eastAsia="宋体" w:hAnsi="宋体"/>
                <w:kern w:val="0"/>
                <w:szCs w:val="21"/>
              </w:rPr>
            </w:pPr>
            <w:r>
              <w:rPr>
                <w:rFonts w:ascii="宋体" w:eastAsia="宋体" w:hAnsi="宋体" w:hint="eastAsia"/>
                <w:kern w:val="0"/>
                <w:szCs w:val="21"/>
              </w:rPr>
              <w:t>5.5）新增岗位：支持新增岗位类型，根据实际需求新增行政区划，以细化岗位分布的地理范围；支持设置岗位所属的组织单位，从预设的岗位类型中选择合适的类型，设置岗位所需的人员数量，设定岗位的预计到岗时间，将岗位信息以图形化的方式展示在地图上；支持展示岗位的名称，岗位所属的组织单位信息、岗位的类型信息、人员数量信息；提供对岗位信息的编辑功能，删除不再需要的岗位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6、活动主页</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应包含活动车队配置、活动车队列表、活动线路、设备状态列表、模拟推演、活动地图底图配置、活动圈层设置、实时动态展示、资源展示等内容。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6.1）活动车队配置：支持全面统计当前线路安保活动中所有车队的数量、类型及配置情况；实时统计当前处于待命状态的车队数量、统计当前正在进行安保任务的车队数量及详细信息；支持统计已完成安保任务的车队数量及任务完成情况等。</w:t>
            </w:r>
          </w:p>
          <w:p>
            <w:pPr>
              <w:pStyle w:val="style0"/>
              <w:spacing w:lineRule="exact" w:line="400"/>
              <w:jc w:val="left"/>
              <w:rPr>
                <w:rFonts w:ascii="宋体" w:eastAsia="宋体" w:hAnsi="宋体"/>
                <w:kern w:val="0"/>
                <w:szCs w:val="21"/>
              </w:rPr>
            </w:pPr>
            <w:r>
              <w:rPr>
                <w:rFonts w:ascii="宋体" w:eastAsia="宋体" w:hAnsi="宋体" w:hint="eastAsia"/>
                <w:kern w:val="0"/>
                <w:szCs w:val="21"/>
              </w:rPr>
              <w:t>6.2）活动车队列表：支持快速筛选出今日所有活动车队的任务；筛选展示未来三天内、未来一周内车队的活动任务信息；支持用户自定义筛选日期范围；支持根据车队所属的任务类型进行筛选，提供车队名称查询功能，快速找到并查看特定车队的活动任务详情；支持一键清除之前的查询条件，根据线路状态筛选车队；支持实时查看车队中车辆的具体位置，展示跟车视频的实时画</w:t>
            </w:r>
            <w:r>
              <w:rPr>
                <w:rFonts w:ascii="宋体" w:eastAsia="宋体" w:hAnsi="宋体" w:hint="eastAsia"/>
                <w:kern w:val="0"/>
                <w:szCs w:val="21"/>
              </w:rPr>
              <w:t>面；呈现活动车队的主线信息，以列表形式展示所有的相关视频，标识展示所有视频名称；支持分类别展示视频监控信息；提供视频预览功能；支持控制地图上不同图层的显示与隐藏。</w:t>
            </w:r>
          </w:p>
          <w:p>
            <w:pPr>
              <w:pStyle w:val="style0"/>
              <w:spacing w:lineRule="exact" w:line="400"/>
              <w:jc w:val="left"/>
              <w:rPr>
                <w:rFonts w:ascii="宋体" w:eastAsia="宋体" w:hAnsi="宋体"/>
                <w:kern w:val="0"/>
                <w:szCs w:val="21"/>
              </w:rPr>
            </w:pPr>
            <w:r>
              <w:rPr>
                <w:rFonts w:ascii="宋体" w:eastAsia="宋体" w:hAnsi="宋体" w:hint="eastAsia"/>
                <w:kern w:val="0"/>
                <w:szCs w:val="21"/>
              </w:rPr>
              <w:t>6.3）活动线路：应支持用户根据活动需求，自定义活动线路，提供活动线路的实时预览功能。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6.4）设备状态列表：列表形式展示活动任务中所有设备的状态信息；支持实时展示设备与车队的关联情况，详细呈现每台设备的实时状态。</w:t>
            </w:r>
          </w:p>
          <w:p>
            <w:pPr>
              <w:pStyle w:val="style0"/>
              <w:spacing w:lineRule="exact" w:line="400"/>
              <w:jc w:val="left"/>
              <w:rPr>
                <w:rFonts w:ascii="宋体" w:eastAsia="宋体" w:hAnsi="宋体"/>
                <w:kern w:val="0"/>
                <w:szCs w:val="21"/>
              </w:rPr>
            </w:pPr>
            <w:r>
              <w:rPr>
                <w:rFonts w:ascii="宋体" w:eastAsia="宋体" w:hAnsi="宋体" w:hint="eastAsia"/>
                <w:kern w:val="0"/>
                <w:szCs w:val="21"/>
              </w:rPr>
              <w:t>6.5）模拟推演：应支持一次性设置多个车队的预计达到时间；设定线路中车队最后预计到达终点的具体时间，根据实际需要调整车队间的时间间隔，以模拟不同交通状况或安保需求下的车队行进情况；支持以直观、清晰的方式展示模拟推演的结果，根据需要调整推演过程中的车队行进速度；支持将推演过程以图表或图像的形式进行呈现展示，支持设置车队的预计达到时间。</w:t>
            </w:r>
          </w:p>
          <w:p>
            <w:pPr>
              <w:pStyle w:val="style0"/>
              <w:spacing w:lineRule="exact" w:line="400"/>
              <w:jc w:val="left"/>
              <w:rPr>
                <w:rFonts w:ascii="宋体" w:eastAsia="宋体" w:hAnsi="宋体"/>
                <w:kern w:val="0"/>
                <w:szCs w:val="21"/>
              </w:rPr>
            </w:pPr>
            <w:r>
              <w:rPr>
                <w:rFonts w:ascii="宋体" w:eastAsia="宋体" w:hAnsi="宋体" w:hint="eastAsia"/>
                <w:kern w:val="0"/>
                <w:szCs w:val="21"/>
              </w:rPr>
              <w:t>6.6）实时动态：支持展示线路安保任务的代号信息，展示各车队的任务状态、车队的具体名称，支持在地图上展示车队任务的具体线路以及车队的当前位置；统计展示车队任务线路的总长度、已完成长度以及剩余长度；展示车队任务线路的当前历程，展示车队中各车辆的车速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6.7）资源展示：统计展示投入到线路安保任务的总警力数量以及警力状态；分别展示各警种投入到线路安保任务的警力数量；支持展示线路周边的监控视频画面，按照事前设定的视频轮播方案在界面上进行监控视频组画面轮播；支持展示活动警车列表、各警车的活动任务安排情况，按照警车品牌统计展示各品牌警车总数、服务次数；支持展示道路的路况信息，提供自定义资源展示能力，可根据系统内维护的资源信息自定义切换资源统计展示内容。</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9</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移动警务APP应用</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1、公共基础功能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应包含基础功能支持、首页、警务状态、任务列表、获取设备定位信息、水印相机、扫码识别、应用监测等内容。</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1.1）基础功能：应包含统一认证登录服务、app全局水印；</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1.2）首页：APP调用移动警务网服务端接口查询当前时间可展示的滚动图列表信息。整合APP各类业务，分组图标形式展示；</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1.3）警务状态：支持展示警务状态，可更新警务状态；</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1.4）任务列表：查询当前登录用户待办任务列表信息；下发待</w:t>
            </w:r>
            <w:r>
              <w:rPr>
                <w:rFonts w:ascii="宋体" w:eastAsia="宋体" w:hAnsi="宋体" w:hint="eastAsia"/>
                <w:kern w:val="0"/>
                <w:szCs w:val="21"/>
              </w:rPr>
              <w:t>办任务接口，按用户、组织批量推送；判断待办任务是否配置了跳转链接，若配置了，支持用户选择是否跳转到具体的待办任务执行页面；查看待办任务，更新用户是否已读某待办任务的信息；查询当前登录用户已办任务列表信息接口，解析已办任务是否已读字段，展示不同的前端特效，显示已办任务;</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1.5）获取设备定位信息：应包含检查当前设备是否授权APP获取定位信息；未授权则弹出提示框提示用户授权；获取定位坐标数据，根据坐标值匹配离线行政区划数据；封装获取设备定位信息js接口；</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1.6）水印相机：支持调用相机拍照；根据定位信息、用户信息、时间信息等生成水印图像，并与所拍摄的照片进行融合处理；将融合后的水印照片按jpeg格式进行压缩，并转换成base64编码格式；支持水印相机接口封装；</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1.7）扫码识别：支持调用设备相机获取实时视频流，将获取到的视频流的每一帧图像尝试进行二维码解码。如未解析到二维码信息则继续尝试下一帧图像；支持扫码识别接口封装；</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1.8）应用监测：包含初始化应用监测组件；统计用户登录的数据分析，区分人员id、组织机构id的统计分析。</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2、工作台</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应包含人员盘查、车辆盘查、排查任务、社会场所核查、参会人员核查、工作人员核查、消息列表、消息详情、考勤打卡、考勤报备、单位任务、勤务日历、假勤登记审批、补卡申请、补卡审批、通讯录、我的消息、列表指令、指令消息、指令类型、请示报送类型、消息列表、消息类型、消息、警情、事件处置周边资源、处警路径规划、处置反馈、消息报送、警情登记等内容。</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2.1）人员盘查：支持定制身份证号码专用输入框；支持身份信息核验、人像识别；支持人员盘查历史记录；</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2.2）车辆盘查：支持车牌识别、车辆信息查询；</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2.3）排查任务：支持相册图片选择；图片上传；</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2.4）社会场所核查页面：支持核查场景列表页面显示；支持定制寄递物流业、重点企业、机动车修理业、加油站、日常消防、旅馆业场馆核查场景表单页面；支持新增场所、提交列表等；</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2.5）参会人员核查：支持对要进入会场的人员进行核查；</w:t>
            </w:r>
          </w:p>
          <w:p>
            <w:pPr>
              <w:pStyle w:val="style0"/>
              <w:tabs>
                <w:tab w:val="left" w:leader="none" w:pos="0"/>
              </w:tabs>
              <w:spacing w:lineRule="exact" w:line="400"/>
              <w:jc w:val="left"/>
              <w:rPr/>
            </w:pPr>
            <w:r>
              <w:rPr>
                <w:rFonts w:ascii="宋体" w:eastAsia="宋体" w:hAnsi="宋体" w:hint="eastAsia"/>
                <w:kern w:val="0"/>
                <w:szCs w:val="21"/>
              </w:rPr>
              <w:t>2.6）工作人员核查：支持对参加活动的安保人员等工作人员进行核查；</w:t>
            </w:r>
          </w:p>
          <w:p>
            <w:pPr>
              <w:pStyle w:val="style0"/>
              <w:tabs>
                <w:tab w:val="left" w:leader="none" w:pos="0"/>
              </w:tabs>
              <w:spacing w:lineRule="exact" w:line="400"/>
              <w:jc w:val="left"/>
              <w:rPr/>
            </w:pPr>
            <w:r>
              <w:rPr>
                <w:rFonts w:ascii="宋体" w:eastAsia="宋体" w:hAnsi="宋体" w:hint="eastAsia"/>
                <w:kern w:val="0"/>
                <w:szCs w:val="21"/>
              </w:rPr>
              <w:t>2.7）支持消息列表、消息详情、考勤打卡、考勤报备显示；单位任务展示；支持勤务日历、假勤登记、假勤审批、补卡申请、补卡审批、通讯录、我的消息、列表指令、指令消息、指令类型、请示报送类型、消息列表、消息类型、消息、警情、事件处置、周边资源、处警路径规划、处置反馈、消息报送、警情登记等功能需求。</w:t>
            </w:r>
          </w:p>
          <w:p>
            <w:pPr>
              <w:pStyle w:val="style0"/>
              <w:spacing w:lineRule="exact" w:line="400"/>
              <w:jc w:val="left"/>
              <w:rPr>
                <w:rFonts w:ascii="宋体" w:eastAsia="宋体" w:hAnsi="宋体"/>
                <w:kern w:val="0"/>
                <w:szCs w:val="21"/>
              </w:rPr>
            </w:pPr>
            <w:r>
              <w:rPr>
                <w:rFonts w:ascii="宋体" w:eastAsia="宋体" w:hAnsi="宋体" w:hint="eastAsia"/>
                <w:kern w:val="0"/>
                <w:szCs w:val="21"/>
              </w:rPr>
              <w:t>3、消息</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应包含所有消息、未读消息、消息推送等内容。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3.1）所有消息：支持所有消息列表展示，包括已读和未读消息；自动刷新所有消息列表信息；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3.2）未读消息：支持查询所有未读消息，展示未读消息列表页面，自动更新未读消息总数；</w:t>
            </w:r>
          </w:p>
          <w:p>
            <w:pPr>
              <w:pStyle w:val="style0"/>
              <w:spacing w:lineRule="exact" w:line="400"/>
              <w:jc w:val="left"/>
              <w:rPr>
                <w:rFonts w:ascii="宋体" w:eastAsia="宋体" w:hAnsi="宋体"/>
                <w:kern w:val="0"/>
                <w:szCs w:val="21"/>
              </w:rPr>
            </w:pPr>
            <w:r>
              <w:rPr>
                <w:rFonts w:ascii="宋体" w:eastAsia="宋体" w:hAnsi="宋体" w:hint="eastAsia"/>
                <w:kern w:val="0"/>
                <w:szCs w:val="21"/>
              </w:rPr>
              <w:t>3.3）消息推送：支持消息推送。</w:t>
            </w:r>
          </w:p>
          <w:p>
            <w:pPr>
              <w:pStyle w:val="style0"/>
              <w:spacing w:lineRule="exact" w:line="400"/>
              <w:jc w:val="left"/>
              <w:rPr>
                <w:rFonts w:ascii="宋体" w:eastAsia="宋体" w:hAnsi="宋体"/>
                <w:kern w:val="0"/>
                <w:szCs w:val="21"/>
              </w:rPr>
            </w:pPr>
            <w:r>
              <w:rPr>
                <w:rFonts w:ascii="宋体" w:eastAsia="宋体" w:hAnsi="宋体" w:hint="eastAsia"/>
                <w:kern w:val="0"/>
                <w:szCs w:val="21"/>
              </w:rPr>
              <w:t>4、我的</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应包含基本信息、退出登录、设置警员警务状态、版本更新等模块。</w:t>
            </w:r>
          </w:p>
          <w:p>
            <w:pPr>
              <w:pStyle w:val="style0"/>
              <w:numPr>
                <w:ilvl w:val="1"/>
                <w:numId w:val="10"/>
              </w:numPr>
              <w:spacing w:lineRule="exact" w:line="400"/>
              <w:jc w:val="left"/>
              <w:rPr>
                <w:rFonts w:ascii="宋体" w:eastAsia="宋体" w:hAnsi="宋体"/>
                <w:kern w:val="0"/>
                <w:szCs w:val="21"/>
              </w:rPr>
            </w:pPr>
            <w:r>
              <w:rPr>
                <w:rFonts w:ascii="宋体" w:eastAsia="宋体" w:hAnsi="宋体" w:hint="eastAsia"/>
                <w:kern w:val="0"/>
                <w:szCs w:val="21"/>
              </w:rPr>
              <w:t>基本信息：展示当前登录用户基本信息；</w:t>
            </w:r>
          </w:p>
          <w:p>
            <w:pPr>
              <w:pStyle w:val="style0"/>
              <w:numPr>
                <w:ilvl w:val="1"/>
                <w:numId w:val="10"/>
              </w:numPr>
              <w:spacing w:lineRule="exact" w:line="400"/>
              <w:jc w:val="left"/>
              <w:rPr>
                <w:rFonts w:ascii="宋体" w:eastAsia="宋体" w:hAnsi="宋体"/>
                <w:kern w:val="0"/>
                <w:szCs w:val="21"/>
              </w:rPr>
            </w:pPr>
            <w:r>
              <w:rPr>
                <w:rFonts w:ascii="宋体" w:eastAsia="宋体" w:hAnsi="宋体" w:hint="eastAsia"/>
                <w:kern w:val="0"/>
                <w:szCs w:val="21"/>
              </w:rPr>
              <w:t>退出登录：支持退出登录；</w:t>
            </w:r>
          </w:p>
          <w:p>
            <w:pPr>
              <w:pStyle w:val="style0"/>
              <w:numPr>
                <w:ilvl w:val="1"/>
                <w:numId w:val="10"/>
              </w:numPr>
              <w:spacing w:lineRule="exact" w:line="400"/>
              <w:jc w:val="left"/>
              <w:rPr>
                <w:rFonts w:ascii="宋体" w:eastAsia="宋体" w:hAnsi="宋体"/>
                <w:kern w:val="0"/>
                <w:szCs w:val="21"/>
              </w:rPr>
            </w:pPr>
            <w:r>
              <w:rPr>
                <w:rFonts w:ascii="宋体" w:eastAsia="宋体" w:hAnsi="宋体" w:hint="eastAsia"/>
                <w:kern w:val="0"/>
                <w:szCs w:val="21"/>
              </w:rPr>
              <w:t>设置警员警务状态：支持设置警员警务状态；</w:t>
            </w:r>
          </w:p>
          <w:p>
            <w:pPr>
              <w:pStyle w:val="style0"/>
              <w:numPr>
                <w:ilvl w:val="1"/>
                <w:numId w:val="10"/>
              </w:numPr>
              <w:spacing w:lineRule="exact" w:line="400"/>
              <w:jc w:val="left"/>
              <w:rPr>
                <w:rFonts w:ascii="宋体" w:eastAsia="宋体" w:hAnsi="宋体"/>
                <w:kern w:val="0"/>
                <w:szCs w:val="21"/>
              </w:rPr>
            </w:pPr>
            <w:r>
              <w:rPr>
                <w:rFonts w:ascii="宋体" w:eastAsia="宋体" w:hAnsi="宋体" w:hint="eastAsia"/>
                <w:kern w:val="0"/>
                <w:szCs w:val="21"/>
              </w:rPr>
              <w:t>版本更新：支持获取版本信息；当发现有新版本时，自动跳转警务应用商店。</w:t>
            </w:r>
          </w:p>
          <w:p>
            <w:pPr>
              <w:pStyle w:val="style0"/>
              <w:spacing w:lineRule="exact" w:line="400"/>
              <w:jc w:val="left"/>
              <w:rPr>
                <w:rFonts w:ascii="宋体" w:eastAsia="宋体" w:hAnsi="宋体"/>
                <w:kern w:val="0"/>
                <w:szCs w:val="21"/>
              </w:rPr>
            </w:pPr>
            <w:r>
              <w:rPr>
                <w:rFonts w:ascii="宋体" w:eastAsia="宋体" w:hAnsi="宋体" w:hint="eastAsia"/>
                <w:kern w:val="0"/>
                <w:szCs w:val="21"/>
              </w:rPr>
              <w:t>5、移动APP后台管理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应包含滚动图配置、底部菜单配置、版本管理、对接应用类别管理、对接应用管理、基础配置管理、提供接口开发等服务。</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5.1）滚动图配置：应包含搜索滚动图、新增滚动图、修改滚动图、删除滚动图对应配置；</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5.2）底部菜单配置：支持搜索、新增、修改、删除底部菜单配置。</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5.3）版本管理：支持通过版本号搜索版本记录；新增、修改、删除对应版本记录。</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5.4）对接应用类别管理：支持搜索对接应用类别，新增、修改、删除应用对接类别；</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5.5）对接应用管理：支持搜索、新增、修改、删除对接应用类别配置信息；</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5.6）基础配置管理：支持搜索、新增、修改、删除基础配置项；</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5.7）后端统一开放接口开发：支持接口鉴权、查询机动车信息、查询常住人口基本信息、图片信息，支持查询在逃人员信息；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文件上传后台接口：支持文件上传、定时重试文件交换。</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10</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安保能力支撑</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1、用户管理服务</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应包含登录、应用管理、菜单管理、角色管理、人员管理、账号管理、在线用户、消息管理、消息配置、消息铃铛、我的消息、用户文件管理、卡点分类管理、卡点标签管理、卡点管理、岗亭分类管理、岗亭标签管理、岗亭管理、135快反圈分类管理、135快反圈标签管理、135快反圈管理、活动物防资源、数据支撑服务等。</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1.1）登录：支持通过用户名密码登录；</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1.2）应用管理：支持应用信息展示、应用编辑、删除等操作；</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1.3）菜单管理：支持菜单信息展示，应用及菜单导入、菜单列表展示、菜单新增、修改、删除、查询、移动等操作；</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1.4）角色管理：支持角色信息展示、角色列表展示，新增、修改、复制、删除角色，角色菜单列表、角色菜单选择、角色授权等；</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1.5）人员管理：支持人员信息展示、人员信息列表、查询、详情、新增操作；支持人员校验、人员照片上传、人员信息修改、删除，人员批量导入、导出，人员账号开通、批量开通、账号关闭、批量关闭、人员批量变更组织等；</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1.6）账号管理：支持账号信息、账号列表、账号查询、修改、删除、账号授权等；</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1.7）在线用户：支持关键词搜索、会话标识展示、登录账号、用户名、登录终端、登录IP、登录时间、强制下线。</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1.8）消息管理：支持消息列表、信息展示，新增、编辑消息；</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1.9）消息配置：支持新增、编辑、查看、删除消息主题；</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1.10）消息铃铛：支持铃铛通知、工作动态显示；</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1.11）我的消息：支持消息列表显示、批量已读、批量删除操作；</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1.12）用户文件管理：支持文件分类，支持文件管理目录新增、编辑、删除、新增子目录；支持文件管理列表、文件预览、下载、重命名、删除、上传等操作；</w:t>
            </w:r>
          </w:p>
          <w:p>
            <w:pPr>
              <w:pStyle w:val="style0"/>
              <w:tabs>
                <w:tab w:val="left" w:leader="none" w:pos="0"/>
              </w:tabs>
              <w:spacing w:lineRule="exact" w:line="400"/>
              <w:jc w:val="left"/>
              <w:rPr/>
            </w:pPr>
            <w:r>
              <w:rPr>
                <w:rFonts w:ascii="宋体" w:eastAsia="宋体" w:hAnsi="宋体" w:hint="eastAsia"/>
                <w:kern w:val="0"/>
                <w:szCs w:val="21"/>
              </w:rPr>
              <w:t>1.13）卡点分类管理：支持展示卡点分类数据信息、列表展示，支持卡点分类查询、新增、查看、编辑、删除、批量删除、数据导出、数据</w:t>
            </w:r>
            <w:r>
              <w:rPr>
                <w:rFonts w:hint="eastAsia"/>
              </w:rPr>
              <w:t>导入等操作；</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1.14）卡点标签管理：支持卡点标签数据信息、列表展示，支持卡点标签查询、新增、查看、编辑、删除、批量删除、数据导出、数据导入等操作；</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1.15）卡点管理：支持卡点数据信息、列表展示、弹窗显示卡点的上图定位；支持卡点地图模式、卡点查询、新增、查看、编辑、删除、批量删除等操作；</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1.16）岗亭分类管理：支持岗亭分类数据信息、列表展示，支持岗亭分类查询、新增、查看、编辑、删除、批量删除、数据导出、数据导入等操作；</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1.17）岗亭标签管理：支持岗亭标签数据信息、列表展示，支持岗亭标签查询、新增、查看、编辑、删除、批量删除、数据导出、数据导入等操作；</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1.18）岗亭管理：支持岗亭数据信息展示、岗亭等级管理；支持岗亭地图模式，按名称、类型、组织、标签进行岗亭查询，支持新增、查看、编辑、删除、批量删除等操作；</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1.19）135快反圈分类管理：支持135快反圈分类数据信息、列表展示，支持135快反圈分类查询、新增、查看、编辑、删除、批量删除、数据导出、数据导入等操作；</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1.20）135快反圈标签管理：支持135快反圈标签数据信息、列表展示，支持135快反圈标签查询、新增、查看、编辑、删除、批量删除、数据导出、数据导入等操作；</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1.21）135快反圈管理：支持135快反圈数据信息展示、列表模式；支持135快反圈地图模式，按名称、类型、组织、标签进行135快反圈查询，支持新增、以地图模式/列表模式/查看、编辑、删除、批量删除；</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1.22）活动物防资源：支持活动物防类型信息、列表展示、类型添加、删除、图标配置；支持防护栏、车胎爆破器、减速带、LED屏、制高点、隔离带、警戒疏导设施信息展示、列表显示、地图撒点、搜索、责任单位过滤、搜索结果展示、图上圈选、信息编辑、删除、名称设置、地址信息、责任单位、责任人和联系方式、状态设置设置等；</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1.23）数据支撑：需对接110警情数据汇聚平台、警综平台、社区警务平台，获取110事件单、处警单、反馈单、案由表、物品表、敬请表、破结案表、人员涉案情况表、嫌疑人登记信息表、嫌疑人抓获情况、人案关联信息、文书表、案件表、在押人员合</w:t>
            </w:r>
            <w:r>
              <w:rPr>
                <w:rFonts w:ascii="宋体" w:eastAsia="宋体" w:hAnsi="宋体" w:hint="eastAsia"/>
                <w:kern w:val="0"/>
                <w:szCs w:val="21"/>
              </w:rPr>
              <w:t>表、同步WA手机采集信息等数据。</w:t>
            </w:r>
          </w:p>
          <w:p>
            <w:pPr>
              <w:pStyle w:val="style0"/>
              <w:spacing w:lineRule="exact" w:line="400"/>
              <w:jc w:val="left"/>
              <w:rPr>
                <w:rFonts w:ascii="宋体" w:eastAsia="宋体" w:hAnsi="宋体"/>
                <w:kern w:val="0"/>
                <w:szCs w:val="21"/>
              </w:rPr>
            </w:pPr>
            <w:r>
              <w:rPr>
                <w:rFonts w:ascii="宋体" w:eastAsia="宋体" w:hAnsi="宋体" w:hint="eastAsia"/>
                <w:kern w:val="0"/>
                <w:szCs w:val="21"/>
              </w:rPr>
              <w:t>2、统一视频服务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需包含接入设备管理、流媒体纷分发、视频转码、GB/T 28181协议应用、系统集成等服务。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2.1）接入设备管理：应包含设备管理、API、实时预览、设备控制、音视频对讲、视频轮巡、录像回放、基础配置、录像下载、统一视频服务-订阅通知等内容；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2.2）流媒体分发：支持订阅通知的方式更新设备移动位置；支持复合流、流复用、按需拉流、订阅通知、统一视频服务-RTSP、FLV、国际推流、ES推流。</w:t>
            </w:r>
          </w:p>
          <w:p>
            <w:pPr>
              <w:pStyle w:val="style0"/>
              <w:spacing w:lineRule="exact" w:line="400"/>
              <w:jc w:val="left"/>
              <w:rPr>
                <w:rFonts w:ascii="宋体" w:eastAsia="宋体" w:hAnsi="宋体"/>
                <w:kern w:val="0"/>
                <w:szCs w:val="21"/>
              </w:rPr>
            </w:pPr>
            <w:r>
              <w:rPr>
                <w:rFonts w:ascii="宋体" w:eastAsia="宋体" w:hAnsi="宋体" w:hint="eastAsia"/>
                <w:kern w:val="0"/>
                <w:szCs w:val="21"/>
              </w:rPr>
              <w:t>2.3）视频转码：支持国标收流、RTP/RTCP、RTSP、自定义模板、编解码；</w:t>
            </w:r>
          </w:p>
          <w:p>
            <w:pPr>
              <w:pStyle w:val="style0"/>
              <w:spacing w:lineRule="exact" w:line="400"/>
              <w:jc w:val="left"/>
              <w:rPr>
                <w:rFonts w:ascii="宋体" w:eastAsia="宋体" w:hAnsi="宋体"/>
                <w:kern w:val="0"/>
                <w:szCs w:val="21"/>
              </w:rPr>
            </w:pPr>
            <w:r>
              <w:rPr>
                <w:rFonts w:ascii="宋体" w:eastAsia="宋体" w:hAnsi="宋体" w:hint="eastAsia"/>
                <w:kern w:val="0"/>
                <w:szCs w:val="21"/>
              </w:rPr>
              <w:t>2.4）GB/T 28181协议应用：支持GB/T 28181协议规定的注册交互、认证交互、保活交互、注销交互流程，REGISTER注册、注销信令， MESSAGE心跳信令、倍速控制消息、定位播放、下载控制消息等协议应用；</w:t>
            </w:r>
          </w:p>
          <w:p>
            <w:pPr>
              <w:pStyle w:val="style0"/>
              <w:spacing w:lineRule="exact" w:line="400"/>
              <w:jc w:val="left"/>
              <w:rPr>
                <w:rFonts w:ascii="宋体" w:eastAsia="宋体" w:hAnsi="宋体"/>
                <w:kern w:val="0"/>
                <w:szCs w:val="21"/>
              </w:rPr>
            </w:pPr>
            <w:r>
              <w:rPr>
                <w:rFonts w:ascii="宋体" w:eastAsia="宋体" w:hAnsi="宋体" w:hint="eastAsia"/>
                <w:kern w:val="0"/>
                <w:szCs w:val="21"/>
              </w:rPr>
              <w:t>2.5）系统集成：支持SIP集成，实现sip REGISTR 消息注册、消息注销、sip INVITE 消息、被叫流程、sip SDP 协商、sip INVITE消息转GB/T28181 INVITE 消息；实现本地推流端口获取转推流；实现sip 转GB/T 28181 控制；支持向sip 代理服务注册；支持sip 客户端注册；</w:t>
            </w:r>
          </w:p>
          <w:p>
            <w:pPr>
              <w:pStyle w:val="style0"/>
              <w:spacing w:lineRule="exact" w:line="400"/>
              <w:jc w:val="left"/>
              <w:rPr>
                <w:rFonts w:ascii="宋体" w:eastAsia="宋体" w:hAnsi="宋体"/>
                <w:kern w:val="0"/>
                <w:szCs w:val="21"/>
              </w:rPr>
            </w:pPr>
            <w:r>
              <w:rPr>
                <w:rFonts w:ascii="宋体" w:eastAsia="宋体" w:hAnsi="宋体" w:hint="eastAsia"/>
                <w:kern w:val="0"/>
                <w:szCs w:val="21"/>
              </w:rPr>
              <w:t>3、统一GIS服务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地图基础操作、图层管理、二维地图、地图加工与建库、地图服务集成、多源数据接入、地图定位、交互操作、环绕飞行、地图控件、测量、要素绘制、要素编辑、军事标绘、地图事件、信息属性框、客户端图层、三维模型集成、通用组件等服务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3.1）地图基础操作：提供三维测量工具箱信息管理、测量信息管理、三维测量-高度/面积/距离、三维巡航工具箱信息管理、路线设置、三位巡航等地图基础操作；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3.2）图层管理:支持图层维护信息管理，图层维护信息及角色信息新增、修改、删除、查询、打印等图层管理；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3.3）二维地图：支持基础二维数据处理信息及POI信息、二位专题图数据处理、二维专题图数据-区域路网结构信息、二维专题图数据-区域路况结构信息管理、新增、修改、删除、查询、打印等二维地图操作；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3.4）地图加工与建库：支持二维影像数据下载、打印、拼接；支持二维影像数据配准信息、二三维地图融合信息管理、新增、修改、删除、查询、打印等地图加工与建库操作；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3.5）地图服务集成：提供天地图服务平台的栅格集成能力；提供PGIS地图平台服务集成、GeoScene地图平台服务、超图地图平台服务集成、WMTS瓦片服务集成、WMS服务集成、TMS瓦片服务加载能力。</w:t>
            </w:r>
          </w:p>
          <w:p>
            <w:pPr>
              <w:pStyle w:val="style0"/>
              <w:spacing w:lineRule="exact" w:line="400"/>
              <w:jc w:val="left"/>
              <w:rPr>
                <w:rFonts w:ascii="宋体" w:eastAsia="宋体" w:hAnsi="宋体"/>
                <w:kern w:val="0"/>
                <w:szCs w:val="21"/>
              </w:rPr>
            </w:pPr>
            <w:r>
              <w:rPr>
                <w:rFonts w:ascii="宋体" w:eastAsia="宋体" w:hAnsi="宋体" w:hint="eastAsia"/>
                <w:kern w:val="0"/>
                <w:szCs w:val="21"/>
              </w:rPr>
              <w:t>3.6）多源数据接入：应支持接入空间接口服务；接入geojson结构数据、wkt结构数据；提供坐标系转换、投影转换、像素坐标转换。</w:t>
            </w:r>
          </w:p>
          <w:p>
            <w:pPr>
              <w:pStyle w:val="style0"/>
              <w:spacing w:lineRule="exact" w:line="400"/>
              <w:jc w:val="left"/>
              <w:rPr>
                <w:rFonts w:ascii="宋体" w:eastAsia="宋体" w:hAnsi="宋体"/>
                <w:kern w:val="0"/>
                <w:szCs w:val="21"/>
              </w:rPr>
            </w:pPr>
            <w:r>
              <w:rPr>
                <w:rFonts w:ascii="宋体" w:eastAsia="宋体" w:hAnsi="宋体" w:hint="eastAsia"/>
                <w:kern w:val="0"/>
                <w:szCs w:val="21"/>
              </w:rPr>
              <w:t>3.7）地图定位：应支持地图默认参数设置、坐标定位、图层定位、要素定位、模型定位；</w:t>
            </w:r>
          </w:p>
          <w:p>
            <w:pPr>
              <w:pStyle w:val="style0"/>
              <w:spacing w:lineRule="exact" w:line="400"/>
              <w:jc w:val="left"/>
              <w:rPr>
                <w:rFonts w:ascii="宋体" w:eastAsia="宋体" w:hAnsi="宋体"/>
                <w:kern w:val="0"/>
                <w:szCs w:val="21"/>
              </w:rPr>
            </w:pPr>
            <w:r>
              <w:rPr>
                <w:rFonts w:ascii="宋体" w:eastAsia="宋体" w:hAnsi="宋体" w:hint="eastAsia"/>
                <w:kern w:val="0"/>
                <w:szCs w:val="21"/>
              </w:rPr>
              <w:t>3.8）交互操作：应支持左键平移地图；右键旋转视角，中键放大缩小地图；地球支持在二三维模式之间切换；</w:t>
            </w:r>
          </w:p>
          <w:p>
            <w:pPr>
              <w:pStyle w:val="style0"/>
              <w:spacing w:lineRule="exact" w:line="400"/>
              <w:jc w:val="left"/>
              <w:rPr>
                <w:rFonts w:ascii="宋体" w:eastAsia="宋体" w:hAnsi="宋体"/>
                <w:kern w:val="0"/>
                <w:szCs w:val="21"/>
              </w:rPr>
            </w:pPr>
            <w:r>
              <w:rPr>
                <w:rFonts w:ascii="宋体" w:eastAsia="宋体" w:hAnsi="宋体" w:hint="eastAsia"/>
                <w:kern w:val="0"/>
                <w:szCs w:val="21"/>
              </w:rPr>
              <w:t>3.9）环绕飞行：应支持相机位置环绕飞行；目标位置环绕飞行；</w:t>
            </w:r>
          </w:p>
          <w:p>
            <w:pPr>
              <w:pStyle w:val="style0"/>
              <w:spacing w:lineRule="exact" w:line="400"/>
              <w:jc w:val="left"/>
              <w:rPr>
                <w:rFonts w:ascii="宋体" w:eastAsia="宋体" w:hAnsi="宋体"/>
                <w:kern w:val="0"/>
                <w:szCs w:val="21"/>
              </w:rPr>
            </w:pPr>
            <w:r>
              <w:rPr>
                <w:rFonts w:ascii="宋体" w:eastAsia="宋体" w:hAnsi="宋体" w:hint="eastAsia"/>
                <w:kern w:val="0"/>
                <w:szCs w:val="21"/>
              </w:rPr>
              <w:t>3.10）地图控件：支持指北针控件、比例尺控件、当前坐标控件；</w:t>
            </w:r>
          </w:p>
          <w:p>
            <w:pPr>
              <w:pStyle w:val="style0"/>
              <w:spacing w:lineRule="exact" w:line="400"/>
              <w:jc w:val="left"/>
              <w:rPr>
                <w:rFonts w:ascii="宋体" w:eastAsia="宋体" w:hAnsi="宋体"/>
                <w:kern w:val="0"/>
                <w:szCs w:val="21"/>
              </w:rPr>
            </w:pPr>
            <w:r>
              <w:rPr>
                <w:rFonts w:ascii="宋体" w:eastAsia="宋体" w:hAnsi="宋体" w:hint="eastAsia"/>
                <w:kern w:val="0"/>
                <w:szCs w:val="21"/>
              </w:rPr>
              <w:t>3.11）测量：支持距离测量、面积测量、三角测量、高度差测量、坡度坡向测量；</w:t>
            </w:r>
          </w:p>
          <w:p>
            <w:pPr>
              <w:pStyle w:val="style0"/>
              <w:spacing w:lineRule="exact" w:line="400"/>
              <w:jc w:val="left"/>
              <w:rPr>
                <w:rFonts w:ascii="宋体" w:eastAsia="宋体" w:hAnsi="宋体"/>
                <w:kern w:val="0"/>
                <w:szCs w:val="21"/>
              </w:rPr>
            </w:pPr>
            <w:r>
              <w:rPr>
                <w:rFonts w:ascii="宋体" w:eastAsia="宋体" w:hAnsi="宋体" w:hint="eastAsia"/>
                <w:kern w:val="0"/>
                <w:szCs w:val="21"/>
              </w:rPr>
              <w:t>3.12）要素绘制：支持点要素绘制、线要素绘制、多边形要素绘制、圆要素绘制；要素编辑：对图上资源，进行位置、形状，支持点、线、面几何类型、线要素编辑。面要素编辑、模型编辑；</w:t>
            </w:r>
          </w:p>
          <w:p>
            <w:pPr>
              <w:pStyle w:val="style0"/>
              <w:spacing w:lineRule="exact" w:line="400"/>
              <w:jc w:val="left"/>
              <w:rPr>
                <w:rFonts w:ascii="宋体" w:eastAsia="宋体" w:hAnsi="宋体"/>
                <w:kern w:val="0"/>
                <w:szCs w:val="21"/>
              </w:rPr>
            </w:pPr>
            <w:r>
              <w:rPr>
                <w:rFonts w:ascii="宋体" w:eastAsia="宋体" w:hAnsi="宋体" w:hint="eastAsia"/>
                <w:kern w:val="0"/>
                <w:szCs w:val="21"/>
              </w:rPr>
              <w:t>3.13）军事标绘：支持支持缩放、旋转、移动操作、带尾箭头绘制、双箭头绘制、闭合曲面绘制、攻击箭头绘制、绘制矩形绘制、弧线绘制、半圆绘制、直线箭头绘制、面类型直箭头绘制、面类型斜箭头绘制、曲线绘制、斜箭头绘制、自由面绘制、自由线绘制、椭圆绘制、扇形绘制；</w:t>
            </w:r>
          </w:p>
          <w:p>
            <w:pPr>
              <w:pStyle w:val="style0"/>
              <w:spacing w:lineRule="exact" w:line="400"/>
              <w:jc w:val="left"/>
              <w:rPr>
                <w:rFonts w:ascii="宋体" w:eastAsia="宋体" w:hAnsi="宋体"/>
                <w:kern w:val="0"/>
                <w:szCs w:val="21"/>
              </w:rPr>
            </w:pPr>
            <w:r>
              <w:rPr>
                <w:rFonts w:ascii="宋体" w:eastAsia="宋体" w:hAnsi="宋体" w:hint="eastAsia"/>
                <w:kern w:val="0"/>
                <w:szCs w:val="21"/>
              </w:rPr>
              <w:t>3.14）地图事件：支持地图事件功能、支持地图覆盖物功能、支持地图组件功能；信息属性框：支撑信息框功能、支持提示框功能；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3.15）信息属性框：支持信息框、提示框；</w:t>
            </w:r>
          </w:p>
          <w:p>
            <w:pPr>
              <w:pStyle w:val="style0"/>
              <w:spacing w:lineRule="exact" w:line="400"/>
              <w:jc w:val="left"/>
              <w:rPr>
                <w:rFonts w:ascii="宋体" w:eastAsia="宋体" w:hAnsi="宋体"/>
                <w:kern w:val="0"/>
                <w:szCs w:val="21"/>
              </w:rPr>
            </w:pPr>
            <w:r>
              <w:rPr>
                <w:rFonts w:ascii="宋体" w:eastAsia="宋体" w:hAnsi="宋体" w:hint="eastAsia"/>
                <w:kern w:val="0"/>
                <w:szCs w:val="21"/>
              </w:rPr>
              <w:t>3.16）客户端图层：支持点要素图层，支持撒点动画、线要素图层、面要素图层、静态图片图层、聚合图层、热力图层、三维热力图、四色图等；</w:t>
            </w:r>
          </w:p>
          <w:p>
            <w:pPr>
              <w:pStyle w:val="style0"/>
              <w:spacing w:lineRule="exact" w:line="400"/>
              <w:jc w:val="left"/>
              <w:rPr>
                <w:rFonts w:ascii="宋体" w:eastAsia="宋体" w:hAnsi="宋体"/>
                <w:kern w:val="0"/>
                <w:szCs w:val="21"/>
              </w:rPr>
            </w:pPr>
            <w:r>
              <w:rPr>
                <w:rFonts w:ascii="宋体" w:eastAsia="宋体" w:hAnsi="宋体" w:hint="eastAsia"/>
                <w:kern w:val="0"/>
                <w:szCs w:val="21"/>
              </w:rPr>
              <w:t>3.17）三维模型集成：支持gltf、glb模型加载；建筑物白膜加载、人工建模精模加载、倾斜摄影模型、模型剖面；支持单体化，</w:t>
            </w:r>
            <w:r>
              <w:rPr>
                <w:rFonts w:ascii="宋体" w:eastAsia="宋体" w:hAnsi="宋体" w:hint="eastAsia"/>
                <w:kern w:val="0"/>
                <w:szCs w:val="21"/>
              </w:rPr>
              <w:t>建筑物幢面与模型之间，通过空间关系建立联系；支持3dtiles三维地形格式的服务加载。</w:t>
            </w:r>
          </w:p>
          <w:p>
            <w:pPr>
              <w:pStyle w:val="style0"/>
              <w:spacing w:lineRule="exact" w:line="400"/>
              <w:jc w:val="left"/>
              <w:rPr>
                <w:rFonts w:ascii="宋体" w:eastAsia="宋体" w:hAnsi="宋体"/>
                <w:kern w:val="0"/>
                <w:szCs w:val="21"/>
              </w:rPr>
            </w:pPr>
            <w:r>
              <w:rPr>
                <w:rFonts w:ascii="宋体" w:eastAsia="宋体" w:hAnsi="宋体" w:hint="eastAsia"/>
                <w:kern w:val="0"/>
                <w:szCs w:val="21"/>
              </w:rPr>
              <w:t>3.18）通用组件：提供地图右键菜单，移动轨迹的模拟；提供周边查询组件、要素点移动、区划面、旋转圈、扩散圈、流动墙、光照粒子效果、火焰粒子效果、雨雪水流粒子效果、迁徙图、航线图、散点图、统计图等组件；</w:t>
            </w:r>
          </w:p>
          <w:p>
            <w:pPr>
              <w:pStyle w:val="style0"/>
              <w:spacing w:lineRule="exact" w:line="400"/>
              <w:jc w:val="left"/>
              <w:rPr>
                <w:rFonts w:ascii="宋体" w:eastAsia="宋体" w:hAnsi="宋体"/>
                <w:kern w:val="0"/>
                <w:szCs w:val="21"/>
              </w:rPr>
            </w:pPr>
            <w:r>
              <w:rPr>
                <w:rFonts w:ascii="宋体" w:eastAsia="宋体" w:hAnsi="宋体" w:hint="eastAsia"/>
                <w:kern w:val="0"/>
                <w:szCs w:val="21"/>
              </w:rPr>
              <w:t>4、运维监控服务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应包含系统基础功能、运维人员管理、监控看图、监控对象、告警管理等内容。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4.1）系统基础功能：支持系统登录和登出基础操作；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4.2）运维人员管理：支持添加、修改、删除、查询运维人员及运维团队操作；支持运维人员配置、添加、修改、查询、删除业务组操作；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4.3）监控看图：支持查看指标实时信息；新手查询模式；快速浏览系统支持的指标列表；导出快捷视图；添加监控大屏；导入在其他地方配置好的大盘；导出在其他地方配置好的大盘；查询大盘；添加大盘图表时序图、饼图、蜂窝图、排行榜图；分享图表为URL；</w:t>
            </w:r>
          </w:p>
          <w:p>
            <w:pPr>
              <w:pStyle w:val="style0"/>
              <w:spacing w:lineRule="exact" w:line="400"/>
              <w:jc w:val="left"/>
              <w:rPr>
                <w:rFonts w:ascii="宋体" w:eastAsia="宋体" w:hAnsi="宋体"/>
                <w:kern w:val="0"/>
                <w:szCs w:val="21"/>
              </w:rPr>
            </w:pPr>
            <w:r>
              <w:rPr>
                <w:rFonts w:ascii="宋体" w:eastAsia="宋体" w:hAnsi="宋体" w:hint="eastAsia"/>
                <w:kern w:val="0"/>
                <w:szCs w:val="21"/>
              </w:rPr>
              <w:t>4.4）监控对象：查看监控主机列表；</w:t>
            </w:r>
          </w:p>
          <w:p>
            <w:pPr>
              <w:pStyle w:val="style0"/>
              <w:spacing w:lineRule="exact" w:line="400"/>
              <w:jc w:val="left"/>
              <w:rPr/>
            </w:pPr>
            <w:r>
              <w:rPr>
                <w:rFonts w:ascii="宋体" w:eastAsia="宋体" w:hAnsi="宋体" w:hint="eastAsia"/>
                <w:kern w:val="0"/>
                <w:szCs w:val="21"/>
              </w:rPr>
              <w:t>4.5）告警管理：支持新增、修改、删除告警规则；导入告警规则；导出告警规则；配置告警时通知的运维人员，通知方式等；查看目前正在告警的列表；可配置多个维度的告警聚合方式；查看告警详情；查看活跃告警里列表，查看告警详情。</w:t>
            </w:r>
          </w:p>
          <w:p>
            <w:pPr>
              <w:pStyle w:val="style0"/>
              <w:spacing w:lineRule="exact" w:line="400"/>
              <w:jc w:val="left"/>
              <w:rPr>
                <w:rFonts w:ascii="宋体" w:eastAsia="宋体" w:hAnsi="宋体"/>
                <w:kern w:val="0"/>
                <w:szCs w:val="21"/>
              </w:rPr>
            </w:pPr>
            <w:r>
              <w:rPr>
                <w:rFonts w:ascii="宋体" w:eastAsia="宋体" w:hAnsi="宋体" w:hint="eastAsia"/>
                <w:kern w:val="0"/>
                <w:szCs w:val="21"/>
              </w:rPr>
              <w:t>5、数源管理服务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应包含接入源管理、输出源管理。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5.1）接入源管理：输入源名称选择数据源类型，在做相关的数据库连接配置，仅支持测试连接通过后才可以提交；支持查看已生成输入源对象的数据及表格的形式展示相关对象的信息；支持资源信息进行编辑及连接测试；支持删除输入源；</w:t>
            </w:r>
          </w:p>
          <w:p>
            <w:pPr>
              <w:pStyle w:val="style0"/>
              <w:spacing w:lineRule="exact" w:line="400"/>
              <w:jc w:val="left"/>
              <w:rPr>
                <w:rFonts w:ascii="宋体" w:eastAsia="宋体" w:hAnsi="宋体"/>
                <w:kern w:val="0"/>
                <w:szCs w:val="21"/>
              </w:rPr>
            </w:pPr>
            <w:r>
              <w:rPr>
                <w:rFonts w:ascii="宋体" w:eastAsia="宋体" w:hAnsi="宋体" w:hint="eastAsia"/>
                <w:kern w:val="0"/>
                <w:szCs w:val="21"/>
              </w:rPr>
              <w:t>5.2）输出源管理：新增添加输出数据源；支持查看已生成输出源对象的数据及表格的形式展示相关对象的信息；支持资源信息进行编辑（输出源正在使用则禁止编辑）；支持删除接入数据源。</w:t>
            </w:r>
          </w:p>
          <w:p>
            <w:pPr>
              <w:pStyle w:val="style0"/>
              <w:spacing w:lineRule="exact" w:line="400"/>
              <w:jc w:val="left"/>
              <w:rPr>
                <w:rFonts w:ascii="宋体" w:eastAsia="宋体" w:hAnsi="宋体"/>
                <w:kern w:val="0"/>
                <w:szCs w:val="21"/>
              </w:rPr>
            </w:pPr>
            <w:r>
              <w:rPr>
                <w:rFonts w:ascii="宋体" w:eastAsia="宋体" w:hAnsi="宋体" w:hint="eastAsia"/>
                <w:kern w:val="0"/>
                <w:szCs w:val="21"/>
              </w:rPr>
              <w:t>6、任务管理服务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应包含任务中心、任务模板、使用模板创建任务等服务。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6.1）任务中心：支持所有流数据接入任务展示；支持任务检索、</w:t>
            </w:r>
            <w:r>
              <w:rPr>
                <w:rFonts w:ascii="宋体" w:eastAsia="宋体" w:hAnsi="宋体" w:hint="eastAsia"/>
                <w:kern w:val="0"/>
                <w:szCs w:val="21"/>
              </w:rPr>
              <w:t>流数据接入任务查看、编辑、删除；任务异常信息展示；支持数据源表、支持数据源表、落地表的字段信息获取</w:t>
            </w:r>
          </w:p>
          <w:p>
            <w:pPr>
              <w:pStyle w:val="style0"/>
              <w:spacing w:lineRule="exact" w:line="400"/>
              <w:jc w:val="left"/>
              <w:rPr>
                <w:rFonts w:ascii="宋体" w:eastAsia="宋体" w:hAnsi="宋体"/>
                <w:kern w:val="0"/>
                <w:szCs w:val="21"/>
              </w:rPr>
            </w:pPr>
            <w:r>
              <w:rPr>
                <w:rFonts w:ascii="宋体" w:eastAsia="宋体" w:hAnsi="宋体" w:hint="eastAsia"/>
                <w:kern w:val="0"/>
                <w:szCs w:val="21"/>
              </w:rPr>
              <w:t>；数据落地到多个业务库；字段映射关系手动配置；任务接入周期配置；支持将输入源字段复制到输出源，输出源字段复制到输入源，输入源和输出源的字段大小写自动转换；配置任务时批量删除选中字段、清空自动查询的字段信息；手动增加一条字段；EXCEL配置字段映射信息；所有任务模板展示；从已运行任务创建模板；支持任务模板查看、编辑、单条删除、批量删除、导入与导出、创建任务；</w:t>
            </w:r>
          </w:p>
          <w:p>
            <w:pPr>
              <w:pStyle w:val="style0"/>
              <w:spacing w:lineRule="exact" w:line="400"/>
              <w:jc w:val="left"/>
              <w:rPr>
                <w:rFonts w:ascii="宋体" w:eastAsia="宋体" w:hAnsi="宋体"/>
                <w:kern w:val="0"/>
                <w:szCs w:val="21"/>
              </w:rPr>
            </w:pPr>
            <w:r>
              <w:rPr>
                <w:rFonts w:ascii="宋体" w:eastAsia="宋体" w:hAnsi="宋体" w:hint="eastAsia"/>
                <w:kern w:val="0"/>
                <w:szCs w:val="21"/>
              </w:rPr>
              <w:t>6.2）任务模板：支持新增和删除模板；</w:t>
            </w:r>
          </w:p>
          <w:p>
            <w:pPr>
              <w:pStyle w:val="style0"/>
              <w:spacing w:lineRule="exact" w:line="400"/>
              <w:jc w:val="left"/>
              <w:rPr>
                <w:rFonts w:ascii="宋体" w:eastAsia="宋体" w:hAnsi="宋体"/>
                <w:kern w:val="0"/>
                <w:szCs w:val="21"/>
              </w:rPr>
            </w:pPr>
            <w:r>
              <w:rPr>
                <w:rFonts w:ascii="宋体" w:eastAsia="宋体" w:hAnsi="宋体" w:hint="eastAsia"/>
                <w:kern w:val="0"/>
                <w:szCs w:val="21"/>
              </w:rPr>
              <w:t>6.3）使用模板创建任务：支持利用任务模板快速创建任务。</w:t>
            </w:r>
          </w:p>
          <w:p>
            <w:pPr>
              <w:pStyle w:val="style0"/>
              <w:spacing w:lineRule="exact" w:line="400"/>
              <w:jc w:val="left"/>
              <w:rPr>
                <w:rFonts w:ascii="宋体" w:eastAsia="宋体" w:hAnsi="宋体"/>
                <w:kern w:val="0"/>
                <w:szCs w:val="21"/>
              </w:rPr>
            </w:pPr>
            <w:r>
              <w:rPr>
                <w:rFonts w:ascii="宋体" w:eastAsia="宋体" w:hAnsi="宋体" w:hint="eastAsia"/>
                <w:kern w:val="0"/>
                <w:szCs w:val="21"/>
              </w:rPr>
              <w:t>7、监控管理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应包含监控中心、告警中心服务。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7.1）监控中心：支持对CPU、内存、磁盘及数据源进行异常监控；可修改规则周期和告警条件；当不再需要对应类型的监控可在列表中执行停止操作，或者直接删除。</w:t>
            </w:r>
          </w:p>
          <w:p>
            <w:pPr>
              <w:pStyle w:val="style0"/>
              <w:spacing w:lineRule="exact" w:line="400"/>
              <w:jc w:val="left"/>
              <w:rPr>
                <w:rFonts w:ascii="宋体" w:eastAsia="宋体" w:hAnsi="宋体"/>
                <w:kern w:val="0"/>
                <w:szCs w:val="21"/>
              </w:rPr>
            </w:pPr>
            <w:r>
              <w:rPr>
                <w:rFonts w:ascii="宋体" w:eastAsia="宋体" w:hAnsi="宋体" w:hint="eastAsia"/>
                <w:kern w:val="0"/>
                <w:szCs w:val="21"/>
              </w:rPr>
              <w:t>7.2）告警中心：支持配置对CPU、内存、磁盘占用及数据源连接的监控，异常则发出告警，并做记录。</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11</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多跨协同管理</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1、自治区博览局多跨管理</w:t>
            </w:r>
          </w:p>
          <w:p>
            <w:pPr>
              <w:pStyle w:val="style0"/>
              <w:spacing w:lineRule="exact" w:line="400"/>
              <w:jc w:val="left"/>
              <w:rPr>
                <w:rFonts w:ascii="宋体" w:eastAsia="宋体" w:hAnsi="宋体"/>
                <w:kern w:val="0"/>
                <w:szCs w:val="21"/>
              </w:rPr>
            </w:pPr>
            <w:r>
              <w:rPr>
                <w:rFonts w:hint="eastAsia"/>
              </w:rPr>
              <w:t>应包含博</w:t>
            </w:r>
            <w:r>
              <w:rPr>
                <w:rFonts w:ascii="宋体" w:eastAsia="宋体" w:hAnsi="宋体" w:hint="eastAsia"/>
                <w:kern w:val="0"/>
                <w:szCs w:val="21"/>
              </w:rPr>
              <w:t>览局背审数据接入、数据匹配、数据推送服务。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1.1）博览局背审数据接入：区博览局在政务外网通过部门间共享平台安全边界将参会人员信息发送到本平台；</w:t>
            </w:r>
          </w:p>
          <w:p>
            <w:pPr>
              <w:pStyle w:val="style0"/>
              <w:spacing w:lineRule="exact" w:line="400"/>
              <w:jc w:val="left"/>
              <w:rPr>
                <w:rFonts w:ascii="宋体" w:eastAsia="宋体" w:hAnsi="宋体"/>
                <w:kern w:val="0"/>
                <w:szCs w:val="21"/>
              </w:rPr>
            </w:pPr>
            <w:r>
              <w:rPr>
                <w:rFonts w:ascii="宋体" w:eastAsia="宋体" w:hAnsi="宋体" w:hint="eastAsia"/>
                <w:kern w:val="0"/>
                <w:szCs w:val="21"/>
              </w:rPr>
              <w:t>1.2）博览局数据匹配：支持对接收的背审人员数据通过与多个警种的重点人员进行匹配，匹配中了重点人员数据后，可根据业务流程进行处理，若未匹配中重点人数据，则任务背审人员通过审核。</w:t>
            </w:r>
          </w:p>
          <w:p>
            <w:pPr>
              <w:pStyle w:val="style0"/>
              <w:tabs>
                <w:tab w:val="left" w:leader="none" w:pos="0"/>
              </w:tabs>
              <w:spacing w:lineRule="exact" w:line="400"/>
              <w:jc w:val="left"/>
              <w:rPr>
                <w:rFonts w:ascii="宋体" w:eastAsia="宋体" w:hAnsi="宋体"/>
                <w:kern w:val="0"/>
                <w:szCs w:val="21"/>
              </w:rPr>
            </w:pPr>
            <w:r>
              <w:rPr>
                <w:rFonts w:ascii="宋体" w:eastAsia="宋体" w:hAnsi="宋体" w:hint="eastAsia"/>
                <w:kern w:val="0"/>
                <w:szCs w:val="21"/>
              </w:rPr>
              <w:t>1.3）博览局背审数据推送：完成背审核查后，将背审结果通过安全边界返回给区博览局。</w:t>
            </w:r>
          </w:p>
          <w:p>
            <w:pPr>
              <w:pStyle w:val="style0"/>
              <w:spacing w:lineRule="exact" w:line="400"/>
              <w:jc w:val="left"/>
              <w:rPr>
                <w:rFonts w:ascii="宋体" w:eastAsia="宋体" w:hAnsi="宋体"/>
                <w:kern w:val="0"/>
                <w:szCs w:val="21"/>
              </w:rPr>
            </w:pPr>
            <w:r>
              <w:rPr>
                <w:rFonts w:ascii="宋体" w:eastAsia="宋体" w:hAnsi="宋体" w:hint="eastAsia"/>
                <w:kern w:val="0"/>
                <w:szCs w:val="21"/>
              </w:rPr>
              <w:t>2、自治区体育局多跨管理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应包含背审数据接入、体育局数据匹配、背审数据推送服务。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2.1）背审数据接入：区体育局在互联网通过部门间共享平台安全边界将参会人员信息发送到本平台。</w:t>
            </w:r>
          </w:p>
          <w:p>
            <w:pPr>
              <w:pStyle w:val="style0"/>
              <w:spacing w:lineRule="exact" w:line="400"/>
              <w:jc w:val="left"/>
              <w:rPr>
                <w:rFonts w:ascii="宋体" w:eastAsia="宋体" w:hAnsi="宋体"/>
                <w:kern w:val="0"/>
                <w:szCs w:val="21"/>
              </w:rPr>
            </w:pPr>
            <w:r>
              <w:rPr>
                <w:rFonts w:ascii="宋体" w:eastAsia="宋体" w:hAnsi="宋体" w:hint="eastAsia"/>
                <w:kern w:val="0"/>
                <w:szCs w:val="21"/>
              </w:rPr>
              <w:t>2.2）数据匹配：对接收的背审人员数据通过与多个警种的重点人员进行匹配，匹配中了重点人员数据后，根据业务流程进行处理，若未匹配中重点人数据，则任务背审人员通过审核。</w:t>
            </w:r>
          </w:p>
          <w:p>
            <w:pPr>
              <w:pStyle w:val="style0"/>
              <w:spacing w:lineRule="exact" w:line="400"/>
              <w:jc w:val="left"/>
              <w:rPr>
                <w:rFonts w:ascii="宋体" w:eastAsia="宋体" w:hAnsi="宋体"/>
                <w:kern w:val="0"/>
                <w:szCs w:val="21"/>
              </w:rPr>
            </w:pPr>
            <w:r>
              <w:rPr>
                <w:rFonts w:ascii="宋体" w:eastAsia="宋体" w:hAnsi="宋体" w:hint="eastAsia"/>
                <w:kern w:val="0"/>
                <w:szCs w:val="21"/>
              </w:rPr>
              <w:t>2.3）背审数据推送：完成背审核查后，将背审结果通过安全边界返回给区体育局。</w:t>
            </w:r>
          </w:p>
          <w:p>
            <w:pPr>
              <w:pStyle w:val="style0"/>
              <w:spacing w:lineRule="exact" w:line="400"/>
              <w:jc w:val="left"/>
              <w:rPr>
                <w:rFonts w:ascii="宋体" w:eastAsia="宋体" w:hAnsi="宋体"/>
                <w:kern w:val="0"/>
                <w:szCs w:val="21"/>
              </w:rPr>
            </w:pPr>
            <w:r>
              <w:rPr>
                <w:rFonts w:ascii="宋体" w:eastAsia="宋体" w:hAnsi="宋体" w:hint="eastAsia"/>
                <w:kern w:val="0"/>
                <w:szCs w:val="21"/>
              </w:rPr>
              <w:t>3、自治区应急厅多跨管理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应包含危化品数据接入、数据分类、数据推送服务。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3.1）危化品数据接入：通过电子政务数据交换平台与自治区应急厅对接危险化学品安全使用许可证、危险化学品经营许可证（含仓储）等数据接入到系统中。</w:t>
            </w:r>
          </w:p>
          <w:p>
            <w:pPr>
              <w:pStyle w:val="style0"/>
              <w:spacing w:lineRule="exact" w:line="400"/>
              <w:jc w:val="left"/>
              <w:rPr>
                <w:rFonts w:ascii="宋体" w:eastAsia="宋体" w:hAnsi="宋体"/>
                <w:kern w:val="0"/>
                <w:szCs w:val="21"/>
              </w:rPr>
            </w:pPr>
            <w:r>
              <w:rPr>
                <w:rFonts w:ascii="宋体" w:eastAsia="宋体" w:hAnsi="宋体" w:hint="eastAsia"/>
                <w:kern w:val="0"/>
                <w:szCs w:val="21"/>
              </w:rPr>
              <w:t>3.2）危化品数据分类：支持对危化品数据进行自动分类，按易制爆、剧毒、放射源进行分类，根据其所属单位，在地图上展示出危化品单位态势。</w:t>
            </w:r>
          </w:p>
          <w:p>
            <w:pPr>
              <w:pStyle w:val="style0"/>
              <w:spacing w:lineRule="exact" w:line="400"/>
              <w:jc w:val="left"/>
              <w:rPr>
                <w:rFonts w:ascii="宋体" w:eastAsia="宋体" w:hAnsi="宋体"/>
                <w:kern w:val="0"/>
                <w:szCs w:val="21"/>
              </w:rPr>
            </w:pPr>
            <w:r>
              <w:rPr>
                <w:rFonts w:ascii="宋体" w:eastAsia="宋体" w:hAnsi="宋体" w:hint="eastAsia"/>
                <w:kern w:val="0"/>
                <w:szCs w:val="21"/>
              </w:rPr>
              <w:t>3.3）危化品数据推送：对更新后的危化品数据推送到大数据平台，由大数据平台推送至电子政务交换平台。</w:t>
            </w:r>
          </w:p>
          <w:p>
            <w:pPr>
              <w:pStyle w:val="style0"/>
              <w:spacing w:lineRule="exact" w:line="400"/>
              <w:jc w:val="left"/>
              <w:rPr>
                <w:rFonts w:ascii="宋体" w:eastAsia="宋体" w:hAnsi="宋体"/>
                <w:kern w:val="0"/>
                <w:szCs w:val="21"/>
              </w:rPr>
            </w:pPr>
            <w:r>
              <w:rPr>
                <w:rFonts w:ascii="宋体" w:eastAsia="宋体" w:hAnsi="宋体" w:hint="eastAsia"/>
                <w:kern w:val="0"/>
                <w:szCs w:val="21"/>
              </w:rPr>
              <w:t>4、自治区交通运输厅业务协同</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应包含两客一危数据接入、数据分类、数据推送服务。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4.1）两客一危数据接入：通过电子政务数据交换平台与自治区交通运输厅进行对接，将两客一危数据接入到系统中。</w:t>
            </w:r>
          </w:p>
          <w:p>
            <w:pPr>
              <w:pStyle w:val="style0"/>
              <w:spacing w:lineRule="exact" w:line="400"/>
              <w:jc w:val="left"/>
              <w:rPr>
                <w:rFonts w:ascii="宋体" w:eastAsia="宋体" w:hAnsi="宋体"/>
                <w:kern w:val="0"/>
                <w:szCs w:val="21"/>
              </w:rPr>
            </w:pPr>
            <w:r>
              <w:rPr>
                <w:rFonts w:ascii="宋体" w:eastAsia="宋体" w:hAnsi="宋体" w:hint="eastAsia"/>
                <w:kern w:val="0"/>
                <w:szCs w:val="21"/>
              </w:rPr>
              <w:t>4.2）两客一危数据分类：支持对两客一危数据进行自动分类，根据车辆类型对数据进行分类，并且通过车辆的强制报废日期对数据进行更新。</w:t>
            </w:r>
          </w:p>
          <w:p>
            <w:pPr>
              <w:pStyle w:val="style0"/>
              <w:spacing w:lineRule="exact" w:line="400"/>
              <w:jc w:val="left"/>
              <w:rPr>
                <w:rFonts w:ascii="宋体" w:eastAsia="宋体" w:hAnsi="宋体"/>
                <w:kern w:val="0"/>
                <w:szCs w:val="21"/>
              </w:rPr>
            </w:pPr>
            <w:r>
              <w:rPr>
                <w:rFonts w:ascii="宋体" w:eastAsia="宋体" w:hAnsi="宋体" w:hint="eastAsia"/>
                <w:kern w:val="0"/>
                <w:szCs w:val="21"/>
              </w:rPr>
              <w:t>4.3）两客一危数据推送：通过对接入的自治区交通运输厅数据进行业务处理，对于数据进行更新并推送至大数据平台，由大数据平台进行统一管理。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5、自治区退役军人厅</w:t>
            </w:r>
          </w:p>
          <w:p>
            <w:pPr>
              <w:pStyle w:val="style0"/>
              <w:spacing w:lineRule="exact" w:line="400"/>
              <w:jc w:val="left"/>
              <w:rPr>
                <w:rFonts w:ascii="宋体" w:eastAsia="宋体" w:hAnsi="宋体"/>
                <w:kern w:val="0"/>
                <w:szCs w:val="21"/>
              </w:rPr>
            </w:pPr>
            <w:r>
              <w:rPr>
                <w:rFonts w:ascii="宋体" w:eastAsia="宋体" w:hAnsi="宋体" w:hint="eastAsia"/>
                <w:kern w:val="0"/>
                <w:szCs w:val="21"/>
              </w:rPr>
              <w:t>应支持退役军人信息接入及信息处理操作。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5.1）退役军人信息接入：通过与电子政务交换平台进行对接，将全区的退役军人的基本信息接入到系统中。</w:t>
            </w:r>
          </w:p>
          <w:p>
            <w:pPr>
              <w:pStyle w:val="style0"/>
              <w:spacing w:lineRule="exact" w:line="400"/>
              <w:jc w:val="left"/>
              <w:rPr>
                <w:rFonts w:ascii="宋体" w:eastAsia="宋体" w:hAnsi="宋体"/>
                <w:kern w:val="0"/>
                <w:szCs w:val="21"/>
              </w:rPr>
            </w:pPr>
            <w:r>
              <w:rPr>
                <w:rFonts w:ascii="宋体" w:eastAsia="宋体" w:hAnsi="宋体" w:hint="eastAsia"/>
                <w:kern w:val="0"/>
                <w:szCs w:val="21"/>
              </w:rPr>
              <w:t>5.2）退役军人信息处理：通过与系统业务向结合，在人员预警业务中人员信息与退役军人基础信息进行匹配，对退役军人人员预警进行标签提醒。</w:t>
            </w:r>
          </w:p>
          <w:p>
            <w:pPr>
              <w:pStyle w:val="style0"/>
              <w:spacing w:lineRule="exact" w:line="400"/>
              <w:jc w:val="left"/>
              <w:rPr>
                <w:rFonts w:ascii="宋体" w:eastAsia="宋体" w:hAnsi="宋体"/>
                <w:kern w:val="0"/>
                <w:szCs w:val="21"/>
              </w:rPr>
            </w:pPr>
            <w:r>
              <w:rPr>
                <w:rFonts w:ascii="宋体" w:eastAsia="宋体" w:hAnsi="宋体" w:hint="eastAsia"/>
                <w:kern w:val="0"/>
                <w:szCs w:val="21"/>
              </w:rPr>
              <w:t>6、自治区工业和信息化厅</w:t>
            </w:r>
          </w:p>
          <w:p>
            <w:pPr>
              <w:pStyle w:val="style0"/>
              <w:spacing w:lineRule="exact" w:line="400"/>
              <w:jc w:val="left"/>
              <w:rPr>
                <w:rFonts w:ascii="宋体" w:eastAsia="宋体" w:hAnsi="宋体"/>
                <w:kern w:val="0"/>
                <w:szCs w:val="21"/>
              </w:rPr>
            </w:pPr>
            <w:r>
              <w:rPr>
                <w:rFonts w:ascii="宋体" w:eastAsia="宋体" w:hAnsi="宋体" w:hint="eastAsia"/>
                <w:kern w:val="0"/>
                <w:szCs w:val="21"/>
              </w:rPr>
              <w:t>需包含民用爆炸物品数据接入、民爆数据分类服务。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6.1）民用爆炸物品数据接入：与电子政务交换平台对接，将民爆物品数据接入到系统；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6.2）民爆数据分类：支持根据业务需求对民爆物品分类统计，并结合民爆单位的分布情况，在地图上展示出民爆态势。</w:t>
            </w:r>
          </w:p>
          <w:p>
            <w:pPr>
              <w:pStyle w:val="style0"/>
              <w:spacing w:lineRule="exact" w:line="400"/>
              <w:jc w:val="left"/>
              <w:rPr>
                <w:rFonts w:ascii="宋体" w:eastAsia="宋体" w:hAnsi="宋体"/>
                <w:kern w:val="0"/>
                <w:szCs w:val="21"/>
              </w:rPr>
            </w:pPr>
            <w:r>
              <w:rPr>
                <w:rFonts w:ascii="宋体" w:eastAsia="宋体" w:hAnsi="宋体" w:hint="eastAsia"/>
                <w:kern w:val="0"/>
                <w:szCs w:val="21"/>
              </w:rPr>
              <w:t>7、广西邮政管理局</w:t>
            </w:r>
          </w:p>
          <w:p>
            <w:pPr>
              <w:pStyle w:val="style0"/>
              <w:spacing w:lineRule="exact" w:line="400"/>
              <w:jc w:val="left"/>
              <w:rPr>
                <w:rFonts w:ascii="宋体" w:eastAsia="宋体" w:hAnsi="宋体"/>
                <w:kern w:val="0"/>
                <w:szCs w:val="21"/>
              </w:rPr>
            </w:pPr>
            <w:r>
              <w:rPr>
                <w:rFonts w:ascii="宋体" w:eastAsia="宋体" w:hAnsi="宋体" w:hint="eastAsia"/>
                <w:kern w:val="0"/>
                <w:szCs w:val="21"/>
              </w:rPr>
              <w:t>需包含快递企业数据接入、数据分类服务。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7.1）快递企业数据接入：与电子政务交换平台对接，通过文件形式接入快递服务企业名录；</w:t>
            </w:r>
          </w:p>
          <w:p>
            <w:pPr>
              <w:pStyle w:val="style0"/>
              <w:spacing w:lineRule="exact" w:line="400"/>
              <w:jc w:val="left"/>
              <w:rPr>
                <w:rFonts w:ascii="宋体" w:eastAsia="宋体" w:hAnsi="宋体"/>
                <w:kern w:val="0"/>
                <w:szCs w:val="21"/>
              </w:rPr>
            </w:pPr>
            <w:r>
              <w:rPr>
                <w:rFonts w:ascii="宋体" w:eastAsia="宋体" w:hAnsi="宋体" w:hint="eastAsia"/>
                <w:kern w:val="0"/>
                <w:szCs w:val="21"/>
              </w:rPr>
              <w:t>7.2）快递企业数据分类：支持对快递企业数据进行分类，根据快递企业的注册地址，展示出各地区的快递企业态势。</w:t>
            </w:r>
          </w:p>
          <w:p>
            <w:pPr>
              <w:pStyle w:val="style0"/>
              <w:spacing w:lineRule="exact" w:line="400"/>
              <w:jc w:val="left"/>
              <w:rPr>
                <w:rFonts w:ascii="宋体" w:eastAsia="宋体" w:hAnsi="宋体"/>
                <w:kern w:val="0"/>
                <w:szCs w:val="21"/>
              </w:rPr>
            </w:pPr>
            <w:r>
              <w:rPr>
                <w:rFonts w:ascii="宋体" w:eastAsia="宋体" w:hAnsi="宋体" w:hint="eastAsia"/>
                <w:kern w:val="0"/>
                <w:szCs w:val="21"/>
              </w:rPr>
              <w:t>8、自治区广播电视局</w:t>
            </w:r>
          </w:p>
          <w:p>
            <w:pPr>
              <w:pStyle w:val="style0"/>
              <w:spacing w:lineRule="exact" w:line="400"/>
              <w:jc w:val="left"/>
              <w:rPr>
                <w:rFonts w:ascii="宋体" w:eastAsia="宋体" w:hAnsi="宋体"/>
                <w:kern w:val="0"/>
                <w:szCs w:val="21"/>
              </w:rPr>
            </w:pPr>
            <w:r>
              <w:rPr>
                <w:rFonts w:ascii="宋体" w:eastAsia="宋体" w:hAnsi="宋体" w:hint="eastAsia"/>
                <w:kern w:val="0"/>
                <w:szCs w:val="21"/>
              </w:rPr>
              <w:t>通过与电子政务交换平台进行对接，将自治区广播电视局的舆情动态信息接入到系统数据库中。</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12</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大型活动现场管理应用</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1套</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1、场馆场所管理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需包含活动统计、活动列表、活动行政许可管理模块内容。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1.1）活动统计：支持统计搜索、统计数据导出；支持活动、等级勤务、行政许可活动、非行政许可活动、等级勤务党政机关活动、等级勤务商场促销活动、等级勤务景区活动、等级勤务祭拜烧香祈福活动、等级勤务学校活动、行政许可游园庙会活动等活动总场数和总次数统计；支持等级勤务领导出行次数和出行场数统计；等级勤务政府会议、行政许可人才招聘会次数和场数统计；</w:t>
            </w:r>
          </w:p>
          <w:p>
            <w:pPr>
              <w:pStyle w:val="style0"/>
              <w:spacing w:lineRule="exact" w:line="400"/>
              <w:jc w:val="left"/>
              <w:rPr>
                <w:rFonts w:ascii="宋体" w:eastAsia="宋体" w:hAnsi="宋体"/>
                <w:kern w:val="0"/>
                <w:szCs w:val="21"/>
              </w:rPr>
            </w:pPr>
            <w:r>
              <w:rPr>
                <w:rFonts w:ascii="宋体" w:eastAsia="宋体" w:hAnsi="宋体" w:hint="eastAsia"/>
                <w:kern w:val="0"/>
                <w:szCs w:val="21"/>
              </w:rPr>
              <w:t>1.2）活动列表：支持活动维护，包含活动信息管理；历史活动方案、活动级别、类别、时间、地址、责任部门、活动勤务等级关联；活动专题图及缩略图操作等维护内容；支持活动查询列表，可按活动缩略图、状态、级别、类别、类型、勤务等级、人员规模、场馆、举办时间、地址、责任单位、责任人信息、创建单位、列表分页等方式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1.3）活动行政许可管理：支持行政许可信息、行政许可创建申请；活动行政许可提交申请、修改、删除；支持按名称关键字、审批状态、时间段查询；支持列表展示、列表分页、按状态进行数量统计等行政许可管理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2、筹备管理（公安）</w:t>
            </w:r>
          </w:p>
          <w:p>
            <w:pPr>
              <w:pStyle w:val="style0"/>
              <w:spacing w:lineRule="exact" w:line="400"/>
              <w:jc w:val="left"/>
              <w:rPr>
                <w:rFonts w:ascii="宋体" w:eastAsia="宋体" w:hAnsi="宋体"/>
                <w:kern w:val="0"/>
                <w:szCs w:val="21"/>
              </w:rPr>
            </w:pPr>
            <w:r>
              <w:rPr>
                <w:rFonts w:ascii="宋体" w:eastAsia="宋体" w:hAnsi="宋体" w:hint="eastAsia"/>
                <w:kern w:val="0"/>
                <w:szCs w:val="21"/>
              </w:rPr>
              <w:t>需包含活动核心部位、指挥架构设置、活动日程设置、活动安保勤务任务、活动相关人员、活动现场勘查、活动关联公司、活动文档管理、活动问题记录、活动预警布控设置、活动项目管理等功能。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2.1）活动核心部位：支持活动场馆关联、活动住地关联、活动线路关联等内容；场馆关联包含展示场馆关联信息、添加活动关联场馆、关联场馆查询、按场馆名称及地址查询、展示查询的场</w:t>
            </w:r>
            <w:r>
              <w:rPr>
                <w:rFonts w:ascii="宋体" w:eastAsia="宋体" w:hAnsi="宋体" w:hint="eastAsia"/>
                <w:kern w:val="0"/>
                <w:szCs w:val="21"/>
              </w:rPr>
              <w:t>馆基本信息等；活动住地关联包含住地关联信息展示、添加关联住地、按名称及地址搜索、展示查询的住地基本信息等；活动线路关联包含线路关联信息展示及查询、添加关联线路、按线路名称、起点、终点、类型搜索，展示查询的线路名称、起点终点、类型、描述等；</w:t>
            </w:r>
          </w:p>
          <w:p>
            <w:pPr>
              <w:pStyle w:val="style0"/>
              <w:spacing w:lineRule="exact" w:line="400"/>
              <w:jc w:val="left"/>
              <w:rPr>
                <w:rFonts w:ascii="宋体" w:eastAsia="宋体" w:hAnsi="宋体"/>
                <w:kern w:val="0"/>
                <w:szCs w:val="21"/>
              </w:rPr>
            </w:pPr>
            <w:r>
              <w:rPr>
                <w:rFonts w:ascii="宋体" w:eastAsia="宋体" w:hAnsi="宋体" w:hint="eastAsia"/>
                <w:kern w:val="0"/>
                <w:szCs w:val="21"/>
              </w:rPr>
              <w:t>2.2）指挥架构设置：设置总指挥部、会场中心指挥部、住地指挥部。可展示指挥部信息，新增指挥部，设置指挥长、副指挥长、值班领导角色及人员，自定义角色和人员，支持人员排序、删除，角色和人员对应官位、对应职务关联；</w:t>
            </w:r>
          </w:p>
          <w:p>
            <w:pPr>
              <w:pStyle w:val="style0"/>
              <w:spacing w:lineRule="exact" w:line="400"/>
              <w:jc w:val="left"/>
              <w:rPr>
                <w:rFonts w:ascii="宋体" w:eastAsia="宋体" w:hAnsi="宋体"/>
                <w:kern w:val="0"/>
                <w:szCs w:val="21"/>
              </w:rPr>
            </w:pPr>
            <w:r>
              <w:rPr>
                <w:rFonts w:ascii="宋体" w:eastAsia="宋体" w:hAnsi="宋体" w:hint="eastAsia"/>
                <w:kern w:val="0"/>
                <w:szCs w:val="21"/>
              </w:rPr>
              <w:t>2.3）活动日程设置：支持活动日程、日历信息展示，活动所有日程、活动会场所有日程、活动住地所有日程、线路所有日程统计；支持日程时间段、地址、人员设置等；</w:t>
            </w:r>
          </w:p>
          <w:p>
            <w:pPr>
              <w:pStyle w:val="style0"/>
              <w:spacing w:lineRule="exact" w:line="400"/>
              <w:jc w:val="left"/>
              <w:rPr>
                <w:rFonts w:ascii="宋体" w:eastAsia="宋体" w:hAnsi="宋体"/>
                <w:kern w:val="0"/>
                <w:szCs w:val="21"/>
              </w:rPr>
            </w:pPr>
            <w:r>
              <w:rPr>
                <w:rFonts w:ascii="宋体" w:eastAsia="宋体" w:hAnsi="宋体" w:hint="eastAsia"/>
                <w:kern w:val="0"/>
                <w:szCs w:val="21"/>
              </w:rPr>
              <w:t>2.4）活动安保勤务任务：支持活动安保勤务任务信息展示及新建、任务查询、查询结果展示；支持按任务类型、任务状态、时间段、关键字进行查询；</w:t>
            </w:r>
          </w:p>
          <w:p>
            <w:pPr>
              <w:pStyle w:val="style0"/>
              <w:spacing w:lineRule="exact" w:line="400"/>
              <w:jc w:val="left"/>
              <w:rPr>
                <w:rFonts w:ascii="宋体" w:eastAsia="宋体" w:hAnsi="宋体"/>
                <w:kern w:val="0"/>
                <w:szCs w:val="21"/>
              </w:rPr>
            </w:pPr>
            <w:r>
              <w:rPr>
                <w:rFonts w:ascii="宋体" w:eastAsia="宋体" w:hAnsi="宋体" w:hint="eastAsia"/>
                <w:kern w:val="0"/>
                <w:szCs w:val="21"/>
              </w:rPr>
              <w:t>2.5）活动相关人员：支持活动参会人员、活动预约购票人员、活动工作人员、活动其它人员信息展示、人员新增、统计、按条件搜索、信息修改、删除、信息查看详情、一键导入、导入人数审核、审核状态统计、背审信息结果查看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2.6）活动现场勘查：支持活动现场勘查信息展示、勘查记录新增、勘查记录列表、查询、查看详情、修改、批量删除、安全检查记录单填写；支持现场勘查安全检查管理者设置、安全责任人设置、主要负责人、时间、地点设置、公安机关参加检查单位、参加检查人员设置；安全检查标准规定和存在问题提示、整改意见设置；被整改单位负责人和公安机关检查人签字；</w:t>
            </w:r>
          </w:p>
          <w:p>
            <w:pPr>
              <w:pStyle w:val="style0"/>
              <w:spacing w:lineRule="exact" w:line="400"/>
              <w:jc w:val="left"/>
              <w:rPr>
                <w:rFonts w:ascii="宋体" w:eastAsia="宋体" w:hAnsi="宋体"/>
                <w:kern w:val="0"/>
                <w:szCs w:val="21"/>
              </w:rPr>
            </w:pPr>
            <w:r>
              <w:rPr>
                <w:rFonts w:ascii="宋体" w:eastAsia="宋体" w:hAnsi="宋体" w:hint="eastAsia"/>
                <w:kern w:val="0"/>
                <w:szCs w:val="21"/>
              </w:rPr>
              <w:t>2.7）活动关联公司：支持活动关联公司信息展示、已关联公司列表展示、查询，搜索结果按分页展示、排序；查看、删除活动已关联公司、添加活动关联公司；显示、关键字、查询搜索未关联的公司等；</w:t>
            </w:r>
          </w:p>
          <w:p>
            <w:pPr>
              <w:pStyle w:val="style0"/>
              <w:spacing w:lineRule="exact" w:line="400"/>
              <w:jc w:val="left"/>
              <w:rPr>
                <w:rFonts w:ascii="宋体" w:eastAsia="宋体" w:hAnsi="宋体"/>
                <w:kern w:val="0"/>
                <w:szCs w:val="21"/>
              </w:rPr>
            </w:pPr>
            <w:r>
              <w:rPr>
                <w:rFonts w:ascii="宋体" w:eastAsia="宋体" w:hAnsi="宋体" w:hint="eastAsia"/>
                <w:kern w:val="0"/>
                <w:szCs w:val="21"/>
              </w:rPr>
              <w:t>2.8）活动文档管理：支持活动文档管理，包含信息展示、信息创建、文件上传、信息修改、查看、查询、内容预览、内容打印、信息删除等；</w:t>
            </w:r>
          </w:p>
          <w:p>
            <w:pPr>
              <w:pStyle w:val="style0"/>
              <w:spacing w:lineRule="exact" w:line="400"/>
              <w:jc w:val="left"/>
              <w:rPr>
                <w:rFonts w:ascii="宋体" w:eastAsia="宋体" w:hAnsi="宋体"/>
                <w:kern w:val="0"/>
                <w:szCs w:val="21"/>
              </w:rPr>
            </w:pPr>
            <w:r>
              <w:rPr>
                <w:rFonts w:ascii="宋体" w:eastAsia="宋体" w:hAnsi="宋体" w:hint="eastAsia"/>
                <w:kern w:val="0"/>
                <w:szCs w:val="21"/>
              </w:rPr>
              <w:t>2.9）活动问题记录：支持活动问题记录，包含记录信息、记录添加、照片上传、记录修改、查看详情、记录查询、上报照片预览、内容打印、记录删除、问题处理结果反馈、状态跟踪等；</w:t>
            </w:r>
          </w:p>
          <w:p>
            <w:pPr>
              <w:pStyle w:val="style0"/>
              <w:spacing w:lineRule="exact" w:line="400"/>
              <w:jc w:val="left"/>
              <w:rPr>
                <w:rFonts w:ascii="宋体" w:eastAsia="宋体" w:hAnsi="宋体"/>
                <w:kern w:val="0"/>
                <w:szCs w:val="21"/>
              </w:rPr>
            </w:pPr>
            <w:r>
              <w:rPr>
                <w:rFonts w:ascii="宋体" w:eastAsia="宋体" w:hAnsi="宋体" w:hint="eastAsia"/>
                <w:kern w:val="0"/>
                <w:szCs w:val="21"/>
              </w:rPr>
              <w:t>2.10）活动预警布控设置：支持活动布控预警，包含布控预警信息、信息查询、列表展示、信息统计、信息修改、状态统计、信息删除、详情展示；预警公开范围、时段设置、时段有效性校验；支持按活动所在地行政辖区、地图圈选、地图框选、地图不规则多边形方式设置布控预警范围；选择关注人员的类型、状态、对应的责任警种、人员属性、对应的预警处置类别、风险等级、选择关注车辆的类型及状态、选择关注警情的级别、类别、管辖单位等方式进行布控；</w:t>
            </w:r>
          </w:p>
          <w:p>
            <w:pPr>
              <w:pStyle w:val="style0"/>
              <w:spacing w:lineRule="exact" w:line="400"/>
              <w:jc w:val="left"/>
              <w:rPr>
                <w:rFonts w:ascii="宋体" w:eastAsia="宋体" w:hAnsi="宋体"/>
                <w:kern w:val="0"/>
                <w:szCs w:val="21"/>
              </w:rPr>
            </w:pPr>
            <w:r>
              <w:rPr>
                <w:rFonts w:ascii="宋体" w:eastAsia="宋体" w:hAnsi="宋体" w:hint="eastAsia"/>
                <w:kern w:val="0"/>
                <w:szCs w:val="21"/>
              </w:rPr>
              <w:t>2.11）活动项目管理：支持活动项目管理，包含项目信息、新增、类型设置、关联设置、搜索、列表展示、修改、删除等操作；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3、二三维地图支撑平台</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应包含地图支持模块、二维地图应用、三维地图应用、桌面地图应用、移动地图应用、Web地图应用模块、仿真三维建模等服务。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3.1）地图支持模块：需包含服务目录、服务管理、授权管理、我的服务、服务访问日志、运维管理等内容；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3.2）二维地图应用模块：需支持二维地图调用地图服务、地图开始事件及加载完成事件、底图切换、展示图形、进行要素编辑、手工绘制简单的图形、图形绘制、军事标绘、一键堵控、路径规划、交通态势、调用Google地图及天地图、热力图、历史轨迹播放、轨迹纠偏、点位聚合、矢量切片、全屏控件、鹰眼效果、图层滤镜、二维地图基础应用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3.3）三维地图应用模块：需支持三维地图点线面、军标图形绘制；基本线、材质线、颜色轨迹线、图片轨迹线、流动线线状要素展示；基本面、圆点、高度面、拉升面、涵洞面面状要素展示；Echart结合、Echart结合、三维特效、相机漫游、BIM信息框、天地图地形数据、动态GIF展示、线点旋转、场景分析、楼层单体化、分层展示、分屏控件、鹰眼插件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3.4）桌面地图应用模块：支持图层加载、图层放大、缩小、全屏显示、回到前一视图、后一视图、平移、点查询、矩形框选、多边形框选、圆形框选、缓冲区查询、距离测量、坐标定位、鼠标坐标、草图功能、地图编辑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3.5）移动地图应用模块：支持显示地图、地图放大、缩小、添加地图标记、添加指南针、添加比例尺、添加小地图、添加GPS定位、测量距离、测量面积、坐标定位等功能；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3.6）Web地图应用模块：支持地图搜索、访问更新、数据目录、</w:t>
            </w:r>
            <w:r>
              <w:rPr>
                <w:rFonts w:ascii="宋体" w:eastAsia="宋体" w:hAnsi="宋体" w:hint="eastAsia"/>
                <w:kern w:val="0"/>
                <w:szCs w:val="21"/>
              </w:rPr>
              <w:t>实时定位、轨迹查询、轨迹纠偏、热点分析、路径分析、可达域分析、空间统计分析、缓冲区分析、地址搜索、地址管理、地址引用匹配等功能；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3.7）仿真三维建模服务：支持仿真三维建模，包含3DMAX、MAYA模型导入接口；支持解析模型结构化目录、顶点网格算法优化、顶点网格算法优化、法线网格算法优化、细节性能均衡调控、物理引擎库、Runge-Kutta算法模型、Gilbert-Johnson-Keerthi算法模型、PhysX物理引擎库、多种物理仿真、3D引擎-设计模式库、3D引擎-GPU自动编程库、3D引擎-辑合性等信息管理、新增、修改、删除、查询、打印；</w:t>
            </w:r>
          </w:p>
          <w:p>
            <w:pPr>
              <w:pStyle w:val="style0"/>
              <w:spacing w:lineRule="exact" w:line="400"/>
              <w:jc w:val="left"/>
              <w:rPr>
                <w:rFonts w:ascii="宋体" w:eastAsia="宋体" w:hAnsi="宋体"/>
                <w:kern w:val="0"/>
                <w:szCs w:val="21"/>
              </w:rPr>
            </w:pPr>
            <w:r>
              <w:rPr>
                <w:rFonts w:ascii="宋体" w:eastAsia="宋体" w:hAnsi="宋体" w:hint="eastAsia"/>
                <w:kern w:val="0"/>
                <w:szCs w:val="21"/>
              </w:rPr>
              <w:t>4、勤务督导（公安）</w:t>
            </w:r>
          </w:p>
          <w:p>
            <w:pPr>
              <w:pStyle w:val="style0"/>
              <w:spacing w:lineRule="exact" w:line="400"/>
              <w:jc w:val="left"/>
              <w:rPr>
                <w:rFonts w:ascii="宋体" w:eastAsia="宋体" w:hAnsi="宋体"/>
                <w:kern w:val="0"/>
                <w:szCs w:val="21"/>
              </w:rPr>
            </w:pPr>
            <w:r>
              <w:rPr>
                <w:rFonts w:ascii="宋体" w:eastAsia="宋体" w:hAnsi="宋体" w:hint="eastAsia"/>
                <w:kern w:val="0"/>
                <w:szCs w:val="21"/>
              </w:rPr>
              <w:t>需包含业务管理（责任单位）、上报警力、警力统计、警力测算等内容。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4.1）业务管理（责任单位）：支持业务管理责任单位基础数据管理、单位基本信息管理等；</w:t>
            </w:r>
          </w:p>
          <w:p>
            <w:pPr>
              <w:pStyle w:val="style0"/>
              <w:spacing w:lineRule="exact" w:line="400"/>
              <w:jc w:val="left"/>
              <w:rPr>
                <w:rFonts w:ascii="宋体" w:eastAsia="宋体" w:hAnsi="宋体"/>
                <w:kern w:val="0"/>
                <w:szCs w:val="21"/>
              </w:rPr>
            </w:pPr>
            <w:r>
              <w:rPr>
                <w:rFonts w:ascii="宋体" w:eastAsia="宋体" w:hAnsi="宋体" w:hint="eastAsia"/>
                <w:kern w:val="0"/>
                <w:szCs w:val="21"/>
              </w:rPr>
              <w:t>4.2）上报警力：支持工作组列表、上岗时间配置、勤务排班、工作安排、上岗记录、督查确认、上报情况等；</w:t>
            </w:r>
          </w:p>
          <w:p>
            <w:pPr>
              <w:pStyle w:val="style0"/>
              <w:spacing w:lineRule="exact" w:line="400"/>
              <w:jc w:val="left"/>
              <w:rPr>
                <w:rFonts w:ascii="宋体" w:eastAsia="宋体" w:hAnsi="宋体"/>
                <w:kern w:val="0"/>
                <w:szCs w:val="21"/>
              </w:rPr>
            </w:pPr>
            <w:r>
              <w:rPr>
                <w:rFonts w:ascii="宋体" w:eastAsia="宋体" w:hAnsi="宋体" w:hint="eastAsia"/>
                <w:kern w:val="0"/>
                <w:szCs w:val="21"/>
              </w:rPr>
              <w:t>4.3）警力统计：支持对警力统计活动的添加，绑定责任单位通知后各责任单位对相关活动上报警力，支持查看上报警力数、自定义查看责任单位，选择是否显示巡防体系，修改显示的责任单位，展示可用警力和剩余警力图表统计，对统计表进行导出和打印等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4.4）警力测算：可按日期测算、按开始时间显示当日现场警力、显示当日可用、线路及固定用警警力；计算当日合计用警量、当日用警最高值；统计当日24小时各用警值、当日用警最高值时段；支持活动现场用警情况、线路用警量及住地用警量测算；各责任单位及责任辖区、固定警岗、巡逻警岗的用警量测算等；</w:t>
            </w:r>
          </w:p>
          <w:p>
            <w:pPr>
              <w:pStyle w:val="style0"/>
              <w:spacing w:lineRule="exact" w:line="400"/>
              <w:jc w:val="left"/>
              <w:rPr>
                <w:rFonts w:ascii="宋体" w:eastAsia="宋体" w:hAnsi="宋体"/>
                <w:kern w:val="0"/>
                <w:szCs w:val="21"/>
              </w:rPr>
            </w:pPr>
            <w:r>
              <w:rPr>
                <w:rFonts w:ascii="宋体" w:eastAsia="宋体" w:hAnsi="宋体" w:hint="eastAsia"/>
                <w:kern w:val="0"/>
                <w:szCs w:val="21"/>
              </w:rPr>
              <w:t>5、“i”勤务移动应用（公安）</w:t>
            </w:r>
          </w:p>
          <w:p>
            <w:pPr>
              <w:pStyle w:val="style0"/>
              <w:spacing w:lineRule="exact" w:line="400"/>
              <w:jc w:val="left"/>
              <w:rPr>
                <w:rFonts w:ascii="宋体" w:eastAsia="宋体" w:hAnsi="宋体"/>
                <w:kern w:val="0"/>
                <w:szCs w:val="21"/>
              </w:rPr>
            </w:pPr>
            <w:r>
              <w:rPr>
                <w:rFonts w:ascii="宋体" w:eastAsia="宋体" w:hAnsi="宋体" w:hint="eastAsia"/>
                <w:kern w:val="0"/>
                <w:szCs w:val="21"/>
              </w:rPr>
              <w:t>应包含警员勤务、现场管理、学习资料、勤务督查等内容。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5.1）警员勤务：支持个人待办任务、个人历史任务管理操作；支持活动签到、组员到岗情况统计展示；</w:t>
            </w:r>
          </w:p>
          <w:p>
            <w:pPr>
              <w:pStyle w:val="style0"/>
              <w:spacing w:lineRule="exact" w:line="400"/>
              <w:jc w:val="left"/>
              <w:rPr>
                <w:rFonts w:ascii="宋体" w:eastAsia="宋体" w:hAnsi="宋体"/>
                <w:kern w:val="0"/>
                <w:szCs w:val="21"/>
              </w:rPr>
            </w:pPr>
            <w:r>
              <w:rPr>
                <w:rFonts w:ascii="宋体" w:eastAsia="宋体" w:hAnsi="宋体" w:hint="eastAsia"/>
                <w:kern w:val="0"/>
                <w:szCs w:val="21"/>
              </w:rPr>
              <w:t>5.2）现场管理：支持活动信息操作、处置向导、处置指南、任务推送、异常/突发事件上报、现场勘查、周边情况等相关操作；</w:t>
            </w:r>
          </w:p>
          <w:p>
            <w:pPr>
              <w:pStyle w:val="style0"/>
              <w:spacing w:lineRule="exact" w:line="400"/>
              <w:jc w:val="left"/>
              <w:rPr>
                <w:rFonts w:ascii="宋体" w:eastAsia="宋体" w:hAnsi="宋体"/>
                <w:kern w:val="0"/>
                <w:szCs w:val="21"/>
              </w:rPr>
            </w:pPr>
            <w:r>
              <w:rPr>
                <w:rFonts w:ascii="宋体" w:eastAsia="宋体" w:hAnsi="宋体" w:hint="eastAsia"/>
                <w:kern w:val="0"/>
                <w:szCs w:val="21"/>
              </w:rPr>
              <w:t>5.3）学习资料：应支持操作文档管理，如文档展示、翻页、搜索、查看、在线预览、下载、在线阅读记录等；支持培训小视频</w:t>
            </w:r>
            <w:r>
              <w:rPr>
                <w:rFonts w:ascii="宋体" w:eastAsia="宋体" w:hAnsi="宋体" w:hint="eastAsia"/>
                <w:kern w:val="0"/>
                <w:szCs w:val="21"/>
              </w:rPr>
              <w:t>管理，如信息展示、列表展示、搜索、滑动分页、播放等；</w:t>
            </w:r>
          </w:p>
          <w:p>
            <w:pPr>
              <w:pStyle w:val="style0"/>
              <w:spacing w:lineRule="exact" w:line="400"/>
              <w:jc w:val="left"/>
              <w:rPr>
                <w:rFonts w:ascii="宋体" w:eastAsia="宋体" w:hAnsi="宋体"/>
                <w:kern w:val="0"/>
                <w:szCs w:val="21"/>
              </w:rPr>
            </w:pPr>
            <w:r>
              <w:rPr>
                <w:rFonts w:ascii="宋体" w:eastAsia="宋体" w:hAnsi="宋体" w:hint="eastAsia"/>
                <w:kern w:val="0"/>
                <w:szCs w:val="21"/>
              </w:rPr>
              <w:t>5.4）勤务督查：支持警员自督（移动端）、班组检查（移动端）、单位督查（移动端），包含到位情况检查、周边环境说明、着装要求情况、异常情况说明、检查情况列表、检查详情等项；</w:t>
            </w:r>
          </w:p>
          <w:p>
            <w:pPr>
              <w:pStyle w:val="style0"/>
              <w:spacing w:lineRule="exact" w:line="400"/>
              <w:jc w:val="left"/>
              <w:rPr>
                <w:rFonts w:ascii="宋体" w:eastAsia="宋体" w:hAnsi="宋体"/>
                <w:kern w:val="0"/>
                <w:szCs w:val="21"/>
              </w:rPr>
            </w:pPr>
            <w:r>
              <w:rPr>
                <w:rFonts w:ascii="宋体" w:eastAsia="宋体" w:hAnsi="宋体" w:hint="eastAsia"/>
                <w:kern w:val="0"/>
                <w:szCs w:val="21"/>
              </w:rPr>
              <w:t>6、现场监管（公安）</w:t>
            </w:r>
          </w:p>
          <w:p>
            <w:pPr>
              <w:pStyle w:val="style0"/>
              <w:spacing w:lineRule="exact" w:line="400"/>
              <w:jc w:val="left"/>
              <w:rPr>
                <w:rFonts w:ascii="宋体" w:eastAsia="宋体" w:hAnsi="宋体"/>
                <w:kern w:val="0"/>
                <w:szCs w:val="21"/>
              </w:rPr>
            </w:pPr>
            <w:r>
              <w:rPr>
                <w:rFonts w:ascii="宋体" w:eastAsia="宋体" w:hAnsi="宋体" w:hint="eastAsia"/>
                <w:kern w:val="0"/>
                <w:szCs w:val="21"/>
              </w:rPr>
              <w:t>需包含现场管理列表、警力信息保障、预案管理、预案实时监测、票务及人员核验数据大屏、核心现场数据大屏、现场监管移动应用等内容。</w:t>
            </w:r>
          </w:p>
          <w:p>
            <w:pPr>
              <w:pStyle w:val="style0"/>
              <w:spacing w:lineRule="exact" w:line="400"/>
              <w:jc w:val="left"/>
              <w:rPr>
                <w:rFonts w:ascii="宋体" w:eastAsia="宋体" w:hAnsi="宋体"/>
                <w:kern w:val="0"/>
                <w:szCs w:val="21"/>
              </w:rPr>
            </w:pPr>
            <w:r>
              <w:rPr>
                <w:rFonts w:ascii="宋体" w:eastAsia="宋体" w:hAnsi="宋体" w:hint="eastAsia"/>
                <w:kern w:val="0"/>
                <w:szCs w:val="21"/>
              </w:rPr>
              <w:t>6.1）现场管理列表：支持列表查看，支持：新增、修改、查看、删除活动现场、导出活动现场列表。</w:t>
            </w:r>
          </w:p>
          <w:p>
            <w:pPr>
              <w:pStyle w:val="style0"/>
              <w:spacing w:lineRule="exact" w:line="400"/>
              <w:jc w:val="left"/>
              <w:rPr>
                <w:rFonts w:ascii="宋体" w:eastAsia="宋体" w:hAnsi="宋体"/>
                <w:kern w:val="0"/>
                <w:szCs w:val="21"/>
              </w:rPr>
            </w:pPr>
            <w:r>
              <w:rPr>
                <w:rFonts w:ascii="宋体" w:eastAsia="宋体" w:hAnsi="宋体" w:hint="eastAsia"/>
                <w:kern w:val="0"/>
                <w:szCs w:val="21"/>
              </w:rPr>
              <w:t>6.2）警力信息保障：支持警力实时监控及警力查询；</w:t>
            </w:r>
          </w:p>
          <w:p>
            <w:pPr>
              <w:pStyle w:val="style0"/>
              <w:spacing w:lineRule="exact" w:line="400"/>
              <w:jc w:val="left"/>
              <w:rPr>
                <w:rFonts w:ascii="宋体" w:eastAsia="宋体" w:hAnsi="宋体"/>
                <w:kern w:val="0"/>
                <w:szCs w:val="21"/>
              </w:rPr>
            </w:pPr>
            <w:r>
              <w:rPr>
                <w:rFonts w:ascii="宋体" w:eastAsia="宋体" w:hAnsi="宋体" w:hint="eastAsia"/>
                <w:kern w:val="0"/>
                <w:szCs w:val="21"/>
              </w:rPr>
              <w:t>6.3）预案实时监测：支持视频及终端联动，实现事件在地图上定位、事件周边范围标绘及调整，地图框选周边范围，显示周边视频监控及民警点位信息，查看视频监控划面等；支持指挥调度态势同步发布；</w:t>
            </w:r>
          </w:p>
          <w:p>
            <w:pPr>
              <w:pStyle w:val="style0"/>
              <w:spacing w:lineRule="exact" w:line="400"/>
              <w:jc w:val="left"/>
              <w:rPr>
                <w:rFonts w:ascii="宋体" w:eastAsia="宋体" w:hAnsi="宋体"/>
                <w:kern w:val="0"/>
                <w:szCs w:val="21"/>
              </w:rPr>
            </w:pPr>
            <w:r>
              <w:rPr>
                <w:rFonts w:ascii="宋体" w:eastAsia="宋体" w:hAnsi="宋体" w:hint="eastAsia"/>
                <w:kern w:val="0"/>
                <w:szCs w:val="21"/>
              </w:rPr>
              <w:t>6.4）票务及人员核验数据大屏：支持座次平面图管理、平面图绘制、平面图标注等；</w:t>
            </w:r>
          </w:p>
          <w:p>
            <w:pPr>
              <w:pStyle w:val="style0"/>
              <w:spacing w:lineRule="exact" w:line="400"/>
              <w:jc w:val="left"/>
              <w:rPr>
                <w:rFonts w:ascii="宋体" w:eastAsia="宋体" w:hAnsi="宋体"/>
                <w:kern w:val="0"/>
                <w:szCs w:val="21"/>
              </w:rPr>
            </w:pPr>
            <w:r>
              <w:rPr>
                <w:rFonts w:ascii="宋体" w:eastAsia="宋体" w:hAnsi="宋体" w:hint="eastAsia"/>
                <w:kern w:val="0"/>
                <w:szCs w:val="21"/>
              </w:rPr>
              <w:t>6.5）核心现场数据大屏：支持警力安保信息管理、安保方案展示、预览、打印、安保警力分布及数据统计等；支持圈层防控排查、风险隐患、重点人员流动展示与管控、内场车辆信息展示、重点车辆、警力态势展示、突发状况管理、涉会信息展示等；</w:t>
            </w:r>
          </w:p>
          <w:p>
            <w:pPr>
              <w:pStyle w:val="style0"/>
              <w:spacing w:lineRule="exact" w:line="400"/>
              <w:jc w:val="left"/>
              <w:rPr>
                <w:rFonts w:ascii="宋体" w:eastAsia="宋体" w:hAnsi="宋体"/>
                <w:kern w:val="0"/>
                <w:szCs w:val="21"/>
              </w:rPr>
            </w:pPr>
            <w:r>
              <w:rPr>
                <w:rFonts w:ascii="宋体" w:eastAsia="宋体" w:hAnsi="宋体" w:hint="eastAsia"/>
                <w:kern w:val="0"/>
                <w:szCs w:val="21"/>
              </w:rPr>
              <w:t>现场监管移动应用：支持公安勤务信息、公安上岗执勤情况统计、各单位上岗督察情况及实时警力统计；支持人员、车辆核查信息及核验核查情况详情、活动安保签到情况统计、票务信息、售票信息、出票数、入场总数、入场率统计等功能。</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13</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外部系统对接</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1项</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1、对接公安网关联系统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1.1）对接指挥调度勤务系统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获取相关值班备勤人员、岗位信息等数据。</w:t>
            </w:r>
          </w:p>
          <w:p>
            <w:pPr>
              <w:pStyle w:val="style0"/>
              <w:spacing w:lineRule="exact" w:line="400"/>
              <w:jc w:val="left"/>
              <w:rPr>
                <w:rFonts w:ascii="宋体" w:eastAsia="宋体" w:hAnsi="宋体"/>
                <w:kern w:val="0"/>
                <w:szCs w:val="21"/>
              </w:rPr>
            </w:pPr>
            <w:r>
              <w:rPr>
                <w:rFonts w:ascii="宋体" w:eastAsia="宋体" w:hAnsi="宋体" w:hint="eastAsia"/>
                <w:kern w:val="0"/>
                <w:szCs w:val="21"/>
              </w:rPr>
              <w:t>1.2）对接警务云数据</w:t>
            </w:r>
          </w:p>
          <w:p>
            <w:pPr>
              <w:pStyle w:val="style0"/>
              <w:spacing w:lineRule="exact" w:line="400"/>
              <w:jc w:val="left"/>
              <w:rPr>
                <w:rFonts w:ascii="宋体" w:eastAsia="宋体" w:hAnsi="宋体"/>
                <w:kern w:val="0"/>
                <w:szCs w:val="21"/>
              </w:rPr>
            </w:pPr>
            <w:r>
              <w:rPr>
                <w:rFonts w:ascii="宋体" w:eastAsia="宋体" w:hAnsi="宋体" w:hint="eastAsia"/>
                <w:kern w:val="0"/>
                <w:szCs w:val="21"/>
              </w:rPr>
              <w:t>获取并整合各类案事件信息、管辖区域信息、重点人员信息。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1.3）对接检查站系统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获取各检查站的详细信息、负责人、警力配备、物资装备、视频预案等信息。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1.4）对接定位系统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获取安保人员位置信息，实现在电子地图上的精准定位和统计分</w:t>
            </w:r>
            <w:r>
              <w:rPr>
                <w:rFonts w:ascii="宋体" w:eastAsia="宋体" w:hAnsi="宋体" w:hint="eastAsia"/>
                <w:kern w:val="0"/>
                <w:szCs w:val="21"/>
              </w:rPr>
              <w:t>析功能，以确保在安保时期的人员位置可见。</w:t>
            </w:r>
          </w:p>
          <w:p>
            <w:pPr>
              <w:pStyle w:val="style0"/>
              <w:spacing w:lineRule="exact" w:line="400"/>
              <w:jc w:val="left"/>
              <w:rPr>
                <w:rFonts w:ascii="宋体" w:eastAsia="宋体" w:hAnsi="宋体"/>
                <w:kern w:val="0"/>
                <w:szCs w:val="21"/>
              </w:rPr>
            </w:pPr>
            <w:r>
              <w:rPr>
                <w:rFonts w:ascii="宋体" w:eastAsia="宋体" w:hAnsi="宋体" w:hint="eastAsia"/>
                <w:kern w:val="0"/>
                <w:szCs w:val="21"/>
              </w:rPr>
              <w:t>1.5）对接情报系统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获取重点人员数据包括姓名、性别、身份证号、户籍地、联系方式、现住址、管控类型、管控状态、管控等级、管控措施、所属辖区、责任民警等信息。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1.6）对接特勤警卫系统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获取各种等级警卫任务和安保任务信息，包括时间段、警卫路线、保卫区域、特勤岗位、特勤车辆等。</w:t>
            </w:r>
          </w:p>
          <w:p>
            <w:pPr>
              <w:pStyle w:val="style0"/>
              <w:spacing w:lineRule="exact" w:line="400"/>
              <w:jc w:val="left"/>
              <w:rPr>
                <w:rFonts w:ascii="宋体" w:eastAsia="宋体" w:hAnsi="宋体"/>
                <w:kern w:val="0"/>
                <w:szCs w:val="21"/>
              </w:rPr>
            </w:pPr>
            <w:r>
              <w:rPr>
                <w:rFonts w:ascii="宋体" w:eastAsia="宋体" w:hAnsi="宋体" w:hint="eastAsia"/>
                <w:kern w:val="0"/>
                <w:szCs w:val="21"/>
              </w:rPr>
              <w:t>1.7）对接融合通信系统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实现在安保任务期间包括4G执法记录仪在内的各类通信终端的画面调取、指令下发、语音调度等功能。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2、对接视频网关联系统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2.1）对接视频共享平台</w:t>
            </w:r>
          </w:p>
          <w:p>
            <w:pPr>
              <w:pStyle w:val="style0"/>
              <w:spacing w:lineRule="exact" w:line="400"/>
              <w:jc w:val="left"/>
              <w:rPr>
                <w:rFonts w:ascii="宋体" w:eastAsia="宋体" w:hAnsi="宋体"/>
                <w:kern w:val="0"/>
                <w:szCs w:val="21"/>
              </w:rPr>
            </w:pPr>
            <w:r>
              <w:rPr>
                <w:rFonts w:ascii="宋体" w:eastAsia="宋体" w:hAnsi="宋体" w:hint="eastAsia"/>
                <w:kern w:val="0"/>
                <w:szCs w:val="21"/>
              </w:rPr>
              <w:t>获取视频监控资源相关信息，以及实时视频数据和录像文件，实现警卫全程可视化。</w:t>
            </w:r>
          </w:p>
          <w:p>
            <w:pPr>
              <w:pStyle w:val="style0"/>
              <w:spacing w:lineRule="exact" w:line="400"/>
              <w:jc w:val="left"/>
              <w:rPr>
                <w:rFonts w:ascii="宋体" w:eastAsia="宋体" w:hAnsi="宋体"/>
                <w:kern w:val="0"/>
                <w:szCs w:val="21"/>
              </w:rPr>
            </w:pPr>
            <w:r>
              <w:rPr>
                <w:rFonts w:ascii="宋体" w:eastAsia="宋体" w:hAnsi="宋体" w:hint="eastAsia"/>
                <w:kern w:val="0"/>
                <w:szCs w:val="21"/>
              </w:rPr>
              <w:t>2.2）对接人脸识别系统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对采集的各类卡口图片进行识别比对等智能化处理。</w:t>
            </w:r>
          </w:p>
          <w:p>
            <w:pPr>
              <w:pStyle w:val="style0"/>
              <w:spacing w:lineRule="exact" w:line="400"/>
              <w:jc w:val="left"/>
              <w:rPr>
                <w:rFonts w:ascii="宋体" w:eastAsia="宋体" w:hAnsi="宋体"/>
                <w:kern w:val="0"/>
                <w:szCs w:val="21"/>
              </w:rPr>
            </w:pPr>
            <w:r>
              <w:rPr>
                <w:rFonts w:ascii="宋体" w:eastAsia="宋体" w:hAnsi="宋体" w:hint="eastAsia"/>
                <w:kern w:val="0"/>
                <w:szCs w:val="21"/>
              </w:rPr>
              <w:t>2.3）卡口系统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通过对接人脸卡口系统，采集各人脸卡口抓拍的人脸照片，然后利用视频结构化系统进行人脸结构化处理，以便后续进行业务应用。</w:t>
            </w:r>
          </w:p>
          <w:p>
            <w:pPr>
              <w:pStyle w:val="style0"/>
              <w:spacing w:lineRule="exact" w:line="400"/>
              <w:jc w:val="left"/>
              <w:rPr>
                <w:rFonts w:ascii="宋体" w:eastAsia="宋体" w:hAnsi="宋体"/>
                <w:kern w:val="0"/>
                <w:szCs w:val="21"/>
              </w:rPr>
            </w:pPr>
            <w:r>
              <w:rPr>
                <w:rFonts w:ascii="宋体" w:eastAsia="宋体" w:hAnsi="宋体" w:hint="eastAsia"/>
                <w:kern w:val="0"/>
                <w:szCs w:val="21"/>
              </w:rPr>
              <w:t>2.4）对接4G车载图像传输系统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实现关键路线上移动视频的播放跟踪，掌控车队中重点关注对象状态。</w:t>
            </w:r>
          </w:p>
          <w:p>
            <w:pPr>
              <w:pStyle w:val="style0"/>
              <w:spacing w:lineRule="exact" w:line="400"/>
              <w:jc w:val="left"/>
              <w:rPr>
                <w:rFonts w:ascii="宋体" w:eastAsia="宋体" w:hAnsi="宋体"/>
                <w:kern w:val="0"/>
                <w:szCs w:val="21"/>
              </w:rPr>
            </w:pPr>
            <w:r>
              <w:rPr>
                <w:rFonts w:ascii="宋体" w:eastAsia="宋体" w:hAnsi="宋体" w:hint="eastAsia"/>
                <w:kern w:val="0"/>
                <w:szCs w:val="21"/>
              </w:rPr>
              <w:t>2.5）对接电子围栏</w:t>
            </w:r>
          </w:p>
          <w:p>
            <w:pPr>
              <w:pStyle w:val="style32"/>
              <w:spacing w:lineRule="exact" w:line="400"/>
              <w:rPr>
                <w:rFonts w:ascii="宋体" w:eastAsia="宋体" w:hAnsi="宋体"/>
                <w:kern w:val="0"/>
                <w:sz w:val="21"/>
                <w:szCs w:val="21"/>
              </w:rPr>
            </w:pPr>
            <w:r>
              <w:rPr>
                <w:rFonts w:ascii="宋体" w:eastAsia="宋体" w:hAnsi="宋体" w:hint="eastAsia"/>
                <w:kern w:val="0"/>
                <w:sz w:val="21"/>
                <w:szCs w:val="21"/>
              </w:rPr>
              <w:t>获取电子围栏的感知报警信息。</w:t>
            </w:r>
          </w:p>
          <w:p>
            <w:pPr>
              <w:pStyle w:val="style0"/>
              <w:spacing w:lineRule="exact" w:line="400"/>
              <w:jc w:val="left"/>
              <w:rPr>
                <w:rFonts w:ascii="宋体" w:eastAsia="宋体" w:hAnsi="宋体"/>
                <w:kern w:val="0"/>
                <w:szCs w:val="21"/>
              </w:rPr>
            </w:pPr>
            <w:r>
              <w:rPr>
                <w:rFonts w:ascii="宋体" w:eastAsia="宋体" w:hAnsi="宋体" w:hint="eastAsia"/>
                <w:kern w:val="0"/>
                <w:szCs w:val="21"/>
              </w:rPr>
              <w:t>3、对接公安移动信息网关联系统</w:t>
            </w:r>
          </w:p>
          <w:p>
            <w:pPr>
              <w:pStyle w:val="style0"/>
              <w:spacing w:lineRule="exact" w:line="400"/>
              <w:jc w:val="left"/>
              <w:rPr>
                <w:rFonts w:ascii="宋体" w:eastAsia="宋体" w:hAnsi="宋体"/>
                <w:kern w:val="0"/>
                <w:szCs w:val="21"/>
              </w:rPr>
            </w:pPr>
            <w:r>
              <w:rPr>
                <w:rFonts w:ascii="宋体" w:eastAsia="宋体" w:hAnsi="宋体" w:hint="eastAsia"/>
                <w:kern w:val="0"/>
                <w:szCs w:val="21"/>
              </w:rPr>
              <w:t>3.1）对接安全边界平台</w:t>
            </w:r>
          </w:p>
          <w:p>
            <w:pPr>
              <w:pStyle w:val="style0"/>
              <w:spacing w:lineRule="exact" w:line="400"/>
              <w:jc w:val="left"/>
              <w:rPr>
                <w:rFonts w:ascii="宋体" w:eastAsia="宋体" w:hAnsi="宋体"/>
                <w:kern w:val="0"/>
                <w:szCs w:val="21"/>
              </w:rPr>
            </w:pPr>
            <w:r>
              <w:rPr>
                <w:rFonts w:ascii="宋体" w:eastAsia="宋体" w:hAnsi="宋体" w:hint="eastAsia"/>
                <w:kern w:val="0"/>
                <w:szCs w:val="21"/>
              </w:rPr>
              <w:t>实现不同网络环境的数据及信令传输。</w:t>
            </w:r>
          </w:p>
          <w:p>
            <w:pPr>
              <w:pStyle w:val="style0"/>
              <w:spacing w:lineRule="exact" w:line="400"/>
              <w:jc w:val="left"/>
              <w:rPr>
                <w:rFonts w:ascii="宋体" w:eastAsia="宋体" w:hAnsi="宋体"/>
                <w:kern w:val="0"/>
                <w:szCs w:val="21"/>
              </w:rPr>
            </w:pPr>
            <w:r>
              <w:rPr>
                <w:rFonts w:ascii="宋体" w:eastAsia="宋体" w:hAnsi="宋体" w:hint="eastAsia"/>
                <w:kern w:val="0"/>
                <w:szCs w:val="21"/>
              </w:rPr>
              <w:t>3.2）对接移动警务平台</w:t>
            </w:r>
          </w:p>
          <w:p>
            <w:pPr>
              <w:pStyle w:val="style32"/>
              <w:spacing w:lineRule="exact" w:line="400"/>
              <w:rPr>
                <w:rFonts w:ascii="宋体" w:eastAsia="宋体" w:hAnsi="宋体"/>
                <w:kern w:val="0"/>
                <w:sz w:val="21"/>
                <w:szCs w:val="21"/>
              </w:rPr>
            </w:pPr>
            <w:r>
              <w:rPr>
                <w:rFonts w:ascii="宋体" w:eastAsia="宋体" w:hAnsi="宋体" w:hint="eastAsia"/>
                <w:kern w:val="0"/>
                <w:sz w:val="21"/>
                <w:szCs w:val="21"/>
              </w:rPr>
              <w:t>实现移动端用户统一入口、单点登录。</w:t>
            </w:r>
          </w:p>
        </w:tc>
      </w:tr>
      <w:tr>
        <w:tblPrEx/>
        <w:trPr>
          <w:trHeight w:val="334" w:hRule="atLeast"/>
          <w:jc w:val="center"/>
        </w:trPr>
        <w:tc>
          <w:tcPr>
            <w:tcW w:w="613"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14</w:t>
            </w:r>
          </w:p>
        </w:tc>
        <w:tc>
          <w:tcPr>
            <w:tcW w:w="808" w:type="dxa"/>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与公共支撑能力对</w:t>
            </w:r>
            <w:r>
              <w:rPr>
                <w:rFonts w:ascii="宋体" w:cs="宋体" w:eastAsia="宋体" w:hAnsi="宋体" w:hint="eastAsia"/>
                <w:szCs w:val="21"/>
              </w:rPr>
              <w:t>接</w:t>
            </w:r>
          </w:p>
        </w:tc>
        <w:tc>
          <w:tcPr>
            <w:tcW w:w="850"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1项</w:t>
            </w:r>
          </w:p>
        </w:tc>
        <w:tc>
          <w:tcPr>
            <w:tcW w:w="78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软件和信息技术服</w:t>
            </w:r>
            <w:r>
              <w:rPr>
                <w:rFonts w:ascii="宋体" w:cs="宋体" w:eastAsia="宋体" w:hAnsi="宋体" w:hint="eastAsia"/>
                <w:szCs w:val="21"/>
              </w:rPr>
              <w:t>务业</w:t>
            </w:r>
          </w:p>
        </w:tc>
        <w:tc>
          <w:tcPr>
            <w:tcW w:w="604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eastAsia="宋体" w:hAnsi="宋体" w:hint="eastAsia"/>
                <w:kern w:val="0"/>
                <w:szCs w:val="21"/>
              </w:rPr>
              <w:t>1、与云平台基础组件对接</w:t>
            </w:r>
          </w:p>
          <w:p>
            <w:pPr>
              <w:pStyle w:val="style0"/>
              <w:spacing w:lineRule="exact" w:line="400"/>
              <w:jc w:val="left"/>
              <w:rPr>
                <w:rFonts w:ascii="宋体" w:eastAsia="宋体" w:hAnsi="宋体"/>
                <w:kern w:val="0"/>
                <w:szCs w:val="21"/>
              </w:rPr>
            </w:pPr>
            <w:r>
              <w:rPr>
                <w:rFonts w:ascii="宋体" w:eastAsia="宋体" w:hAnsi="宋体" w:hint="eastAsia"/>
                <w:kern w:val="0"/>
                <w:szCs w:val="21"/>
              </w:rPr>
              <w:t>对接区厅云平台，为数字化安保平台提供分布式高速缓存能力和消息队列服务。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2、与大数据平台基础组件对接</w:t>
            </w:r>
          </w:p>
          <w:p>
            <w:pPr>
              <w:pStyle w:val="style0"/>
              <w:spacing w:lineRule="exact" w:line="400"/>
              <w:jc w:val="left"/>
              <w:rPr>
                <w:rFonts w:ascii="宋体" w:eastAsia="宋体" w:hAnsi="宋体"/>
                <w:kern w:val="0"/>
                <w:szCs w:val="21"/>
              </w:rPr>
            </w:pPr>
            <w:r>
              <w:rPr>
                <w:rFonts w:ascii="宋体" w:eastAsia="宋体" w:hAnsi="宋体" w:hint="eastAsia"/>
                <w:kern w:val="0"/>
                <w:szCs w:val="21"/>
              </w:rPr>
              <w:t>与大数据平台的比对订阅组件对接，通过订阅车辆卡口、人员卡口的重点车辆、重点人抓拍数据，实现圈层防控功能。</w:t>
            </w:r>
          </w:p>
          <w:p>
            <w:pPr>
              <w:pStyle w:val="style0"/>
              <w:spacing w:lineRule="exact" w:line="400"/>
              <w:jc w:val="left"/>
              <w:rPr>
                <w:rFonts w:ascii="宋体" w:eastAsia="宋体" w:hAnsi="宋体"/>
                <w:kern w:val="0"/>
                <w:szCs w:val="21"/>
              </w:rPr>
            </w:pPr>
            <w:r>
              <w:rPr>
                <w:rFonts w:ascii="宋体" w:eastAsia="宋体" w:hAnsi="宋体" w:hint="eastAsia"/>
                <w:kern w:val="0"/>
                <w:szCs w:val="21"/>
              </w:rPr>
              <w:t>3、与业务支撑平台组件对接</w:t>
            </w:r>
          </w:p>
          <w:p>
            <w:pPr>
              <w:pStyle w:val="style0"/>
              <w:spacing w:lineRule="exact" w:line="400"/>
              <w:jc w:val="left"/>
              <w:rPr>
                <w:rFonts w:ascii="宋体" w:eastAsia="宋体" w:hAnsi="宋体"/>
                <w:kern w:val="0"/>
                <w:szCs w:val="21"/>
              </w:rPr>
            </w:pPr>
            <w:r>
              <w:rPr>
                <w:rFonts w:ascii="宋体" w:eastAsia="宋体" w:hAnsi="宋体" w:hint="eastAsia"/>
                <w:kern w:val="0"/>
                <w:szCs w:val="21"/>
              </w:rPr>
              <w:t>对接业务支撑平台的相关组件，获得各类能力接口，支撑上层业务应用。</w:t>
            </w:r>
          </w:p>
          <w:p>
            <w:pPr>
              <w:pStyle w:val="style0"/>
              <w:spacing w:lineRule="exact" w:line="400"/>
              <w:jc w:val="left"/>
              <w:rPr>
                <w:rFonts w:ascii="宋体" w:eastAsia="宋体" w:hAnsi="宋体"/>
                <w:kern w:val="0"/>
                <w:szCs w:val="21"/>
              </w:rPr>
            </w:pPr>
            <w:r>
              <w:rPr>
                <w:rFonts w:ascii="宋体" w:eastAsia="宋体" w:hAnsi="宋体" w:hint="eastAsia"/>
                <w:kern w:val="0"/>
                <w:szCs w:val="21"/>
              </w:rPr>
              <w:t>4、与零信任体系对接</w:t>
            </w:r>
          </w:p>
          <w:p>
            <w:pPr>
              <w:pStyle w:val="style0"/>
              <w:spacing w:lineRule="exact" w:line="400"/>
              <w:jc w:val="left"/>
              <w:rPr>
                <w:rFonts w:ascii="宋体" w:eastAsia="宋体" w:hAnsi="宋体"/>
                <w:kern w:val="0"/>
                <w:szCs w:val="21"/>
              </w:rPr>
            </w:pPr>
            <w:r>
              <w:rPr>
                <w:rFonts w:ascii="宋体" w:eastAsia="宋体" w:hAnsi="宋体" w:hint="eastAsia"/>
                <w:kern w:val="0"/>
                <w:szCs w:val="21"/>
              </w:rPr>
              <w:t>数字化安保平台与零信任体系对接可信接入检控、认证服务、权限管理服务、可信应用检控、业务安全审计服务、业务审批服务。</w:t>
            </w:r>
          </w:p>
          <w:p>
            <w:pPr>
              <w:pStyle w:val="style0"/>
              <w:spacing w:lineRule="exact" w:line="400"/>
              <w:jc w:val="left"/>
              <w:rPr>
                <w:rFonts w:ascii="宋体" w:eastAsia="宋体" w:hAnsi="宋体"/>
                <w:kern w:val="0"/>
                <w:szCs w:val="21"/>
              </w:rPr>
            </w:pPr>
            <w:r>
              <w:rPr>
                <w:rFonts w:ascii="宋体" w:eastAsia="宋体" w:hAnsi="宋体" w:hint="eastAsia"/>
                <w:kern w:val="0"/>
                <w:szCs w:val="21"/>
              </w:rPr>
              <w:t>5、与警综系统对接</w:t>
            </w:r>
          </w:p>
          <w:p>
            <w:pPr>
              <w:pStyle w:val="style0"/>
              <w:spacing w:lineRule="exact" w:line="400"/>
              <w:jc w:val="left"/>
              <w:rPr>
                <w:rFonts w:ascii="宋体" w:eastAsia="宋体" w:hAnsi="宋体"/>
                <w:kern w:val="0"/>
                <w:szCs w:val="21"/>
              </w:rPr>
            </w:pPr>
            <w:r>
              <w:rPr>
                <w:rFonts w:ascii="宋体" w:eastAsia="宋体" w:hAnsi="宋体" w:hint="eastAsia"/>
                <w:kern w:val="0"/>
                <w:szCs w:val="21"/>
              </w:rPr>
              <w:t>对接警综平台警情数据，为社会面治安态势提供数据支撑。</w:t>
            </w:r>
          </w:p>
          <w:p>
            <w:pPr>
              <w:pStyle w:val="style0"/>
              <w:spacing w:lineRule="exact" w:line="400"/>
              <w:jc w:val="left"/>
              <w:rPr>
                <w:rFonts w:ascii="宋体" w:eastAsia="宋体" w:hAnsi="宋体"/>
                <w:kern w:val="0"/>
                <w:szCs w:val="21"/>
              </w:rPr>
            </w:pPr>
            <w:r>
              <w:rPr>
                <w:rFonts w:ascii="宋体" w:eastAsia="宋体" w:hAnsi="宋体" w:hint="eastAsia"/>
                <w:kern w:val="0"/>
                <w:szCs w:val="21"/>
              </w:rPr>
              <w:t>6、与PGIS系统对接</w:t>
            </w:r>
          </w:p>
          <w:p>
            <w:pPr>
              <w:pStyle w:val="style0"/>
              <w:spacing w:lineRule="exact" w:line="400"/>
              <w:jc w:val="left"/>
              <w:rPr>
                <w:rFonts w:ascii="宋体" w:eastAsia="宋体" w:hAnsi="宋体"/>
                <w:kern w:val="0"/>
                <w:szCs w:val="21"/>
              </w:rPr>
            </w:pPr>
            <w:r>
              <w:rPr>
                <w:rFonts w:ascii="宋体" w:eastAsia="宋体" w:hAnsi="宋体" w:hint="eastAsia"/>
                <w:kern w:val="0"/>
                <w:szCs w:val="21"/>
              </w:rPr>
              <w:t>对接区厅科信PGIS系统，使用科信统一提供的地图服务能力访问地图底层及标注图层服务，实现在平台电子地图上的精准定位和二维信息呈现。</w:t>
            </w:r>
          </w:p>
          <w:p>
            <w:pPr>
              <w:pStyle w:val="style0"/>
              <w:spacing w:lineRule="exact" w:line="400"/>
              <w:jc w:val="left"/>
              <w:rPr>
                <w:rFonts w:ascii="宋体" w:eastAsia="宋体" w:hAnsi="宋体"/>
                <w:kern w:val="0"/>
                <w:szCs w:val="21"/>
              </w:rPr>
            </w:pPr>
            <w:r>
              <w:rPr>
                <w:rFonts w:ascii="宋体" w:eastAsia="宋体" w:hAnsi="宋体" w:hint="eastAsia"/>
                <w:kern w:val="0"/>
                <w:szCs w:val="21"/>
              </w:rPr>
              <w:t>7、与云密码服务管理平台对接</w:t>
            </w:r>
          </w:p>
          <w:p>
            <w:pPr>
              <w:pStyle w:val="style0"/>
              <w:spacing w:lineRule="exact" w:line="400"/>
              <w:jc w:val="left"/>
              <w:rPr>
                <w:rFonts w:ascii="宋体" w:eastAsia="宋体" w:hAnsi="宋体"/>
                <w:kern w:val="0"/>
                <w:szCs w:val="21"/>
              </w:rPr>
            </w:pPr>
            <w:r>
              <w:rPr>
                <w:rFonts w:ascii="宋体" w:eastAsia="宋体" w:hAnsi="宋体" w:hint="eastAsia"/>
                <w:kern w:val="0"/>
                <w:szCs w:val="21"/>
              </w:rPr>
              <w:t>对接云密码服务管理平台，实现国产密码应用管理。</w:t>
            </w:r>
          </w:p>
          <w:p>
            <w:pPr>
              <w:pStyle w:val="style0"/>
              <w:spacing w:lineRule="exact" w:line="400"/>
              <w:jc w:val="left"/>
              <w:rPr>
                <w:rFonts w:ascii="宋体" w:eastAsia="宋体" w:hAnsi="宋体"/>
                <w:kern w:val="0"/>
                <w:szCs w:val="21"/>
              </w:rPr>
            </w:pPr>
            <w:r>
              <w:rPr>
                <w:rFonts w:ascii="宋体" w:eastAsia="宋体" w:hAnsi="宋体" w:hint="eastAsia"/>
                <w:kern w:val="0"/>
                <w:szCs w:val="21"/>
              </w:rPr>
              <w:t>8、信创适配</w:t>
            </w:r>
          </w:p>
          <w:p>
            <w:pPr>
              <w:pStyle w:val="style0"/>
              <w:spacing w:lineRule="exact" w:line="400"/>
              <w:jc w:val="left"/>
              <w:rPr>
                <w:rFonts w:ascii="宋体" w:eastAsia="宋体" w:hAnsi="宋体"/>
                <w:kern w:val="0"/>
                <w:szCs w:val="21"/>
              </w:rPr>
            </w:pPr>
            <w:r>
              <w:rPr>
                <w:rFonts w:ascii="宋体" w:cs="宋体" w:eastAsia="宋体" w:hAnsi="宋体" w:hint="eastAsia"/>
                <w:kern w:val="0"/>
                <w:szCs w:val="21"/>
              </w:rPr>
              <w:t>按照信创适配要求，分别支持与省厅统筹提供相关国产化终端操作系统和浏览器、服务器</w:t>
            </w:r>
            <w:r>
              <w:rPr>
                <w:rFonts w:ascii="宋体" w:cs="宋体" w:eastAsia="宋体" w:hAnsi="宋体"/>
                <w:kern w:val="0"/>
                <w:szCs w:val="21"/>
              </w:rPr>
              <w:t>CPU</w:t>
            </w:r>
            <w:r>
              <w:rPr>
                <w:rFonts w:ascii="宋体" w:cs="宋体" w:eastAsia="宋体" w:hAnsi="宋体" w:hint="eastAsia"/>
                <w:kern w:val="0"/>
                <w:szCs w:val="21"/>
              </w:rPr>
              <w:t>、服务器操作系统、数据库及国产</w:t>
            </w:r>
            <w:r>
              <w:rPr>
                <w:rFonts w:ascii="宋体" w:cs="宋体" w:eastAsia="宋体" w:hAnsi="宋体"/>
                <w:kern w:val="0"/>
                <w:szCs w:val="21"/>
              </w:rPr>
              <w:t>Web中间件适配</w:t>
            </w:r>
            <w:r>
              <w:rPr>
                <w:rFonts w:ascii="宋体" w:cs="宋体" w:eastAsia="宋体" w:hAnsi="宋体" w:hint="eastAsia"/>
                <w:kern w:val="0"/>
                <w:szCs w:val="21"/>
              </w:rPr>
              <w:t>。</w:t>
            </w:r>
          </w:p>
        </w:tc>
      </w:tr>
      <w:bookmarkStart w:id="54" w:name="_Hlk118809440"/>
      <w:tr>
        <w:tblPrEx/>
        <w:trPr>
          <w:trHeight w:val="547" w:hRule="atLeast"/>
          <w:jc w:val="center"/>
        </w:trPr>
        <w:tc>
          <w:tcPr>
            <w:tcW w:w="9104" w:type="dxa"/>
            <w:gridSpan w:val="6"/>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cs="宋体" w:hAnsi="宋体"/>
                <w:b/>
                <w:szCs w:val="21"/>
              </w:rPr>
            </w:pPr>
            <w:r>
              <w:rPr>
                <w:rFonts w:ascii="宋体" w:cs="宋体" w:hAnsi="宋体" w:hint="eastAsia"/>
                <w:b/>
                <w:szCs w:val="21"/>
              </w:rPr>
              <w:t>商务要求</w:t>
            </w:r>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投标报价要求</w:t>
            </w:r>
          </w:p>
        </w:tc>
        <w:tc>
          <w:tcPr>
            <w:tcW w:w="7408"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ind w:firstLine="420" w:firstLineChars="200"/>
              <w:jc w:val="left"/>
              <w:rPr>
                <w:rFonts w:ascii="宋体" w:eastAsia="宋体" w:hAnsi="宋体"/>
                <w:szCs w:val="21"/>
              </w:rPr>
            </w:pPr>
            <w:r>
              <w:rPr>
                <w:rFonts w:ascii="宋体" w:hAnsi="宋体"/>
                <w:kern w:val="0"/>
                <w:szCs w:val="21"/>
              </w:rPr>
              <w:t>本项目为交钥匙工程，实行总承包报价；包括</w:t>
            </w:r>
            <w:r>
              <w:rPr>
                <w:rFonts w:ascii="宋体" w:hAnsi="宋体" w:hint="eastAsia"/>
                <w:kern w:val="0"/>
                <w:szCs w:val="21"/>
              </w:rPr>
              <w:t>但不限于</w:t>
            </w:r>
            <w:r>
              <w:rPr>
                <w:rFonts w:ascii="宋体" w:hAnsi="宋体"/>
                <w:kern w:val="0"/>
                <w:szCs w:val="21"/>
              </w:rPr>
              <w:t>系统项目的开发、安装调试、</w:t>
            </w:r>
            <w:r>
              <w:rPr>
                <w:rFonts w:ascii="宋体" w:hAnsi="宋体" w:hint="eastAsia"/>
                <w:kern w:val="0"/>
                <w:szCs w:val="21"/>
              </w:rPr>
              <w:t>测评、</w:t>
            </w:r>
            <w:r>
              <w:rPr>
                <w:rFonts w:ascii="宋体" w:hAnsi="宋体"/>
                <w:kern w:val="0"/>
                <w:szCs w:val="21"/>
              </w:rPr>
              <w:t>运维的技术服务、技术支持、标准附件、运抵指定交货地点、合理利润、风险、运输、保管、项目实施过程中技术文档论证专家费用、项目验收费用等各种费用和售后服务、税金、招标代理服务费及其它所有成本费用的总和，采购人不再支付任何费用</w:t>
            </w:r>
            <w:r>
              <w:rPr>
                <w:rFonts w:ascii="宋体" w:hAnsi="宋体" w:hint="eastAsia"/>
                <w:kern w:val="0"/>
                <w:szCs w:val="21"/>
              </w:rPr>
              <w:t>。</w:t>
            </w:r>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hAnsi="宋体"/>
                <w:kern w:val="0"/>
                <w:szCs w:val="21"/>
              </w:rPr>
            </w:pPr>
            <w:r>
              <w:rPr>
                <w:rFonts w:ascii="宋体" w:cs="宋体" w:hAnsi="宋体" w:hint="eastAsia"/>
                <w:szCs w:val="21"/>
              </w:rPr>
              <w:t>交付服务成果时间、地点</w:t>
            </w:r>
          </w:p>
        </w:tc>
        <w:tc>
          <w:tcPr>
            <w:tcW w:w="7408" w:type="dxa"/>
            <w:gridSpan w:val="3"/>
            <w:tcBorders>
              <w:top w:val="single" w:sz="4" w:space="0" w:color="auto"/>
              <w:left w:val="single" w:sz="4" w:space="0" w:color="auto"/>
              <w:bottom w:val="single" w:sz="4" w:space="0" w:color="auto"/>
              <w:right w:val="single" w:sz="4" w:space="0" w:color="auto"/>
            </w:tcBorders>
          </w:tcPr>
          <w:p>
            <w:pPr>
              <w:pStyle w:val="style0"/>
              <w:spacing w:lineRule="exact" w:line="400"/>
              <w:jc w:val="left"/>
              <w:rPr>
                <w:rFonts w:ascii="宋体" w:hAnsi="宋体"/>
                <w:kern w:val="0"/>
                <w:szCs w:val="21"/>
              </w:rPr>
            </w:pPr>
            <w:r>
              <w:rPr>
                <w:rFonts w:ascii="宋体" w:hAnsi="宋体"/>
                <w:kern w:val="0"/>
                <w:szCs w:val="21"/>
              </w:rPr>
              <w:t>1、交付服务成果时间：合同签订之日起180</w:t>
            </w:r>
            <w:r>
              <w:rPr>
                <w:rFonts w:ascii="宋体" w:hAnsi="宋体" w:hint="eastAsia"/>
                <w:kern w:val="0"/>
                <w:szCs w:val="21"/>
              </w:rPr>
              <w:t>日</w:t>
            </w:r>
            <w:r>
              <w:rPr>
                <w:rFonts w:ascii="宋体" w:hAnsi="宋体"/>
                <w:kern w:val="0"/>
                <w:szCs w:val="21"/>
              </w:rPr>
              <w:t>历天内完成全部系统安装、调试完毕，功能无缺陷且达到验收合格标准交付采购人使用；</w:t>
            </w:r>
          </w:p>
          <w:p>
            <w:pPr>
              <w:pStyle w:val="style0"/>
              <w:spacing w:lineRule="exact" w:line="400"/>
              <w:jc w:val="left"/>
              <w:rPr>
                <w:rFonts w:ascii="宋体" w:hAnsi="宋体"/>
                <w:kern w:val="0"/>
                <w:szCs w:val="21"/>
              </w:rPr>
            </w:pPr>
            <w:r>
              <w:rPr>
                <w:rFonts w:ascii="宋体" w:hAnsi="宋体"/>
                <w:kern w:val="0"/>
                <w:szCs w:val="21"/>
              </w:rPr>
              <w:t>2、</w:t>
            </w:r>
            <w:r>
              <w:rPr>
                <w:rFonts w:ascii="宋体" w:hAnsi="宋体" w:hint="eastAsia"/>
                <w:kern w:val="0"/>
                <w:szCs w:val="21"/>
              </w:rPr>
              <w:t>交付</w:t>
            </w:r>
            <w:r>
              <w:rPr>
                <w:rFonts w:ascii="宋体" w:hAnsi="宋体"/>
                <w:kern w:val="0"/>
                <w:szCs w:val="21"/>
              </w:rPr>
              <w:t xml:space="preserve">地点： </w:t>
            </w:r>
            <w:r>
              <w:rPr>
                <w:rFonts w:ascii="宋体" w:hAnsi="宋体" w:hint="eastAsia"/>
                <w:kern w:val="0"/>
                <w:szCs w:val="21"/>
              </w:rPr>
              <w:t>采购人指定地点。</w:t>
            </w:r>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eastAsia="宋体" w:hAnsi="宋体"/>
                <w:kern w:val="0"/>
                <w:szCs w:val="21"/>
              </w:rPr>
            </w:pPr>
            <w:r>
              <w:rPr>
                <w:rFonts w:ascii="宋体" w:cs="宋体" w:eastAsia="宋体" w:hAnsi="宋体" w:hint="eastAsia"/>
                <w:szCs w:val="21"/>
              </w:rPr>
              <w:t>付款方式</w:t>
            </w:r>
          </w:p>
          <w:bookmarkStart w:id="55" w:name="OLE_LINK5"/>
          <w:bookmarkStart w:id="56" w:name="OLE_LINK6"/>
        </w:tc>
        <w:tc>
          <w:tcPr>
            <w:tcW w:w="7408" w:type="dxa"/>
            <w:gridSpan w:val="3"/>
            <w:tcBorders>
              <w:top w:val="single" w:sz="4" w:space="0" w:color="auto"/>
              <w:left w:val="single" w:sz="4" w:space="0" w:color="auto"/>
              <w:bottom w:val="single" w:sz="4" w:space="0" w:color="auto"/>
              <w:right w:val="single" w:sz="4" w:space="0" w:color="auto"/>
            </w:tcBorders>
          </w:tcPr>
          <w:p>
            <w:pPr>
              <w:pStyle w:val="style0"/>
              <w:spacing w:lineRule="exact" w:line="400"/>
              <w:ind w:firstLine="420" w:firstLineChars="200"/>
              <w:jc w:val="left"/>
              <w:rPr>
                <w:rFonts w:ascii="宋体" w:eastAsia="宋体" w:hAnsi="宋体"/>
                <w:kern w:val="0"/>
                <w:szCs w:val="21"/>
              </w:rPr>
            </w:pPr>
            <w:r>
              <w:rPr>
                <w:rFonts w:ascii="宋体" w:eastAsia="宋体" w:hAnsi="宋体" w:hint="eastAsia"/>
                <w:kern w:val="0"/>
                <w:szCs w:val="21"/>
              </w:rPr>
              <w:t>自合同签订之日起，甲方收到乙方履约保证金后，甲方向乙方支付30%的合同价款；系统安装、调试完毕并在建设单位组织完成内部初验后支付40%的合同价款；在公安厅科信办完成项目初验及档案验收合格后支付20%的合同价款；试运行1个月后，在自治区大数据发展局完成项目竣工验收后支付10%的合同价款。每次支付合同价款前乙方须提供相应金额发票。如乙方未按约定开具等额有效发票的，甲方有权拒付本期合同款并不因此承担任何责任。</w:t>
            </w:r>
            <w:bookmarkEnd w:id="55"/>
            <w:bookmarkEnd w:id="56"/>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bCs/>
                <w:szCs w:val="21"/>
              </w:rPr>
            </w:pPr>
            <w:r>
              <w:rPr>
                <w:rFonts w:ascii="宋体" w:cs="宋体" w:eastAsia="宋体" w:hAnsi="宋体" w:hint="eastAsia"/>
                <w:szCs w:val="21"/>
              </w:rPr>
              <w:t>履约保证金</w:t>
            </w:r>
          </w:p>
        </w:tc>
        <w:tc>
          <w:tcPr>
            <w:tcW w:w="7408" w:type="dxa"/>
            <w:gridSpan w:val="3"/>
            <w:tcBorders>
              <w:top w:val="single" w:sz="4" w:space="0" w:color="auto"/>
              <w:left w:val="single" w:sz="4" w:space="0" w:color="auto"/>
              <w:bottom w:val="single" w:sz="4" w:space="0" w:color="auto"/>
              <w:right w:val="single" w:sz="4" w:space="0" w:color="auto"/>
            </w:tcBorders>
          </w:tcPr>
          <w:p>
            <w:pPr>
              <w:pStyle w:val="style0"/>
              <w:spacing w:lineRule="exact" w:line="400"/>
              <w:ind w:firstLine="420" w:firstLineChars="200"/>
              <w:jc w:val="left"/>
              <w:rPr>
                <w:rFonts w:ascii="宋体" w:cs="宋体" w:eastAsia="宋体" w:hAnsi="宋体"/>
                <w:szCs w:val="21"/>
              </w:rPr>
            </w:pPr>
            <w:r>
              <w:rPr>
                <w:rFonts w:cs="宋体" w:hint="eastAsia"/>
              </w:rPr>
              <w:t>项目签订合同后</w:t>
            </w:r>
            <w:r>
              <w:rPr>
                <w:rFonts w:cs="宋体" w:hint="eastAsia"/>
              </w:rPr>
              <w:t>5</w:t>
            </w:r>
            <w:r>
              <w:rPr>
                <w:rFonts w:cs="宋体" w:hint="eastAsia"/>
              </w:rPr>
              <w:t>个工作日内，由中标人向采购人缴纳履约保证金，履约保证金金额为合同金额的</w:t>
            </w:r>
            <w:r>
              <w:rPr>
                <w:rFonts w:cs="宋体" w:hint="eastAsia"/>
              </w:rPr>
              <w:t>5%</w:t>
            </w:r>
            <w:r>
              <w:rPr>
                <w:rFonts w:cs="宋体" w:hint="eastAsia"/>
              </w:rPr>
              <w:t>，中标人若为中小企业的按合同金额的</w:t>
            </w:r>
            <w:r>
              <w:rPr>
                <w:rFonts w:cs="宋体" w:hint="eastAsia"/>
              </w:rPr>
              <w:t>2%</w:t>
            </w:r>
            <w:r>
              <w:rPr>
                <w:rFonts w:cs="宋体" w:hint="eastAsia"/>
              </w:rPr>
              <w:t>。质保期满，中标人履行完合同全部义务后，如未出现违约事项的，</w:t>
            </w:r>
            <w:r>
              <w:rPr>
                <w:rFonts w:cs="宋体" w:hint="eastAsia"/>
              </w:rPr>
              <w:t>15</w:t>
            </w:r>
            <w:r>
              <w:rPr>
                <w:rFonts w:cs="宋体" w:hint="eastAsia"/>
              </w:rPr>
              <w:t>个工作日内无息返还。</w:t>
            </w:r>
            <w:r>
              <w:rPr>
                <w:rFonts w:ascii="宋体" w:cs="宋体" w:eastAsia="宋体" w:hAnsi="宋体"/>
                <w:szCs w:val="21"/>
              </w:rPr>
              <w:t>由乙方向甲方提供《广西壮族自治区政府采购项目合同验收书》及《政府采购项目履约保证金退付意见书》，甲方在收到合格材料后15个工作日内办理退还手续（不计利息）。</w:t>
            </w:r>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eastAsia="宋体" w:hAnsi="宋体"/>
                <w:szCs w:val="21"/>
              </w:rPr>
            </w:pPr>
            <w:r>
              <w:rPr>
                <w:rFonts w:ascii="宋体" w:cs="宋体" w:eastAsia="宋体" w:hAnsi="宋体" w:hint="eastAsia"/>
                <w:szCs w:val="21"/>
              </w:rPr>
              <w:t>等保测评、密码应用测评要求</w:t>
            </w:r>
          </w:p>
        </w:tc>
        <w:tc>
          <w:tcPr>
            <w:tcW w:w="7408" w:type="dxa"/>
            <w:gridSpan w:val="3"/>
            <w:tcBorders>
              <w:top w:val="single" w:sz="4" w:space="0" w:color="auto"/>
              <w:left w:val="single" w:sz="4" w:space="0" w:color="auto"/>
              <w:bottom w:val="single" w:sz="4" w:space="0" w:color="auto"/>
              <w:right w:val="single" w:sz="4" w:space="0" w:color="auto"/>
            </w:tcBorders>
          </w:tcPr>
          <w:p>
            <w:pPr>
              <w:pStyle w:val="style0"/>
              <w:spacing w:lineRule="exact" w:line="400"/>
              <w:ind w:firstLine="420" w:firstLineChars="200"/>
              <w:jc w:val="left"/>
              <w:rPr>
                <w:rFonts w:cs="宋体"/>
              </w:rPr>
            </w:pPr>
            <w:r>
              <w:rPr>
                <w:rFonts w:cs="宋体" w:hint="eastAsia"/>
              </w:rPr>
              <w:t>本项目系统网络安全等级保护按第三级设防，密码应用等级按照三级进行防护，项目建设完成后须进行网络安全等级保护、密码应用等级及第三方软件测评。测评应由中标单位推荐</w:t>
            </w:r>
            <w:r>
              <w:rPr>
                <w:rFonts w:cs="宋体" w:hint="eastAsia"/>
              </w:rPr>
              <w:t>3</w:t>
            </w:r>
            <w:r>
              <w:rPr>
                <w:rFonts w:cs="宋体" w:hint="eastAsia"/>
              </w:rPr>
              <w:t>家测评机构（包含广西区内</w:t>
            </w:r>
            <w:r>
              <w:rPr>
                <w:rFonts w:cs="宋体" w:hint="eastAsia"/>
              </w:rPr>
              <w:t>l</w:t>
            </w:r>
            <w:r>
              <w:rPr>
                <w:rFonts w:cs="宋体" w:hint="eastAsia"/>
              </w:rPr>
              <w:t>家），经采购单位研究确认</w:t>
            </w:r>
            <w:r>
              <w:rPr>
                <w:rFonts w:cs="宋体" w:hint="eastAsia"/>
              </w:rPr>
              <w:t>1</w:t>
            </w:r>
            <w:r>
              <w:rPr>
                <w:rFonts w:cs="宋体" w:hint="eastAsia"/>
              </w:rPr>
              <w:t>家并报公安厅科信办备案后实施相关工作。所产生的费用包含在本项目投标报价中。</w:t>
            </w:r>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hAnsi="宋体"/>
                <w:kern w:val="0"/>
                <w:szCs w:val="21"/>
              </w:rPr>
            </w:pPr>
            <w:r>
              <w:rPr>
                <w:rFonts w:ascii="宋体" w:cs="宋体" w:eastAsia="宋体" w:hAnsi="宋体" w:hint="eastAsia"/>
                <w:szCs w:val="21"/>
              </w:rPr>
              <w:t>售后服务、质量免费保证期</w:t>
            </w:r>
          </w:p>
        </w:tc>
        <w:tc>
          <w:tcPr>
            <w:tcW w:w="7408" w:type="dxa"/>
            <w:gridSpan w:val="3"/>
            <w:tcBorders>
              <w:top w:val="single" w:sz="4" w:space="0" w:color="auto"/>
              <w:left w:val="single" w:sz="4" w:space="0" w:color="auto"/>
              <w:bottom w:val="single" w:sz="4" w:space="0" w:color="auto"/>
              <w:right w:val="single" w:sz="4" w:space="0" w:color="auto"/>
            </w:tcBorders>
          </w:tcPr>
          <w:p>
            <w:pPr>
              <w:pStyle w:val="style0"/>
              <w:spacing w:lineRule="exact" w:line="400"/>
              <w:jc w:val="left"/>
              <w:rPr>
                <w:rFonts w:ascii="宋体" w:cs="宋体" w:eastAsia="宋体" w:hAnsi="宋体"/>
                <w:szCs w:val="21"/>
              </w:rPr>
            </w:pPr>
            <w:r>
              <w:rPr>
                <w:rFonts w:ascii="宋体" w:cs="宋体" w:eastAsia="宋体" w:hAnsi="宋体" w:hint="eastAsia"/>
                <w:szCs w:val="21"/>
              </w:rPr>
              <w:t>1、中标人所供产品提供1年免费维保服务，自系统上线并最终验收通过之日起开始计算，维保服务期间，需保障系统正常运行。</w:t>
            </w:r>
          </w:p>
          <w:p>
            <w:pPr>
              <w:pStyle w:val="style0"/>
              <w:spacing w:lineRule="exact" w:line="400"/>
              <w:jc w:val="left"/>
              <w:rPr>
                <w:rFonts w:ascii="宋体" w:cs="宋体" w:eastAsia="宋体" w:hAnsi="宋体"/>
                <w:szCs w:val="21"/>
              </w:rPr>
            </w:pPr>
            <w:r>
              <w:rPr>
                <w:rFonts w:ascii="宋体" w:cs="宋体" w:eastAsia="宋体" w:hAnsi="宋体" w:hint="eastAsia"/>
                <w:szCs w:val="21"/>
              </w:rPr>
              <w:t>2、在系统维保期内，中标人应向用户提供以下技术支持与服务：</w:t>
            </w:r>
          </w:p>
          <w:p>
            <w:pPr>
              <w:pStyle w:val="style0"/>
              <w:spacing w:lineRule="exact" w:line="400"/>
              <w:jc w:val="left"/>
              <w:rPr>
                <w:rFonts w:ascii="宋体" w:cs="宋体" w:eastAsia="宋体" w:hAnsi="宋体"/>
                <w:szCs w:val="21"/>
              </w:rPr>
            </w:pPr>
            <w:r>
              <w:rPr>
                <w:rFonts w:ascii="宋体" w:cs="宋体" w:eastAsia="宋体" w:hAnsi="宋体" w:hint="eastAsia"/>
                <w:szCs w:val="21"/>
              </w:rPr>
              <w:t>在系统交付使用后，提供7×24小时的电话支持，并在敏感时期、重大节假日提供技术人员专门值守服务。7×24小时的技术支持和故障响应时间应小于30分钟，即30分钟内有能够处理故障的技术人员到达现场。一般问题在2小时内修复，复杂问题在12小时内修复。</w:t>
            </w:r>
          </w:p>
          <w:p>
            <w:pPr>
              <w:pStyle w:val="style0"/>
              <w:spacing w:lineRule="exact" w:line="400"/>
              <w:jc w:val="left"/>
              <w:rPr>
                <w:rFonts w:ascii="宋体" w:cs="宋体" w:eastAsia="宋体" w:hAnsi="宋体"/>
                <w:szCs w:val="21"/>
              </w:rPr>
            </w:pPr>
            <w:r>
              <w:rPr>
                <w:rFonts w:ascii="宋体" w:cs="宋体" w:eastAsia="宋体" w:hAnsi="宋体" w:hint="eastAsia"/>
                <w:szCs w:val="21"/>
              </w:rPr>
              <w:t>3、中标人系统维保期内应至少开展一次系统数据备份恢复应急演练工作，确保系统数据备份恢复正常。</w:t>
            </w:r>
          </w:p>
          <w:p>
            <w:pPr>
              <w:pStyle w:val="style0"/>
              <w:spacing w:lineRule="exact" w:line="400"/>
              <w:jc w:val="left"/>
              <w:rPr>
                <w:rFonts w:ascii="宋体" w:cs="宋体" w:eastAsia="宋体" w:hAnsi="宋体"/>
                <w:szCs w:val="21"/>
              </w:rPr>
            </w:pPr>
            <w:r>
              <w:rPr>
                <w:rFonts w:ascii="宋体" w:cs="宋体" w:eastAsia="宋体" w:hAnsi="宋体" w:hint="eastAsia"/>
                <w:szCs w:val="21"/>
              </w:rPr>
              <w:t>4、中标人需保证对本系统在日常业务工作中与各公安业务系统的一般数据对接工作的正常开展，承担配合各方梳理数据对接需求的责任。需要提供数据输出的视工作量另行协商。</w:t>
            </w:r>
          </w:p>
          <w:p>
            <w:pPr>
              <w:pStyle w:val="style0"/>
              <w:spacing w:lineRule="exact" w:line="400"/>
              <w:jc w:val="left"/>
              <w:rPr>
                <w:rFonts w:ascii="宋体" w:cs="宋体" w:eastAsia="宋体" w:hAnsi="宋体"/>
                <w:szCs w:val="21"/>
              </w:rPr>
            </w:pPr>
            <w:r>
              <w:rPr>
                <w:rFonts w:ascii="宋体" w:cs="宋体" w:eastAsia="宋体" w:hAnsi="宋体" w:hint="eastAsia"/>
                <w:szCs w:val="21"/>
              </w:rPr>
              <w:t>5、</w:t>
            </w:r>
            <w:r>
              <w:rPr>
                <w:rFonts w:ascii="宋体" w:cs="宋体" w:eastAsia="宋体" w:hAnsi="宋体"/>
                <w:szCs w:val="21"/>
              </w:rPr>
              <w:t>免费技术培训。</w:t>
            </w:r>
            <w:r>
              <w:rPr>
                <w:rFonts w:ascii="宋体" w:cs="宋体" w:eastAsia="宋体" w:hAnsi="宋体" w:hint="eastAsia"/>
                <w:szCs w:val="21"/>
              </w:rPr>
              <w:t>培训内容包括但不限于数据库管理、系统管理功能、</w:t>
            </w:r>
            <w:r>
              <w:rPr>
                <w:rFonts w:ascii="宋体" w:cs="宋体" w:eastAsia="宋体" w:hAnsi="宋体"/>
                <w:szCs w:val="21"/>
              </w:rPr>
              <w:t>软件</w:t>
            </w:r>
            <w:r>
              <w:rPr>
                <w:rFonts w:ascii="宋体" w:cs="宋体" w:eastAsia="宋体" w:hAnsi="宋体" w:hint="eastAsia"/>
                <w:szCs w:val="21"/>
              </w:rPr>
              <w:t>系统管理使用等内容，可通过视频方式对地市人员进行培训，培训对象不少于</w:t>
            </w:r>
            <w:r>
              <w:rPr>
                <w:rFonts w:ascii="宋体" w:cs="宋体" w:eastAsia="宋体" w:hAnsi="宋体"/>
                <w:szCs w:val="21"/>
              </w:rPr>
              <w:t>100人次。</w:t>
            </w:r>
          </w:p>
          <w:p>
            <w:pPr>
              <w:pStyle w:val="style0"/>
              <w:spacing w:lineRule="exact" w:line="400"/>
              <w:jc w:val="left"/>
              <w:rPr>
                <w:rFonts w:ascii="宋体" w:cs="宋体" w:eastAsia="宋体" w:hAnsi="宋体"/>
                <w:szCs w:val="21"/>
              </w:rPr>
            </w:pPr>
            <w:r>
              <w:rPr>
                <w:rFonts w:ascii="宋体" w:cs="宋体" w:eastAsia="宋体" w:hAnsi="宋体" w:hint="eastAsia"/>
                <w:szCs w:val="21"/>
              </w:rPr>
              <w:t>6、维保期内，中标人除按本合同其他条款的约定免费提供运行维护服务外，还为采购人提供本项目所使用的信息系统功能修复、小版本升级等服务，中标人在当年度提供的该类服务工作量未超过合同总额的1%（含1%）的，中标人不得向采购人收取任何费用（计算依据以采购人造价标准为准）；当双方在工作量评估存在分歧的时候，可委托第三方进行评估，费用由中标人承担。</w:t>
            </w:r>
          </w:p>
          <w:p>
            <w:pPr>
              <w:pStyle w:val="style0"/>
              <w:spacing w:lineRule="exact" w:line="400"/>
              <w:jc w:val="left"/>
              <w:rPr>
                <w:rFonts w:ascii="宋体" w:hAnsi="宋体"/>
                <w:kern w:val="0"/>
                <w:szCs w:val="21"/>
              </w:rPr>
            </w:pPr>
            <w:r>
              <w:rPr>
                <w:rFonts w:ascii="宋体" w:cs="宋体" w:eastAsia="宋体" w:hAnsi="宋体" w:hint="eastAsia"/>
                <w:szCs w:val="21"/>
              </w:rPr>
              <w:t>7、项目实施及维保期间工作工具由中标人自备。</w:t>
            </w:r>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eastAsia="宋体" w:hAnsi="宋体"/>
                <w:kern w:val="0"/>
                <w:szCs w:val="21"/>
              </w:rPr>
            </w:pPr>
            <w:r>
              <w:rPr>
                <w:rFonts w:ascii="宋体" w:eastAsia="宋体" w:hAnsi="宋体" w:hint="eastAsia"/>
                <w:szCs w:val="21"/>
              </w:rPr>
              <w:t>信息安全及保密要求</w:t>
            </w:r>
          </w:p>
        </w:tc>
        <w:tc>
          <w:tcPr>
            <w:tcW w:w="7408" w:type="dxa"/>
            <w:gridSpan w:val="3"/>
            <w:tcBorders>
              <w:top w:val="single" w:sz="4" w:space="0" w:color="auto"/>
              <w:left w:val="single" w:sz="4" w:space="0" w:color="auto"/>
              <w:bottom w:val="single" w:sz="4" w:space="0" w:color="auto"/>
              <w:right w:val="single" w:sz="4" w:space="0" w:color="auto"/>
            </w:tcBorders>
          </w:tcPr>
          <w:p>
            <w:pPr>
              <w:pStyle w:val="style0"/>
              <w:spacing w:lineRule="exact" w:line="400"/>
              <w:jc w:val="left"/>
              <w:rPr>
                <w:rFonts w:ascii="宋体" w:cs="宋体" w:eastAsia="宋体" w:hAnsi="宋体"/>
                <w:szCs w:val="21"/>
              </w:rPr>
            </w:pPr>
            <w:r>
              <w:rPr>
                <w:rFonts w:ascii="宋体" w:cs="宋体" w:eastAsia="宋体" w:hAnsi="宋体" w:hint="eastAsia"/>
                <w:szCs w:val="21"/>
              </w:rPr>
              <w:t>1、中标人须与采购人签订《合作单位保密协议书》，项目人员须提交《保密承诺书》，遵守采购人信息安全管理规定，对非权限范围内设备不允许操作。非权限范围内信息不允许访问。未经允许，不可随意在工作环境内拍照、录音、录</w:t>
            </w:r>
            <w:r>
              <w:rPr>
                <w:rFonts w:ascii="宋体" w:cs="宋体" w:eastAsia="宋体" w:hAnsi="宋体" w:hint="eastAsia"/>
                <w:szCs w:val="21"/>
              </w:rPr>
              <w:t>像等。</w:t>
            </w:r>
          </w:p>
          <w:p>
            <w:pPr>
              <w:pStyle w:val="style0"/>
              <w:spacing w:lineRule="exact" w:line="400"/>
              <w:jc w:val="left"/>
              <w:rPr>
                <w:rFonts w:ascii="宋体" w:cs="宋体" w:eastAsia="宋体" w:hAnsi="宋体"/>
                <w:szCs w:val="21"/>
              </w:rPr>
            </w:pPr>
            <w:r>
              <w:rPr>
                <w:rFonts w:ascii="宋体" w:cs="宋体" w:eastAsia="宋体" w:hAnsi="宋体" w:hint="eastAsia"/>
                <w:szCs w:val="21"/>
              </w:rPr>
              <w:t>2、负责维护工作的中标人要保证对所有系统资料和数据负有保密的责任和义务，未经采购人许可，不允许向第三方透露。</w:t>
            </w:r>
          </w:p>
          <w:p>
            <w:pPr>
              <w:pStyle w:val="style0"/>
              <w:spacing w:lineRule="exact" w:line="400"/>
              <w:jc w:val="left"/>
              <w:rPr>
                <w:rFonts w:ascii="宋体" w:cs="宋体" w:eastAsia="宋体" w:hAnsi="宋体"/>
                <w:szCs w:val="21"/>
              </w:rPr>
            </w:pPr>
            <w:r>
              <w:rPr>
                <w:rFonts w:ascii="宋体" w:cs="宋体" w:eastAsia="宋体" w:hAnsi="宋体" w:hint="eastAsia"/>
                <w:szCs w:val="21"/>
              </w:rPr>
              <w:t>3、中标人无条件配合开展施工及维保人员岗前审查、保密教育、保密检查以及发生失泄密事件即终止合同且不得参与后续公安厅信息化建设项目投标活动。</w:t>
            </w:r>
          </w:p>
          <w:p>
            <w:pPr>
              <w:pStyle w:val="style0"/>
              <w:spacing w:lineRule="exact" w:line="400"/>
              <w:jc w:val="left"/>
              <w:rPr>
                <w:rFonts w:ascii="宋体" w:eastAsia="宋体" w:hAnsi="宋体"/>
                <w:kern w:val="0"/>
                <w:szCs w:val="21"/>
              </w:rPr>
            </w:pPr>
            <w:r>
              <w:rPr>
                <w:rFonts w:ascii="宋体" w:cs="宋体" w:eastAsia="宋体" w:hAnsi="宋体" w:hint="eastAsia"/>
                <w:szCs w:val="21"/>
              </w:rPr>
              <w:t>4、投标人须随投标文件附上《廉洁承诺书》，做出不向建设单位工作人员行贿的承诺。未在投标文件中附上《廉洁承诺书》的，视为投标无效。</w:t>
            </w:r>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eastAsia="宋体" w:hAnsi="宋体"/>
                <w:kern w:val="0"/>
                <w:szCs w:val="21"/>
              </w:rPr>
            </w:pPr>
            <w:r>
              <w:rPr>
                <w:rFonts w:ascii="宋体" w:eastAsia="宋体" w:hAnsi="宋体" w:hint="eastAsia"/>
                <w:kern w:val="0"/>
                <w:szCs w:val="21"/>
              </w:rPr>
              <w:t>服务质量保障要求</w:t>
            </w:r>
          </w:p>
        </w:tc>
        <w:tc>
          <w:tcPr>
            <w:tcW w:w="7408" w:type="dxa"/>
            <w:gridSpan w:val="3"/>
            <w:tcBorders>
              <w:top w:val="single" w:sz="4" w:space="0" w:color="auto"/>
              <w:left w:val="single" w:sz="4" w:space="0" w:color="auto"/>
              <w:bottom w:val="single" w:sz="4" w:space="0" w:color="auto"/>
              <w:right w:val="single" w:sz="4" w:space="0" w:color="auto"/>
            </w:tcBorders>
          </w:tcPr>
          <w:p>
            <w:pPr>
              <w:pStyle w:val="style0"/>
              <w:spacing w:lineRule="exact" w:line="400"/>
              <w:jc w:val="left"/>
              <w:rPr>
                <w:rFonts w:ascii="宋体" w:eastAsia="宋体" w:hAnsi="宋体"/>
                <w:kern w:val="0"/>
                <w:szCs w:val="21"/>
              </w:rPr>
            </w:pPr>
            <w:r>
              <w:rPr>
                <w:rFonts w:ascii="宋体" w:eastAsia="宋体" w:hAnsi="宋体" w:hint="eastAsia"/>
                <w:kern w:val="0"/>
                <w:szCs w:val="21"/>
              </w:rPr>
              <w:t>项目监理要求：中标人须接受采购人指定的第三方监理单位的监督管理；中标人须在合同签订后10个工作日内，根据服务内容、人员要求、服务范围、设备维保要求、备品备件清单等招标要求以及采购人对文档的格式要求拟定合同履约清单并提交监理单位审核通过。</w:t>
            </w:r>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eastAsia="宋体" w:hAnsi="宋体"/>
                <w:kern w:val="0"/>
                <w:szCs w:val="21"/>
              </w:rPr>
            </w:pPr>
            <w:r>
              <w:rPr>
                <w:rFonts w:ascii="宋体" w:cs="宋体" w:eastAsia="宋体" w:hAnsi="宋体" w:hint="eastAsia"/>
                <w:szCs w:val="21"/>
              </w:rPr>
              <w:t>其他要求</w:t>
            </w:r>
          </w:p>
        </w:tc>
        <w:tc>
          <w:tcPr>
            <w:tcW w:w="7408" w:type="dxa"/>
            <w:gridSpan w:val="3"/>
            <w:tcBorders>
              <w:top w:val="single" w:sz="4" w:space="0" w:color="auto"/>
              <w:left w:val="single" w:sz="4" w:space="0" w:color="auto"/>
              <w:bottom w:val="single" w:sz="4" w:space="0" w:color="auto"/>
              <w:right w:val="single" w:sz="4" w:space="0" w:color="auto"/>
            </w:tcBorders>
          </w:tcPr>
          <w:p>
            <w:pPr>
              <w:pStyle w:val="style0"/>
              <w:spacing w:lineRule="exact" w:line="400"/>
              <w:jc w:val="left"/>
              <w:rPr>
                <w:rFonts w:ascii="宋体" w:eastAsia="宋体" w:hAnsi="宋体"/>
                <w:kern w:val="0"/>
                <w:szCs w:val="21"/>
              </w:rPr>
            </w:pPr>
            <w:r>
              <w:rPr>
                <w:rFonts w:ascii="宋体" w:eastAsia="宋体" w:hAnsi="宋体" w:hint="eastAsia"/>
                <w:kern w:val="0"/>
                <w:szCs w:val="21"/>
              </w:rPr>
              <w:t>1、验收要求：中标人须无条件配合按照国家、自治区及公安厅政务信息化项目有关规定开展项目建设监理及验收，项目建设完成后，由建设单位组织开展内部初步验收，内部初步验收通过后提请公安厅科信办组织初步验收及档案验收，公安厅科信办初步验收合格后进入项目试运行阶段，试运行期满1个月后由公安厅科信办向自治区大数据发展局提请开展项目竣工验收。</w:t>
            </w:r>
          </w:p>
          <w:p>
            <w:pPr>
              <w:pStyle w:val="style0"/>
              <w:spacing w:lineRule="exact" w:line="400"/>
              <w:jc w:val="left"/>
              <w:rPr>
                <w:rFonts w:ascii="宋体" w:eastAsia="宋体" w:hAnsi="宋体"/>
                <w:kern w:val="0"/>
                <w:szCs w:val="21"/>
              </w:rPr>
            </w:pPr>
            <w:r>
              <w:rPr>
                <w:rFonts w:ascii="宋体" w:eastAsia="宋体" w:hAnsi="宋体" w:hint="eastAsia"/>
                <w:kern w:val="0"/>
                <w:szCs w:val="21"/>
              </w:rPr>
              <w:t>2、中标单位签订合同后，需根据招标文件、批复初步设计方案及投评材籵等编制深化设计方案，经监理单位确认并报厅科信办备案后方可实施项目建设。</w:t>
            </w:r>
          </w:p>
          <w:p>
            <w:pPr>
              <w:pStyle w:val="style0"/>
              <w:spacing w:lineRule="exact" w:line="400"/>
              <w:jc w:val="left"/>
              <w:rPr/>
            </w:pPr>
            <w:r>
              <w:rPr>
                <w:rFonts w:hint="eastAsia"/>
              </w:rPr>
              <w:t>3</w:t>
            </w:r>
            <w:r>
              <w:rPr>
                <w:rFonts w:hint="eastAsia"/>
              </w:rPr>
              <w:t>、本项目最终系统软件源代码、</w:t>
            </w:r>
            <w:r>
              <w:rPr>
                <w:rFonts w:hint="eastAsia"/>
              </w:rPr>
              <w:t xml:space="preserve"> </w:t>
            </w:r>
            <w:r>
              <w:rPr>
                <w:rFonts w:hint="eastAsia"/>
              </w:rPr>
              <w:t>开发文档须无偿提供公安厅，系统生产数据归公安厅所有；建设系统应按照公安厅要求无条件免费开放接口，并配合笫三方进行开发；重要应用系统应将软件源代码留存备案。</w:t>
            </w:r>
          </w:p>
        </w:tc>
      </w:tr>
      <w:tr>
        <w:tblPrEx/>
        <w:trPr>
          <w:trHeight w:val="547" w:hRule="atLeast"/>
          <w:jc w:val="center"/>
        </w:trPr>
        <w:tc>
          <w:tcPr>
            <w:tcW w:w="9104" w:type="dxa"/>
            <w:gridSpan w:val="6"/>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宋体" w:eastAsia="宋体" w:hAnsi="宋体"/>
                <w:kern w:val="0"/>
                <w:szCs w:val="21"/>
              </w:rPr>
            </w:pPr>
            <w:r>
              <w:rPr>
                <w:rFonts w:ascii="宋体" w:cs="宋体" w:hAnsi="宋体" w:hint="eastAsia"/>
                <w:b/>
                <w:szCs w:val="21"/>
              </w:rPr>
              <w:t>项目的特殊要求及说明</w:t>
            </w:r>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演示说明</w:t>
            </w:r>
          </w:p>
        </w:tc>
        <w:tc>
          <w:tcPr>
            <w:tcW w:w="7408"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ind w:firstLine="420" w:firstLineChars="200"/>
              <w:jc w:val="left"/>
              <w:rPr>
                <w:rFonts w:ascii="宋体" w:cs="宋体" w:hAnsi="宋体"/>
                <w:szCs w:val="21"/>
              </w:rPr>
            </w:pPr>
            <w:r>
              <w:rPr>
                <w:rFonts w:ascii="宋体" w:cs="宋体" w:hAnsi="宋体" w:hint="eastAsia"/>
                <w:szCs w:val="21"/>
              </w:rPr>
              <w:t>本项目</w:t>
            </w:r>
            <w:r>
              <w:rPr>
                <w:rFonts w:ascii="宋体" w:cs="宋体" w:hAnsi="宋体" w:hint="default"/>
                <w:szCs w:val="21"/>
                <w:lang w:val="en-US"/>
              </w:rPr>
              <w:t>投标人可根据招标文件第四章评标方法及评分标准要求选择是否进行演示，演示</w:t>
            </w:r>
            <w:r>
              <w:rPr>
                <w:rFonts w:cs="仿宋_GB2312" w:hAnsi="仿宋_GB2312" w:hint="eastAsia"/>
                <w:szCs w:val="21"/>
              </w:rPr>
              <w:t>可采用原型系统或</w:t>
            </w:r>
            <w:r>
              <w:rPr>
                <w:rFonts w:cs="仿宋_GB2312" w:hAnsi="仿宋_GB2312" w:hint="eastAsia"/>
                <w:szCs w:val="21"/>
              </w:rPr>
              <w:t>PPT</w:t>
            </w:r>
            <w:r>
              <w:rPr>
                <w:rFonts w:cs="仿宋_GB2312" w:hAnsi="仿宋_GB2312" w:hint="eastAsia"/>
                <w:szCs w:val="21"/>
              </w:rPr>
              <w:t>方式进行演示，</w:t>
            </w:r>
            <w:r>
              <w:rPr>
                <w:rFonts w:ascii="宋体" w:cs="宋体" w:hAnsi="宋体" w:hint="eastAsia"/>
                <w:szCs w:val="21"/>
              </w:rPr>
              <w:t>如需进行演示的投标人须至少在投标截止时间前一个工作日内，将《演示申请书》（申请书格式详见招标文件第六章投标文件格式）送达招标代理机构或将扫描件发送至招标代理机构邮箱，以便招标代理机构安排准备工作事宜。评标委员会在演示评审前需确认投标单位委托代理人身份证，演示人员可为投标人的其他技术人员，但最多为</w:t>
            </w:r>
            <w:r>
              <w:rPr>
                <w:rFonts w:ascii="宋体" w:cs="宋体" w:hAnsi="宋体"/>
                <w:szCs w:val="21"/>
              </w:rPr>
              <w:t>2人。</w:t>
            </w:r>
            <w:bookmarkStart w:id="57" w:name="_GoBack"/>
            <w:bookmarkEnd w:id="57"/>
          </w:p>
          <w:p>
            <w:pPr>
              <w:pStyle w:val="style0"/>
              <w:spacing w:lineRule="exact" w:line="400"/>
              <w:ind w:firstLine="420" w:firstLineChars="200"/>
              <w:jc w:val="left"/>
              <w:rPr>
                <w:rFonts w:ascii="宋体" w:cs="宋体" w:hAnsi="宋体"/>
                <w:szCs w:val="21"/>
              </w:rPr>
            </w:pPr>
            <w:r>
              <w:rPr>
                <w:rFonts w:ascii="宋体" w:cs="宋体" w:hAnsi="宋体" w:hint="eastAsia"/>
                <w:szCs w:val="21"/>
              </w:rPr>
              <w:t>线上演示的投标人通过“</w:t>
            </w:r>
            <w:r>
              <w:rPr>
                <w:rFonts w:ascii="宋体" w:cs="宋体" w:hAnsi="宋体" w:hint="default"/>
                <w:szCs w:val="21"/>
                <w:lang w:val="en-US"/>
              </w:rPr>
              <w:t>广西政府采购云</w:t>
            </w:r>
            <w:r>
              <w:rPr>
                <w:rFonts w:ascii="宋体" w:cs="宋体" w:hAnsi="宋体" w:hint="eastAsia"/>
                <w:szCs w:val="21"/>
              </w:rPr>
              <w:t>”平台进行屏幕共享演示，投标人需自行准备线上演示的所有设备（包括但不限于电脑、耳麦、摄像头、</w:t>
            </w:r>
            <w:r>
              <w:rPr>
                <w:rFonts w:ascii="宋体" w:cs="宋体" w:hAnsi="宋体" w:hint="default"/>
                <w:szCs w:val="21"/>
                <w:lang w:val="en-US"/>
              </w:rPr>
              <w:t>桂采云</w:t>
            </w:r>
            <w:r>
              <w:rPr>
                <w:rFonts w:ascii="宋体" w:cs="宋体" w:hAnsi="宋体"/>
                <w:szCs w:val="21"/>
              </w:rPr>
              <w:t>CA证书等）并自行做好演示前的测试调试工作，如有系统操作不明之处请致电</w:t>
            </w:r>
            <w:r>
              <w:rPr>
                <w:rFonts w:ascii="宋体" w:cs="宋体" w:hAnsi="宋体"/>
                <w:szCs w:val="21"/>
                <w:lang w:val="en-US"/>
              </w:rPr>
              <w:t>广西政府采购云</w:t>
            </w:r>
            <w:r>
              <w:rPr>
                <w:rFonts w:ascii="宋体" w:cs="宋体" w:hAnsi="宋体"/>
                <w:szCs w:val="21"/>
              </w:rPr>
              <w:t>平台客服咨询，投标人自行承担线上演示可能出现的所有风险。</w:t>
            </w:r>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hAnsi="宋体"/>
                <w:kern w:val="0"/>
                <w:szCs w:val="21"/>
              </w:rPr>
            </w:pPr>
            <w:r>
              <w:rPr>
                <w:rFonts w:ascii="宋体" w:cs="宋体" w:hAnsi="宋体" w:hint="eastAsia"/>
                <w:szCs w:val="21"/>
              </w:rPr>
              <w:t>考察说明</w:t>
            </w:r>
          </w:p>
        </w:tc>
        <w:tc>
          <w:tcPr>
            <w:tcW w:w="7408" w:type="dxa"/>
            <w:gridSpan w:val="3"/>
            <w:tcBorders>
              <w:top w:val="single" w:sz="4" w:space="0" w:color="auto"/>
              <w:left w:val="single" w:sz="4" w:space="0" w:color="auto"/>
              <w:bottom w:val="single" w:sz="4" w:space="0" w:color="auto"/>
              <w:right w:val="single" w:sz="4" w:space="0" w:color="auto"/>
            </w:tcBorders>
          </w:tcPr>
          <w:p>
            <w:pPr>
              <w:pStyle w:val="style0"/>
              <w:widowControl/>
              <w:spacing w:lineRule="exact" w:line="440"/>
              <w:jc w:val="left"/>
              <w:textAlignment w:val="center"/>
              <w:rPr>
                <w:rFonts w:ascii="宋体" w:cs="宋体" w:hAnsi="宋体"/>
                <w:szCs w:val="21"/>
              </w:rPr>
            </w:pPr>
            <w:r>
              <w:rPr>
                <w:rFonts w:ascii="宋体" w:cs="宋体" w:hAnsi="宋体"/>
                <w:szCs w:val="21"/>
              </w:rPr>
              <w:t>1、由于本项目标准及内容涉及公安系统内部信息，详细信息不宜对外公开，因此投标人应到采购人现场查阅相关资料及考察，以充分了解项目情况，否则导致投标失误由投标人自行承担。</w:t>
            </w:r>
          </w:p>
          <w:p>
            <w:pPr>
              <w:pStyle w:val="style0"/>
              <w:widowControl/>
              <w:spacing w:lineRule="exact" w:line="440"/>
              <w:jc w:val="left"/>
              <w:textAlignment w:val="center"/>
              <w:rPr>
                <w:rFonts w:ascii="宋体" w:cs="宋体" w:hAnsi="宋体"/>
                <w:szCs w:val="21"/>
              </w:rPr>
            </w:pPr>
            <w:r>
              <w:rPr>
                <w:rFonts w:ascii="宋体" w:cs="宋体" w:hAnsi="宋体"/>
                <w:szCs w:val="21"/>
              </w:rPr>
              <w:t>2、投标人持</w:t>
            </w:r>
            <w:r>
              <w:rPr>
                <w:rFonts w:ascii="宋体" w:hAnsi="宋体"/>
                <w:szCs w:val="21"/>
              </w:rPr>
              <w:t>单位授权委托书</w:t>
            </w:r>
            <w:r>
              <w:rPr>
                <w:rFonts w:ascii="宋体" w:cs="宋体" w:hAnsi="宋体"/>
                <w:szCs w:val="21"/>
              </w:rPr>
              <w:t>、个人有效身份证原件前往。</w:t>
            </w:r>
          </w:p>
          <w:p>
            <w:pPr>
              <w:pStyle w:val="style0"/>
              <w:widowControl/>
              <w:spacing w:lineRule="exact" w:line="440"/>
              <w:jc w:val="left"/>
              <w:textAlignment w:val="center"/>
              <w:rPr>
                <w:rFonts w:ascii="宋体" w:cs="宋体" w:hAnsi="宋体"/>
                <w:szCs w:val="21"/>
              </w:rPr>
            </w:pPr>
            <w:r>
              <w:rPr>
                <w:rFonts w:ascii="宋体" w:cs="宋体" w:hAnsi="宋体"/>
                <w:szCs w:val="21"/>
              </w:rPr>
              <w:t>3、勘察时间：202</w:t>
            </w:r>
            <w:r>
              <w:rPr>
                <w:rFonts w:ascii="宋体" w:cs="宋体" w:hAnsi="宋体" w:hint="eastAsia"/>
                <w:szCs w:val="21"/>
              </w:rPr>
              <w:t>4</w:t>
            </w:r>
            <w:r>
              <w:rPr>
                <w:rFonts w:ascii="宋体" w:cs="宋体" w:hAnsi="宋体"/>
                <w:szCs w:val="21"/>
              </w:rPr>
              <w:t>年</w:t>
            </w:r>
            <w:r>
              <w:rPr>
                <w:rFonts w:ascii="宋体" w:cs="宋体" w:hAnsi="宋体" w:hint="eastAsia"/>
                <w:szCs w:val="21"/>
              </w:rPr>
              <w:t>10</w:t>
            </w:r>
            <w:r>
              <w:rPr>
                <w:rFonts w:ascii="宋体" w:cs="宋体" w:hAnsi="宋体"/>
                <w:szCs w:val="21"/>
              </w:rPr>
              <w:t>月</w:t>
            </w:r>
            <w:r>
              <w:rPr>
                <w:rFonts w:ascii="宋体" w:cs="宋体" w:hAnsi="宋体" w:hint="eastAsia"/>
                <w:szCs w:val="21"/>
              </w:rPr>
              <w:t>2</w:t>
            </w:r>
            <w:r>
              <w:rPr>
                <w:rFonts w:ascii="宋体" w:cs="宋体" w:hAnsi="宋体" w:hint="eastAsia"/>
                <w:szCs w:val="21"/>
              </w:rPr>
              <w:t>9</w:t>
            </w:r>
            <w:r>
              <w:rPr>
                <w:rFonts w:ascii="宋体" w:cs="宋体" w:hAnsi="宋体"/>
                <w:szCs w:val="21"/>
              </w:rPr>
              <w:t>日上午9:30集中，逾时后果自负</w:t>
            </w:r>
            <w:r>
              <w:rPr>
                <w:rFonts w:ascii="宋体" w:cs="宋体" w:hAnsi="宋体" w:hint="eastAsia"/>
                <w:szCs w:val="21"/>
              </w:rPr>
              <w:t>。</w:t>
            </w:r>
          </w:p>
          <w:p>
            <w:pPr>
              <w:pStyle w:val="style0"/>
              <w:widowControl/>
              <w:spacing w:lineRule="exact" w:line="440"/>
              <w:jc w:val="left"/>
              <w:textAlignment w:val="center"/>
              <w:rPr>
                <w:rFonts w:ascii="宋体" w:cs="宋体" w:hAnsi="宋体"/>
                <w:szCs w:val="21"/>
              </w:rPr>
            </w:pPr>
            <w:r>
              <w:rPr>
                <w:rFonts w:ascii="宋体" w:cs="宋体" w:hAnsi="宋体"/>
                <w:szCs w:val="21"/>
              </w:rPr>
              <w:t>4、集中地点：南宁市</w:t>
            </w:r>
            <w:r>
              <w:rPr>
                <w:rFonts w:ascii="宋体" w:cs="宋体" w:hAnsi="宋体" w:hint="eastAsia"/>
                <w:szCs w:val="21"/>
              </w:rPr>
              <w:t>青秀区</w:t>
            </w:r>
            <w:r>
              <w:rPr>
                <w:rFonts w:ascii="宋体" w:cs="宋体" w:hAnsi="宋体"/>
                <w:szCs w:val="21"/>
              </w:rPr>
              <w:t>佛子岭路1号</w:t>
            </w:r>
            <w:r>
              <w:rPr>
                <w:rFonts w:ascii="宋体" w:cs="宋体" w:hAnsi="宋体" w:hint="eastAsia"/>
                <w:szCs w:val="21"/>
              </w:rPr>
              <w:t>。</w:t>
            </w:r>
          </w:p>
          <w:p>
            <w:pPr>
              <w:pStyle w:val="style0"/>
              <w:widowControl/>
              <w:spacing w:lineRule="exact" w:line="440"/>
              <w:jc w:val="left"/>
              <w:textAlignment w:val="center"/>
              <w:rPr>
                <w:rFonts w:ascii="宋体" w:hAnsi="宋体"/>
                <w:kern w:val="0"/>
                <w:szCs w:val="21"/>
              </w:rPr>
            </w:pPr>
            <w:r>
              <w:rPr>
                <w:rFonts w:ascii="宋体" w:cs="宋体" w:hAnsi="宋体"/>
                <w:szCs w:val="21"/>
              </w:rPr>
              <w:t>5、联系人：蓝警官，联系电话：0771-2892778。</w:t>
            </w:r>
          </w:p>
        </w:tc>
      </w:tr>
      <w:tr>
        <w:tblPrEx/>
        <w:trPr>
          <w:trHeight w:val="547" w:hRule="atLeast"/>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40"/>
              <w:jc w:val="center"/>
              <w:textAlignment w:val="center"/>
              <w:rPr>
                <w:rFonts w:ascii="宋体" w:cs="宋体" w:hAnsi="宋体"/>
                <w:szCs w:val="21"/>
              </w:rPr>
            </w:pPr>
            <w:r>
              <w:rPr>
                <w:rFonts w:ascii="宋体" w:cs="宋体" w:hAnsi="宋体"/>
                <w:szCs w:val="21"/>
              </w:rPr>
              <w:t>验收依据</w:t>
            </w:r>
          </w:p>
        </w:tc>
        <w:tc>
          <w:tcPr>
            <w:tcW w:w="7408" w:type="dxa"/>
            <w:gridSpan w:val="3"/>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40"/>
              <w:jc w:val="left"/>
              <w:textAlignment w:val="center"/>
              <w:rPr>
                <w:rFonts w:ascii="宋体" w:cs="宋体" w:hAnsi="宋体"/>
                <w:szCs w:val="21"/>
              </w:rPr>
            </w:pPr>
            <w:r>
              <w:rPr>
                <w:rFonts w:ascii="宋体" w:cs="宋体" w:hAnsi="宋体"/>
                <w:szCs w:val="21"/>
              </w:rPr>
              <w:t>1、按照《广西壮族自治区公安厅厅机关政府采购项目履约验收管理办法》、双方合同、投标文件验收。</w:t>
            </w:r>
          </w:p>
          <w:p>
            <w:pPr>
              <w:pStyle w:val="style0"/>
              <w:widowControl/>
              <w:spacing w:lineRule="exact" w:line="440"/>
              <w:jc w:val="left"/>
              <w:textAlignment w:val="center"/>
              <w:rPr>
                <w:rFonts w:ascii="宋体" w:cs="宋体" w:hAnsi="宋体"/>
                <w:szCs w:val="21"/>
              </w:rPr>
            </w:pPr>
            <w:r>
              <w:rPr>
                <w:rFonts w:ascii="宋体" w:cs="宋体" w:hAnsi="宋体"/>
                <w:szCs w:val="21"/>
              </w:rPr>
              <w:t>2、若在签署最终验收文件后12周内，由于中标人的原因，该项目有一条及以上达不到本项目招标文件规定的技术及服务要求时，中标人应在4周内采取有效措施，使该项目完全达到规定的技术及服务要求，在此期间的一切费用由中标人承担，如在此期间内仍达不到规定的技术性及服务要求时，将按合同中相应条款执行。</w:t>
            </w:r>
          </w:p>
        </w:tc>
      </w:tr>
      <w:bookmarkEnd w:id="54"/>
    </w:tbl>
    <w:p>
      <w:pPr>
        <w:pStyle w:val="style0"/>
        <w:spacing w:lineRule="exact" w:line="320"/>
        <w:rPr>
          <w:rFonts w:ascii="宋体" w:hAnsi="宋体"/>
          <w:b/>
        </w:rPr>
      </w:pPr>
    </w:p>
    <w:p>
      <w:pPr>
        <w:pStyle w:val="style0"/>
        <w:widowControl/>
        <w:jc w:val="left"/>
        <w:rPr/>
      </w:pPr>
      <w:r>
        <w:br w:type="page"/>
      </w:r>
    </w:p>
    <w:bookmarkStart w:id="58" w:name="_Toc2715"/>
    <w:p>
      <w:pPr>
        <w:pStyle w:val="style0"/>
        <w:spacing w:lineRule="exact" w:line="320"/>
        <w:outlineLvl w:val="1"/>
        <w:rPr>
          <w:rFonts w:ascii="宋体" w:cs="Arial Unicode MS" w:hAnsi="宋体"/>
          <w:sz w:val="32"/>
          <w:szCs w:val="32"/>
        </w:rPr>
      </w:pPr>
      <w:r>
        <w:rPr>
          <w:rFonts w:ascii="宋体" w:cs="Arial Unicode MS" w:hAnsi="宋体" w:hint="eastAsia"/>
          <w:sz w:val="32"/>
          <w:szCs w:val="32"/>
        </w:rPr>
        <w:t>附件</w:t>
      </w:r>
      <w:r>
        <w:rPr>
          <w:rFonts w:ascii="宋体" w:cs="Arial Unicode MS" w:hAnsi="宋体"/>
          <w:sz w:val="32"/>
          <w:szCs w:val="32"/>
        </w:rPr>
        <w:t>1：</w:t>
      </w:r>
      <w:bookmarkEnd w:id="58"/>
    </w:p>
    <w:p>
      <w:pPr>
        <w:pStyle w:val="style0"/>
        <w:jc w:val="center"/>
        <w:rPr>
          <w:rFonts w:ascii="宋体" w:cs="宋体" w:hAnsi="宋体"/>
          <w:b/>
          <w:bCs/>
          <w:sz w:val="32"/>
          <w:szCs w:val="32"/>
        </w:rPr>
      </w:pPr>
      <w:r>
        <w:rPr>
          <w:rFonts w:ascii="宋体" w:cs="宋体" w:hAnsi="宋体" w:hint="eastAsia"/>
          <w:b/>
          <w:bCs/>
          <w:sz w:val="32"/>
          <w:szCs w:val="32"/>
        </w:rPr>
        <w:t>节能产品政府采购品目清单</w:t>
      </w:r>
    </w:p>
    <w:p>
      <w:pPr>
        <w:pStyle w:val="style0"/>
        <w:rPr>
          <w:rFonts w:ascii="Arial Unicode MS" w:cs="Arial Unicode MS" w:eastAsia="Arial Unicode MS" w:hAnsi="Arial Unicode MS"/>
          <w:sz w:val="20"/>
          <w:szCs w:val="20"/>
        </w:rPr>
      </w:pPr>
      <w:r>
        <w:rPr/>
        <w:pict>
          <v:shapetype id="_x0000_t202" coordsize="21600,21600" o:spt="202" path="m,l,21600r21600,l21600,xe">
            <v:stroke joinstyle="miter"/>
            <v:path gradientshapeok="t" o:connecttype="rect"/>
          </v:shapetype>
          <v:shape id="1028" type="#_x0000_t202" filled="f" stroked="f" style="position:absolute;margin-left:35.2pt;margin-top:7.95pt;width:504.25pt;height:588.9pt;z-index:2;mso-position-horizontal-relative:page;mso-position-vertical-relative:text;mso-width-relative:page;mso-height-relative:page;mso-wrap-distance-left:0.0pt;mso-wrap-distance-right:0.0pt;visibility:visible;">
            <v:stroke on="f" joinstyle="miter"/>
            <v:fill/>
            <v:path o:connecttype="rect" gradientshapeok="t"/>
            <v:textbox inset="0.0pt,0.0pt,0.0pt,0.0pt">
              <w:txbxContent>
                <w:tbl>
                  <w:tblPr>
                    <w:tblW w:w="9120" w:type="dxa"/>
                    <w:tblInd w:w="632" w:type="dxa"/>
                    <w:tblLayout w:type="fixed"/>
                    <w:tblCellMar>
                      <w:left w:w="0" w:type="dxa"/>
                      <w:right w:w="0" w:type="dxa"/>
                    </w:tblCellMar>
                    <w:tblLook w:val="04A0" w:firstRow="1" w:lastRow="0" w:firstColumn="1" w:lastColumn="0" w:noHBand="0" w:noVBand="1"/>
                  </w:tblPr>
                  <w:tblGrid>
                    <w:gridCol w:w="574"/>
                    <w:gridCol w:w="1165"/>
                    <w:gridCol w:w="1799"/>
                    <w:gridCol w:w="1822"/>
                    <w:gridCol w:w="3760"/>
                  </w:tblGrid>
                  <w:tr>
                    <w:trPr>
                      <w:trHeight w:val="782" w:hRule="exact"/>
                    </w:trPr>
                    <w:tc>
                      <w:tcPr>
                        <w:tcW w:w="574" w:type="dxa"/>
                        <w:tcBorders>
                          <w:top w:val="single" w:sz="4" w:space="0" w:color="000000"/>
                          <w:left w:val="single" w:sz="4" w:space="0" w:color="000000"/>
                          <w:bottom w:val="single" w:sz="4" w:space="0" w:color="000000"/>
                          <w:right w:val="single" w:sz="4" w:space="0" w:color="000000"/>
                        </w:tcBorders>
                      </w:tcPr>
                      <w:p>
                        <w:pPr>
                          <w:pStyle w:val="style4212"/>
                          <w:spacing w:before="57" w:lineRule="auto" w:line="251"/>
                          <w:ind w:left="59" w:right="60"/>
                          <w:rPr>
                            <w:rFonts w:ascii="宋体" w:cs="宋体" w:hAnsi="宋体"/>
                          </w:rPr>
                        </w:pPr>
                        <w:r>
                          <w:rPr>
                            <w:rFonts w:ascii="宋体" w:cs="宋体" w:hAnsi="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pPr>
                          <w:pStyle w:val="style4212"/>
                          <w:spacing w:before="4"/>
                          <w:rPr>
                            <w:rFonts w:ascii="宋体" w:cs="宋体" w:hAnsi="宋体"/>
                            <w:sz w:val="16"/>
                            <w:szCs w:val="16"/>
                          </w:rPr>
                        </w:pPr>
                      </w:p>
                      <w:p>
                        <w:pPr>
                          <w:pStyle w:val="style4212"/>
                          <w:jc w:val="center"/>
                          <w:rPr>
                            <w:rFonts w:ascii="宋体" w:cs="宋体" w:hAnsi="宋体"/>
                          </w:rPr>
                        </w:pPr>
                        <w:r>
                          <w:rPr>
                            <w:rFonts w:ascii="宋体" w:cs="宋体" w:hAnsi="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4"/>
                          <w:rPr>
                            <w:rFonts w:ascii="宋体" w:cs="宋体" w:hAnsi="宋体"/>
                            <w:sz w:val="16"/>
                            <w:szCs w:val="16"/>
                          </w:rPr>
                        </w:pPr>
                      </w:p>
                      <w:p>
                        <w:pPr>
                          <w:pStyle w:val="style4212"/>
                          <w:ind w:left="926"/>
                          <w:rPr>
                            <w:rFonts w:ascii="宋体" w:cs="宋体" w:hAnsi="宋体"/>
                          </w:rPr>
                        </w:pPr>
                        <w:r>
                          <w:rPr>
                            <w:rFonts w:ascii="宋体" w:cs="宋体" w:hAnsi="宋体" w:hint="eastAsia"/>
                            <w:b/>
                            <w:bCs/>
                            <w:w w:val="99"/>
                          </w:rPr>
                          <w:t>依据的标准</w:t>
                        </w:r>
                      </w:p>
                    </w:tc>
                  </w:tr>
                  <w:tr>
                    <w:tblPrEx/>
                    <w:trPr>
                      <w:trHeight w:val="821" w:hRule="exact"/>
                    </w:trPr>
                    <w:tc>
                      <w:tcPr>
                        <w:tcW w:w="574"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spacing w:before="11"/>
                          <w:rPr>
                            <w:rFonts w:ascii="宋体" w:cs="宋体" w:hAnsi="宋体"/>
                            <w:sz w:val="15"/>
                            <w:szCs w:val="15"/>
                          </w:rPr>
                        </w:pPr>
                      </w:p>
                      <w:p>
                        <w:pPr>
                          <w:pStyle w:val="style4212"/>
                          <w:ind w:right="1"/>
                          <w:jc w:val="center"/>
                          <w:rPr>
                            <w:rFonts w:ascii="宋体" w:cs="宋体" w:hAnsi="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spacing w:before="12"/>
                          <w:rPr>
                            <w:rFonts w:ascii="宋体" w:cs="宋体" w:hAnsi="宋体"/>
                            <w:sz w:val="23"/>
                            <w:szCs w:val="23"/>
                          </w:rPr>
                        </w:pPr>
                      </w:p>
                      <w:p>
                        <w:pPr>
                          <w:pStyle w:val="style4212"/>
                          <w:ind w:left="7"/>
                          <w:rPr>
                            <w:rFonts w:ascii="宋体" w:cs="宋体" w:hAnsi="宋体"/>
                            <w:sz w:val="20"/>
                            <w:szCs w:val="20"/>
                          </w:rPr>
                        </w:pPr>
                        <w:r>
                          <w:rPr>
                            <w:rFonts w:ascii="宋体" w:cs="宋体" w:hAnsi="宋体" w:hint="eastAsia"/>
                            <w:spacing w:val="1"/>
                            <w:w w:val="99"/>
                            <w:sz w:val="20"/>
                            <w:szCs w:val="20"/>
                          </w:rPr>
                          <w:t>A02010100</w:t>
                        </w:r>
                        <w:r>
                          <w:rPr>
                            <w:rFonts w:ascii="宋体" w:cs="宋体" w:hAnsi="宋体" w:hint="eastAsia"/>
                            <w:w w:val="99"/>
                            <w:sz w:val="20"/>
                            <w:szCs w:val="20"/>
                          </w:rPr>
                          <w:t>计算</w:t>
                        </w:r>
                      </w:p>
                      <w:p>
                        <w:pPr>
                          <w:pStyle w:val="style4212"/>
                          <w:spacing w:before="50"/>
                          <w:ind w:left="7"/>
                          <w:rPr>
                            <w:rFonts w:ascii="宋体" w:cs="宋体" w:hAnsi="宋体"/>
                            <w:sz w:val="20"/>
                            <w:szCs w:val="20"/>
                          </w:rPr>
                        </w:pPr>
                        <w:r>
                          <w:rPr>
                            <w:rFonts w:ascii="宋体" w:cs="宋体" w:hAnsi="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pPr>
                          <w:pStyle w:val="style4212"/>
                          <w:spacing w:before="93" w:lineRule="auto" w:line="278"/>
                          <w:ind w:left="7" w:right="5"/>
                          <w:rPr>
                            <w:rFonts w:ascii="宋体" w:cs="宋体" w:hAnsi="宋体"/>
                            <w:sz w:val="20"/>
                            <w:szCs w:val="20"/>
                          </w:rPr>
                        </w:pPr>
                        <w:r>
                          <w:rPr>
                            <w:rFonts w:ascii="宋体" w:cs="宋体" w:hAnsi="宋体" w:hint="eastAsia"/>
                            <w:w w:val="99"/>
                            <w:sz w:val="20"/>
                            <w:szCs w:val="20"/>
                          </w:rPr>
                          <w:t>★</w:t>
                        </w:r>
                        <w:r>
                          <w:rPr>
                            <w:rFonts w:ascii="宋体" w:cs="宋体" w:hAnsi="宋体" w:hint="eastAsia"/>
                            <w:spacing w:val="1"/>
                            <w:w w:val="99"/>
                            <w:sz w:val="20"/>
                            <w:szCs w:val="20"/>
                          </w:rPr>
                          <w:t>A02010105</w:t>
                        </w:r>
                        <w:r>
                          <w:rPr>
                            <w:rFonts w:ascii="宋体" w:cs="宋体" w:hAnsi="宋体" w:hint="eastAsia"/>
                            <w:w w:val="99"/>
                            <w:sz w:val="20"/>
                            <w:szCs w:val="20"/>
                          </w:rPr>
                          <w:t>台式计算机</w:t>
                        </w:r>
                      </w:p>
                    </w:tc>
                    <w:tc>
                      <w:tcPr>
                        <w:tcW w:w="1823"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93"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《微型计算机能效限定</w:t>
                        </w:r>
                        <w:r>
                          <w:rPr>
                            <w:rFonts w:ascii="宋体" w:cs="宋体" w:hAnsi="宋体" w:hint="eastAsia"/>
                            <w:spacing w:val="9"/>
                            <w:w w:val="99"/>
                            <w:sz w:val="20"/>
                            <w:szCs w:val="20"/>
                            <w:lang w:eastAsia="zh-CN"/>
                          </w:rPr>
                          <w:t>值</w:t>
                        </w:r>
                        <w:r>
                          <w:rPr>
                            <w:rFonts w:ascii="宋体" w:cs="宋体" w:hAnsi="宋体" w:hint="eastAsia"/>
                            <w:spacing w:val="12"/>
                            <w:w w:val="99"/>
                            <w:sz w:val="20"/>
                            <w:szCs w:val="20"/>
                            <w:lang w:eastAsia="zh-CN"/>
                          </w:rPr>
                          <w:t>及能</w:t>
                        </w:r>
                        <w:r>
                          <w:rPr>
                            <w:rFonts w:ascii="宋体" w:cs="宋体" w:hAnsi="宋体" w:hint="eastAsia"/>
                            <w:w w:val="99"/>
                            <w:sz w:val="20"/>
                            <w:szCs w:val="20"/>
                            <w:lang w:eastAsia="zh-CN"/>
                          </w:rPr>
                          <w:t>效等级》（</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28380</w:t>
                        </w:r>
                        <w:r>
                          <w:rPr>
                            <w:rFonts w:ascii="宋体" w:cs="宋体" w:hAnsi="宋体" w:hint="eastAsia"/>
                            <w:w w:val="99"/>
                            <w:sz w:val="20"/>
                            <w:szCs w:val="20"/>
                            <w:lang w:eastAsia="zh-CN"/>
                          </w:rPr>
                          <w:t>）</w:t>
                        </w:r>
                      </w:p>
                    </w:tc>
                  </w:tr>
                  <w:tr>
                    <w:tblPrEx/>
                    <w:trPr>
                      <w:trHeight w:val="727" w:hRule="exact"/>
                    </w:trPr>
                    <w:tc>
                      <w:tcPr>
                        <w:tcW w:w="574"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478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pPr>
                          <w:pStyle w:val="style4212"/>
                          <w:spacing w:before="44" w:lineRule="auto" w:line="278"/>
                          <w:ind w:left="7" w:right="5"/>
                          <w:rPr>
                            <w:rFonts w:ascii="宋体" w:cs="宋体" w:hAnsi="宋体"/>
                            <w:sz w:val="20"/>
                            <w:szCs w:val="20"/>
                          </w:rPr>
                        </w:pPr>
                        <w:r>
                          <w:rPr>
                            <w:rFonts w:ascii="宋体" w:cs="宋体" w:hAnsi="宋体" w:hint="eastAsia"/>
                            <w:w w:val="99"/>
                            <w:sz w:val="20"/>
                            <w:szCs w:val="20"/>
                          </w:rPr>
                          <w:t>★</w:t>
                        </w:r>
                        <w:r>
                          <w:rPr>
                            <w:rFonts w:ascii="宋体" w:cs="宋体" w:hAnsi="宋体" w:hint="eastAsia"/>
                            <w:spacing w:val="1"/>
                            <w:w w:val="99"/>
                            <w:sz w:val="20"/>
                            <w:szCs w:val="20"/>
                          </w:rPr>
                          <w:t>A02010108</w:t>
                        </w:r>
                        <w:r>
                          <w:rPr>
                            <w:rFonts w:ascii="宋体" w:cs="宋体" w:hAnsi="宋体" w:hint="eastAsia"/>
                            <w:w w:val="99"/>
                            <w:sz w:val="20"/>
                            <w:szCs w:val="20"/>
                          </w:rPr>
                          <w:t>便携式计算机</w:t>
                        </w:r>
                      </w:p>
                    </w:tc>
                    <w:tc>
                      <w:tcPr>
                        <w:tcW w:w="1823"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44"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《微型计算机能效限定</w:t>
                        </w:r>
                        <w:r>
                          <w:rPr>
                            <w:rFonts w:ascii="宋体" w:cs="宋体" w:hAnsi="宋体" w:hint="eastAsia"/>
                            <w:spacing w:val="9"/>
                            <w:w w:val="99"/>
                            <w:sz w:val="20"/>
                            <w:szCs w:val="20"/>
                            <w:lang w:eastAsia="zh-CN"/>
                          </w:rPr>
                          <w:t>值</w:t>
                        </w:r>
                        <w:r>
                          <w:rPr>
                            <w:rFonts w:ascii="宋体" w:cs="宋体" w:hAnsi="宋体" w:hint="eastAsia"/>
                            <w:spacing w:val="12"/>
                            <w:w w:val="99"/>
                            <w:sz w:val="20"/>
                            <w:szCs w:val="20"/>
                            <w:lang w:eastAsia="zh-CN"/>
                          </w:rPr>
                          <w:t>及能</w:t>
                        </w:r>
                        <w:r>
                          <w:rPr>
                            <w:rFonts w:ascii="宋体" w:cs="宋体" w:hAnsi="宋体" w:hint="eastAsia"/>
                            <w:w w:val="99"/>
                            <w:sz w:val="20"/>
                            <w:szCs w:val="20"/>
                            <w:lang w:eastAsia="zh-CN"/>
                          </w:rPr>
                          <w:t>效等级》（</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28380</w:t>
                        </w:r>
                        <w:r>
                          <w:rPr>
                            <w:rFonts w:ascii="宋体" w:cs="宋体" w:hAnsi="宋体" w:hint="eastAsia"/>
                            <w:w w:val="99"/>
                            <w:sz w:val="20"/>
                            <w:szCs w:val="20"/>
                            <w:lang w:eastAsia="zh-CN"/>
                          </w:rPr>
                          <w:t>）</w:t>
                        </w:r>
                      </w:p>
                    </w:tc>
                  </w:tr>
                  <w:tr>
                    <w:tblPrEx/>
                    <w:trPr>
                      <w:trHeight w:val="763" w:hRule="exact"/>
                    </w:trPr>
                    <w:tc>
                      <w:tcPr>
                        <w:tcW w:w="574"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478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pPr>
                          <w:pStyle w:val="style4212"/>
                          <w:spacing w:before="64" w:lineRule="auto" w:line="278"/>
                          <w:ind w:left="7" w:right="5"/>
                          <w:rPr>
                            <w:rFonts w:ascii="宋体" w:cs="宋体" w:hAnsi="宋体"/>
                            <w:sz w:val="20"/>
                            <w:szCs w:val="20"/>
                            <w:lang w:eastAsia="zh-CN"/>
                          </w:rPr>
                        </w:pPr>
                        <w:r>
                          <w:rPr>
                            <w:rFonts w:ascii="宋体" w:cs="宋体" w:hAnsi="宋体" w:hint="eastAsia"/>
                            <w:w w:val="99"/>
                            <w:sz w:val="20"/>
                            <w:szCs w:val="20"/>
                            <w:lang w:eastAsia="zh-CN"/>
                          </w:rPr>
                          <w:t>★</w:t>
                        </w:r>
                        <w:r>
                          <w:rPr>
                            <w:rFonts w:ascii="宋体" w:cs="宋体" w:hAnsi="宋体" w:hint="eastAsia"/>
                            <w:spacing w:val="1"/>
                            <w:w w:val="99"/>
                            <w:sz w:val="20"/>
                            <w:szCs w:val="20"/>
                            <w:lang w:eastAsia="zh-CN"/>
                          </w:rPr>
                          <w:t>A02010109</w:t>
                        </w:r>
                        <w:r>
                          <w:rPr>
                            <w:rFonts w:ascii="宋体" w:cs="宋体" w:hAnsi="宋体" w:hint="eastAsia"/>
                            <w:w w:val="99"/>
                            <w:sz w:val="20"/>
                            <w:szCs w:val="20"/>
                            <w:lang w:eastAsia="zh-CN"/>
                          </w:rPr>
                          <w:t>平板式计</w:t>
                        </w:r>
                        <w:r>
                          <w:rPr>
                            <w:rFonts w:ascii="宋体" w:cs="宋体" w:hAnsi="宋体" w:hint="eastAsia"/>
                            <w:spacing w:val="2"/>
                            <w:w w:val="99"/>
                            <w:sz w:val="20"/>
                            <w:szCs w:val="20"/>
                            <w:lang w:eastAsia="zh-CN"/>
                          </w:rPr>
                          <w:t>算</w:t>
                        </w:r>
                        <w:r>
                          <w:rPr>
                            <w:rFonts w:ascii="宋体" w:cs="宋体" w:hAnsi="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64"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《微型计算机能效限定</w:t>
                        </w:r>
                        <w:r>
                          <w:rPr>
                            <w:rFonts w:ascii="宋体" w:cs="宋体" w:hAnsi="宋体" w:hint="eastAsia"/>
                            <w:spacing w:val="9"/>
                            <w:w w:val="99"/>
                            <w:sz w:val="20"/>
                            <w:szCs w:val="20"/>
                            <w:lang w:eastAsia="zh-CN"/>
                          </w:rPr>
                          <w:t>值</w:t>
                        </w:r>
                        <w:r>
                          <w:rPr>
                            <w:rFonts w:ascii="宋体" w:cs="宋体" w:hAnsi="宋体" w:hint="eastAsia"/>
                            <w:spacing w:val="12"/>
                            <w:w w:val="99"/>
                            <w:sz w:val="20"/>
                            <w:szCs w:val="20"/>
                            <w:lang w:eastAsia="zh-CN"/>
                          </w:rPr>
                          <w:t>及能</w:t>
                        </w:r>
                        <w:r>
                          <w:rPr>
                            <w:rFonts w:ascii="宋体" w:cs="宋体" w:hAnsi="宋体" w:hint="eastAsia"/>
                            <w:w w:val="99"/>
                            <w:sz w:val="20"/>
                            <w:szCs w:val="20"/>
                            <w:lang w:eastAsia="zh-CN"/>
                          </w:rPr>
                          <w:t>效等级》（</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28380</w:t>
                        </w:r>
                        <w:r>
                          <w:rPr>
                            <w:rFonts w:ascii="宋体" w:cs="宋体" w:hAnsi="宋体" w:hint="eastAsia"/>
                            <w:w w:val="99"/>
                            <w:sz w:val="20"/>
                            <w:szCs w:val="20"/>
                            <w:lang w:eastAsia="zh-CN"/>
                          </w:rPr>
                          <w:t>）</w:t>
                        </w:r>
                      </w:p>
                    </w:tc>
                  </w:tr>
                  <w:tr>
                    <w:tblPrEx/>
                    <w:trPr>
                      <w:trHeight w:val="742" w:hRule="exact"/>
                    </w:trPr>
                    <w:tc>
                      <w:tcPr>
                        <w:tcW w:w="574"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spacing w:before="2"/>
                          <w:rPr>
                            <w:rFonts w:ascii="宋体" w:cs="宋体" w:hAnsi="宋体"/>
                            <w:sz w:val="14"/>
                            <w:szCs w:val="14"/>
                            <w:lang w:eastAsia="zh-CN"/>
                          </w:rPr>
                        </w:pPr>
                      </w:p>
                      <w:p>
                        <w:pPr>
                          <w:pStyle w:val="style4212"/>
                          <w:ind w:right="1"/>
                          <w:jc w:val="center"/>
                          <w:rPr>
                            <w:rFonts w:ascii="宋体" w:cs="宋体" w:hAnsi="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spacing w:before="3"/>
                          <w:rPr>
                            <w:rFonts w:ascii="宋体" w:cs="宋体" w:hAnsi="宋体"/>
                          </w:rPr>
                        </w:pPr>
                      </w:p>
                      <w:p>
                        <w:pPr>
                          <w:pStyle w:val="style4212"/>
                          <w:ind w:left="7"/>
                          <w:rPr>
                            <w:rFonts w:ascii="宋体" w:cs="宋体" w:hAnsi="宋体"/>
                            <w:sz w:val="20"/>
                            <w:szCs w:val="20"/>
                          </w:rPr>
                        </w:pPr>
                        <w:r>
                          <w:rPr>
                            <w:rFonts w:ascii="宋体" w:cs="宋体" w:hAnsi="宋体" w:hint="eastAsia"/>
                            <w:spacing w:val="1"/>
                            <w:w w:val="99"/>
                            <w:sz w:val="20"/>
                            <w:szCs w:val="20"/>
                          </w:rPr>
                          <w:t>A02</w:t>
                        </w:r>
                        <w:r>
                          <w:rPr>
                            <w:rFonts w:ascii="宋体" w:cs="宋体" w:hAnsi="宋体" w:hint="eastAsia"/>
                            <w:w w:val="99"/>
                            <w:sz w:val="20"/>
                            <w:szCs w:val="20"/>
                          </w:rPr>
                          <w:t>01</w:t>
                        </w:r>
                        <w:r>
                          <w:rPr>
                            <w:rFonts w:ascii="宋体" w:cs="宋体" w:hAnsi="宋体" w:hint="eastAsia"/>
                            <w:spacing w:val="1"/>
                            <w:w w:val="99"/>
                            <w:sz w:val="20"/>
                            <w:szCs w:val="20"/>
                          </w:rPr>
                          <w:t>0</w:t>
                        </w:r>
                        <w:r>
                          <w:rPr>
                            <w:rFonts w:ascii="宋体" w:cs="宋体" w:hAnsi="宋体" w:hint="eastAsia"/>
                            <w:w w:val="99"/>
                            <w:sz w:val="20"/>
                            <w:szCs w:val="20"/>
                          </w:rPr>
                          <w:t>6输入</w:t>
                        </w:r>
                      </w:p>
                      <w:p>
                        <w:pPr>
                          <w:pStyle w:val="style4212"/>
                          <w:spacing w:before="50"/>
                          <w:ind w:left="7"/>
                          <w:rPr>
                            <w:rFonts w:ascii="宋体" w:cs="宋体" w:hAnsi="宋体"/>
                            <w:sz w:val="20"/>
                            <w:szCs w:val="20"/>
                          </w:rPr>
                        </w:pPr>
                        <w:r>
                          <w:rPr>
                            <w:rFonts w:ascii="宋体" w:cs="宋体" w:hAnsi="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spacing w:before="164"/>
                          <w:ind w:left="7"/>
                          <w:rPr>
                            <w:rFonts w:ascii="宋体" w:cs="宋体" w:hAnsi="宋体"/>
                            <w:sz w:val="20"/>
                            <w:szCs w:val="20"/>
                            <w:lang w:eastAsia="zh-CN"/>
                          </w:rPr>
                        </w:pPr>
                        <w:r>
                          <w:rPr>
                            <w:rFonts w:ascii="宋体" w:cs="宋体" w:hAnsi="宋体" w:hint="eastAsia"/>
                            <w:spacing w:val="1"/>
                            <w:w w:val="99"/>
                            <w:sz w:val="20"/>
                            <w:szCs w:val="20"/>
                          </w:rPr>
                          <w:t>A02021000</w:t>
                        </w:r>
                        <w:r>
                          <w:rPr>
                            <w:rFonts w:ascii="宋体" w:cs="宋体" w:hAnsi="宋体" w:hint="eastAsia"/>
                            <w:w w:val="99"/>
                            <w:sz w:val="20"/>
                            <w:szCs w:val="20"/>
                          </w:rPr>
                          <w:t>打印</w:t>
                        </w:r>
                        <w:r>
                          <w:rPr>
                            <w:rFonts w:ascii="宋体" w:cs="宋体" w:hAnsi="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pPr>
                          <w:pStyle w:val="style4212"/>
                          <w:spacing w:before="52"/>
                          <w:ind w:left="7"/>
                          <w:rPr>
                            <w:rFonts w:ascii="宋体" w:cs="宋体" w:hAnsi="宋体"/>
                            <w:sz w:val="20"/>
                            <w:szCs w:val="20"/>
                          </w:rPr>
                        </w:pPr>
                        <w:r>
                          <w:rPr>
                            <w:rFonts w:ascii="宋体" w:cs="宋体" w:hAnsi="宋体" w:hint="eastAsia"/>
                            <w:w w:val="99"/>
                            <w:sz w:val="20"/>
                            <w:szCs w:val="20"/>
                          </w:rPr>
                          <w:t>喷墨打印机</w:t>
                        </w: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52" w:lineRule="auto" w:line="278"/>
                          <w:ind w:left="7" w:right="7"/>
                          <w:rPr>
                            <w:rFonts w:ascii="宋体" w:cs="宋体" w:hAnsi="宋体"/>
                            <w:sz w:val="20"/>
                            <w:szCs w:val="20"/>
                            <w:lang w:eastAsia="zh-CN"/>
                          </w:rPr>
                        </w:pPr>
                        <w:r>
                          <w:rPr>
                            <w:rFonts w:ascii="宋体" w:cs="宋体" w:hAnsi="宋体" w:hint="eastAsia"/>
                            <w:w w:val="99"/>
                            <w:sz w:val="20"/>
                            <w:szCs w:val="20"/>
                            <w:lang w:eastAsia="zh-CN"/>
                          </w:rPr>
                          <w:t>《复印</w:t>
                        </w:r>
                        <w:r>
                          <w:rPr>
                            <w:rFonts w:ascii="宋体" w:cs="宋体" w:hAnsi="宋体" w:hint="eastAsia"/>
                            <w:spacing w:val="2"/>
                            <w:w w:val="99"/>
                            <w:sz w:val="20"/>
                            <w:szCs w:val="20"/>
                            <w:lang w:eastAsia="zh-CN"/>
                          </w:rPr>
                          <w:t>机</w:t>
                        </w:r>
                        <w:r>
                          <w:rPr>
                            <w:rFonts w:ascii="宋体" w:cs="宋体" w:hAnsi="宋体" w:hint="eastAsia"/>
                            <w:spacing w:val="-58"/>
                            <w:w w:val="99"/>
                            <w:sz w:val="20"/>
                            <w:szCs w:val="20"/>
                            <w:lang w:eastAsia="zh-CN"/>
                          </w:rPr>
                          <w:t>、</w:t>
                        </w:r>
                        <w:r>
                          <w:rPr>
                            <w:rFonts w:ascii="宋体" w:cs="宋体" w:hAnsi="宋体" w:hint="eastAsia"/>
                            <w:spacing w:val="2"/>
                            <w:w w:val="99"/>
                            <w:sz w:val="20"/>
                            <w:szCs w:val="20"/>
                            <w:lang w:eastAsia="zh-CN"/>
                          </w:rPr>
                          <w:t>打</w:t>
                        </w:r>
                        <w:r>
                          <w:rPr>
                            <w:rFonts w:ascii="宋体" w:cs="宋体" w:hAnsi="宋体" w:hint="eastAsia"/>
                            <w:w w:val="99"/>
                            <w:sz w:val="20"/>
                            <w:szCs w:val="20"/>
                            <w:lang w:eastAsia="zh-CN"/>
                          </w:rPr>
                          <w:t>印机</w:t>
                        </w:r>
                        <w:r>
                          <w:rPr>
                            <w:rFonts w:ascii="宋体" w:cs="宋体" w:hAnsi="宋体" w:hint="eastAsia"/>
                            <w:spacing w:val="2"/>
                            <w:w w:val="99"/>
                            <w:sz w:val="20"/>
                            <w:szCs w:val="20"/>
                            <w:lang w:eastAsia="zh-CN"/>
                          </w:rPr>
                          <w:t>和</w:t>
                        </w:r>
                        <w:r>
                          <w:rPr>
                            <w:rFonts w:ascii="宋体" w:cs="宋体" w:hAnsi="宋体" w:hint="eastAsia"/>
                            <w:w w:val="99"/>
                            <w:sz w:val="20"/>
                            <w:szCs w:val="20"/>
                            <w:lang w:eastAsia="zh-CN"/>
                          </w:rPr>
                          <w:t>传真</w:t>
                        </w:r>
                        <w:r>
                          <w:rPr>
                            <w:rFonts w:ascii="宋体" w:cs="宋体" w:hAnsi="宋体" w:hint="eastAsia"/>
                            <w:spacing w:val="2"/>
                            <w:w w:val="99"/>
                            <w:sz w:val="20"/>
                            <w:szCs w:val="20"/>
                            <w:lang w:eastAsia="zh-CN"/>
                          </w:rPr>
                          <w:t>机</w:t>
                        </w:r>
                        <w:r>
                          <w:rPr>
                            <w:rFonts w:ascii="宋体" w:cs="宋体" w:hAnsi="宋体" w:hint="eastAsia"/>
                            <w:w w:val="99"/>
                            <w:sz w:val="20"/>
                            <w:szCs w:val="20"/>
                            <w:lang w:eastAsia="zh-CN"/>
                          </w:rPr>
                          <w:t>能效限定值及</w:t>
                        </w:r>
                        <w:r>
                          <w:rPr>
                            <w:rFonts w:ascii="宋体" w:cs="宋体" w:hAnsi="宋体" w:hint="eastAsia"/>
                            <w:spacing w:val="2"/>
                            <w:w w:val="99"/>
                            <w:sz w:val="20"/>
                            <w:szCs w:val="20"/>
                            <w:lang w:eastAsia="zh-CN"/>
                          </w:rPr>
                          <w:t>能</w:t>
                        </w:r>
                        <w:r>
                          <w:rPr>
                            <w:rFonts w:ascii="宋体" w:cs="宋体" w:hAnsi="宋体" w:hint="eastAsia"/>
                            <w:w w:val="99"/>
                            <w:sz w:val="20"/>
                            <w:szCs w:val="20"/>
                            <w:lang w:eastAsia="zh-CN"/>
                          </w:rPr>
                          <w:t>效等</w:t>
                        </w:r>
                        <w:r>
                          <w:rPr>
                            <w:rFonts w:ascii="宋体" w:cs="宋体" w:hAnsi="宋体" w:hint="eastAsia"/>
                            <w:spacing w:val="2"/>
                            <w:w w:val="99"/>
                            <w:sz w:val="20"/>
                            <w:szCs w:val="20"/>
                            <w:lang w:eastAsia="zh-CN"/>
                          </w:rPr>
                          <w:t>级</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21</w:t>
                        </w:r>
                        <w:r>
                          <w:rPr>
                            <w:rFonts w:ascii="宋体" w:cs="宋体" w:hAnsi="宋体" w:hint="eastAsia"/>
                            <w:w w:val="99"/>
                            <w:sz w:val="20"/>
                            <w:szCs w:val="20"/>
                            <w:lang w:eastAsia="zh-CN"/>
                          </w:rPr>
                          <w:t>52</w:t>
                        </w:r>
                        <w:r>
                          <w:rPr>
                            <w:rFonts w:ascii="宋体" w:cs="宋体" w:hAnsi="宋体" w:hint="eastAsia"/>
                            <w:spacing w:val="1"/>
                            <w:w w:val="99"/>
                            <w:sz w:val="20"/>
                            <w:szCs w:val="20"/>
                            <w:lang w:eastAsia="zh-CN"/>
                          </w:rPr>
                          <w:t>1</w:t>
                        </w:r>
                        <w:r>
                          <w:rPr>
                            <w:rFonts w:ascii="宋体" w:cs="宋体" w:hAnsi="宋体" w:hint="eastAsia"/>
                            <w:w w:val="99"/>
                            <w:sz w:val="20"/>
                            <w:szCs w:val="20"/>
                            <w:lang w:eastAsia="zh-CN"/>
                          </w:rPr>
                          <w:t>）</w:t>
                        </w:r>
                      </w:p>
                    </w:tc>
                  </w:tr>
                  <w:tr>
                    <w:tblPrEx/>
                    <w:trPr>
                      <w:trHeight w:val="742" w:hRule="exact"/>
                    </w:trPr>
                    <w:tc>
                      <w:tcPr>
                        <w:tcW w:w="574"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478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pPr>
                          <w:pStyle w:val="style4212"/>
                          <w:spacing w:before="52"/>
                          <w:ind w:left="7"/>
                          <w:rPr>
                            <w:rFonts w:ascii="宋体" w:cs="宋体" w:hAnsi="宋体"/>
                            <w:sz w:val="20"/>
                            <w:szCs w:val="20"/>
                          </w:rPr>
                        </w:pPr>
                        <w:r>
                          <w:rPr>
                            <w:rFonts w:ascii="宋体" w:cs="宋体" w:hAnsi="宋体" w:hint="eastAsia"/>
                            <w:w w:val="99"/>
                            <w:sz w:val="20"/>
                            <w:szCs w:val="20"/>
                          </w:rPr>
                          <w:t>★激光打印机</w:t>
                        </w: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52" w:lineRule="auto" w:line="278"/>
                          <w:ind w:left="7" w:right="7"/>
                          <w:rPr>
                            <w:rFonts w:ascii="宋体" w:cs="宋体" w:hAnsi="宋体"/>
                            <w:sz w:val="20"/>
                            <w:szCs w:val="20"/>
                            <w:lang w:eastAsia="zh-CN"/>
                          </w:rPr>
                        </w:pPr>
                        <w:r>
                          <w:rPr>
                            <w:rFonts w:ascii="宋体" w:cs="宋体" w:hAnsi="宋体" w:hint="eastAsia"/>
                            <w:w w:val="99"/>
                            <w:sz w:val="20"/>
                            <w:szCs w:val="20"/>
                            <w:lang w:eastAsia="zh-CN"/>
                          </w:rPr>
                          <w:t>《复印</w:t>
                        </w:r>
                        <w:r>
                          <w:rPr>
                            <w:rFonts w:ascii="宋体" w:cs="宋体" w:hAnsi="宋体" w:hint="eastAsia"/>
                            <w:spacing w:val="2"/>
                            <w:w w:val="99"/>
                            <w:sz w:val="20"/>
                            <w:szCs w:val="20"/>
                            <w:lang w:eastAsia="zh-CN"/>
                          </w:rPr>
                          <w:t>机</w:t>
                        </w:r>
                        <w:r>
                          <w:rPr>
                            <w:rFonts w:ascii="宋体" w:cs="宋体" w:hAnsi="宋体" w:hint="eastAsia"/>
                            <w:spacing w:val="-58"/>
                            <w:w w:val="99"/>
                            <w:sz w:val="20"/>
                            <w:szCs w:val="20"/>
                            <w:lang w:eastAsia="zh-CN"/>
                          </w:rPr>
                          <w:t>、</w:t>
                        </w:r>
                        <w:r>
                          <w:rPr>
                            <w:rFonts w:ascii="宋体" w:cs="宋体" w:hAnsi="宋体" w:hint="eastAsia"/>
                            <w:spacing w:val="2"/>
                            <w:w w:val="99"/>
                            <w:sz w:val="20"/>
                            <w:szCs w:val="20"/>
                            <w:lang w:eastAsia="zh-CN"/>
                          </w:rPr>
                          <w:t>打</w:t>
                        </w:r>
                        <w:r>
                          <w:rPr>
                            <w:rFonts w:ascii="宋体" w:cs="宋体" w:hAnsi="宋体" w:hint="eastAsia"/>
                            <w:w w:val="99"/>
                            <w:sz w:val="20"/>
                            <w:szCs w:val="20"/>
                            <w:lang w:eastAsia="zh-CN"/>
                          </w:rPr>
                          <w:t>印机</w:t>
                        </w:r>
                        <w:r>
                          <w:rPr>
                            <w:rFonts w:ascii="宋体" w:cs="宋体" w:hAnsi="宋体" w:hint="eastAsia"/>
                            <w:spacing w:val="2"/>
                            <w:w w:val="99"/>
                            <w:sz w:val="20"/>
                            <w:szCs w:val="20"/>
                            <w:lang w:eastAsia="zh-CN"/>
                          </w:rPr>
                          <w:t>和</w:t>
                        </w:r>
                        <w:r>
                          <w:rPr>
                            <w:rFonts w:ascii="宋体" w:cs="宋体" w:hAnsi="宋体" w:hint="eastAsia"/>
                            <w:w w:val="99"/>
                            <w:sz w:val="20"/>
                            <w:szCs w:val="20"/>
                            <w:lang w:eastAsia="zh-CN"/>
                          </w:rPr>
                          <w:t>传真</w:t>
                        </w:r>
                        <w:r>
                          <w:rPr>
                            <w:rFonts w:ascii="宋体" w:cs="宋体" w:hAnsi="宋体" w:hint="eastAsia"/>
                            <w:spacing w:val="2"/>
                            <w:w w:val="99"/>
                            <w:sz w:val="20"/>
                            <w:szCs w:val="20"/>
                            <w:lang w:eastAsia="zh-CN"/>
                          </w:rPr>
                          <w:t>机</w:t>
                        </w:r>
                        <w:r>
                          <w:rPr>
                            <w:rFonts w:ascii="宋体" w:cs="宋体" w:hAnsi="宋体" w:hint="eastAsia"/>
                            <w:w w:val="99"/>
                            <w:sz w:val="20"/>
                            <w:szCs w:val="20"/>
                            <w:lang w:eastAsia="zh-CN"/>
                          </w:rPr>
                          <w:t>能效限定值及</w:t>
                        </w:r>
                        <w:r>
                          <w:rPr>
                            <w:rFonts w:ascii="宋体" w:cs="宋体" w:hAnsi="宋体" w:hint="eastAsia"/>
                            <w:spacing w:val="2"/>
                            <w:w w:val="99"/>
                            <w:sz w:val="20"/>
                            <w:szCs w:val="20"/>
                            <w:lang w:eastAsia="zh-CN"/>
                          </w:rPr>
                          <w:t>能</w:t>
                        </w:r>
                        <w:r>
                          <w:rPr>
                            <w:rFonts w:ascii="宋体" w:cs="宋体" w:hAnsi="宋体" w:hint="eastAsia"/>
                            <w:w w:val="99"/>
                            <w:sz w:val="20"/>
                            <w:szCs w:val="20"/>
                            <w:lang w:eastAsia="zh-CN"/>
                          </w:rPr>
                          <w:t>效等</w:t>
                        </w:r>
                        <w:r>
                          <w:rPr>
                            <w:rFonts w:ascii="宋体" w:cs="宋体" w:hAnsi="宋体" w:hint="eastAsia"/>
                            <w:spacing w:val="2"/>
                            <w:w w:val="99"/>
                            <w:sz w:val="20"/>
                            <w:szCs w:val="20"/>
                            <w:lang w:eastAsia="zh-CN"/>
                          </w:rPr>
                          <w:t>级</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21</w:t>
                        </w:r>
                        <w:r>
                          <w:rPr>
                            <w:rFonts w:ascii="宋体" w:cs="宋体" w:hAnsi="宋体" w:hint="eastAsia"/>
                            <w:w w:val="99"/>
                            <w:sz w:val="20"/>
                            <w:szCs w:val="20"/>
                            <w:lang w:eastAsia="zh-CN"/>
                          </w:rPr>
                          <w:t>52</w:t>
                        </w:r>
                        <w:r>
                          <w:rPr>
                            <w:rFonts w:ascii="宋体" w:cs="宋体" w:hAnsi="宋体" w:hint="eastAsia"/>
                            <w:spacing w:val="1"/>
                            <w:w w:val="99"/>
                            <w:sz w:val="20"/>
                            <w:szCs w:val="20"/>
                            <w:lang w:eastAsia="zh-CN"/>
                          </w:rPr>
                          <w:t>1</w:t>
                        </w:r>
                        <w:r>
                          <w:rPr>
                            <w:rFonts w:ascii="宋体" w:cs="宋体" w:hAnsi="宋体" w:hint="eastAsia"/>
                            <w:w w:val="99"/>
                            <w:sz w:val="20"/>
                            <w:szCs w:val="20"/>
                            <w:lang w:eastAsia="zh-CN"/>
                          </w:rPr>
                          <w:t>）</w:t>
                        </w:r>
                      </w:p>
                    </w:tc>
                  </w:tr>
                  <w:tr>
                    <w:tblPrEx/>
                    <w:trPr>
                      <w:trHeight w:val="742" w:hRule="exact"/>
                    </w:trPr>
                    <w:tc>
                      <w:tcPr>
                        <w:tcW w:w="574"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478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pPr>
                          <w:pStyle w:val="style4212"/>
                          <w:spacing w:before="52"/>
                          <w:ind w:left="7"/>
                          <w:rPr>
                            <w:rFonts w:ascii="宋体" w:cs="宋体" w:hAnsi="宋体"/>
                            <w:sz w:val="20"/>
                            <w:szCs w:val="20"/>
                          </w:rPr>
                        </w:pPr>
                        <w:r>
                          <w:rPr>
                            <w:rFonts w:ascii="宋体" w:cs="宋体" w:hAnsi="宋体" w:hint="eastAsia"/>
                            <w:w w:val="99"/>
                            <w:sz w:val="20"/>
                            <w:szCs w:val="20"/>
                          </w:rPr>
                          <w:t>★针式打印机</w:t>
                        </w: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52" w:lineRule="auto" w:line="278"/>
                          <w:ind w:left="7" w:right="7"/>
                          <w:rPr>
                            <w:rFonts w:ascii="宋体" w:cs="宋体" w:hAnsi="宋体"/>
                            <w:sz w:val="20"/>
                            <w:szCs w:val="20"/>
                            <w:lang w:eastAsia="zh-CN"/>
                          </w:rPr>
                        </w:pPr>
                        <w:r>
                          <w:rPr>
                            <w:rFonts w:ascii="宋体" w:cs="宋体" w:hAnsi="宋体" w:hint="eastAsia"/>
                            <w:w w:val="99"/>
                            <w:sz w:val="20"/>
                            <w:szCs w:val="20"/>
                            <w:lang w:eastAsia="zh-CN"/>
                          </w:rPr>
                          <w:t>《复印</w:t>
                        </w:r>
                        <w:r>
                          <w:rPr>
                            <w:rFonts w:ascii="宋体" w:cs="宋体" w:hAnsi="宋体" w:hint="eastAsia"/>
                            <w:spacing w:val="2"/>
                            <w:w w:val="99"/>
                            <w:sz w:val="20"/>
                            <w:szCs w:val="20"/>
                            <w:lang w:eastAsia="zh-CN"/>
                          </w:rPr>
                          <w:t>机</w:t>
                        </w:r>
                        <w:r>
                          <w:rPr>
                            <w:rFonts w:ascii="宋体" w:cs="宋体" w:hAnsi="宋体" w:hint="eastAsia"/>
                            <w:spacing w:val="-58"/>
                            <w:w w:val="99"/>
                            <w:sz w:val="20"/>
                            <w:szCs w:val="20"/>
                            <w:lang w:eastAsia="zh-CN"/>
                          </w:rPr>
                          <w:t>、</w:t>
                        </w:r>
                        <w:r>
                          <w:rPr>
                            <w:rFonts w:ascii="宋体" w:cs="宋体" w:hAnsi="宋体" w:hint="eastAsia"/>
                            <w:spacing w:val="2"/>
                            <w:w w:val="99"/>
                            <w:sz w:val="20"/>
                            <w:szCs w:val="20"/>
                            <w:lang w:eastAsia="zh-CN"/>
                          </w:rPr>
                          <w:t>打</w:t>
                        </w:r>
                        <w:r>
                          <w:rPr>
                            <w:rFonts w:ascii="宋体" w:cs="宋体" w:hAnsi="宋体" w:hint="eastAsia"/>
                            <w:w w:val="99"/>
                            <w:sz w:val="20"/>
                            <w:szCs w:val="20"/>
                            <w:lang w:eastAsia="zh-CN"/>
                          </w:rPr>
                          <w:t>印机</w:t>
                        </w:r>
                        <w:r>
                          <w:rPr>
                            <w:rFonts w:ascii="宋体" w:cs="宋体" w:hAnsi="宋体" w:hint="eastAsia"/>
                            <w:spacing w:val="2"/>
                            <w:w w:val="99"/>
                            <w:sz w:val="20"/>
                            <w:szCs w:val="20"/>
                            <w:lang w:eastAsia="zh-CN"/>
                          </w:rPr>
                          <w:t>和</w:t>
                        </w:r>
                        <w:r>
                          <w:rPr>
                            <w:rFonts w:ascii="宋体" w:cs="宋体" w:hAnsi="宋体" w:hint="eastAsia"/>
                            <w:w w:val="99"/>
                            <w:sz w:val="20"/>
                            <w:szCs w:val="20"/>
                            <w:lang w:eastAsia="zh-CN"/>
                          </w:rPr>
                          <w:t>传真</w:t>
                        </w:r>
                        <w:r>
                          <w:rPr>
                            <w:rFonts w:ascii="宋体" w:cs="宋体" w:hAnsi="宋体" w:hint="eastAsia"/>
                            <w:spacing w:val="2"/>
                            <w:w w:val="99"/>
                            <w:sz w:val="20"/>
                            <w:szCs w:val="20"/>
                            <w:lang w:eastAsia="zh-CN"/>
                          </w:rPr>
                          <w:t>机</w:t>
                        </w:r>
                        <w:r>
                          <w:rPr>
                            <w:rFonts w:ascii="宋体" w:cs="宋体" w:hAnsi="宋体" w:hint="eastAsia"/>
                            <w:w w:val="99"/>
                            <w:sz w:val="20"/>
                            <w:szCs w:val="20"/>
                            <w:lang w:eastAsia="zh-CN"/>
                          </w:rPr>
                          <w:t>能效限定值及</w:t>
                        </w:r>
                        <w:r>
                          <w:rPr>
                            <w:rFonts w:ascii="宋体" w:cs="宋体" w:hAnsi="宋体" w:hint="eastAsia"/>
                            <w:spacing w:val="2"/>
                            <w:w w:val="99"/>
                            <w:sz w:val="20"/>
                            <w:szCs w:val="20"/>
                            <w:lang w:eastAsia="zh-CN"/>
                          </w:rPr>
                          <w:t>能</w:t>
                        </w:r>
                        <w:r>
                          <w:rPr>
                            <w:rFonts w:ascii="宋体" w:cs="宋体" w:hAnsi="宋体" w:hint="eastAsia"/>
                            <w:w w:val="99"/>
                            <w:sz w:val="20"/>
                            <w:szCs w:val="20"/>
                            <w:lang w:eastAsia="zh-CN"/>
                          </w:rPr>
                          <w:t>效等</w:t>
                        </w:r>
                        <w:r>
                          <w:rPr>
                            <w:rFonts w:ascii="宋体" w:cs="宋体" w:hAnsi="宋体" w:hint="eastAsia"/>
                            <w:spacing w:val="2"/>
                            <w:w w:val="99"/>
                            <w:sz w:val="20"/>
                            <w:szCs w:val="20"/>
                            <w:lang w:eastAsia="zh-CN"/>
                          </w:rPr>
                          <w:t>级</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21</w:t>
                        </w:r>
                        <w:r>
                          <w:rPr>
                            <w:rFonts w:ascii="宋体" w:cs="宋体" w:hAnsi="宋体" w:hint="eastAsia"/>
                            <w:w w:val="99"/>
                            <w:sz w:val="20"/>
                            <w:szCs w:val="20"/>
                            <w:lang w:eastAsia="zh-CN"/>
                          </w:rPr>
                          <w:t>52</w:t>
                        </w:r>
                        <w:r>
                          <w:rPr>
                            <w:rFonts w:ascii="宋体" w:cs="宋体" w:hAnsi="宋体" w:hint="eastAsia"/>
                            <w:spacing w:val="1"/>
                            <w:w w:val="99"/>
                            <w:sz w:val="20"/>
                            <w:szCs w:val="20"/>
                            <w:lang w:eastAsia="zh-CN"/>
                          </w:rPr>
                          <w:t>1</w:t>
                        </w:r>
                        <w:r>
                          <w:rPr>
                            <w:rFonts w:ascii="宋体" w:cs="宋体" w:hAnsi="宋体" w:hint="eastAsia"/>
                            <w:w w:val="99"/>
                            <w:sz w:val="20"/>
                            <w:szCs w:val="20"/>
                            <w:lang w:eastAsia="zh-CN"/>
                          </w:rPr>
                          <w:t>）</w:t>
                        </w:r>
                      </w:p>
                    </w:tc>
                  </w:tr>
                  <w:tr>
                    <w:tblPrEx/>
                    <w:trPr>
                      <w:trHeight w:val="773" w:hRule="exact"/>
                    </w:trPr>
                    <w:tc>
                      <w:tcPr>
                        <w:tcW w:w="574"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478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pPr>
                          <w:pStyle w:val="style4212"/>
                          <w:spacing w:before="2"/>
                          <w:rPr>
                            <w:rFonts w:ascii="宋体" w:cs="宋体" w:hAnsi="宋体"/>
                            <w:sz w:val="17"/>
                            <w:szCs w:val="17"/>
                            <w:lang w:eastAsia="zh-CN"/>
                          </w:rPr>
                        </w:pPr>
                      </w:p>
                      <w:p>
                        <w:pPr>
                          <w:pStyle w:val="style4212"/>
                          <w:ind w:left="7"/>
                          <w:rPr>
                            <w:rFonts w:ascii="宋体" w:cs="宋体" w:hAnsi="宋体"/>
                            <w:sz w:val="20"/>
                            <w:szCs w:val="20"/>
                          </w:rPr>
                        </w:pPr>
                        <w:r>
                          <w:rPr>
                            <w:rFonts w:ascii="宋体" w:cs="宋体" w:hAnsi="宋体" w:hint="eastAsia"/>
                            <w:spacing w:val="1"/>
                            <w:w w:val="99"/>
                            <w:sz w:val="20"/>
                            <w:szCs w:val="20"/>
                          </w:rPr>
                          <w:t>A02021100</w:t>
                        </w:r>
                        <w:r>
                          <w:rPr>
                            <w:rFonts w:ascii="宋体" w:cs="宋体" w:hAnsi="宋体" w:hint="eastAsia"/>
                            <w:w w:val="99"/>
                            <w:sz w:val="20"/>
                            <w:szCs w:val="20"/>
                          </w:rPr>
                          <w:t>输入输出设备</w:t>
                        </w:r>
                      </w:p>
                    </w:tc>
                    <w:tc>
                      <w:tcPr>
                        <w:tcW w:w="1823" w:type="dxa"/>
                        <w:tcBorders>
                          <w:top w:val="single" w:sz="4" w:space="0" w:color="000000"/>
                          <w:left w:val="single" w:sz="4" w:space="0" w:color="000000"/>
                          <w:bottom w:val="single" w:sz="4" w:space="0" w:color="000000"/>
                          <w:right w:val="single" w:sz="4" w:space="0" w:color="000000"/>
                        </w:tcBorders>
                      </w:tcPr>
                      <w:p>
                        <w:pPr>
                          <w:pStyle w:val="style4212"/>
                          <w:spacing w:before="68"/>
                          <w:ind w:left="7"/>
                          <w:rPr>
                            <w:rFonts w:ascii="宋体" w:cs="宋体" w:hAnsi="宋体"/>
                            <w:sz w:val="20"/>
                            <w:szCs w:val="20"/>
                          </w:rPr>
                        </w:pPr>
                        <w:r>
                          <w:rPr>
                            <w:rFonts w:ascii="宋体" w:cs="宋体" w:hAnsi="宋体" w:hint="eastAsia"/>
                            <w:w w:val="99"/>
                            <w:sz w:val="20"/>
                            <w:szCs w:val="20"/>
                          </w:rPr>
                          <w:t>★</w:t>
                        </w:r>
                        <w:r>
                          <w:rPr>
                            <w:rFonts w:ascii="宋体" w:cs="宋体" w:hAnsi="宋体" w:hint="eastAsia"/>
                            <w:spacing w:val="1"/>
                            <w:w w:val="99"/>
                            <w:sz w:val="20"/>
                            <w:szCs w:val="20"/>
                          </w:rPr>
                          <w:t>A02021104</w:t>
                        </w:r>
                        <w:r>
                          <w:rPr>
                            <w:rFonts w:ascii="宋体" w:cs="宋体" w:hAnsi="宋体" w:hint="eastAsia"/>
                            <w:w w:val="99"/>
                            <w:sz w:val="20"/>
                            <w:szCs w:val="20"/>
                          </w:rPr>
                          <w:t>液晶</w:t>
                        </w:r>
                      </w:p>
                      <w:p>
                        <w:pPr>
                          <w:pStyle w:val="style4212"/>
                          <w:spacing w:before="50"/>
                          <w:ind w:left="7"/>
                          <w:rPr>
                            <w:rFonts w:ascii="宋体" w:cs="宋体" w:hAnsi="宋体"/>
                            <w:sz w:val="20"/>
                            <w:szCs w:val="20"/>
                          </w:rPr>
                        </w:pPr>
                        <w:r>
                          <w:rPr>
                            <w:rFonts w:ascii="宋体" w:cs="宋体" w:hAnsi="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68"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《计算机显示器能效限</w:t>
                        </w:r>
                        <w:r>
                          <w:rPr>
                            <w:rFonts w:ascii="宋体" w:cs="宋体" w:hAnsi="宋体" w:hint="eastAsia"/>
                            <w:spacing w:val="9"/>
                            <w:w w:val="99"/>
                            <w:sz w:val="20"/>
                            <w:szCs w:val="20"/>
                            <w:lang w:eastAsia="zh-CN"/>
                          </w:rPr>
                          <w:t>定</w:t>
                        </w:r>
                        <w:r>
                          <w:rPr>
                            <w:rFonts w:ascii="宋体" w:cs="宋体" w:hAnsi="宋体" w:hint="eastAsia"/>
                            <w:spacing w:val="12"/>
                            <w:w w:val="99"/>
                            <w:sz w:val="20"/>
                            <w:szCs w:val="20"/>
                            <w:lang w:eastAsia="zh-CN"/>
                          </w:rPr>
                          <w:t>值及</w:t>
                        </w:r>
                        <w:r>
                          <w:rPr>
                            <w:rFonts w:ascii="宋体" w:cs="宋体" w:hAnsi="宋体" w:hint="eastAsia"/>
                            <w:w w:val="99"/>
                            <w:sz w:val="20"/>
                            <w:szCs w:val="20"/>
                            <w:lang w:eastAsia="zh-CN"/>
                          </w:rPr>
                          <w:t>能效等级</w:t>
                        </w:r>
                        <w:r>
                          <w:rPr>
                            <w:rFonts w:ascii="宋体" w:cs="宋体" w:hAnsi="宋体" w:hint="eastAsia"/>
                            <w:spacing w:val="2"/>
                            <w:w w:val="99"/>
                            <w:sz w:val="20"/>
                            <w:szCs w:val="20"/>
                            <w:lang w:eastAsia="zh-CN"/>
                          </w:rPr>
                          <w:t>》</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21</w:t>
                        </w:r>
                        <w:r>
                          <w:rPr>
                            <w:rFonts w:ascii="宋体" w:cs="宋体" w:hAnsi="宋体" w:hint="eastAsia"/>
                            <w:w w:val="99"/>
                            <w:sz w:val="20"/>
                            <w:szCs w:val="20"/>
                            <w:lang w:eastAsia="zh-CN"/>
                          </w:rPr>
                          <w:t>52</w:t>
                        </w:r>
                        <w:r>
                          <w:rPr>
                            <w:rFonts w:ascii="宋体" w:cs="宋体" w:hAnsi="宋体" w:hint="eastAsia"/>
                            <w:spacing w:val="1"/>
                            <w:w w:val="99"/>
                            <w:sz w:val="20"/>
                            <w:szCs w:val="20"/>
                            <w:lang w:eastAsia="zh-CN"/>
                          </w:rPr>
                          <w:t>0</w:t>
                        </w:r>
                        <w:r>
                          <w:rPr>
                            <w:rFonts w:ascii="宋体" w:cs="宋体" w:hAnsi="宋体" w:hint="eastAsia"/>
                            <w:w w:val="99"/>
                            <w:sz w:val="20"/>
                            <w:szCs w:val="20"/>
                            <w:lang w:eastAsia="zh-CN"/>
                          </w:rPr>
                          <w:t>）</w:t>
                        </w:r>
                      </w:p>
                    </w:tc>
                  </w:tr>
                  <w:tr>
                    <w:tblPrEx/>
                    <w:trPr>
                      <w:trHeight w:val="1161" w:hRule="exact"/>
                    </w:trPr>
                    <w:tc>
                      <w:tcPr>
                        <w:tcW w:w="574"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478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pPr>
                          <w:pStyle w:val="style4212"/>
                          <w:spacing w:before="8"/>
                          <w:rPr>
                            <w:rFonts w:ascii="宋体" w:cs="宋体" w:hAnsi="宋体"/>
                            <w:sz w:val="27"/>
                            <w:szCs w:val="27"/>
                            <w:lang w:eastAsia="zh-CN"/>
                          </w:rPr>
                        </w:pPr>
                      </w:p>
                      <w:p>
                        <w:pPr>
                          <w:pStyle w:val="style4212"/>
                          <w:spacing w:lineRule="auto" w:line="278"/>
                          <w:ind w:left="7" w:right="5"/>
                          <w:rPr>
                            <w:rFonts w:ascii="宋体" w:cs="宋体" w:hAnsi="宋体"/>
                            <w:sz w:val="20"/>
                            <w:szCs w:val="20"/>
                          </w:rPr>
                        </w:pPr>
                        <w:r>
                          <w:rPr>
                            <w:rFonts w:ascii="宋体" w:cs="宋体" w:hAnsi="宋体" w:hint="eastAsia"/>
                            <w:spacing w:val="1"/>
                            <w:w w:val="99"/>
                            <w:sz w:val="20"/>
                            <w:szCs w:val="20"/>
                          </w:rPr>
                          <w:t>A02021100</w:t>
                        </w:r>
                        <w:r>
                          <w:rPr>
                            <w:rFonts w:ascii="宋体" w:cs="宋体" w:hAnsi="宋体" w:hint="eastAsia"/>
                            <w:w w:val="99"/>
                            <w:sz w:val="20"/>
                            <w:szCs w:val="20"/>
                          </w:rPr>
                          <w:t>输入输出设备</w:t>
                        </w:r>
                      </w:p>
                    </w:tc>
                    <w:tc>
                      <w:tcPr>
                        <w:tcW w:w="1823" w:type="dxa"/>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rPr>
                        </w:pPr>
                      </w:p>
                      <w:p>
                        <w:pPr>
                          <w:pStyle w:val="style4212"/>
                          <w:spacing w:before="7"/>
                          <w:rPr>
                            <w:rFonts w:ascii="宋体" w:cs="宋体" w:hAnsi="宋体"/>
                            <w:sz w:val="19"/>
                            <w:szCs w:val="19"/>
                          </w:rPr>
                        </w:pPr>
                      </w:p>
                      <w:p>
                        <w:pPr>
                          <w:pStyle w:val="style4212"/>
                          <w:ind w:left="7"/>
                          <w:rPr>
                            <w:rFonts w:ascii="宋体" w:cs="宋体" w:hAnsi="宋体"/>
                            <w:sz w:val="20"/>
                            <w:szCs w:val="20"/>
                          </w:rPr>
                        </w:pPr>
                        <w:r>
                          <w:rPr>
                            <w:rFonts w:ascii="宋体" w:cs="宋体" w:hAnsi="宋体" w:hint="eastAsia"/>
                            <w:spacing w:val="1"/>
                            <w:w w:val="99"/>
                            <w:sz w:val="20"/>
                            <w:szCs w:val="20"/>
                          </w:rPr>
                          <w:t>A02021118</w:t>
                        </w:r>
                        <w:r>
                          <w:rPr>
                            <w:rFonts w:ascii="宋体" w:cs="宋体" w:hAnsi="宋体" w:hint="eastAsia"/>
                            <w:w w:val="99"/>
                            <w:sz w:val="20"/>
                            <w:szCs w:val="20"/>
                          </w:rPr>
                          <w:t>扫描仪</w:t>
                        </w: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49" w:lineRule="auto" w:line="278"/>
                          <w:ind w:left="7" w:right="7"/>
                          <w:rPr>
                            <w:rFonts w:ascii="宋体" w:cs="宋体" w:hAnsi="宋体"/>
                            <w:sz w:val="20"/>
                            <w:szCs w:val="20"/>
                            <w:lang w:eastAsia="zh-CN"/>
                          </w:rPr>
                        </w:pPr>
                        <w:r>
                          <w:rPr>
                            <w:rFonts w:ascii="宋体" w:cs="宋体" w:hAnsi="宋体" w:hint="eastAsia"/>
                            <w:w w:val="99"/>
                            <w:sz w:val="20"/>
                            <w:szCs w:val="20"/>
                            <w:lang w:eastAsia="zh-CN"/>
                          </w:rPr>
                          <w:t>参</w:t>
                        </w:r>
                        <w:r>
                          <w:rPr>
                            <w:rFonts w:ascii="宋体" w:cs="宋体" w:hAnsi="宋体" w:hint="eastAsia"/>
                            <w:spacing w:val="-29"/>
                            <w:w w:val="99"/>
                            <w:sz w:val="20"/>
                            <w:szCs w:val="20"/>
                            <w:lang w:eastAsia="zh-CN"/>
                          </w:rPr>
                          <w:t>照</w:t>
                        </w:r>
                        <w:r>
                          <w:rPr>
                            <w:rFonts w:ascii="宋体" w:cs="宋体" w:hAnsi="宋体" w:hint="eastAsia"/>
                            <w:w w:val="99"/>
                            <w:sz w:val="20"/>
                            <w:szCs w:val="20"/>
                            <w:lang w:eastAsia="zh-CN"/>
                          </w:rPr>
                          <w:t>《</w:t>
                        </w:r>
                        <w:r>
                          <w:rPr>
                            <w:rFonts w:ascii="宋体" w:cs="宋体" w:hAnsi="宋体" w:hint="eastAsia"/>
                            <w:spacing w:val="2"/>
                            <w:w w:val="99"/>
                            <w:sz w:val="20"/>
                            <w:szCs w:val="20"/>
                            <w:lang w:eastAsia="zh-CN"/>
                          </w:rPr>
                          <w:t>复</w:t>
                        </w:r>
                        <w:r>
                          <w:rPr>
                            <w:rFonts w:ascii="宋体" w:cs="宋体" w:hAnsi="宋体" w:hint="eastAsia"/>
                            <w:w w:val="99"/>
                            <w:sz w:val="20"/>
                            <w:szCs w:val="20"/>
                            <w:lang w:eastAsia="zh-CN"/>
                          </w:rPr>
                          <w:t>印</w:t>
                        </w:r>
                        <w:r>
                          <w:rPr>
                            <w:rFonts w:ascii="宋体" w:cs="宋体" w:hAnsi="宋体" w:hint="eastAsia"/>
                            <w:spacing w:val="2"/>
                            <w:w w:val="99"/>
                            <w:sz w:val="20"/>
                            <w:szCs w:val="20"/>
                            <w:lang w:eastAsia="zh-CN"/>
                          </w:rPr>
                          <w:t>机</w:t>
                        </w:r>
                        <w:r>
                          <w:rPr>
                            <w:rFonts w:ascii="宋体" w:cs="宋体" w:hAnsi="宋体" w:hint="eastAsia"/>
                            <w:spacing w:val="-29"/>
                            <w:w w:val="99"/>
                            <w:sz w:val="20"/>
                            <w:szCs w:val="20"/>
                            <w:lang w:eastAsia="zh-CN"/>
                          </w:rPr>
                          <w:t>、</w:t>
                        </w:r>
                        <w:r>
                          <w:rPr>
                            <w:rFonts w:ascii="宋体" w:cs="宋体" w:hAnsi="宋体" w:hint="eastAsia"/>
                            <w:w w:val="99"/>
                            <w:sz w:val="20"/>
                            <w:szCs w:val="20"/>
                            <w:lang w:eastAsia="zh-CN"/>
                          </w:rPr>
                          <w:t>打</w:t>
                        </w:r>
                        <w:r>
                          <w:rPr>
                            <w:rFonts w:ascii="宋体" w:cs="宋体" w:hAnsi="宋体" w:hint="eastAsia"/>
                            <w:spacing w:val="2"/>
                            <w:w w:val="99"/>
                            <w:sz w:val="20"/>
                            <w:szCs w:val="20"/>
                            <w:lang w:eastAsia="zh-CN"/>
                          </w:rPr>
                          <w:t>印</w:t>
                        </w:r>
                        <w:r>
                          <w:rPr>
                            <w:rFonts w:ascii="宋体" w:cs="宋体" w:hAnsi="宋体" w:hint="eastAsia"/>
                            <w:w w:val="99"/>
                            <w:sz w:val="20"/>
                            <w:szCs w:val="20"/>
                            <w:lang w:eastAsia="zh-CN"/>
                          </w:rPr>
                          <w:t>机和</w:t>
                        </w:r>
                        <w:r>
                          <w:rPr>
                            <w:rFonts w:ascii="宋体" w:cs="宋体" w:hAnsi="宋体" w:hint="eastAsia"/>
                            <w:spacing w:val="2"/>
                            <w:w w:val="99"/>
                            <w:sz w:val="20"/>
                            <w:szCs w:val="20"/>
                            <w:lang w:eastAsia="zh-CN"/>
                          </w:rPr>
                          <w:t>传</w:t>
                        </w:r>
                        <w:r>
                          <w:rPr>
                            <w:rFonts w:ascii="宋体" w:cs="宋体" w:hAnsi="宋体" w:hint="eastAsia"/>
                            <w:w w:val="99"/>
                            <w:sz w:val="20"/>
                            <w:szCs w:val="20"/>
                            <w:lang w:eastAsia="zh-CN"/>
                          </w:rPr>
                          <w:t>真机能效限定</w:t>
                        </w:r>
                        <w:r>
                          <w:rPr>
                            <w:rFonts w:ascii="宋体" w:cs="宋体" w:hAnsi="宋体" w:hint="eastAsia"/>
                            <w:spacing w:val="2"/>
                            <w:w w:val="99"/>
                            <w:sz w:val="20"/>
                            <w:szCs w:val="20"/>
                            <w:lang w:eastAsia="zh-CN"/>
                          </w:rPr>
                          <w:t>值</w:t>
                        </w:r>
                        <w:r>
                          <w:rPr>
                            <w:rFonts w:ascii="宋体" w:cs="宋体" w:hAnsi="宋体" w:hint="eastAsia"/>
                            <w:w w:val="99"/>
                            <w:sz w:val="20"/>
                            <w:szCs w:val="20"/>
                            <w:lang w:eastAsia="zh-CN"/>
                          </w:rPr>
                          <w:t>及能</w:t>
                        </w:r>
                        <w:r>
                          <w:rPr>
                            <w:rFonts w:ascii="宋体" w:cs="宋体" w:hAnsi="宋体" w:hint="eastAsia"/>
                            <w:spacing w:val="2"/>
                            <w:w w:val="99"/>
                            <w:sz w:val="20"/>
                            <w:szCs w:val="20"/>
                            <w:lang w:eastAsia="zh-CN"/>
                          </w:rPr>
                          <w:t>效</w:t>
                        </w:r>
                        <w:r>
                          <w:rPr>
                            <w:rFonts w:ascii="宋体" w:cs="宋体" w:hAnsi="宋体" w:hint="eastAsia"/>
                            <w:w w:val="99"/>
                            <w:sz w:val="20"/>
                            <w:szCs w:val="20"/>
                            <w:lang w:eastAsia="zh-CN"/>
                          </w:rPr>
                          <w:t>等级</w:t>
                        </w:r>
                        <w:r>
                          <w:rPr>
                            <w:rFonts w:ascii="宋体" w:cs="宋体" w:hAnsi="宋体" w:hint="eastAsia"/>
                            <w:spacing w:val="-106"/>
                            <w:w w:val="99"/>
                            <w:sz w:val="20"/>
                            <w:szCs w:val="20"/>
                            <w:lang w:eastAsia="zh-CN"/>
                          </w:rPr>
                          <w:t>》</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2152</w:t>
                        </w:r>
                        <w:r>
                          <w:rPr>
                            <w:rFonts w:ascii="宋体" w:cs="宋体" w:hAnsi="宋体" w:hint="eastAsia"/>
                            <w:w w:val="99"/>
                            <w:sz w:val="20"/>
                            <w:szCs w:val="20"/>
                            <w:lang w:eastAsia="zh-CN"/>
                          </w:rPr>
                          <w:t>1）</w:t>
                        </w:r>
                        <w:r>
                          <w:rPr>
                            <w:rFonts w:ascii="宋体" w:cs="宋体" w:hAnsi="宋体" w:hint="eastAsia"/>
                            <w:spacing w:val="2"/>
                            <w:w w:val="99"/>
                            <w:sz w:val="20"/>
                            <w:szCs w:val="20"/>
                            <w:lang w:eastAsia="zh-CN"/>
                          </w:rPr>
                          <w:t>中</w:t>
                        </w:r>
                        <w:r>
                          <w:rPr>
                            <w:rFonts w:ascii="宋体" w:cs="宋体" w:hAnsi="宋体" w:hint="eastAsia"/>
                            <w:spacing w:val="4"/>
                            <w:w w:val="99"/>
                            <w:sz w:val="20"/>
                            <w:szCs w:val="20"/>
                            <w:lang w:eastAsia="zh-CN"/>
                          </w:rPr>
                          <w:t>打印速</w:t>
                        </w:r>
                        <w:r>
                          <w:rPr>
                            <w:rFonts w:ascii="宋体" w:cs="宋体" w:hAnsi="宋体" w:hint="eastAsia"/>
                            <w:spacing w:val="2"/>
                            <w:w w:val="99"/>
                            <w:sz w:val="20"/>
                            <w:szCs w:val="20"/>
                            <w:lang w:eastAsia="zh-CN"/>
                          </w:rPr>
                          <w:t>度</w:t>
                        </w:r>
                        <w:r>
                          <w:rPr>
                            <w:rFonts w:ascii="宋体" w:cs="宋体" w:hAnsi="宋体" w:hint="eastAsia"/>
                            <w:w w:val="99"/>
                            <w:sz w:val="20"/>
                            <w:szCs w:val="20"/>
                            <w:lang w:eastAsia="zh-CN"/>
                          </w:rPr>
                          <w:t>为</w:t>
                        </w:r>
                        <w:r>
                          <w:rPr>
                            <w:rFonts w:ascii="宋体" w:cs="宋体" w:hAnsi="宋体" w:hint="eastAsia"/>
                            <w:spacing w:val="1"/>
                            <w:w w:val="99"/>
                            <w:sz w:val="20"/>
                            <w:szCs w:val="20"/>
                            <w:lang w:eastAsia="zh-CN"/>
                          </w:rPr>
                          <w:t>1</w:t>
                        </w:r>
                        <w:r>
                          <w:rPr>
                            <w:rFonts w:ascii="宋体" w:cs="宋体" w:hAnsi="宋体" w:hint="eastAsia"/>
                            <w:w w:val="99"/>
                            <w:sz w:val="20"/>
                            <w:szCs w:val="20"/>
                            <w:lang w:eastAsia="zh-CN"/>
                          </w:rPr>
                          <w:t>5</w:t>
                        </w:r>
                        <w:r>
                          <w:rPr>
                            <w:rFonts w:ascii="宋体" w:cs="宋体" w:hAnsi="宋体" w:hint="eastAsia"/>
                            <w:spacing w:val="2"/>
                            <w:w w:val="99"/>
                            <w:sz w:val="20"/>
                            <w:szCs w:val="20"/>
                            <w:lang w:eastAsia="zh-CN"/>
                          </w:rPr>
                          <w:t>页</w:t>
                        </w:r>
                        <w:r>
                          <w:rPr>
                            <w:rFonts w:ascii="宋体" w:cs="宋体" w:hAnsi="宋体" w:hint="eastAsia"/>
                            <w:spacing w:val="5"/>
                            <w:w w:val="99"/>
                            <w:sz w:val="20"/>
                            <w:szCs w:val="20"/>
                            <w:lang w:eastAsia="zh-CN"/>
                          </w:rPr>
                          <w:t>/</w:t>
                        </w:r>
                        <w:r>
                          <w:rPr>
                            <w:rFonts w:ascii="宋体" w:cs="宋体" w:hAnsi="宋体" w:hint="eastAsia"/>
                            <w:spacing w:val="4"/>
                            <w:w w:val="99"/>
                            <w:sz w:val="20"/>
                            <w:szCs w:val="20"/>
                            <w:lang w:eastAsia="zh-CN"/>
                          </w:rPr>
                          <w:t>分的</w:t>
                        </w:r>
                        <w:r>
                          <w:rPr>
                            <w:rFonts w:ascii="宋体" w:cs="宋体" w:hAnsi="宋体" w:hint="eastAsia"/>
                            <w:spacing w:val="2"/>
                            <w:w w:val="99"/>
                            <w:sz w:val="20"/>
                            <w:szCs w:val="20"/>
                            <w:lang w:eastAsia="zh-CN"/>
                          </w:rPr>
                          <w:t>针</w:t>
                        </w:r>
                        <w:r>
                          <w:rPr>
                            <w:rFonts w:ascii="宋体" w:cs="宋体" w:hAnsi="宋体" w:hint="eastAsia"/>
                            <w:spacing w:val="4"/>
                            <w:w w:val="99"/>
                            <w:sz w:val="20"/>
                            <w:szCs w:val="20"/>
                            <w:lang w:eastAsia="zh-CN"/>
                          </w:rPr>
                          <w:t>式</w:t>
                        </w:r>
                        <w:r>
                          <w:rPr>
                            <w:rFonts w:ascii="宋体" w:cs="宋体" w:hAnsi="宋体" w:hint="eastAsia"/>
                            <w:w w:val="99"/>
                            <w:sz w:val="20"/>
                            <w:szCs w:val="20"/>
                            <w:lang w:eastAsia="zh-CN"/>
                          </w:rPr>
                          <w:t>打印机相</w:t>
                        </w:r>
                        <w:r>
                          <w:rPr>
                            <w:rFonts w:ascii="宋体" w:cs="宋体" w:hAnsi="宋体" w:hint="eastAsia"/>
                            <w:spacing w:val="2"/>
                            <w:w w:val="99"/>
                            <w:sz w:val="20"/>
                            <w:szCs w:val="20"/>
                            <w:lang w:eastAsia="zh-CN"/>
                          </w:rPr>
                          <w:t>关</w:t>
                        </w:r>
                        <w:r>
                          <w:rPr>
                            <w:rFonts w:ascii="宋体" w:cs="宋体" w:hAnsi="宋体" w:hint="eastAsia"/>
                            <w:w w:val="99"/>
                            <w:sz w:val="20"/>
                            <w:szCs w:val="20"/>
                            <w:lang w:eastAsia="zh-CN"/>
                          </w:rPr>
                          <w:t>要求</w:t>
                        </w:r>
                      </w:p>
                    </w:tc>
                  </w:tr>
                  <w:tr>
                    <w:tblPrEx/>
                    <w:trPr>
                      <w:trHeight w:val="684" w:hRule="exact"/>
                    </w:trPr>
                    <w:tc>
                      <w:tcPr>
                        <w:tcW w:w="574" w:type="dxa"/>
                        <w:tcBorders>
                          <w:top w:val="single" w:sz="4" w:space="0" w:color="000000"/>
                          <w:left w:val="single" w:sz="4" w:space="0" w:color="000000"/>
                          <w:bottom w:val="single" w:sz="4" w:space="0" w:color="000000"/>
                          <w:right w:val="single" w:sz="4" w:space="0" w:color="000000"/>
                        </w:tcBorders>
                      </w:tcPr>
                      <w:p>
                        <w:pPr>
                          <w:pStyle w:val="style4212"/>
                          <w:spacing w:before="179"/>
                          <w:ind w:right="1"/>
                          <w:jc w:val="center"/>
                          <w:rPr>
                            <w:rFonts w:ascii="宋体" w:cs="宋体" w:hAnsi="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pPr>
                          <w:pStyle w:val="style4212"/>
                          <w:spacing w:before="23"/>
                          <w:ind w:left="7"/>
                          <w:rPr>
                            <w:rFonts w:ascii="宋体" w:cs="宋体" w:hAnsi="宋体"/>
                            <w:sz w:val="20"/>
                            <w:szCs w:val="20"/>
                          </w:rPr>
                        </w:pPr>
                        <w:r>
                          <w:rPr>
                            <w:rFonts w:ascii="宋体" w:cs="宋体" w:hAnsi="宋体" w:hint="eastAsia"/>
                            <w:spacing w:val="1"/>
                            <w:w w:val="99"/>
                            <w:sz w:val="20"/>
                            <w:szCs w:val="20"/>
                          </w:rPr>
                          <w:t>A02020200</w:t>
                        </w:r>
                        <w:r>
                          <w:rPr>
                            <w:rFonts w:ascii="宋体" w:cs="宋体" w:hAnsi="宋体" w:hint="eastAsia"/>
                            <w:w w:val="99"/>
                            <w:sz w:val="20"/>
                            <w:szCs w:val="20"/>
                          </w:rPr>
                          <w:t>投影</w:t>
                        </w:r>
                      </w:p>
                      <w:p>
                        <w:pPr>
                          <w:pStyle w:val="style4212"/>
                          <w:spacing w:before="50"/>
                          <w:ind w:left="7"/>
                          <w:rPr>
                            <w:rFonts w:ascii="宋体" w:cs="宋体" w:hAnsi="宋体"/>
                            <w:sz w:val="20"/>
                            <w:szCs w:val="20"/>
                          </w:rPr>
                        </w:pPr>
                        <w:r>
                          <w:rPr>
                            <w:rFonts w:ascii="宋体" w:cs="宋体" w:hAnsi="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23"/>
                          <w:ind w:left="7"/>
                          <w:rPr>
                            <w:rFonts w:ascii="宋体" w:cs="宋体" w:hAnsi="宋体"/>
                            <w:sz w:val="20"/>
                            <w:szCs w:val="20"/>
                            <w:lang w:eastAsia="zh-CN"/>
                          </w:rPr>
                        </w:pPr>
                        <w:r>
                          <w:rPr>
                            <w:rFonts w:ascii="宋体" w:cs="宋体" w:hAnsi="宋体" w:hint="eastAsia"/>
                            <w:w w:val="99"/>
                            <w:sz w:val="20"/>
                            <w:szCs w:val="20"/>
                            <w:lang w:eastAsia="zh-CN"/>
                          </w:rPr>
                          <w:t>《投影</w:t>
                        </w:r>
                        <w:r>
                          <w:rPr>
                            <w:rFonts w:ascii="宋体" w:cs="宋体" w:hAnsi="宋体" w:hint="eastAsia"/>
                            <w:spacing w:val="2"/>
                            <w:w w:val="99"/>
                            <w:sz w:val="20"/>
                            <w:szCs w:val="20"/>
                            <w:lang w:eastAsia="zh-CN"/>
                          </w:rPr>
                          <w:t>机</w:t>
                        </w:r>
                        <w:r>
                          <w:rPr>
                            <w:rFonts w:ascii="宋体" w:cs="宋体" w:hAnsi="宋体" w:hint="eastAsia"/>
                            <w:w w:val="99"/>
                            <w:sz w:val="20"/>
                            <w:szCs w:val="20"/>
                            <w:lang w:eastAsia="zh-CN"/>
                          </w:rPr>
                          <w:t>能效</w:t>
                        </w:r>
                        <w:r>
                          <w:rPr>
                            <w:rFonts w:ascii="宋体" w:cs="宋体" w:hAnsi="宋体" w:hint="eastAsia"/>
                            <w:spacing w:val="2"/>
                            <w:w w:val="99"/>
                            <w:sz w:val="20"/>
                            <w:szCs w:val="20"/>
                            <w:lang w:eastAsia="zh-CN"/>
                          </w:rPr>
                          <w:t>限</w:t>
                        </w:r>
                        <w:r>
                          <w:rPr>
                            <w:rFonts w:ascii="宋体" w:cs="宋体" w:hAnsi="宋体" w:hint="eastAsia"/>
                            <w:w w:val="99"/>
                            <w:sz w:val="20"/>
                            <w:szCs w:val="20"/>
                            <w:lang w:eastAsia="zh-CN"/>
                          </w:rPr>
                          <w:t>定值</w:t>
                        </w:r>
                        <w:r>
                          <w:rPr>
                            <w:rFonts w:ascii="宋体" w:cs="宋体" w:hAnsi="宋体" w:hint="eastAsia"/>
                            <w:spacing w:val="2"/>
                            <w:w w:val="99"/>
                            <w:sz w:val="20"/>
                            <w:szCs w:val="20"/>
                            <w:lang w:eastAsia="zh-CN"/>
                          </w:rPr>
                          <w:t>及</w:t>
                        </w:r>
                        <w:r>
                          <w:rPr>
                            <w:rFonts w:ascii="宋体" w:cs="宋体" w:hAnsi="宋体" w:hint="eastAsia"/>
                            <w:w w:val="99"/>
                            <w:sz w:val="20"/>
                            <w:szCs w:val="20"/>
                            <w:lang w:eastAsia="zh-CN"/>
                          </w:rPr>
                          <w:t>能</w:t>
                        </w:r>
                        <w:r>
                          <w:rPr>
                            <w:rFonts w:ascii="宋体" w:cs="宋体" w:hAnsi="宋体" w:hint="eastAsia"/>
                            <w:spacing w:val="2"/>
                            <w:w w:val="99"/>
                            <w:sz w:val="20"/>
                            <w:szCs w:val="20"/>
                            <w:lang w:eastAsia="zh-CN"/>
                          </w:rPr>
                          <w:t>效</w:t>
                        </w:r>
                        <w:r>
                          <w:rPr>
                            <w:rFonts w:ascii="宋体" w:cs="宋体" w:hAnsi="宋体" w:hint="eastAsia"/>
                            <w:w w:val="99"/>
                            <w:sz w:val="20"/>
                            <w:szCs w:val="20"/>
                            <w:lang w:eastAsia="zh-CN"/>
                          </w:rPr>
                          <w:t>等级》（</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3</w:t>
                        </w:r>
                        <w:r>
                          <w:rPr>
                            <w:rFonts w:ascii="宋体" w:cs="宋体" w:hAnsi="宋体" w:hint="eastAsia"/>
                            <w:w w:val="99"/>
                            <w:sz w:val="20"/>
                            <w:szCs w:val="20"/>
                            <w:lang w:eastAsia="zh-CN"/>
                          </w:rPr>
                          <w:t>20</w:t>
                        </w:r>
                        <w:r>
                          <w:rPr>
                            <w:rFonts w:ascii="宋体" w:cs="宋体" w:hAnsi="宋体" w:hint="eastAsia"/>
                            <w:spacing w:val="1"/>
                            <w:w w:val="99"/>
                            <w:sz w:val="20"/>
                            <w:szCs w:val="20"/>
                            <w:lang w:eastAsia="zh-CN"/>
                          </w:rPr>
                          <w:t>28</w:t>
                        </w:r>
                        <w:r>
                          <w:rPr>
                            <w:rFonts w:ascii="宋体" w:cs="宋体" w:hAnsi="宋体" w:hint="eastAsia"/>
                            <w:w w:val="99"/>
                            <w:sz w:val="20"/>
                            <w:szCs w:val="20"/>
                            <w:lang w:eastAsia="zh-CN"/>
                          </w:rPr>
                          <w:t>）</w:t>
                        </w:r>
                      </w:p>
                    </w:tc>
                  </w:tr>
                  <w:tr>
                    <w:tblPrEx/>
                    <w:trPr>
                      <w:trHeight w:val="770" w:hRule="exact"/>
                    </w:trPr>
                    <w:tc>
                      <w:tcPr>
                        <w:tcW w:w="574" w:type="dxa"/>
                        <w:tcBorders>
                          <w:top w:val="single" w:sz="4" w:space="0" w:color="000000"/>
                          <w:left w:val="single" w:sz="4" w:space="0" w:color="000000"/>
                          <w:bottom w:val="single" w:sz="4" w:space="0" w:color="000000"/>
                          <w:right w:val="single" w:sz="4" w:space="0" w:color="000000"/>
                        </w:tcBorders>
                      </w:tcPr>
                      <w:p>
                        <w:pPr>
                          <w:pStyle w:val="style4212"/>
                          <w:spacing w:before="13"/>
                          <w:rPr>
                            <w:rFonts w:ascii="宋体" w:cs="宋体" w:hAnsi="宋体"/>
                            <w:sz w:val="16"/>
                            <w:szCs w:val="16"/>
                            <w:lang w:eastAsia="zh-CN"/>
                          </w:rPr>
                        </w:pPr>
                      </w:p>
                      <w:p>
                        <w:pPr>
                          <w:pStyle w:val="style4212"/>
                          <w:ind w:right="1"/>
                          <w:jc w:val="center"/>
                          <w:rPr>
                            <w:rFonts w:ascii="宋体" w:cs="宋体" w:hAnsi="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pPr>
                          <w:pStyle w:val="style4212"/>
                          <w:spacing w:before="66"/>
                          <w:ind w:left="7"/>
                          <w:rPr>
                            <w:rFonts w:ascii="宋体" w:cs="宋体" w:hAnsi="宋体"/>
                            <w:sz w:val="20"/>
                            <w:szCs w:val="20"/>
                          </w:rPr>
                        </w:pPr>
                        <w:r>
                          <w:rPr>
                            <w:rFonts w:ascii="宋体" w:cs="宋体" w:hAnsi="宋体" w:hint="eastAsia"/>
                            <w:spacing w:val="1"/>
                            <w:w w:val="99"/>
                            <w:sz w:val="20"/>
                            <w:szCs w:val="20"/>
                          </w:rPr>
                          <w:t>A02020400</w:t>
                        </w:r>
                        <w:r>
                          <w:rPr>
                            <w:rFonts w:ascii="宋体" w:cs="宋体" w:hAnsi="宋体" w:hint="eastAsia"/>
                            <w:w w:val="99"/>
                            <w:sz w:val="20"/>
                            <w:szCs w:val="20"/>
                          </w:rPr>
                          <w:t>多功能一体机</w:t>
                        </w:r>
                      </w:p>
                    </w:tc>
                    <w:tc>
                      <w:tcPr>
                        <w:tcW w:w="1800"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66" w:lineRule="auto" w:line="278"/>
                          <w:ind w:left="7" w:right="7"/>
                          <w:rPr>
                            <w:rFonts w:ascii="宋体" w:cs="宋体" w:hAnsi="宋体"/>
                            <w:sz w:val="20"/>
                            <w:szCs w:val="20"/>
                            <w:lang w:eastAsia="zh-CN"/>
                          </w:rPr>
                        </w:pPr>
                        <w:r>
                          <w:rPr>
                            <w:rFonts w:ascii="宋体" w:cs="宋体" w:hAnsi="宋体" w:hint="eastAsia"/>
                            <w:w w:val="99"/>
                            <w:sz w:val="20"/>
                            <w:szCs w:val="20"/>
                            <w:lang w:eastAsia="zh-CN"/>
                          </w:rPr>
                          <w:t>《复印</w:t>
                        </w:r>
                        <w:r>
                          <w:rPr>
                            <w:rFonts w:ascii="宋体" w:cs="宋体" w:hAnsi="宋体" w:hint="eastAsia"/>
                            <w:spacing w:val="2"/>
                            <w:w w:val="99"/>
                            <w:sz w:val="20"/>
                            <w:szCs w:val="20"/>
                            <w:lang w:eastAsia="zh-CN"/>
                          </w:rPr>
                          <w:t>机</w:t>
                        </w:r>
                        <w:r>
                          <w:rPr>
                            <w:rFonts w:ascii="宋体" w:cs="宋体" w:hAnsi="宋体" w:hint="eastAsia"/>
                            <w:spacing w:val="-58"/>
                            <w:w w:val="99"/>
                            <w:sz w:val="20"/>
                            <w:szCs w:val="20"/>
                            <w:lang w:eastAsia="zh-CN"/>
                          </w:rPr>
                          <w:t>、</w:t>
                        </w:r>
                        <w:r>
                          <w:rPr>
                            <w:rFonts w:ascii="宋体" w:cs="宋体" w:hAnsi="宋体" w:hint="eastAsia"/>
                            <w:spacing w:val="2"/>
                            <w:w w:val="99"/>
                            <w:sz w:val="20"/>
                            <w:szCs w:val="20"/>
                            <w:lang w:eastAsia="zh-CN"/>
                          </w:rPr>
                          <w:t>打</w:t>
                        </w:r>
                        <w:r>
                          <w:rPr>
                            <w:rFonts w:ascii="宋体" w:cs="宋体" w:hAnsi="宋体" w:hint="eastAsia"/>
                            <w:w w:val="99"/>
                            <w:sz w:val="20"/>
                            <w:szCs w:val="20"/>
                            <w:lang w:eastAsia="zh-CN"/>
                          </w:rPr>
                          <w:t>印机</w:t>
                        </w:r>
                        <w:r>
                          <w:rPr>
                            <w:rFonts w:ascii="宋体" w:cs="宋体" w:hAnsi="宋体" w:hint="eastAsia"/>
                            <w:spacing w:val="2"/>
                            <w:w w:val="99"/>
                            <w:sz w:val="20"/>
                            <w:szCs w:val="20"/>
                            <w:lang w:eastAsia="zh-CN"/>
                          </w:rPr>
                          <w:t>和</w:t>
                        </w:r>
                        <w:r>
                          <w:rPr>
                            <w:rFonts w:ascii="宋体" w:cs="宋体" w:hAnsi="宋体" w:hint="eastAsia"/>
                            <w:w w:val="99"/>
                            <w:sz w:val="20"/>
                            <w:szCs w:val="20"/>
                            <w:lang w:eastAsia="zh-CN"/>
                          </w:rPr>
                          <w:t>传真</w:t>
                        </w:r>
                        <w:r>
                          <w:rPr>
                            <w:rFonts w:ascii="宋体" w:cs="宋体" w:hAnsi="宋体" w:hint="eastAsia"/>
                            <w:spacing w:val="2"/>
                            <w:w w:val="99"/>
                            <w:sz w:val="20"/>
                            <w:szCs w:val="20"/>
                            <w:lang w:eastAsia="zh-CN"/>
                          </w:rPr>
                          <w:t>机</w:t>
                        </w:r>
                        <w:r>
                          <w:rPr>
                            <w:rFonts w:ascii="宋体" w:cs="宋体" w:hAnsi="宋体" w:hint="eastAsia"/>
                            <w:w w:val="99"/>
                            <w:sz w:val="20"/>
                            <w:szCs w:val="20"/>
                            <w:lang w:eastAsia="zh-CN"/>
                          </w:rPr>
                          <w:t>能效限定值及</w:t>
                        </w:r>
                        <w:r>
                          <w:rPr>
                            <w:rFonts w:ascii="宋体" w:cs="宋体" w:hAnsi="宋体" w:hint="eastAsia"/>
                            <w:spacing w:val="2"/>
                            <w:w w:val="99"/>
                            <w:sz w:val="20"/>
                            <w:szCs w:val="20"/>
                            <w:lang w:eastAsia="zh-CN"/>
                          </w:rPr>
                          <w:t>能</w:t>
                        </w:r>
                        <w:r>
                          <w:rPr>
                            <w:rFonts w:ascii="宋体" w:cs="宋体" w:hAnsi="宋体" w:hint="eastAsia"/>
                            <w:w w:val="99"/>
                            <w:sz w:val="20"/>
                            <w:szCs w:val="20"/>
                            <w:lang w:eastAsia="zh-CN"/>
                          </w:rPr>
                          <w:t>效等</w:t>
                        </w:r>
                        <w:r>
                          <w:rPr>
                            <w:rFonts w:ascii="宋体" w:cs="宋体" w:hAnsi="宋体" w:hint="eastAsia"/>
                            <w:spacing w:val="2"/>
                            <w:w w:val="99"/>
                            <w:sz w:val="20"/>
                            <w:szCs w:val="20"/>
                            <w:lang w:eastAsia="zh-CN"/>
                          </w:rPr>
                          <w:t>级</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21</w:t>
                        </w:r>
                        <w:r>
                          <w:rPr>
                            <w:rFonts w:ascii="宋体" w:cs="宋体" w:hAnsi="宋体" w:hint="eastAsia"/>
                            <w:w w:val="99"/>
                            <w:sz w:val="20"/>
                            <w:szCs w:val="20"/>
                            <w:lang w:eastAsia="zh-CN"/>
                          </w:rPr>
                          <w:t>52</w:t>
                        </w:r>
                        <w:r>
                          <w:rPr>
                            <w:rFonts w:ascii="宋体" w:cs="宋体" w:hAnsi="宋体" w:hint="eastAsia"/>
                            <w:spacing w:val="1"/>
                            <w:w w:val="99"/>
                            <w:sz w:val="20"/>
                            <w:szCs w:val="20"/>
                            <w:lang w:eastAsia="zh-CN"/>
                          </w:rPr>
                          <w:t>1</w:t>
                        </w:r>
                        <w:r>
                          <w:rPr>
                            <w:rFonts w:ascii="宋体" w:cs="宋体" w:hAnsi="宋体" w:hint="eastAsia"/>
                            <w:w w:val="99"/>
                            <w:sz w:val="20"/>
                            <w:szCs w:val="20"/>
                            <w:lang w:eastAsia="zh-CN"/>
                          </w:rPr>
                          <w:t>）</w:t>
                        </w:r>
                      </w:p>
                    </w:tc>
                  </w:tr>
                  <w:tr>
                    <w:tblPrEx/>
                    <w:trPr>
                      <w:trHeight w:val="646" w:hRule="exact"/>
                    </w:trPr>
                    <w:tc>
                      <w:tcPr>
                        <w:tcW w:w="574" w:type="dxa"/>
                        <w:tcBorders>
                          <w:top w:val="single" w:sz="4" w:space="0" w:color="000000"/>
                          <w:left w:val="single" w:sz="4" w:space="0" w:color="000000"/>
                          <w:bottom w:val="single" w:sz="4" w:space="0" w:color="000000"/>
                          <w:right w:val="single" w:sz="4" w:space="0" w:color="000000"/>
                        </w:tcBorders>
                      </w:tcPr>
                      <w:p>
                        <w:pPr>
                          <w:pStyle w:val="style4212"/>
                          <w:spacing w:before="160"/>
                          <w:ind w:right="1"/>
                          <w:jc w:val="center"/>
                          <w:rPr>
                            <w:rFonts w:ascii="宋体" w:cs="宋体" w:hAnsi="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pPr>
                          <w:pStyle w:val="style4212"/>
                          <w:spacing w:before="160"/>
                          <w:ind w:left="7"/>
                          <w:rPr>
                            <w:rFonts w:ascii="宋体" w:cs="宋体" w:hAnsi="宋体"/>
                            <w:sz w:val="20"/>
                            <w:szCs w:val="20"/>
                          </w:rPr>
                        </w:pPr>
                        <w:r>
                          <w:rPr>
                            <w:rFonts w:ascii="宋体" w:cs="宋体" w:hAnsi="宋体" w:hint="eastAsia"/>
                            <w:spacing w:val="1"/>
                            <w:w w:val="99"/>
                            <w:sz w:val="20"/>
                            <w:szCs w:val="20"/>
                          </w:rPr>
                          <w:t>A02</w:t>
                        </w:r>
                        <w:r>
                          <w:rPr>
                            <w:rFonts w:ascii="宋体" w:cs="宋体" w:hAnsi="宋体" w:hint="eastAsia"/>
                            <w:w w:val="99"/>
                            <w:sz w:val="20"/>
                            <w:szCs w:val="20"/>
                          </w:rPr>
                          <w:t>05</w:t>
                        </w:r>
                        <w:r>
                          <w:rPr>
                            <w:rFonts w:ascii="宋体" w:cs="宋体" w:hAnsi="宋体" w:hint="eastAsia"/>
                            <w:spacing w:val="1"/>
                            <w:w w:val="99"/>
                            <w:sz w:val="20"/>
                            <w:szCs w:val="20"/>
                          </w:rPr>
                          <w:t>1</w:t>
                        </w:r>
                        <w:r>
                          <w:rPr>
                            <w:rFonts w:ascii="宋体" w:cs="宋体" w:hAnsi="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pPr>
                          <w:pStyle w:val="style4212"/>
                          <w:spacing w:before="160"/>
                          <w:ind w:left="7"/>
                          <w:rPr>
                            <w:rFonts w:ascii="宋体" w:cs="宋体" w:hAnsi="宋体"/>
                            <w:sz w:val="20"/>
                            <w:szCs w:val="20"/>
                          </w:rPr>
                        </w:pPr>
                        <w:r>
                          <w:rPr>
                            <w:rFonts w:ascii="宋体" w:cs="宋体" w:hAnsi="宋体" w:hint="eastAsia"/>
                            <w:spacing w:val="1"/>
                            <w:w w:val="99"/>
                            <w:sz w:val="20"/>
                            <w:szCs w:val="20"/>
                          </w:rPr>
                          <w:t>A02</w:t>
                        </w:r>
                        <w:r>
                          <w:rPr>
                            <w:rFonts w:ascii="宋体" w:cs="宋体" w:hAnsi="宋体" w:hint="eastAsia"/>
                            <w:w w:val="99"/>
                            <w:sz w:val="20"/>
                            <w:szCs w:val="20"/>
                          </w:rPr>
                          <w:t>05</w:t>
                        </w:r>
                        <w:r>
                          <w:rPr>
                            <w:rFonts w:ascii="宋体" w:cs="宋体" w:hAnsi="宋体" w:hint="eastAsia"/>
                            <w:spacing w:val="1"/>
                            <w:w w:val="99"/>
                            <w:sz w:val="20"/>
                            <w:szCs w:val="20"/>
                          </w:rPr>
                          <w:t>1</w:t>
                        </w:r>
                        <w:r>
                          <w:rPr>
                            <w:rFonts w:ascii="宋体" w:cs="宋体" w:hAnsi="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4"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《清水离心泵能效限定</w:t>
                        </w:r>
                        <w:r>
                          <w:rPr>
                            <w:rFonts w:ascii="宋体" w:cs="宋体" w:hAnsi="宋体" w:hint="eastAsia"/>
                            <w:spacing w:val="9"/>
                            <w:w w:val="99"/>
                            <w:sz w:val="20"/>
                            <w:szCs w:val="20"/>
                            <w:lang w:eastAsia="zh-CN"/>
                          </w:rPr>
                          <w:t>值</w:t>
                        </w:r>
                        <w:r>
                          <w:rPr>
                            <w:rFonts w:ascii="宋体" w:cs="宋体" w:hAnsi="宋体" w:hint="eastAsia"/>
                            <w:spacing w:val="12"/>
                            <w:w w:val="99"/>
                            <w:sz w:val="20"/>
                            <w:szCs w:val="20"/>
                            <w:lang w:eastAsia="zh-CN"/>
                          </w:rPr>
                          <w:t>及节</w:t>
                        </w:r>
                        <w:r>
                          <w:rPr>
                            <w:rFonts w:ascii="宋体" w:cs="宋体" w:hAnsi="宋体" w:hint="eastAsia"/>
                            <w:w w:val="99"/>
                            <w:sz w:val="20"/>
                            <w:szCs w:val="20"/>
                            <w:lang w:eastAsia="zh-CN"/>
                          </w:rPr>
                          <w:t>能评价值</w:t>
                        </w:r>
                        <w:r>
                          <w:rPr>
                            <w:rFonts w:ascii="宋体" w:cs="宋体" w:hAnsi="宋体" w:hint="eastAsia"/>
                            <w:spacing w:val="2"/>
                            <w:w w:val="99"/>
                            <w:sz w:val="20"/>
                            <w:szCs w:val="20"/>
                            <w:lang w:eastAsia="zh-CN"/>
                          </w:rPr>
                          <w:t>》</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19</w:t>
                        </w:r>
                        <w:r>
                          <w:rPr>
                            <w:rFonts w:ascii="宋体" w:cs="宋体" w:hAnsi="宋体" w:hint="eastAsia"/>
                            <w:w w:val="99"/>
                            <w:sz w:val="20"/>
                            <w:szCs w:val="20"/>
                            <w:lang w:eastAsia="zh-CN"/>
                          </w:rPr>
                          <w:t>76</w:t>
                        </w:r>
                        <w:r>
                          <w:rPr>
                            <w:rFonts w:ascii="宋体" w:cs="宋体" w:hAnsi="宋体" w:hint="eastAsia"/>
                            <w:spacing w:val="1"/>
                            <w:w w:val="99"/>
                            <w:sz w:val="20"/>
                            <w:szCs w:val="20"/>
                            <w:lang w:eastAsia="zh-CN"/>
                          </w:rPr>
                          <w:t>2</w:t>
                        </w:r>
                        <w:r>
                          <w:rPr>
                            <w:rFonts w:ascii="宋体" w:cs="宋体" w:hAnsi="宋体" w:hint="eastAsia"/>
                            <w:w w:val="99"/>
                            <w:sz w:val="20"/>
                            <w:szCs w:val="20"/>
                            <w:lang w:eastAsia="zh-CN"/>
                          </w:rPr>
                          <w:t>）</w:t>
                        </w:r>
                      </w:p>
                    </w:tc>
                  </w:tr>
                  <w:tr>
                    <w:tblPrEx/>
                    <w:trPr>
                      <w:trHeight w:val="1322" w:hRule="exact"/>
                    </w:trPr>
                    <w:tc>
                      <w:tcPr>
                        <w:tcW w:w="574"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spacing w:before="7"/>
                          <w:rPr>
                            <w:rFonts w:ascii="宋体" w:cs="宋体" w:hAnsi="宋体"/>
                            <w:sz w:val="26"/>
                            <w:szCs w:val="26"/>
                            <w:lang w:eastAsia="zh-CN"/>
                          </w:rPr>
                        </w:pPr>
                      </w:p>
                      <w:p>
                        <w:pPr>
                          <w:pStyle w:val="style4212"/>
                          <w:ind w:right="1"/>
                          <w:jc w:val="center"/>
                          <w:rPr>
                            <w:rFonts w:ascii="宋体" w:cs="宋体" w:hAnsi="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spacing w:before="8"/>
                          <w:rPr>
                            <w:rFonts w:ascii="宋体" w:cs="宋体" w:hAnsi="宋体"/>
                            <w:sz w:val="14"/>
                            <w:szCs w:val="14"/>
                          </w:rPr>
                        </w:pPr>
                      </w:p>
                      <w:p>
                        <w:pPr>
                          <w:pStyle w:val="style4212"/>
                          <w:ind w:left="7"/>
                          <w:rPr>
                            <w:rFonts w:ascii="宋体" w:cs="宋体" w:hAnsi="宋体"/>
                            <w:sz w:val="20"/>
                            <w:szCs w:val="20"/>
                          </w:rPr>
                        </w:pPr>
                        <w:r>
                          <w:rPr>
                            <w:rFonts w:ascii="宋体" w:cs="宋体" w:hAnsi="宋体" w:hint="eastAsia"/>
                            <w:spacing w:val="1"/>
                            <w:w w:val="99"/>
                            <w:sz w:val="20"/>
                            <w:szCs w:val="20"/>
                          </w:rPr>
                          <w:t>A02052300</w:t>
                        </w:r>
                        <w:r>
                          <w:rPr>
                            <w:rFonts w:ascii="宋体" w:cs="宋体" w:hAnsi="宋体" w:hint="eastAsia"/>
                            <w:w w:val="99"/>
                            <w:sz w:val="20"/>
                            <w:szCs w:val="20"/>
                          </w:rPr>
                          <w:t>制冷空调设备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spacing w:before="8"/>
                          <w:rPr>
                            <w:rFonts w:ascii="宋体" w:cs="宋体" w:hAnsi="宋体"/>
                            <w:sz w:val="14"/>
                            <w:szCs w:val="14"/>
                          </w:rPr>
                        </w:pPr>
                      </w:p>
                      <w:p>
                        <w:pPr>
                          <w:pStyle w:val="style4212"/>
                          <w:spacing w:lineRule="auto" w:line="278"/>
                          <w:ind w:left="7" w:right="5"/>
                          <w:rPr>
                            <w:rFonts w:ascii="宋体" w:cs="宋体" w:hAnsi="宋体"/>
                            <w:sz w:val="20"/>
                            <w:szCs w:val="20"/>
                          </w:rPr>
                        </w:pPr>
                        <w:r>
                          <w:rPr>
                            <w:rFonts w:ascii="宋体" w:cs="宋体" w:hAnsi="宋体" w:hint="eastAsia"/>
                            <w:w w:val="99"/>
                            <w:sz w:val="20"/>
                            <w:szCs w:val="20"/>
                          </w:rPr>
                          <w:t>★</w:t>
                        </w:r>
                        <w:r>
                          <w:rPr>
                            <w:rFonts w:ascii="宋体" w:cs="宋体" w:hAnsi="宋体" w:hint="eastAsia"/>
                            <w:spacing w:val="1"/>
                            <w:w w:val="99"/>
                            <w:sz w:val="20"/>
                            <w:szCs w:val="20"/>
                          </w:rPr>
                          <w:t>A020</w:t>
                        </w:r>
                        <w:r>
                          <w:rPr>
                            <w:rFonts w:ascii="宋体" w:cs="宋体" w:hAnsi="宋体" w:hint="eastAsia"/>
                            <w:w w:val="99"/>
                            <w:sz w:val="20"/>
                            <w:szCs w:val="20"/>
                          </w:rPr>
                          <w:t>52</w:t>
                        </w:r>
                        <w:r>
                          <w:rPr>
                            <w:rFonts w:ascii="宋体" w:cs="宋体" w:hAnsi="宋体" w:hint="eastAsia"/>
                            <w:spacing w:val="1"/>
                            <w:w w:val="99"/>
                            <w:sz w:val="20"/>
                            <w:szCs w:val="20"/>
                          </w:rPr>
                          <w:t>3</w:t>
                        </w:r>
                        <w:r>
                          <w:rPr>
                            <w:rFonts w:ascii="宋体" w:cs="宋体" w:hAnsi="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rPr>
                        </w:pPr>
                      </w:p>
                      <w:p>
                        <w:pPr>
                          <w:pStyle w:val="style4212"/>
                          <w:spacing w:before="1"/>
                          <w:rPr>
                            <w:rFonts w:ascii="宋体" w:cs="宋体" w:hAnsi="宋体"/>
                            <w:sz w:val="18"/>
                            <w:szCs w:val="18"/>
                          </w:rPr>
                        </w:pPr>
                      </w:p>
                      <w:p>
                        <w:pPr>
                          <w:pStyle w:val="style4212"/>
                          <w:ind w:left="7"/>
                          <w:rPr>
                            <w:rFonts w:ascii="宋体" w:cs="宋体" w:hAnsi="宋体"/>
                            <w:sz w:val="20"/>
                            <w:szCs w:val="20"/>
                          </w:rPr>
                        </w:pPr>
                        <w:r>
                          <w:rPr>
                            <w:rFonts w:ascii="宋体" w:cs="宋体" w:hAnsi="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30" w:lineRule="auto" w:line="278"/>
                          <w:ind w:left="7" w:right="4"/>
                          <w:jc w:val="both"/>
                          <w:rPr>
                            <w:rFonts w:ascii="宋体" w:cs="宋体" w:hAnsi="宋体"/>
                            <w:sz w:val="20"/>
                            <w:szCs w:val="20"/>
                            <w:lang w:eastAsia="zh-CN"/>
                          </w:rPr>
                        </w:pPr>
                        <w:r>
                          <w:rPr>
                            <w:rFonts w:ascii="宋体" w:cs="宋体" w:hAnsi="宋体" w:hint="eastAsia"/>
                            <w:spacing w:val="12"/>
                            <w:w w:val="99"/>
                            <w:sz w:val="20"/>
                            <w:szCs w:val="20"/>
                            <w:lang w:eastAsia="zh-CN"/>
                          </w:rPr>
                          <w:t>《冷水机组能效限定值</w:t>
                        </w:r>
                        <w:r>
                          <w:rPr>
                            <w:rFonts w:ascii="宋体" w:cs="宋体" w:hAnsi="宋体" w:hint="eastAsia"/>
                            <w:spacing w:val="9"/>
                            <w:w w:val="99"/>
                            <w:sz w:val="20"/>
                            <w:szCs w:val="20"/>
                            <w:lang w:eastAsia="zh-CN"/>
                          </w:rPr>
                          <w:t>及</w:t>
                        </w:r>
                        <w:r>
                          <w:rPr>
                            <w:rFonts w:ascii="宋体" w:cs="宋体" w:hAnsi="宋体" w:hint="eastAsia"/>
                            <w:spacing w:val="12"/>
                            <w:w w:val="99"/>
                            <w:sz w:val="20"/>
                            <w:szCs w:val="20"/>
                            <w:lang w:eastAsia="zh-CN"/>
                          </w:rPr>
                          <w:t>能效</w:t>
                        </w:r>
                        <w:r>
                          <w:rPr>
                            <w:rFonts w:ascii="宋体" w:cs="宋体" w:hAnsi="宋体" w:hint="eastAsia"/>
                            <w:w w:val="99"/>
                            <w:sz w:val="20"/>
                            <w:szCs w:val="20"/>
                            <w:lang w:eastAsia="zh-CN"/>
                          </w:rPr>
                          <w:t>等级</w:t>
                        </w:r>
                        <w:r>
                          <w:rPr>
                            <w:rFonts w:ascii="宋体" w:cs="宋体" w:hAnsi="宋体" w:hint="eastAsia"/>
                            <w:spacing w:val="-3"/>
                            <w:w w:val="99"/>
                            <w:sz w:val="20"/>
                            <w:szCs w:val="20"/>
                            <w:lang w:eastAsia="zh-CN"/>
                          </w:rPr>
                          <w:t>》</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195</w:t>
                        </w:r>
                        <w:r>
                          <w:rPr>
                            <w:rFonts w:ascii="宋体" w:cs="宋体" w:hAnsi="宋体" w:hint="eastAsia"/>
                            <w:w w:val="99"/>
                            <w:sz w:val="20"/>
                            <w:szCs w:val="20"/>
                            <w:lang w:eastAsia="zh-CN"/>
                          </w:rPr>
                          <w:t>77</w:t>
                        </w:r>
                        <w:r>
                          <w:rPr>
                            <w:rFonts w:ascii="宋体" w:cs="宋体" w:hAnsi="宋体" w:hint="eastAsia"/>
                            <w:spacing w:val="-3"/>
                            <w:w w:val="99"/>
                            <w:sz w:val="20"/>
                            <w:szCs w:val="20"/>
                            <w:lang w:eastAsia="zh-CN"/>
                          </w:rPr>
                          <w:t>），</w:t>
                        </w:r>
                        <w:r>
                          <w:rPr>
                            <w:rFonts w:ascii="宋体" w:cs="宋体" w:hAnsi="宋体" w:hint="eastAsia"/>
                            <w:w w:val="99"/>
                            <w:sz w:val="20"/>
                            <w:szCs w:val="20"/>
                            <w:lang w:eastAsia="zh-CN"/>
                          </w:rPr>
                          <w:t>《低</w:t>
                        </w:r>
                        <w:r>
                          <w:rPr>
                            <w:rFonts w:ascii="宋体" w:cs="宋体" w:hAnsi="宋体" w:hint="eastAsia"/>
                            <w:spacing w:val="2"/>
                            <w:w w:val="99"/>
                            <w:sz w:val="20"/>
                            <w:szCs w:val="20"/>
                            <w:lang w:eastAsia="zh-CN"/>
                          </w:rPr>
                          <w:t>环</w:t>
                        </w:r>
                        <w:r>
                          <w:rPr>
                            <w:rFonts w:ascii="宋体" w:cs="宋体" w:hAnsi="宋体" w:hint="eastAsia"/>
                            <w:w w:val="99"/>
                            <w:sz w:val="20"/>
                            <w:szCs w:val="20"/>
                            <w:lang w:eastAsia="zh-CN"/>
                          </w:rPr>
                          <w:t>境温度空气源</w:t>
                        </w:r>
                        <w:r>
                          <w:rPr>
                            <w:rFonts w:ascii="宋体" w:cs="宋体" w:hAnsi="宋体" w:hint="eastAsia"/>
                            <w:spacing w:val="2"/>
                            <w:w w:val="99"/>
                            <w:sz w:val="20"/>
                            <w:szCs w:val="20"/>
                            <w:lang w:eastAsia="zh-CN"/>
                          </w:rPr>
                          <w:t>热</w:t>
                        </w:r>
                        <w:r>
                          <w:rPr>
                            <w:rFonts w:ascii="宋体" w:cs="宋体" w:hAnsi="宋体" w:hint="eastAsia"/>
                            <w:spacing w:val="-29"/>
                            <w:w w:val="99"/>
                            <w:sz w:val="20"/>
                            <w:szCs w:val="20"/>
                            <w:lang w:eastAsia="zh-CN"/>
                          </w:rPr>
                          <w:t>泵</w:t>
                        </w:r>
                        <w:r>
                          <w:rPr>
                            <w:rFonts w:ascii="宋体" w:cs="宋体" w:hAnsi="宋体" w:hint="eastAsia"/>
                            <w:spacing w:val="2"/>
                            <w:w w:val="99"/>
                            <w:sz w:val="20"/>
                            <w:szCs w:val="20"/>
                            <w:lang w:eastAsia="zh-CN"/>
                          </w:rPr>
                          <w:t>（</w:t>
                        </w:r>
                        <w:r>
                          <w:rPr>
                            <w:rFonts w:ascii="宋体" w:cs="宋体" w:hAnsi="宋体" w:hint="eastAsia"/>
                            <w:w w:val="99"/>
                            <w:sz w:val="20"/>
                            <w:szCs w:val="20"/>
                            <w:lang w:eastAsia="zh-CN"/>
                          </w:rPr>
                          <w:t>冷水</w:t>
                        </w:r>
                        <w:r>
                          <w:rPr>
                            <w:rFonts w:ascii="宋体" w:cs="宋体" w:hAnsi="宋体" w:hint="eastAsia"/>
                            <w:spacing w:val="-27"/>
                            <w:w w:val="99"/>
                            <w:sz w:val="20"/>
                            <w:szCs w:val="20"/>
                            <w:lang w:eastAsia="zh-CN"/>
                          </w:rPr>
                          <w:t>）</w:t>
                        </w:r>
                        <w:r>
                          <w:rPr>
                            <w:rFonts w:ascii="宋体" w:cs="宋体" w:hAnsi="宋体" w:hint="eastAsia"/>
                            <w:w w:val="99"/>
                            <w:sz w:val="20"/>
                            <w:szCs w:val="20"/>
                            <w:lang w:eastAsia="zh-CN"/>
                          </w:rPr>
                          <w:t>机组</w:t>
                        </w:r>
                        <w:r>
                          <w:rPr>
                            <w:rFonts w:ascii="宋体" w:cs="宋体" w:hAnsi="宋体" w:hint="eastAsia"/>
                            <w:spacing w:val="2"/>
                            <w:w w:val="99"/>
                            <w:sz w:val="20"/>
                            <w:szCs w:val="20"/>
                            <w:lang w:eastAsia="zh-CN"/>
                          </w:rPr>
                          <w:t>能</w:t>
                        </w:r>
                        <w:r>
                          <w:rPr>
                            <w:rFonts w:ascii="宋体" w:cs="宋体" w:hAnsi="宋体" w:hint="eastAsia"/>
                            <w:w w:val="99"/>
                            <w:sz w:val="20"/>
                            <w:szCs w:val="20"/>
                            <w:lang w:eastAsia="zh-CN"/>
                          </w:rPr>
                          <w:t>效限定值及能</w:t>
                        </w:r>
                        <w:r>
                          <w:rPr>
                            <w:rFonts w:ascii="宋体" w:cs="宋体" w:hAnsi="宋体" w:hint="eastAsia"/>
                            <w:spacing w:val="2"/>
                            <w:w w:val="99"/>
                            <w:sz w:val="20"/>
                            <w:szCs w:val="20"/>
                            <w:lang w:eastAsia="zh-CN"/>
                          </w:rPr>
                          <w:t>效</w:t>
                        </w:r>
                        <w:r>
                          <w:rPr>
                            <w:rFonts w:ascii="宋体" w:cs="宋体" w:hAnsi="宋体" w:hint="eastAsia"/>
                            <w:w w:val="99"/>
                            <w:sz w:val="20"/>
                            <w:szCs w:val="20"/>
                            <w:lang w:eastAsia="zh-CN"/>
                          </w:rPr>
                          <w:t>等级</w:t>
                        </w:r>
                        <w:r>
                          <w:rPr>
                            <w:rFonts w:ascii="宋体" w:cs="宋体" w:hAnsi="宋体" w:hint="eastAsia"/>
                            <w:spacing w:val="2"/>
                            <w:w w:val="99"/>
                            <w:sz w:val="20"/>
                            <w:szCs w:val="20"/>
                            <w:lang w:eastAsia="zh-CN"/>
                          </w:rPr>
                          <w:t>》</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37</w:t>
                        </w:r>
                        <w:r>
                          <w:rPr>
                            <w:rFonts w:ascii="宋体" w:cs="宋体" w:hAnsi="宋体" w:hint="eastAsia"/>
                            <w:w w:val="99"/>
                            <w:sz w:val="20"/>
                            <w:szCs w:val="20"/>
                            <w:lang w:eastAsia="zh-CN"/>
                          </w:rPr>
                          <w:t>48</w:t>
                        </w:r>
                        <w:r>
                          <w:rPr>
                            <w:rFonts w:ascii="宋体" w:cs="宋体" w:hAnsi="宋体" w:hint="eastAsia"/>
                            <w:spacing w:val="-2"/>
                            <w:w w:val="99"/>
                            <w:sz w:val="20"/>
                            <w:szCs w:val="20"/>
                            <w:lang w:eastAsia="zh-CN"/>
                          </w:rPr>
                          <w:t>0</w:t>
                        </w:r>
                        <w:r>
                          <w:rPr>
                            <w:rFonts w:ascii="宋体" w:cs="宋体" w:hAnsi="宋体" w:hint="eastAsia"/>
                            <w:w w:val="99"/>
                            <w:sz w:val="20"/>
                            <w:szCs w:val="20"/>
                            <w:lang w:eastAsia="zh-CN"/>
                          </w:rPr>
                          <w:t>）</w:t>
                        </w:r>
                      </w:p>
                    </w:tc>
                  </w:tr>
                  <w:tr>
                    <w:tblPrEx/>
                    <w:trPr>
                      <w:trHeight w:val="744" w:hRule="exact"/>
                    </w:trPr>
                    <w:tc>
                      <w:tcPr>
                        <w:tcW w:w="574"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478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pPr>
                          <w:pStyle w:val="style4212"/>
                          <w:spacing w:before="12"/>
                          <w:rPr>
                            <w:rFonts w:ascii="宋体" w:cs="宋体" w:hAnsi="宋体"/>
                            <w:sz w:val="15"/>
                            <w:szCs w:val="15"/>
                            <w:lang w:eastAsia="zh-CN"/>
                          </w:rPr>
                        </w:pPr>
                      </w:p>
                      <w:p>
                        <w:pPr>
                          <w:pStyle w:val="style4212"/>
                          <w:ind w:left="7"/>
                          <w:rPr>
                            <w:rFonts w:ascii="宋体" w:cs="宋体" w:hAnsi="宋体"/>
                            <w:sz w:val="20"/>
                            <w:szCs w:val="20"/>
                          </w:rPr>
                        </w:pPr>
                        <w:r>
                          <w:rPr>
                            <w:rFonts w:ascii="宋体" w:cs="宋体" w:hAnsi="宋体" w:hint="eastAsia"/>
                            <w:w w:val="99"/>
                            <w:sz w:val="20"/>
                            <w:szCs w:val="20"/>
                          </w:rPr>
                          <w:t>水源热</w:t>
                        </w:r>
                        <w:r>
                          <w:rPr>
                            <w:rFonts w:ascii="宋体" w:cs="宋体" w:hAnsi="宋体" w:hint="eastAsia"/>
                            <w:spacing w:val="2"/>
                            <w:w w:val="99"/>
                            <w:sz w:val="20"/>
                            <w:szCs w:val="20"/>
                          </w:rPr>
                          <w:t>泵</w:t>
                        </w:r>
                        <w:r>
                          <w:rPr>
                            <w:rFonts w:ascii="宋体" w:cs="宋体" w:hAnsi="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pPr>
                          <w:pStyle w:val="style4212"/>
                          <w:spacing w:before="52" w:lineRule="auto" w:line="278"/>
                          <w:ind w:left="7" w:right="7"/>
                          <w:rPr>
                            <w:rFonts w:ascii="宋体" w:cs="宋体" w:hAnsi="宋体"/>
                            <w:sz w:val="20"/>
                            <w:szCs w:val="20"/>
                            <w:lang w:eastAsia="zh-CN"/>
                          </w:rPr>
                        </w:pPr>
                        <w:r>
                          <w:rPr>
                            <w:rFonts w:ascii="宋体" w:cs="宋体" w:hAnsi="宋体" w:hint="eastAsia"/>
                            <w:w w:val="99"/>
                            <w:sz w:val="20"/>
                            <w:szCs w:val="20"/>
                            <w:lang w:eastAsia="zh-CN"/>
                          </w:rPr>
                          <w:t>《</w:t>
                        </w:r>
                        <w:r>
                          <w:rPr>
                            <w:rFonts w:ascii="宋体" w:cs="宋体" w:hAnsi="宋体" w:hint="eastAsia"/>
                            <w:spacing w:val="-29"/>
                            <w:w w:val="99"/>
                            <w:sz w:val="20"/>
                            <w:szCs w:val="20"/>
                            <w:lang w:eastAsia="zh-CN"/>
                          </w:rPr>
                          <w:t>水</w:t>
                        </w:r>
                        <w:r>
                          <w:rPr>
                            <w:rFonts w:ascii="宋体" w:cs="宋体" w:hAnsi="宋体" w:hint="eastAsia"/>
                            <w:w w:val="99"/>
                            <w:sz w:val="20"/>
                            <w:szCs w:val="20"/>
                            <w:lang w:eastAsia="zh-CN"/>
                          </w:rPr>
                          <w:t>（</w:t>
                        </w:r>
                        <w:r>
                          <w:rPr>
                            <w:rFonts w:ascii="宋体" w:cs="宋体" w:hAnsi="宋体" w:hint="eastAsia"/>
                            <w:spacing w:val="2"/>
                            <w:w w:val="99"/>
                            <w:sz w:val="20"/>
                            <w:szCs w:val="20"/>
                            <w:lang w:eastAsia="zh-CN"/>
                          </w:rPr>
                          <w:t>地</w:t>
                        </w:r>
                        <w:r>
                          <w:rPr>
                            <w:rFonts w:ascii="宋体" w:cs="宋体" w:hAnsi="宋体" w:hint="eastAsia"/>
                            <w:spacing w:val="-29"/>
                            <w:w w:val="99"/>
                            <w:sz w:val="20"/>
                            <w:szCs w:val="20"/>
                            <w:lang w:eastAsia="zh-CN"/>
                          </w:rPr>
                          <w:t>）</w:t>
                        </w:r>
                        <w:r>
                          <w:rPr>
                            <w:rFonts w:ascii="宋体" w:cs="宋体" w:hAnsi="宋体" w:hint="eastAsia"/>
                            <w:spacing w:val="2"/>
                            <w:w w:val="99"/>
                            <w:sz w:val="20"/>
                            <w:szCs w:val="20"/>
                            <w:lang w:eastAsia="zh-CN"/>
                          </w:rPr>
                          <w:t>源</w:t>
                        </w:r>
                        <w:r>
                          <w:rPr>
                            <w:rFonts w:ascii="宋体" w:cs="宋体" w:hAnsi="宋体" w:hint="eastAsia"/>
                            <w:w w:val="99"/>
                            <w:sz w:val="20"/>
                            <w:szCs w:val="20"/>
                            <w:lang w:eastAsia="zh-CN"/>
                          </w:rPr>
                          <w:t>热泵</w:t>
                        </w:r>
                        <w:r>
                          <w:rPr>
                            <w:rFonts w:ascii="宋体" w:cs="宋体" w:hAnsi="宋体" w:hint="eastAsia"/>
                            <w:spacing w:val="2"/>
                            <w:w w:val="99"/>
                            <w:sz w:val="20"/>
                            <w:szCs w:val="20"/>
                            <w:lang w:eastAsia="zh-CN"/>
                          </w:rPr>
                          <w:t>机</w:t>
                        </w:r>
                        <w:r>
                          <w:rPr>
                            <w:rFonts w:ascii="宋体" w:cs="宋体" w:hAnsi="宋体" w:hint="eastAsia"/>
                            <w:w w:val="99"/>
                            <w:sz w:val="20"/>
                            <w:szCs w:val="20"/>
                            <w:lang w:eastAsia="zh-CN"/>
                          </w:rPr>
                          <w:t>组能</w:t>
                        </w:r>
                        <w:r>
                          <w:rPr>
                            <w:rFonts w:ascii="宋体" w:cs="宋体" w:hAnsi="宋体" w:hint="eastAsia"/>
                            <w:spacing w:val="2"/>
                            <w:w w:val="99"/>
                            <w:sz w:val="20"/>
                            <w:szCs w:val="20"/>
                            <w:lang w:eastAsia="zh-CN"/>
                          </w:rPr>
                          <w:t>效</w:t>
                        </w:r>
                        <w:r>
                          <w:rPr>
                            <w:rFonts w:ascii="宋体" w:cs="宋体" w:hAnsi="宋体" w:hint="eastAsia"/>
                            <w:w w:val="99"/>
                            <w:sz w:val="20"/>
                            <w:szCs w:val="20"/>
                            <w:lang w:eastAsia="zh-CN"/>
                          </w:rPr>
                          <w:t>限定值及能效</w:t>
                        </w:r>
                        <w:r>
                          <w:rPr>
                            <w:rFonts w:ascii="宋体" w:cs="宋体" w:hAnsi="宋体" w:hint="eastAsia"/>
                            <w:spacing w:val="2"/>
                            <w:w w:val="99"/>
                            <w:sz w:val="20"/>
                            <w:szCs w:val="20"/>
                            <w:lang w:eastAsia="zh-CN"/>
                          </w:rPr>
                          <w:t>等</w:t>
                        </w:r>
                        <w:r>
                          <w:rPr>
                            <w:rFonts w:ascii="宋体" w:cs="宋体" w:hAnsi="宋体" w:hint="eastAsia"/>
                            <w:w w:val="99"/>
                            <w:sz w:val="20"/>
                            <w:szCs w:val="20"/>
                            <w:lang w:eastAsia="zh-CN"/>
                          </w:rPr>
                          <w:t>级》（</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30721</w:t>
                        </w:r>
                        <w:r>
                          <w:rPr>
                            <w:rFonts w:ascii="宋体" w:cs="宋体" w:hAnsi="宋体" w:hint="eastAsia"/>
                            <w:w w:val="99"/>
                            <w:sz w:val="20"/>
                            <w:szCs w:val="20"/>
                            <w:lang w:eastAsia="zh-CN"/>
                          </w:rPr>
                          <w:t>）</w:t>
                        </w:r>
                      </w:p>
                    </w:tc>
                  </w:tr>
                </w:tbl>
                <w:p>
                  <w:pPr>
                    <w:pStyle w:val="style0"/>
                    <w:rPr>
                      <w:rFonts w:ascii="Calibri" w:hAnsi="Calibri"/>
                      <w:sz w:val="22"/>
                      <w:szCs w:val="22"/>
                    </w:rPr>
                  </w:pPr>
                </w:p>
              </w:txbxContent>
            </v:textbox>
          </v:shape>
        </w:pict>
      </w: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rPr>
          <w:rFonts w:ascii="Arial Unicode MS" w:cs="Arial Unicode MS" w:eastAsia="Arial Unicode MS" w:hAnsi="Arial Unicode MS"/>
          <w:sz w:val="20"/>
          <w:szCs w:val="20"/>
        </w:rPr>
      </w:pPr>
    </w:p>
    <w:p>
      <w:pPr>
        <w:pStyle w:val="style0"/>
        <w:spacing w:before="16"/>
        <w:rPr>
          <w:rFonts w:ascii="Arial Unicode MS" w:cs="Arial Unicode MS" w:eastAsia="Arial Unicode MS" w:hAnsi="Arial Unicode MS"/>
          <w:sz w:val="17"/>
          <w:szCs w:val="17"/>
        </w:rPr>
      </w:pPr>
    </w:p>
    <w:p>
      <w:pPr>
        <w:pStyle w:val="style0"/>
        <w:rPr>
          <w:rFonts w:ascii="宋体" w:cs="宋体" w:hAnsi="宋体"/>
          <w:sz w:val="20"/>
          <w:szCs w:val="20"/>
        </w:rPr>
      </w:pPr>
    </w:p>
    <w:p>
      <w:pPr>
        <w:pStyle w:val="style0"/>
        <w:rPr>
          <w:rFonts w:ascii="宋体" w:cs="宋体" w:hAnsi="宋体"/>
          <w:sz w:val="20"/>
          <w:szCs w:val="20"/>
        </w:rPr>
      </w:pPr>
    </w:p>
    <w:p>
      <w:pPr>
        <w:pStyle w:val="style0"/>
        <w:spacing w:before="3"/>
        <w:rPr>
          <w:rFonts w:ascii="宋体" w:cs="宋体" w:hAnsi="宋体"/>
          <w:sz w:val="15"/>
          <w:szCs w:val="15"/>
        </w:rPr>
      </w:pPr>
    </w:p>
    <w:p>
      <w:pPr>
        <w:pStyle w:val="style0"/>
        <w:widowControl/>
        <w:jc w:val="left"/>
        <w:rPr>
          <w:rFonts w:ascii="宋体" w:cs="宋体" w:hAnsi="宋体"/>
          <w:sz w:val="20"/>
          <w:szCs w:val="20"/>
        </w:rPr>
        <w:sectPr>
          <w:pgSz w:w="11910" w:h="16840" w:orient="portrait"/>
          <w:pgMar w:top="1520" w:right="1500" w:bottom="280" w:left="1680" w:header="720" w:footer="720" w:gutter="0"/>
          <w:cols w:space="720"/>
        </w:sectPr>
      </w:pPr>
    </w:p>
    <w:p>
      <w:pPr>
        <w:pStyle w:val="style0"/>
        <w:rPr>
          <w:rFonts w:ascii="宋体" w:cs="宋体" w:hAnsi="宋体"/>
          <w:sz w:val="20"/>
          <w:szCs w:val="20"/>
        </w:rPr>
      </w:pPr>
      <w:r>
        <w:rPr/>
        <w:pict>
          <v:shape id="1029" type="#_x0000_t202" filled="f" stroked="f" style="position:absolute;margin-left:67.45pt;margin-top:3.45pt;width:485.5pt;height:671.2pt;z-index:3;mso-position-horizontal-relative:page;mso-position-vertical-relative:text;mso-width-relative:page;mso-height-relative:page;mso-wrap-distance-left:0.0pt;mso-wrap-distance-right:0.0pt;visibility:visible;">
            <v:stroke on="f" joinstyle="miter"/>
            <v:fill/>
            <v:path o:connecttype="rect" gradientshapeok="t"/>
            <v:textbox inset="0.0pt,0.0pt,0.0pt,0.0pt">
              <w:txbxContent>
                <w:tbl>
                  <w:tblPr>
                    <w:tblW w:w="9105" w:type="dxa"/>
                    <w:tblInd w:w="7" w:type="dxa"/>
                    <w:tblLayout w:type="fixed"/>
                    <w:tblCellMar>
                      <w:left w:w="0" w:type="dxa"/>
                      <w:right w:w="0" w:type="dxa"/>
                    </w:tblCellMar>
                    <w:tblLook w:val="04A0" w:firstRow="1" w:lastRow="0" w:firstColumn="1" w:lastColumn="0" w:noHBand="0" w:noVBand="1"/>
                  </w:tblPr>
                  <w:tblGrid>
                    <w:gridCol w:w="570"/>
                    <w:gridCol w:w="1163"/>
                    <w:gridCol w:w="1800"/>
                    <w:gridCol w:w="1792"/>
                    <w:gridCol w:w="3780"/>
                  </w:tblGrid>
                  <w:tr>
                    <w:trPr>
                      <w:trHeight w:val="416" w:hRule="atLeast"/>
                    </w:trPr>
                    <w:tc>
                      <w:tcPr>
                        <w:tcW w:w="570" w:type="dxa"/>
                        <w:vMerge w:val="restart"/>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pPr>
                          <w:pStyle w:val="style4212"/>
                          <w:spacing w:before="93"/>
                          <w:ind w:left="7"/>
                          <w:rPr>
                            <w:rFonts w:ascii="宋体" w:cs="宋体" w:hAnsi="宋体"/>
                            <w:sz w:val="20"/>
                            <w:szCs w:val="20"/>
                          </w:rPr>
                        </w:pPr>
                        <w:r>
                          <w:rPr>
                            <w:rFonts w:ascii="宋体" w:cs="宋体" w:hAnsi="宋体" w:hint="eastAsia"/>
                            <w:w w:val="99"/>
                            <w:sz w:val="20"/>
                            <w:szCs w:val="20"/>
                          </w:rPr>
                          <w:t>溴化锂吸收式冷水机</w:t>
                        </w:r>
                      </w:p>
                    </w:tc>
                    <w:tc>
                      <w:tcPr>
                        <w:tcW w:w="3780" w:type="dxa"/>
                        <w:vMerge w:val="restart"/>
                        <w:tcBorders>
                          <w:top w:val="single" w:sz="4" w:space="0" w:color="000000"/>
                          <w:left w:val="single" w:sz="4" w:space="0" w:color="000000"/>
                          <w:bottom w:val="single" w:sz="4" w:space="0" w:color="000000"/>
                          <w:right w:val="single" w:sz="4" w:space="0" w:color="000000"/>
                        </w:tcBorders>
                      </w:tcPr>
                      <w:p>
                        <w:pPr>
                          <w:pStyle w:val="style4212"/>
                          <w:spacing w:before="93"/>
                          <w:ind w:left="7"/>
                          <w:rPr>
                            <w:rFonts w:ascii="宋体" w:cs="宋体" w:hAnsi="宋体"/>
                            <w:w w:val="99"/>
                            <w:sz w:val="20"/>
                            <w:szCs w:val="20"/>
                            <w:lang w:eastAsia="zh-CN"/>
                          </w:rPr>
                        </w:pPr>
                        <w:r>
                          <w:rPr>
                            <w:rFonts w:ascii="宋体" w:cs="宋体" w:hAnsi="宋体" w:hint="eastAsia"/>
                            <w:w w:val="99"/>
                            <w:sz w:val="20"/>
                            <w:szCs w:val="20"/>
                            <w:lang w:eastAsia="zh-CN"/>
                          </w:rPr>
                          <w:t>《溴化锂吸收式冷水机组能效限</w:t>
                        </w:r>
                      </w:p>
                      <w:p>
                        <w:pPr>
                          <w:pStyle w:val="style4212"/>
                          <w:spacing w:lineRule="exact" w:line="256"/>
                          <w:ind w:left="7"/>
                          <w:rPr>
                            <w:rFonts w:ascii="宋体" w:cs="宋体" w:hAnsi="宋体"/>
                            <w:sz w:val="20"/>
                            <w:szCs w:val="20"/>
                            <w:lang w:eastAsia="zh-CN"/>
                          </w:rPr>
                        </w:pPr>
                        <w:r>
                          <w:rPr>
                            <w:rFonts w:ascii="宋体" w:cs="宋体" w:hAnsi="宋体" w:hint="eastAsia"/>
                            <w:w w:val="99"/>
                            <w:sz w:val="20"/>
                            <w:szCs w:val="20"/>
                            <w:lang w:eastAsia="zh-CN"/>
                          </w:rPr>
                          <w:t>定值及能效等级》（GB29540）</w:t>
                        </w:r>
                      </w:p>
                    </w:tc>
                  </w:tr>
                  <w:tr>
                    <w:tblPrEx/>
                    <w:trPr>
                      <w:trHeight w:val="408" w:hRule="atLeas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792" w:type="dxa"/>
                        <w:tcBorders>
                          <w:top w:val="nil"/>
                          <w:left w:val="single" w:sz="4" w:space="0" w:color="000000"/>
                          <w:bottom w:val="single" w:sz="4" w:space="0" w:color="000000"/>
                          <w:right w:val="single" w:sz="4" w:space="0" w:color="000000"/>
                        </w:tcBorders>
                      </w:tcPr>
                      <w:p>
                        <w:pPr>
                          <w:pStyle w:val="style4212"/>
                          <w:spacing w:lineRule="exact" w:line="256"/>
                          <w:ind w:left="7"/>
                          <w:rPr>
                            <w:rFonts w:ascii="宋体" w:cs="宋体" w:hAnsi="宋体"/>
                            <w:sz w:val="20"/>
                            <w:szCs w:val="20"/>
                          </w:rPr>
                        </w:pPr>
                        <w:r>
                          <w:rPr>
                            <w:rFonts w:ascii="宋体" w:cs="宋体" w:hAnsi="宋体" w:hint="eastAsia"/>
                            <w:w w:val="99"/>
                            <w:sz w:val="20"/>
                            <w:szCs w:val="20"/>
                          </w:rPr>
                          <w:t>组</w:t>
                        </w:r>
                      </w:p>
                    </w:tc>
                    <w:tc>
                      <w:tcPr>
                        <w:tcW w:w="37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r>
                  <w:tr>
                    <w:tblPrEx/>
                    <w:trPr>
                      <w:trHeight w:val="958" w:hRule="exac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spacing w:before="3"/>
                          <w:rPr>
                            <w:rFonts w:ascii="宋体" w:cs="宋体" w:hAnsi="宋体"/>
                            <w:sz w:val="21"/>
                            <w:szCs w:val="21"/>
                            <w:lang w:eastAsia="zh-CN"/>
                          </w:rPr>
                        </w:pPr>
                      </w:p>
                      <w:p>
                        <w:pPr>
                          <w:pStyle w:val="style4212"/>
                          <w:spacing w:lineRule="auto" w:line="278"/>
                          <w:ind w:left="7" w:right="5"/>
                          <w:rPr>
                            <w:rFonts w:ascii="宋体" w:cs="宋体" w:hAnsi="宋体"/>
                            <w:sz w:val="20"/>
                            <w:szCs w:val="20"/>
                          </w:rPr>
                        </w:pPr>
                        <w:r>
                          <w:rPr>
                            <w:rFonts w:ascii="宋体" w:cs="宋体" w:hAnsi="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pPr>
                          <w:pStyle w:val="style4212"/>
                          <w:spacing w:before="4" w:lineRule="auto" w:line="278"/>
                          <w:ind w:left="7" w:right="7"/>
                          <w:jc w:val="both"/>
                          <w:rPr>
                            <w:rFonts w:ascii="宋体" w:cs="宋体" w:hAnsi="宋体"/>
                            <w:w w:val="99"/>
                            <w:sz w:val="20"/>
                            <w:szCs w:val="20"/>
                            <w:lang w:eastAsia="zh-CN"/>
                          </w:rPr>
                        </w:pPr>
                        <w:r>
                          <w:rPr>
                            <w:rFonts w:ascii="宋体" w:cs="宋体" w:hAnsi="宋体" w:hint="eastAsia"/>
                            <w:w w:val="99"/>
                            <w:sz w:val="20"/>
                            <w:szCs w:val="20"/>
                            <w:lang w:eastAsia="zh-CN"/>
                          </w:rPr>
                          <w:t>多联式空调（热泵）机组</w:t>
                        </w:r>
                      </w:p>
                      <w:p>
                        <w:pPr>
                          <w:pStyle w:val="style4212"/>
                          <w:spacing w:before="4" w:lineRule="auto" w:line="278"/>
                          <w:ind w:left="7" w:right="7"/>
                          <w:jc w:val="both"/>
                          <w:rPr>
                            <w:rFonts w:ascii="宋体" w:cs="宋体" w:hAnsi="宋体"/>
                            <w:sz w:val="20"/>
                            <w:szCs w:val="20"/>
                            <w:lang w:eastAsia="zh-CN"/>
                          </w:rPr>
                        </w:pPr>
                        <w:r>
                          <w:rPr>
                            <w:rFonts w:ascii="宋体" w:cs="宋体" w:hAnsi="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pPr>
                          <w:pStyle w:val="style4212"/>
                          <w:spacing w:before="160" w:lineRule="auto" w:line="278"/>
                          <w:ind w:left="7" w:right="7"/>
                          <w:rPr>
                            <w:rFonts w:ascii="宋体" w:cs="宋体" w:hAnsi="宋体"/>
                            <w:sz w:val="20"/>
                            <w:szCs w:val="20"/>
                            <w:lang w:eastAsia="zh-CN"/>
                          </w:rPr>
                        </w:pPr>
                        <w:r>
                          <w:rPr>
                            <w:rFonts w:ascii="宋体" w:cs="宋体" w:hAnsi="宋体" w:hint="eastAsia"/>
                            <w:w w:val="99"/>
                            <w:sz w:val="20"/>
                            <w:szCs w:val="20"/>
                            <w:lang w:eastAsia="zh-CN"/>
                          </w:rPr>
                          <w:t>《多联式空调（热泵）机组能效限定值及能源效率等级》（GB21454）</w:t>
                        </w:r>
                      </w:p>
                    </w:tc>
                  </w:tr>
                  <w:tr>
                    <w:tblPrEx/>
                    <w:trPr>
                      <w:trHeight w:val="644" w:hRule="exac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792" w:type="dxa"/>
                        <w:tcBorders>
                          <w:top w:val="single" w:sz="4" w:space="0" w:color="000000"/>
                          <w:left w:val="single" w:sz="4" w:space="0" w:color="000000"/>
                          <w:bottom w:val="nil"/>
                          <w:right w:val="single" w:sz="4" w:space="0" w:color="000000"/>
                        </w:tcBorders>
                      </w:tcPr>
                      <w:p>
                        <w:pPr>
                          <w:pStyle w:val="style4212"/>
                          <w:spacing w:before="7"/>
                          <w:rPr>
                            <w:rFonts w:ascii="宋体" w:cs="宋体" w:hAnsi="宋体"/>
                            <w:sz w:val="24"/>
                            <w:szCs w:val="24"/>
                            <w:lang w:eastAsia="zh-CN"/>
                          </w:rPr>
                        </w:pPr>
                      </w:p>
                      <w:p>
                        <w:pPr>
                          <w:pStyle w:val="style4212"/>
                          <w:ind w:left="7"/>
                          <w:rPr>
                            <w:rFonts w:ascii="宋体" w:cs="宋体" w:hAnsi="宋体"/>
                            <w:sz w:val="20"/>
                            <w:szCs w:val="20"/>
                          </w:rPr>
                        </w:pPr>
                        <w:r>
                          <w:rPr>
                            <w:rFonts w:ascii="宋体" w:cs="宋体" w:hAnsi="宋体" w:hint="eastAsia"/>
                            <w:w w:val="99"/>
                            <w:sz w:val="20"/>
                            <w:szCs w:val="20"/>
                          </w:rPr>
                          <w:t>单元式空气调节机</w:t>
                        </w:r>
                      </w:p>
                    </w:tc>
                    <w:tc>
                      <w:tcPr>
                        <w:tcW w:w="3780" w:type="dxa"/>
                        <w:vMerge w:val="restart"/>
                        <w:tcBorders>
                          <w:top w:val="single" w:sz="4" w:space="0" w:color="000000"/>
                          <w:left w:val="single" w:sz="4" w:space="0" w:color="000000"/>
                          <w:bottom w:val="nil"/>
                          <w:right w:val="single" w:sz="4" w:space="0" w:color="000000"/>
                        </w:tcBorders>
                      </w:tcPr>
                      <w:p>
                        <w:pPr>
                          <w:pStyle w:val="style4212"/>
                          <w:spacing w:before="9" w:lineRule="auto" w:line="278"/>
                          <w:ind w:left="7" w:right="4"/>
                          <w:rPr>
                            <w:rFonts w:ascii="宋体" w:cs="宋体" w:hAnsi="宋体"/>
                            <w:sz w:val="20"/>
                            <w:szCs w:val="20"/>
                            <w:lang w:eastAsia="zh-CN"/>
                          </w:rPr>
                        </w:pPr>
                        <w:r>
                          <w:rPr>
                            <w:rFonts w:ascii="宋体" w:cs="宋体" w:hAnsi="宋体" w:hint="eastAsia"/>
                            <w:w w:val="99"/>
                            <w:sz w:val="20"/>
                            <w:szCs w:val="20"/>
                            <w:lang w:eastAsia="zh-CN"/>
                          </w:rPr>
                          <w:t>《单元式空气调节机能效限定值及能效等级》（GB19576）《风管送风式空调机组能效限定值及能效等级》（GB37479）</w:t>
                        </w:r>
                      </w:p>
                    </w:tc>
                  </w:tr>
                  <w:tr>
                    <w:tblPrEx/>
                    <w:trPr>
                      <w:trHeight w:val="402" w:hRule="atLeas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792" w:type="dxa"/>
                        <w:tcBorders>
                          <w:top w:val="nil"/>
                          <w:left w:val="single" w:sz="4" w:space="0" w:color="000000"/>
                          <w:bottom w:val="single" w:sz="4" w:space="0" w:color="000000"/>
                          <w:right w:val="single" w:sz="4" w:space="0" w:color="000000"/>
                        </w:tcBorders>
                      </w:tcPr>
                      <w:p>
                        <w:pPr>
                          <w:pStyle w:val="style4212"/>
                          <w:spacing w:lineRule="exact" w:line="256"/>
                          <w:ind w:left="7"/>
                          <w:rPr>
                            <w:rFonts w:ascii="宋体" w:cs="宋体" w:hAnsi="宋体"/>
                            <w:sz w:val="20"/>
                            <w:szCs w:val="20"/>
                          </w:rPr>
                        </w:pPr>
                        <w:r>
                          <w:rPr>
                            <w:rFonts w:ascii="宋体" w:cs="宋体" w:hAnsi="宋体" w:hint="eastAsia"/>
                            <w:w w:val="99"/>
                            <w:sz w:val="20"/>
                            <w:szCs w:val="20"/>
                          </w:rPr>
                          <w:t>（制冷量&gt;14000W）</w:t>
                        </w:r>
                      </w:p>
                    </w:tc>
                    <w:tc>
                      <w:tcPr>
                        <w:tcW w:w="3780" w:type="dxa"/>
                        <w:vMerge w:val="continue"/>
                        <w:tcBorders>
                          <w:top w:val="single" w:sz="4" w:space="0" w:color="000000"/>
                          <w:left w:val="single" w:sz="4" w:space="0" w:color="000000"/>
                          <w:bottom w:val="nil"/>
                          <w:right w:val="single" w:sz="4" w:space="0" w:color="000000"/>
                        </w:tcBorders>
                        <w:vAlign w:val="center"/>
                      </w:tcPr>
                      <w:p>
                        <w:pPr>
                          <w:pStyle w:val="style0"/>
                          <w:widowControl/>
                          <w:jc w:val="left"/>
                          <w:rPr>
                            <w:rFonts w:ascii="宋体" w:cs="宋体" w:hAnsi="宋体"/>
                            <w:kern w:val="0"/>
                            <w:sz w:val="20"/>
                            <w:szCs w:val="20"/>
                          </w:rPr>
                        </w:pPr>
                      </w:p>
                    </w:tc>
                  </w:tr>
                  <w:tr>
                    <w:tblPrEx/>
                    <w:trPr>
                      <w:trHeight w:val="405" w:hRule="exac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800" w:type="dxa"/>
                        <w:tcBorders>
                          <w:top w:val="single" w:sz="4" w:space="0" w:color="000000"/>
                          <w:left w:val="single" w:sz="4" w:space="0" w:color="000000"/>
                          <w:bottom w:val="nil"/>
                          <w:right w:val="single" w:sz="4" w:space="0" w:color="000000"/>
                        </w:tcBorders>
                      </w:tcPr>
                      <w:p>
                        <w:pPr>
                          <w:pStyle w:val="style4212"/>
                          <w:spacing w:before="83"/>
                          <w:ind w:left="7"/>
                          <w:rPr>
                            <w:rFonts w:ascii="宋体" w:cs="宋体" w:hAnsi="宋体"/>
                            <w:sz w:val="20"/>
                            <w:szCs w:val="20"/>
                          </w:rPr>
                        </w:pPr>
                        <w:r>
                          <w:rPr>
                            <w:rFonts w:ascii="宋体" w:cs="宋体" w:hAnsi="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pPr>
                          <w:pStyle w:val="style4212"/>
                          <w:spacing w:before="1"/>
                          <w:rPr>
                            <w:rFonts w:ascii="宋体" w:cs="宋体" w:hAnsi="宋体"/>
                            <w:sz w:val="18"/>
                            <w:szCs w:val="18"/>
                          </w:rPr>
                        </w:pPr>
                      </w:p>
                      <w:p>
                        <w:pPr>
                          <w:pStyle w:val="style4212"/>
                          <w:ind w:left="7"/>
                          <w:rPr>
                            <w:rFonts w:ascii="宋体" w:cs="宋体" w:hAnsi="宋体"/>
                            <w:sz w:val="20"/>
                            <w:szCs w:val="20"/>
                          </w:rPr>
                        </w:pPr>
                        <w:r>
                          <w:rPr>
                            <w:rFonts w:ascii="宋体" w:cs="宋体" w:hAnsi="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pPr>
                          <w:pStyle w:val="style4212"/>
                          <w:spacing w:before="83"/>
                          <w:ind w:left="7"/>
                          <w:rPr>
                            <w:rFonts w:ascii="宋体" w:cs="宋体" w:hAnsi="宋体"/>
                            <w:sz w:val="20"/>
                            <w:szCs w:val="20"/>
                            <w:lang w:eastAsia="zh-CN"/>
                          </w:rPr>
                        </w:pPr>
                        <w:r>
                          <w:rPr>
                            <w:rFonts w:ascii="宋体" w:cs="宋体" w:hAnsi="宋体" w:hint="eastAsia"/>
                            <w:w w:val="99"/>
                            <w:sz w:val="20"/>
                            <w:szCs w:val="20"/>
                            <w:lang w:eastAsia="zh-CN"/>
                          </w:rPr>
                          <w:t>《单元式空气调节机能效限定值</w:t>
                        </w:r>
                      </w:p>
                    </w:tc>
                  </w:tr>
                  <w:tr>
                    <w:tblPrEx/>
                    <w:trPr>
                      <w:trHeight w:val="397" w:hRule="exac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800" w:type="dxa"/>
                        <w:tcBorders>
                          <w:top w:val="nil"/>
                          <w:left w:val="single" w:sz="4" w:space="0" w:color="000000"/>
                          <w:bottom w:val="single" w:sz="4" w:space="0" w:color="000000"/>
                          <w:right w:val="single" w:sz="4" w:space="0" w:color="000000"/>
                        </w:tcBorders>
                      </w:tcPr>
                      <w:p>
                        <w:pPr>
                          <w:pStyle w:val="style4212"/>
                          <w:spacing w:lineRule="exact" w:line="254"/>
                          <w:ind w:left="7"/>
                          <w:rPr>
                            <w:rFonts w:ascii="宋体" w:cs="宋体" w:hAnsi="宋体"/>
                            <w:sz w:val="20"/>
                            <w:szCs w:val="20"/>
                          </w:rPr>
                        </w:pPr>
                        <w:r>
                          <w:rPr>
                            <w:rFonts w:ascii="宋体" w:cs="宋体" w:hAnsi="宋体" w:hint="eastAsia"/>
                            <w:w w:val="99"/>
                            <w:sz w:val="20"/>
                            <w:szCs w:val="20"/>
                          </w:rPr>
                          <w:t>冷空调设备</w:t>
                        </w:r>
                      </w:p>
                    </w:tc>
                    <w:tc>
                      <w:tcPr>
                        <w:tcW w:w="1792"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pPr>
                          <w:pStyle w:val="style4212"/>
                          <w:spacing w:lineRule="exact" w:line="254"/>
                          <w:ind w:left="7"/>
                          <w:rPr>
                            <w:rFonts w:ascii="宋体" w:cs="宋体" w:hAnsi="宋体"/>
                            <w:sz w:val="20"/>
                            <w:szCs w:val="20"/>
                            <w:lang w:eastAsia="zh-CN"/>
                          </w:rPr>
                        </w:pPr>
                        <w:r>
                          <w:rPr>
                            <w:rFonts w:ascii="宋体" w:cs="宋体" w:hAnsi="宋体" w:hint="eastAsia"/>
                            <w:w w:val="99"/>
                            <w:sz w:val="20"/>
                            <w:szCs w:val="20"/>
                            <w:lang w:eastAsia="zh-CN"/>
                          </w:rPr>
                          <w:t>及能效等级》（GB19576）</w:t>
                        </w:r>
                      </w:p>
                    </w:tc>
                  </w:tr>
                  <w:tr>
                    <w:tblPrEx/>
                    <w:trPr>
                      <w:trHeight w:val="543" w:hRule="atLeas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800" w:type="dxa"/>
                        <w:tcBorders>
                          <w:top w:val="single" w:sz="4" w:space="0" w:color="000000"/>
                          <w:left w:val="single" w:sz="4" w:space="0" w:color="000000"/>
                          <w:bottom w:val="nil"/>
                          <w:right w:val="single" w:sz="4" w:space="0" w:color="000000"/>
                        </w:tcBorders>
                      </w:tcPr>
                      <w:p>
                        <w:pPr>
                          <w:pStyle w:val="style4212"/>
                          <w:rPr>
                            <w:rFonts w:ascii="宋体" w:cs="宋体" w:hAnsi="宋体"/>
                            <w:sz w:val="20"/>
                            <w:szCs w:val="20"/>
                            <w:lang w:eastAsia="zh-CN"/>
                          </w:rPr>
                        </w:pPr>
                      </w:p>
                      <w:p>
                        <w:pPr>
                          <w:pStyle w:val="style4212"/>
                          <w:spacing w:before="9"/>
                          <w:rPr>
                            <w:rFonts w:ascii="宋体" w:cs="宋体" w:hAnsi="宋体"/>
                            <w:sz w:val="20"/>
                            <w:szCs w:val="20"/>
                            <w:lang w:eastAsia="zh-CN"/>
                          </w:rPr>
                        </w:pPr>
                      </w:p>
                      <w:p>
                        <w:pPr>
                          <w:pStyle w:val="style4212"/>
                          <w:ind w:left="7"/>
                          <w:rPr>
                            <w:rFonts w:ascii="宋体" w:cs="宋体" w:hAnsi="宋体"/>
                            <w:sz w:val="20"/>
                            <w:szCs w:val="20"/>
                          </w:rPr>
                        </w:pPr>
                        <w:r>
                          <w:rPr>
                            <w:rFonts w:ascii="宋体" w:cs="宋体" w:hAnsi="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spacing w:before="164"/>
                          <w:ind w:left="7"/>
                          <w:rPr>
                            <w:rFonts w:ascii="宋体" w:cs="宋体" w:hAnsi="宋体"/>
                            <w:sz w:val="20"/>
                            <w:szCs w:val="20"/>
                          </w:rPr>
                        </w:pPr>
                        <w:r>
                          <w:rPr>
                            <w:rFonts w:ascii="宋体" w:cs="宋体" w:hAnsi="宋体" w:hint="eastAsia"/>
                            <w:w w:val="99"/>
                            <w:sz w:val="20"/>
                            <w:szCs w:val="20"/>
                          </w:rPr>
                          <w:t>冷却塔</w:t>
                        </w:r>
                      </w:p>
                    </w:tc>
                    <w:tc>
                      <w:tcPr>
                        <w:tcW w:w="3780" w:type="dxa"/>
                        <w:vMerge w:val="restart"/>
                        <w:tcBorders>
                          <w:top w:val="single" w:sz="4" w:space="0" w:color="000000"/>
                          <w:left w:val="single" w:sz="4" w:space="0" w:color="000000"/>
                          <w:bottom w:val="nil"/>
                          <w:right w:val="single" w:sz="4" w:space="0" w:color="000000"/>
                        </w:tcBorders>
                      </w:tcPr>
                      <w:p>
                        <w:pPr>
                          <w:pStyle w:val="style4212"/>
                          <w:spacing w:before="11"/>
                          <w:rPr>
                            <w:rFonts w:ascii="宋体" w:cs="宋体" w:hAnsi="宋体"/>
                            <w:sz w:val="16"/>
                            <w:szCs w:val="16"/>
                            <w:lang w:eastAsia="zh-CN"/>
                          </w:rPr>
                        </w:pPr>
                      </w:p>
                      <w:p>
                        <w:pPr>
                          <w:pStyle w:val="style4212"/>
                          <w:ind w:left="7"/>
                          <w:rPr>
                            <w:rFonts w:ascii="宋体" w:cs="宋体" w:hAnsi="宋体"/>
                            <w:sz w:val="20"/>
                            <w:szCs w:val="20"/>
                            <w:lang w:eastAsia="zh-CN"/>
                          </w:rPr>
                        </w:pPr>
                        <w:r>
                          <w:rPr>
                            <w:rFonts w:ascii="宋体" w:cs="宋体" w:hAnsi="宋体" w:hint="eastAsia"/>
                            <w:w w:val="99"/>
                            <w:sz w:val="20"/>
                            <w:szCs w:val="20"/>
                            <w:lang w:eastAsia="zh-CN"/>
                          </w:rPr>
                          <w:t>《机械通风冷却塔第1部分：中小型开式冷却塔》（GB/T7190.1）</w:t>
                        </w:r>
                      </w:p>
                      <w:p>
                        <w:pPr>
                          <w:pStyle w:val="style4212"/>
                          <w:spacing w:lineRule="exact" w:line="256"/>
                          <w:rPr>
                            <w:rFonts w:ascii="宋体" w:cs="宋体" w:hAnsi="宋体"/>
                            <w:sz w:val="20"/>
                            <w:szCs w:val="20"/>
                            <w:lang w:eastAsia="zh-CN"/>
                          </w:rPr>
                        </w:pPr>
                        <w:r>
                          <w:rPr>
                            <w:rFonts w:ascii="宋体" w:cs="宋体" w:hAnsi="宋体" w:hint="eastAsia"/>
                            <w:w w:val="99"/>
                            <w:sz w:val="20"/>
                            <w:szCs w:val="20"/>
                            <w:lang w:eastAsia="zh-CN"/>
                          </w:rPr>
                          <w:t>《机械通风冷却塔第2部分：大型开式冷却塔》（GB/T7190.2）</w:t>
                        </w:r>
                      </w:p>
                    </w:tc>
                  </w:tr>
                  <w:tr>
                    <w:tblPrEx/>
                    <w:trPr>
                      <w:trHeight w:val="717" w:hRule="atLeas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1800" w:type="dxa"/>
                        <w:tcBorders>
                          <w:top w:val="nil"/>
                          <w:left w:val="single" w:sz="4" w:space="0" w:color="000000"/>
                          <w:bottom w:val="single" w:sz="4" w:space="0" w:color="000000"/>
                          <w:right w:val="single" w:sz="4" w:space="0" w:color="000000"/>
                        </w:tcBorders>
                      </w:tcPr>
                      <w:p>
                        <w:pPr>
                          <w:pStyle w:val="style4212"/>
                          <w:spacing w:lineRule="exact" w:line="256"/>
                          <w:ind w:left="7"/>
                          <w:rPr>
                            <w:rFonts w:ascii="宋体" w:cs="宋体" w:hAnsi="宋体"/>
                            <w:sz w:val="20"/>
                            <w:szCs w:val="20"/>
                          </w:rPr>
                        </w:pPr>
                        <w:r>
                          <w:rPr>
                            <w:rFonts w:ascii="宋体" w:cs="宋体" w:hAnsi="宋体" w:hint="eastAsia"/>
                            <w:w w:val="99"/>
                            <w:sz w:val="20"/>
                            <w:szCs w:val="20"/>
                          </w:rPr>
                          <w:t>空调设备</w:t>
                        </w:r>
                      </w:p>
                    </w:tc>
                    <w:tc>
                      <w:tcPr>
                        <w:tcW w:w="1792"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lang w:eastAsia="en-US"/>
                          </w:rPr>
                        </w:pPr>
                      </w:p>
                    </w:tc>
                    <w:tc>
                      <w:tcPr>
                        <w:tcW w:w="3780" w:type="dxa"/>
                        <w:vMerge w:val="continue"/>
                        <w:tcBorders>
                          <w:top w:val="single" w:sz="4" w:space="0" w:color="000000"/>
                          <w:left w:val="single" w:sz="4" w:space="0" w:color="000000"/>
                          <w:bottom w:val="nil"/>
                          <w:right w:val="single" w:sz="4" w:space="0" w:color="000000"/>
                        </w:tcBorders>
                        <w:vAlign w:val="center"/>
                      </w:tcPr>
                      <w:p>
                        <w:pPr>
                          <w:pStyle w:val="style0"/>
                          <w:widowControl/>
                          <w:jc w:val="left"/>
                          <w:rPr>
                            <w:rFonts w:ascii="宋体" w:cs="宋体" w:hAnsi="宋体"/>
                            <w:kern w:val="0"/>
                            <w:sz w:val="20"/>
                            <w:szCs w:val="20"/>
                          </w:rPr>
                        </w:pPr>
                      </w:p>
                    </w:tc>
                  </w:tr>
                  <w:tr>
                    <w:tblPrEx/>
                    <w:trPr>
                      <w:trHeight w:val="742" w:hRule="exact"/>
                    </w:trPr>
                    <w:tc>
                      <w:tcPr>
                        <w:tcW w:w="570" w:type="dxa"/>
                        <w:tcBorders>
                          <w:top w:val="single" w:sz="4" w:space="0" w:color="000000"/>
                          <w:left w:val="single" w:sz="4" w:space="0" w:color="000000"/>
                          <w:bottom w:val="single" w:sz="4" w:space="0" w:color="000000"/>
                          <w:right w:val="single" w:sz="4" w:space="0" w:color="000000"/>
                        </w:tcBorders>
                      </w:tcPr>
                      <w:p>
                        <w:pPr>
                          <w:pStyle w:val="style4212"/>
                          <w:spacing w:before="12"/>
                          <w:rPr>
                            <w:rFonts w:ascii="宋体" w:cs="宋体" w:hAnsi="宋体"/>
                            <w:sz w:val="15"/>
                            <w:szCs w:val="15"/>
                            <w:lang w:eastAsia="zh-CN"/>
                          </w:rPr>
                        </w:pPr>
                      </w:p>
                      <w:p>
                        <w:pPr>
                          <w:pStyle w:val="style4212"/>
                          <w:ind w:right="1"/>
                          <w:jc w:val="center"/>
                          <w:rPr>
                            <w:rFonts w:ascii="宋体" w:cs="宋体" w:hAnsi="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pPr>
                          <w:pStyle w:val="style4212"/>
                          <w:spacing w:before="12"/>
                          <w:rPr>
                            <w:rFonts w:ascii="宋体" w:cs="宋体" w:hAnsi="宋体"/>
                            <w:sz w:val="15"/>
                            <w:szCs w:val="15"/>
                          </w:rPr>
                        </w:pPr>
                      </w:p>
                      <w:p>
                        <w:pPr>
                          <w:pStyle w:val="style4212"/>
                          <w:ind w:left="7"/>
                          <w:rPr>
                            <w:rFonts w:ascii="宋体" w:cs="宋体" w:hAnsi="宋体"/>
                            <w:sz w:val="20"/>
                            <w:szCs w:val="20"/>
                          </w:rPr>
                        </w:pPr>
                        <w:r>
                          <w:rPr>
                            <w:rFonts w:ascii="宋体" w:cs="宋体" w:hAnsi="宋体" w:hint="eastAsia"/>
                            <w:w w:val="99"/>
                            <w:sz w:val="20"/>
                            <w:szCs w:val="20"/>
                          </w:rPr>
                          <w:t>A020601</w:t>
                        </w:r>
                        <w:r>
                          <w:rPr>
                            <w:rFonts w:ascii="宋体" w:cs="宋体" w:hAnsi="宋体" w:hint="eastAsia"/>
                            <w:w w:val="99"/>
                            <w:sz w:val="20"/>
                            <w:szCs w:val="20"/>
                            <w:lang w:eastAsia="zh-CN"/>
                          </w:rPr>
                          <w:t>00</w:t>
                        </w:r>
                        <w:r>
                          <w:rPr>
                            <w:rFonts w:ascii="宋体" w:cs="宋体" w:hAnsi="宋体" w:hint="eastAsia"/>
                            <w:w w:val="99"/>
                            <w:sz w:val="20"/>
                            <w:szCs w:val="20"/>
                          </w:rPr>
                          <w:t>电机</w:t>
                        </w:r>
                      </w:p>
                    </w:tc>
                    <w:tc>
                      <w:tcPr>
                        <w:tcW w:w="1800"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pPr>
                          <w:pStyle w:val="style4212"/>
                          <w:spacing w:before="52" w:lineRule="auto" w:line="278"/>
                          <w:ind w:left="7" w:right="4"/>
                          <w:rPr>
                            <w:rFonts w:ascii="宋体" w:cs="宋体" w:hAnsi="宋体"/>
                            <w:sz w:val="20"/>
                            <w:szCs w:val="20"/>
                            <w:lang w:eastAsia="zh-CN"/>
                          </w:rPr>
                        </w:pPr>
                        <w:r>
                          <w:rPr>
                            <w:rFonts w:ascii="宋体" w:cs="宋体" w:hAnsi="宋体" w:hint="eastAsia"/>
                            <w:w w:val="99"/>
                            <w:sz w:val="20"/>
                            <w:szCs w:val="20"/>
                            <w:lang w:eastAsia="zh-CN"/>
                          </w:rPr>
                          <w:t>《中小型三相异步电动机能效限定值及能效等级》（GB18613）</w:t>
                        </w:r>
                      </w:p>
                    </w:tc>
                  </w:tr>
                  <w:tr>
                    <w:tblPrEx/>
                    <w:trPr>
                      <w:trHeight w:val="353" w:hRule="exact"/>
                    </w:trPr>
                    <w:tc>
                      <w:tcPr>
                        <w:tcW w:w="570" w:type="dxa"/>
                        <w:vMerge w:val="restart"/>
                        <w:tcBorders>
                          <w:top w:val="single" w:sz="4" w:space="0" w:color="000000"/>
                          <w:left w:val="single" w:sz="4" w:space="0" w:color="000000"/>
                          <w:bottom w:val="single" w:sz="4" w:space="0" w:color="000000"/>
                          <w:right w:val="single" w:sz="4" w:space="0" w:color="000000"/>
                        </w:tcBorders>
                      </w:tcPr>
                      <w:p>
                        <w:pPr>
                          <w:pStyle w:val="style4212"/>
                          <w:spacing w:before="3"/>
                          <w:rPr>
                            <w:rFonts w:ascii="宋体" w:cs="宋体" w:hAnsi="宋体"/>
                            <w:sz w:val="14"/>
                            <w:szCs w:val="14"/>
                            <w:lang w:eastAsia="zh-CN"/>
                          </w:rPr>
                        </w:pPr>
                      </w:p>
                      <w:p>
                        <w:pPr>
                          <w:pStyle w:val="style4212"/>
                          <w:ind w:right="1"/>
                          <w:jc w:val="center"/>
                          <w:rPr>
                            <w:rFonts w:ascii="宋体" w:cs="宋体" w:hAnsi="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pPr>
                          <w:pStyle w:val="style4212"/>
                          <w:spacing w:before="30"/>
                          <w:ind w:left="7"/>
                          <w:rPr>
                            <w:rFonts w:ascii="宋体" w:cs="宋体" w:hAnsi="宋体"/>
                            <w:sz w:val="20"/>
                            <w:szCs w:val="20"/>
                          </w:rPr>
                        </w:pPr>
                        <w:r>
                          <w:rPr>
                            <w:rFonts w:ascii="宋体" w:cs="宋体" w:hAnsi="宋体" w:hint="eastAsia"/>
                            <w:w w:val="99"/>
                            <w:sz w:val="20"/>
                            <w:szCs w:val="20"/>
                          </w:rPr>
                          <w:t>A020602</w:t>
                        </w:r>
                        <w:r>
                          <w:rPr>
                            <w:rFonts w:ascii="宋体" w:cs="宋体" w:hAnsi="宋体" w:hint="eastAsia"/>
                            <w:w w:val="99"/>
                            <w:sz w:val="20"/>
                            <w:szCs w:val="20"/>
                            <w:lang w:eastAsia="zh-CN"/>
                          </w:rPr>
                          <w:t>00</w:t>
                        </w:r>
                        <w:r>
                          <w:rPr>
                            <w:rFonts w:ascii="宋体" w:cs="宋体" w:hAnsi="宋体" w:hint="eastAsia"/>
                            <w:w w:val="99"/>
                            <w:sz w:val="20"/>
                            <w:szCs w:val="20"/>
                          </w:rPr>
                          <w:t>变压</w:t>
                        </w:r>
                      </w:p>
                    </w:tc>
                    <w:tc>
                      <w:tcPr>
                        <w:tcW w:w="1800" w:type="dxa"/>
                        <w:vMerge w:val="restart"/>
                        <w:tcBorders>
                          <w:top w:val="single" w:sz="4" w:space="0" w:color="000000"/>
                          <w:left w:val="single" w:sz="4" w:space="0" w:color="000000"/>
                          <w:bottom w:val="single" w:sz="4" w:space="0" w:color="000000"/>
                          <w:right w:val="single" w:sz="4" w:space="0" w:color="000000"/>
                        </w:tcBorders>
                      </w:tcPr>
                      <w:p>
                        <w:pPr>
                          <w:pStyle w:val="style4212"/>
                          <w:spacing w:before="3"/>
                          <w:rPr>
                            <w:rFonts w:ascii="宋体" w:cs="宋体" w:hAnsi="宋体"/>
                            <w:sz w:val="14"/>
                            <w:szCs w:val="14"/>
                          </w:rPr>
                        </w:pPr>
                      </w:p>
                      <w:p>
                        <w:pPr>
                          <w:pStyle w:val="style4212"/>
                          <w:ind w:left="7"/>
                          <w:rPr>
                            <w:rFonts w:ascii="宋体" w:cs="宋体" w:hAnsi="宋体"/>
                            <w:sz w:val="20"/>
                            <w:szCs w:val="20"/>
                          </w:rPr>
                        </w:pPr>
                        <w:r>
                          <w:rPr>
                            <w:rFonts w:ascii="宋体" w:cs="宋体" w:hAnsi="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pPr>
                          <w:pStyle w:val="style4212"/>
                          <w:spacing w:before="30"/>
                          <w:ind w:left="7"/>
                          <w:rPr>
                            <w:rFonts w:ascii="宋体" w:cs="宋体" w:hAnsi="宋体"/>
                            <w:sz w:val="20"/>
                            <w:szCs w:val="20"/>
                            <w:lang w:eastAsia="zh-CN"/>
                          </w:rPr>
                        </w:pPr>
                        <w:r>
                          <w:rPr>
                            <w:rFonts w:ascii="宋体" w:cs="宋体" w:hAnsi="宋体" w:hint="eastAsia"/>
                            <w:w w:val="99"/>
                            <w:sz w:val="20"/>
                            <w:szCs w:val="20"/>
                            <w:lang w:eastAsia="zh-CN"/>
                          </w:rPr>
                          <w:t>《三相配电变压器能效限定值及</w:t>
                        </w:r>
                      </w:p>
                    </w:tc>
                  </w:tr>
                  <w:tr>
                    <w:tblPrEx/>
                    <w:trPr>
                      <w:trHeight w:val="345" w:hRule="exac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163" w:type="dxa"/>
                        <w:tcBorders>
                          <w:top w:val="nil"/>
                          <w:left w:val="single" w:sz="4" w:space="0" w:color="000000"/>
                          <w:bottom w:val="single" w:sz="4" w:space="0" w:color="000000"/>
                          <w:right w:val="single" w:sz="4" w:space="0" w:color="000000"/>
                        </w:tcBorders>
                      </w:tcPr>
                      <w:p>
                        <w:pPr>
                          <w:pStyle w:val="style4212"/>
                          <w:spacing w:lineRule="exact" w:line="256"/>
                          <w:ind w:left="7"/>
                          <w:rPr>
                            <w:rFonts w:ascii="宋体" w:cs="宋体" w:hAnsi="宋体"/>
                            <w:sz w:val="20"/>
                            <w:szCs w:val="20"/>
                          </w:rPr>
                        </w:pPr>
                        <w:r>
                          <w:rPr>
                            <w:rFonts w:ascii="宋体" w:cs="宋体" w:hAnsi="宋体" w:hint="eastAsia"/>
                            <w:w w:val="99"/>
                            <w:sz w:val="20"/>
                            <w:szCs w:val="20"/>
                          </w:rPr>
                          <w:t>器</w:t>
                        </w: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lang w:eastAsia="en-US"/>
                          </w:rPr>
                        </w:pPr>
                      </w:p>
                    </w:tc>
                    <w:tc>
                      <w:tcPr>
                        <w:tcW w:w="1792"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3780" w:type="dxa"/>
                        <w:tcBorders>
                          <w:top w:val="nil"/>
                          <w:left w:val="single" w:sz="4" w:space="0" w:color="000000"/>
                          <w:bottom w:val="single" w:sz="4" w:space="0" w:color="000000"/>
                          <w:right w:val="single" w:sz="4" w:space="0" w:color="000000"/>
                        </w:tcBorders>
                      </w:tcPr>
                      <w:p>
                        <w:pPr>
                          <w:pStyle w:val="style4212"/>
                          <w:spacing w:lineRule="exact" w:line="256"/>
                          <w:ind w:left="7"/>
                          <w:rPr>
                            <w:rFonts w:ascii="宋体" w:cs="宋体" w:hAnsi="宋体"/>
                            <w:sz w:val="20"/>
                            <w:szCs w:val="20"/>
                          </w:rPr>
                        </w:pPr>
                        <w:r>
                          <w:rPr>
                            <w:rFonts w:ascii="宋体" w:cs="宋体" w:hAnsi="宋体" w:hint="eastAsia"/>
                            <w:w w:val="99"/>
                            <w:sz w:val="20"/>
                            <w:szCs w:val="20"/>
                          </w:rPr>
                          <w:t>能效等级》（GB20052）</w:t>
                        </w:r>
                      </w:p>
                    </w:tc>
                  </w:tr>
                  <w:tr>
                    <w:tblPrEx/>
                    <w:trPr>
                      <w:trHeight w:val="449" w:hRule="atLeast"/>
                    </w:trPr>
                    <w:tc>
                      <w:tcPr>
                        <w:tcW w:w="570" w:type="dxa"/>
                        <w:vMerge w:val="restart"/>
                        <w:tcBorders>
                          <w:top w:val="single" w:sz="4" w:space="0" w:color="000000"/>
                          <w:left w:val="single" w:sz="4" w:space="0" w:color="000000"/>
                          <w:bottom w:val="single" w:sz="4" w:space="0" w:color="000000"/>
                          <w:right w:val="single" w:sz="4" w:space="0" w:color="000000"/>
                        </w:tcBorders>
                      </w:tcPr>
                      <w:p>
                        <w:pPr>
                          <w:pStyle w:val="style4212"/>
                          <w:spacing w:before="8"/>
                          <w:rPr>
                            <w:rFonts w:ascii="宋体" w:cs="宋体" w:hAnsi="宋体"/>
                            <w:sz w:val="21"/>
                            <w:szCs w:val="21"/>
                          </w:rPr>
                        </w:pPr>
                      </w:p>
                      <w:p>
                        <w:pPr>
                          <w:pStyle w:val="style4212"/>
                          <w:ind w:right="1"/>
                          <w:jc w:val="center"/>
                          <w:rPr>
                            <w:rFonts w:ascii="宋体" w:cs="宋体" w:hAnsi="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pPr>
                          <w:pStyle w:val="style4212"/>
                          <w:spacing w:before="126"/>
                          <w:ind w:left="7"/>
                          <w:rPr>
                            <w:rFonts w:ascii="宋体" w:cs="宋体" w:hAnsi="宋体"/>
                            <w:sz w:val="20"/>
                            <w:szCs w:val="20"/>
                          </w:rPr>
                        </w:pPr>
                        <w:r>
                          <w:rPr>
                            <w:rFonts w:ascii="宋体" w:cs="宋体" w:hAnsi="宋体" w:hint="eastAsia"/>
                            <w:w w:val="99"/>
                            <w:sz w:val="20"/>
                            <w:szCs w:val="20"/>
                          </w:rPr>
                          <w:t>★A020609</w:t>
                        </w:r>
                        <w:r>
                          <w:rPr>
                            <w:rFonts w:ascii="宋体" w:cs="宋体" w:hAnsi="宋体" w:hint="eastAsia"/>
                            <w:w w:val="99"/>
                            <w:sz w:val="20"/>
                            <w:szCs w:val="20"/>
                            <w:lang w:eastAsia="zh-CN"/>
                          </w:rPr>
                          <w:t>00</w:t>
                        </w:r>
                        <w:r>
                          <w:rPr>
                            <w:rFonts w:ascii="宋体" w:cs="宋体" w:hAnsi="宋体" w:hint="eastAsia"/>
                            <w:w w:val="99"/>
                            <w:sz w:val="20"/>
                            <w:szCs w:val="20"/>
                          </w:rPr>
                          <w:t>镇</w:t>
                        </w:r>
                      </w:p>
                    </w:tc>
                    <w:tc>
                      <w:tcPr>
                        <w:tcW w:w="1800" w:type="dxa"/>
                        <w:vMerge w:val="restart"/>
                        <w:tcBorders>
                          <w:top w:val="single" w:sz="4" w:space="0" w:color="000000"/>
                          <w:left w:val="single" w:sz="4" w:space="0" w:color="000000"/>
                          <w:bottom w:val="single" w:sz="4" w:space="0" w:color="000000"/>
                          <w:right w:val="single" w:sz="4" w:space="0" w:color="000000"/>
                        </w:tcBorders>
                      </w:tcPr>
                      <w:p>
                        <w:pPr>
                          <w:pStyle w:val="style4212"/>
                          <w:spacing w:before="8"/>
                          <w:rPr>
                            <w:rFonts w:ascii="宋体" w:cs="宋体" w:hAnsi="宋体"/>
                            <w:sz w:val="21"/>
                            <w:szCs w:val="21"/>
                          </w:rPr>
                        </w:pPr>
                      </w:p>
                      <w:p>
                        <w:pPr>
                          <w:pStyle w:val="style4212"/>
                          <w:ind w:left="7"/>
                          <w:rPr>
                            <w:rFonts w:ascii="宋体" w:cs="宋体" w:hAnsi="宋体"/>
                            <w:sz w:val="20"/>
                            <w:szCs w:val="20"/>
                          </w:rPr>
                        </w:pPr>
                        <w:r>
                          <w:rPr>
                            <w:rFonts w:ascii="宋体" w:cs="宋体" w:hAnsi="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3780" w:type="dxa"/>
                        <w:vMerge w:val="restart"/>
                        <w:tcBorders>
                          <w:top w:val="single" w:sz="4" w:space="0" w:color="000000"/>
                          <w:left w:val="single" w:sz="4" w:space="0" w:color="000000"/>
                          <w:bottom w:val="single" w:sz="4" w:space="0" w:color="000000"/>
                          <w:right w:val="single" w:sz="4" w:space="0" w:color="000000"/>
                        </w:tcBorders>
                      </w:tcPr>
                      <w:p>
                        <w:pPr>
                          <w:pStyle w:val="style4212"/>
                          <w:spacing w:before="126"/>
                          <w:ind w:left="7"/>
                          <w:rPr>
                            <w:rFonts w:ascii="宋体" w:cs="宋体" w:hAnsi="宋体"/>
                            <w:sz w:val="20"/>
                            <w:szCs w:val="20"/>
                            <w:lang w:eastAsia="zh-CN"/>
                          </w:rPr>
                        </w:pPr>
                        <w:r>
                          <w:rPr>
                            <w:rFonts w:ascii="宋体" w:cs="宋体" w:hAnsi="宋体" w:hint="eastAsia"/>
                            <w:w w:val="99"/>
                            <w:sz w:val="20"/>
                            <w:szCs w:val="20"/>
                            <w:lang w:eastAsia="zh-CN"/>
                          </w:rPr>
                          <w:t>《管形荧光灯镇流器能效限定值及能效等级》（GB17896）</w:t>
                        </w:r>
                      </w:p>
                    </w:tc>
                  </w:tr>
                  <w:tr>
                    <w:tblPrEx/>
                    <w:trPr>
                      <w:trHeight w:val="441" w:hRule="atLeas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163" w:type="dxa"/>
                        <w:tcBorders>
                          <w:top w:val="nil"/>
                          <w:left w:val="single" w:sz="4" w:space="0" w:color="000000"/>
                          <w:bottom w:val="single" w:sz="4" w:space="0" w:color="000000"/>
                          <w:right w:val="single" w:sz="4" w:space="0" w:color="000000"/>
                        </w:tcBorders>
                      </w:tcPr>
                      <w:p>
                        <w:pPr>
                          <w:pStyle w:val="style4212"/>
                          <w:spacing w:lineRule="exact" w:line="256"/>
                          <w:ind w:left="7"/>
                          <w:rPr>
                            <w:rFonts w:ascii="宋体" w:cs="宋体" w:hAnsi="宋体"/>
                            <w:sz w:val="20"/>
                            <w:szCs w:val="20"/>
                          </w:rPr>
                        </w:pPr>
                        <w:r>
                          <w:rPr>
                            <w:rFonts w:ascii="宋体" w:cs="宋体" w:hAnsi="宋体" w:hint="eastAsia"/>
                            <w:w w:val="99"/>
                            <w:sz w:val="20"/>
                            <w:szCs w:val="20"/>
                          </w:rPr>
                          <w:t>流器</w:t>
                        </w: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lang w:eastAsia="en-US"/>
                          </w:rPr>
                        </w:pPr>
                      </w:p>
                    </w:tc>
                    <w:tc>
                      <w:tcPr>
                        <w:tcW w:w="1792"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Calibri" w:hAnsi="Calibri"/>
                            <w:sz w:val="22"/>
                            <w:szCs w:val="22"/>
                          </w:rPr>
                        </w:pPr>
                      </w:p>
                    </w:tc>
                    <w:tc>
                      <w:tcPr>
                        <w:tcW w:w="378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r>
                  <w:tr>
                    <w:tblPrEx/>
                    <w:trPr>
                      <w:trHeight w:val="752" w:hRule="exact"/>
                    </w:trPr>
                    <w:tc>
                      <w:tcPr>
                        <w:tcW w:w="570"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spacing w:before="5"/>
                          <w:rPr>
                            <w:rFonts w:ascii="宋体" w:cs="宋体" w:hAnsi="宋体"/>
                            <w:sz w:val="18"/>
                            <w:szCs w:val="18"/>
                            <w:lang w:eastAsia="zh-CN"/>
                          </w:rPr>
                        </w:pPr>
                      </w:p>
                      <w:p>
                        <w:pPr>
                          <w:pStyle w:val="style4212"/>
                          <w:ind w:left="182"/>
                          <w:rPr>
                            <w:rFonts w:ascii="宋体" w:cs="宋体" w:hAnsi="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spacing w:before="6"/>
                          <w:rPr>
                            <w:rFonts w:ascii="宋体" w:cs="宋体" w:hAnsi="宋体"/>
                            <w:sz w:val="26"/>
                            <w:szCs w:val="26"/>
                          </w:rPr>
                        </w:pPr>
                      </w:p>
                      <w:p>
                        <w:pPr>
                          <w:pStyle w:val="style4212"/>
                          <w:ind w:left="7"/>
                          <w:rPr>
                            <w:rFonts w:ascii="宋体" w:cs="宋体" w:hAnsi="宋体"/>
                            <w:sz w:val="20"/>
                            <w:szCs w:val="20"/>
                          </w:rPr>
                        </w:pPr>
                        <w:r>
                          <w:rPr>
                            <w:rFonts w:ascii="宋体" w:cs="宋体" w:hAnsi="宋体" w:hint="eastAsia"/>
                            <w:w w:val="99"/>
                            <w:sz w:val="20"/>
                            <w:szCs w:val="20"/>
                          </w:rPr>
                          <w:t>A020618</w:t>
                        </w:r>
                        <w:r>
                          <w:rPr>
                            <w:rFonts w:ascii="宋体" w:cs="宋体" w:hAnsi="宋体" w:hint="eastAsia"/>
                            <w:w w:val="99"/>
                            <w:sz w:val="20"/>
                            <w:szCs w:val="20"/>
                            <w:lang w:eastAsia="zh-CN"/>
                          </w:rPr>
                          <w:t>00</w:t>
                        </w:r>
                        <w:r>
                          <w:rPr>
                            <w:rFonts w:ascii="宋体" w:cs="宋体" w:hAnsi="宋体" w:hint="eastAsia"/>
                            <w:w w:val="99"/>
                            <w:sz w:val="20"/>
                            <w:szCs w:val="20"/>
                          </w:rPr>
                          <w:t>生活用电器</w:t>
                        </w:r>
                      </w:p>
                    </w:tc>
                    <w:tc>
                      <w:tcPr>
                        <w:tcW w:w="1800" w:type="dxa"/>
                        <w:tcBorders>
                          <w:top w:val="single" w:sz="4" w:space="0" w:color="000000"/>
                          <w:left w:val="single" w:sz="4" w:space="0" w:color="000000"/>
                          <w:bottom w:val="nil"/>
                          <w:right w:val="single" w:sz="4" w:space="0" w:color="000000"/>
                        </w:tcBorders>
                      </w:tcPr>
                      <w:p>
                        <w:pPr>
                          <w:pStyle w:val="style4212"/>
                          <w:spacing w:before="1"/>
                          <w:rPr>
                            <w:rFonts w:ascii="宋体" w:cs="宋体" w:hAnsi="宋体"/>
                            <w:sz w:val="16"/>
                            <w:szCs w:val="16"/>
                          </w:rPr>
                        </w:pPr>
                      </w:p>
                      <w:p>
                        <w:pPr>
                          <w:pStyle w:val="style4212"/>
                          <w:ind w:left="7"/>
                          <w:rPr>
                            <w:rFonts w:ascii="宋体" w:cs="宋体" w:hAnsi="宋体"/>
                            <w:sz w:val="20"/>
                            <w:szCs w:val="20"/>
                          </w:rPr>
                        </w:pPr>
                        <w:r>
                          <w:rPr>
                            <w:rFonts w:ascii="宋体" w:cs="宋体" w:hAnsi="宋体" w:hint="eastAsia"/>
                            <w:w w:val="99"/>
                            <w:sz w:val="20"/>
                            <w:szCs w:val="20"/>
                          </w:rPr>
                          <w:t>A0206180101电冰箱</w:t>
                        </w:r>
                      </w:p>
                    </w:tc>
                    <w:tc>
                      <w:tcPr>
                        <w:tcW w:w="1792" w:type="dxa"/>
                        <w:tcBorders>
                          <w:top w:val="single" w:sz="4" w:space="0" w:color="000000"/>
                          <w:left w:val="single" w:sz="4" w:space="0" w:color="000000"/>
                          <w:bottom w:val="nil"/>
                          <w:right w:val="single" w:sz="4" w:space="0" w:color="000000"/>
                        </w:tcBorders>
                      </w:tcPr>
                      <w:p>
                        <w:pPr>
                          <w:pStyle w:val="style0"/>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pPr>
                          <w:pStyle w:val="style4212"/>
                          <w:spacing w:before="126"/>
                          <w:ind w:left="7"/>
                          <w:rPr>
                            <w:rFonts w:ascii="宋体" w:cs="宋体" w:hAnsi="宋体"/>
                            <w:w w:val="99"/>
                            <w:sz w:val="20"/>
                            <w:szCs w:val="20"/>
                            <w:lang w:eastAsia="zh-CN"/>
                          </w:rPr>
                        </w:pPr>
                        <w:r>
                          <w:rPr>
                            <w:rFonts w:ascii="宋体" w:cs="宋体" w:hAnsi="宋体" w:hint="eastAsia"/>
                            <w:w w:val="99"/>
                            <w:sz w:val="20"/>
                            <w:szCs w:val="20"/>
                            <w:lang w:eastAsia="zh-CN"/>
                          </w:rPr>
                          <w:t>《家用电冰箱耗电量限定值及能效等级》（GB12021.2）</w:t>
                        </w:r>
                      </w:p>
                    </w:tc>
                  </w:tr>
                  <w:tr>
                    <w:tblPrEx/>
                    <w:trPr>
                      <w:trHeight w:val="1299" w:hRule="exac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spacing w:before="171"/>
                          <w:ind w:left="7"/>
                          <w:rPr>
                            <w:rFonts w:ascii="宋体" w:cs="宋体" w:hAnsi="宋体"/>
                            <w:sz w:val="20"/>
                            <w:szCs w:val="20"/>
                          </w:rPr>
                        </w:pPr>
                        <w:r>
                          <w:rPr>
                            <w:rFonts w:ascii="宋体" w:cs="宋体" w:hAnsi="宋体" w:hint="eastAsia"/>
                            <w:w w:val="99"/>
                            <w:sz w:val="20"/>
                            <w:szCs w:val="20"/>
                          </w:rPr>
                          <w:t>★A02061804空调</w:t>
                        </w:r>
                      </w:p>
                      <w:p>
                        <w:pPr>
                          <w:pStyle w:val="style4212"/>
                          <w:spacing w:before="50"/>
                          <w:ind w:left="7"/>
                          <w:rPr>
                            <w:rFonts w:ascii="宋体" w:cs="宋体" w:hAnsi="宋体"/>
                            <w:sz w:val="20"/>
                            <w:szCs w:val="20"/>
                          </w:rPr>
                        </w:pPr>
                        <w:r>
                          <w:rPr>
                            <w:rFonts w:ascii="宋体" w:cs="宋体" w:hAnsi="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spacing w:before="12"/>
                          <w:rPr>
                            <w:rFonts w:ascii="宋体" w:cs="宋体" w:hAnsi="宋体"/>
                            <w:sz w:val="19"/>
                            <w:szCs w:val="19"/>
                          </w:rPr>
                        </w:pPr>
                      </w:p>
                      <w:p>
                        <w:pPr>
                          <w:pStyle w:val="style4212"/>
                          <w:ind w:left="7"/>
                          <w:rPr>
                            <w:rFonts w:ascii="宋体" w:cs="宋体" w:hAnsi="宋体"/>
                            <w:sz w:val="20"/>
                            <w:szCs w:val="20"/>
                          </w:rPr>
                        </w:pPr>
                        <w:r>
                          <w:rPr>
                            <w:rFonts w:ascii="宋体" w:cs="宋体" w:hAnsi="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pPr>
                          <w:pStyle w:val="style4212"/>
                          <w:spacing w:before="4"/>
                          <w:ind w:left="7"/>
                          <w:rPr>
                            <w:rFonts w:ascii="宋体" w:cs="宋体" w:hAnsi="宋体"/>
                            <w:w w:val="99"/>
                            <w:sz w:val="20"/>
                            <w:szCs w:val="20"/>
                            <w:lang w:eastAsia="zh-CN"/>
                          </w:rPr>
                        </w:pPr>
                        <w:r>
                          <w:rPr>
                            <w:rFonts w:ascii="宋体" w:cs="宋体" w:hAnsi="宋体" w:hint="eastAsia"/>
                            <w:w w:val="99"/>
                            <w:sz w:val="20"/>
                            <w:szCs w:val="20"/>
                            <w:lang w:eastAsia="zh-CN"/>
                          </w:rPr>
                          <w:t>《转速可控型房间空气调节器能</w:t>
                        </w:r>
                      </w:p>
                      <w:p>
                        <w:pPr>
                          <w:pStyle w:val="style4212"/>
                          <w:spacing w:lineRule="exact" w:line="256"/>
                          <w:ind w:left="7"/>
                          <w:rPr>
                            <w:rFonts w:ascii="宋体" w:cs="宋体" w:hAnsi="宋体"/>
                            <w:sz w:val="20"/>
                            <w:szCs w:val="20"/>
                            <w:lang w:eastAsia="zh-CN"/>
                          </w:rPr>
                        </w:pPr>
                        <w:r>
                          <w:rPr>
                            <w:rFonts w:ascii="宋体" w:cs="宋体" w:hAnsi="宋体" w:hint="eastAsia"/>
                            <w:w w:val="99"/>
                            <w:sz w:val="20"/>
                            <w:szCs w:val="20"/>
                            <w:lang w:eastAsia="zh-CN"/>
                          </w:rPr>
                          <w:t>效限定值及能效等级》（GB21455-2013），待2019年修订发布后，按《房间空气调节器能效限定值及能效等级》（GB21455-2019）</w:t>
                        </w:r>
                      </w:p>
                      <w:p>
                        <w:pPr>
                          <w:pStyle w:val="style4212"/>
                          <w:spacing w:lineRule="exact" w:line="256"/>
                          <w:ind w:left="7"/>
                          <w:rPr>
                            <w:rFonts w:ascii="宋体" w:cs="宋体" w:hAnsi="宋体"/>
                            <w:sz w:val="20"/>
                            <w:szCs w:val="20"/>
                          </w:rPr>
                        </w:pPr>
                        <w:r>
                          <w:rPr>
                            <w:rFonts w:ascii="宋体" w:cs="宋体" w:hAnsi="宋体" w:hint="eastAsia"/>
                            <w:w w:val="99"/>
                            <w:sz w:val="20"/>
                            <w:szCs w:val="20"/>
                          </w:rPr>
                          <w:t>实施。</w:t>
                        </w:r>
                      </w:p>
                    </w:tc>
                  </w:tr>
                  <w:tr>
                    <w:tblPrEx/>
                    <w:trPr>
                      <w:trHeight w:val="958" w:hRule="exac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lang w:eastAsia="en-US"/>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lang w:eastAsia="en-US"/>
                          </w:rPr>
                        </w:pP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pPr>
                          <w:pStyle w:val="style4212"/>
                          <w:spacing w:before="4" w:lineRule="auto" w:line="278"/>
                          <w:ind w:left="7" w:right="7"/>
                          <w:jc w:val="both"/>
                          <w:rPr>
                            <w:rFonts w:ascii="宋体" w:cs="宋体" w:hAnsi="宋体"/>
                            <w:sz w:val="20"/>
                            <w:szCs w:val="20"/>
                            <w:lang w:eastAsia="zh-CN"/>
                          </w:rPr>
                        </w:pPr>
                        <w:r>
                          <w:rPr>
                            <w:rFonts w:ascii="宋体" w:cs="宋体" w:hAnsi="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pPr>
                          <w:pStyle w:val="style4212"/>
                          <w:spacing w:before="160" w:lineRule="auto" w:line="278"/>
                          <w:ind w:left="7" w:right="7"/>
                          <w:rPr>
                            <w:rFonts w:ascii="宋体" w:cs="宋体" w:hAnsi="宋体"/>
                            <w:sz w:val="20"/>
                            <w:szCs w:val="20"/>
                            <w:lang w:eastAsia="zh-CN"/>
                          </w:rPr>
                        </w:pPr>
                        <w:r>
                          <w:rPr>
                            <w:rFonts w:ascii="宋体" w:cs="宋体" w:hAnsi="宋体" w:hint="eastAsia"/>
                            <w:w w:val="99"/>
                            <w:sz w:val="20"/>
                            <w:szCs w:val="20"/>
                            <w:lang w:eastAsia="zh-CN"/>
                          </w:rPr>
                          <w:t>《多联式空调（热泵）机组能效限定值及能源效率等级》（GB21454</w:t>
                        </w:r>
                      </w:p>
                    </w:tc>
                  </w:tr>
                  <w:tr>
                    <w:tblPrEx/>
                    <w:trPr>
                      <w:trHeight w:val="259" w:hRule="atLeas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792" w:type="dxa"/>
                        <w:tcBorders>
                          <w:top w:val="single" w:sz="4" w:space="0" w:color="000000"/>
                          <w:left w:val="single" w:sz="4" w:space="0" w:color="000000"/>
                          <w:bottom w:val="nil"/>
                          <w:right w:val="single" w:sz="4" w:space="0" w:color="000000"/>
                        </w:tcBorders>
                      </w:tcPr>
                      <w:p>
                        <w:pPr>
                          <w:pStyle w:val="style4212"/>
                          <w:spacing w:before="2"/>
                          <w:rPr>
                            <w:rFonts w:ascii="宋体" w:cs="宋体" w:hAnsi="宋体"/>
                            <w:sz w:val="24"/>
                            <w:szCs w:val="24"/>
                            <w:lang w:eastAsia="zh-CN"/>
                          </w:rPr>
                        </w:pPr>
                      </w:p>
                      <w:p>
                        <w:pPr>
                          <w:pStyle w:val="style4212"/>
                          <w:ind w:left="7"/>
                          <w:rPr>
                            <w:rFonts w:ascii="宋体" w:cs="宋体" w:hAnsi="宋体"/>
                            <w:sz w:val="20"/>
                            <w:szCs w:val="20"/>
                          </w:rPr>
                        </w:pPr>
                        <w:r>
                          <w:rPr>
                            <w:rFonts w:ascii="宋体" w:cs="宋体" w:hAnsi="宋体" w:hint="eastAsia"/>
                            <w:w w:val="99"/>
                            <w:sz w:val="20"/>
                            <w:szCs w:val="20"/>
                          </w:rPr>
                          <w:t>单元式空气调节机</w:t>
                        </w:r>
                      </w:p>
                    </w:tc>
                    <w:tc>
                      <w:tcPr>
                        <w:tcW w:w="3780" w:type="dxa"/>
                        <w:vMerge w:val="restart"/>
                        <w:tcBorders>
                          <w:top w:val="single" w:sz="4" w:space="0" w:color="000000"/>
                          <w:left w:val="single" w:sz="4" w:space="0" w:color="000000"/>
                          <w:bottom w:val="nil"/>
                          <w:right w:val="single" w:sz="4" w:space="0" w:color="000000"/>
                        </w:tcBorders>
                      </w:tcPr>
                      <w:p>
                        <w:pPr>
                          <w:pStyle w:val="style4212"/>
                          <w:spacing w:before="4"/>
                          <w:ind w:left="7"/>
                          <w:rPr>
                            <w:rFonts w:ascii="宋体" w:cs="宋体" w:hAnsi="宋体"/>
                            <w:sz w:val="20"/>
                            <w:szCs w:val="20"/>
                            <w:lang w:eastAsia="zh-CN"/>
                          </w:rPr>
                        </w:pPr>
                        <w:r>
                          <w:rPr>
                            <w:rFonts w:ascii="宋体" w:cs="宋体" w:hAnsi="宋体" w:hint="eastAsia"/>
                            <w:w w:val="99"/>
                            <w:sz w:val="20"/>
                            <w:szCs w:val="20"/>
                            <w:lang w:eastAsia="zh-CN"/>
                          </w:rPr>
                          <w:t>《单元式空气调节机能效限定值及能源效率等级》（GB19576）《风管送风式空调机组能效限定值及能效等级》（GB37479）</w:t>
                        </w:r>
                      </w:p>
                    </w:tc>
                  </w:tr>
                  <w:tr>
                    <w:tblPrEx/>
                    <w:trPr>
                      <w:trHeight w:val="657" w:hRule="atLeas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80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rPr>
                        </w:pPr>
                      </w:p>
                    </w:tc>
                    <w:tc>
                      <w:tcPr>
                        <w:tcW w:w="1792" w:type="dxa"/>
                        <w:tcBorders>
                          <w:top w:val="nil"/>
                          <w:left w:val="single" w:sz="4" w:space="0" w:color="000000"/>
                          <w:bottom w:val="single" w:sz="4" w:space="0" w:color="000000"/>
                          <w:right w:val="single" w:sz="4" w:space="0" w:color="000000"/>
                        </w:tcBorders>
                      </w:tcPr>
                      <w:p>
                        <w:pPr>
                          <w:pStyle w:val="style4212"/>
                          <w:spacing w:lineRule="exact" w:line="256"/>
                          <w:ind w:left="7"/>
                          <w:rPr>
                            <w:rFonts w:ascii="宋体" w:cs="宋体" w:hAnsi="宋体"/>
                            <w:sz w:val="20"/>
                            <w:szCs w:val="20"/>
                          </w:rPr>
                        </w:pPr>
                        <w:r>
                          <w:rPr>
                            <w:rFonts w:ascii="宋体" w:cs="宋体" w:hAnsi="宋体" w:hint="eastAsia"/>
                            <w:w w:val="99"/>
                            <w:sz w:val="20"/>
                            <w:szCs w:val="20"/>
                          </w:rPr>
                          <w:t>（制冷量≤14000W）</w:t>
                        </w:r>
                      </w:p>
                    </w:tc>
                    <w:tc>
                      <w:tcPr>
                        <w:tcW w:w="3780" w:type="dxa"/>
                        <w:vMerge w:val="continue"/>
                        <w:tcBorders>
                          <w:top w:val="single" w:sz="4" w:space="0" w:color="000000"/>
                          <w:left w:val="single" w:sz="4" w:space="0" w:color="000000"/>
                          <w:bottom w:val="nil"/>
                          <w:right w:val="single" w:sz="4" w:space="0" w:color="000000"/>
                        </w:tcBorders>
                        <w:vAlign w:val="center"/>
                      </w:tcPr>
                      <w:p>
                        <w:pPr>
                          <w:pStyle w:val="style0"/>
                          <w:widowControl/>
                          <w:jc w:val="left"/>
                          <w:rPr>
                            <w:rFonts w:ascii="宋体" w:cs="宋体" w:hAnsi="宋体"/>
                            <w:kern w:val="0"/>
                            <w:sz w:val="20"/>
                            <w:szCs w:val="20"/>
                          </w:rPr>
                        </w:pPr>
                      </w:p>
                    </w:tc>
                  </w:tr>
                  <w:tr>
                    <w:tblPrEx/>
                    <w:trPr>
                      <w:trHeight w:val="653" w:hRule="exact"/>
                    </w:trPr>
                    <w:tc>
                      <w:tcPr>
                        <w:tcW w:w="5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lang w:eastAsia="en-US"/>
                          </w:rPr>
                        </w:pPr>
                      </w:p>
                    </w:tc>
                    <w:tc>
                      <w:tcPr>
                        <w:tcW w:w="11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hAnsi="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pPr>
                          <w:pStyle w:val="style4212"/>
                          <w:spacing w:before="162"/>
                          <w:ind w:left="7"/>
                          <w:rPr>
                            <w:rFonts w:ascii="宋体" w:cs="宋体" w:hAnsi="宋体"/>
                            <w:sz w:val="20"/>
                            <w:szCs w:val="20"/>
                          </w:rPr>
                        </w:pPr>
                        <w:r>
                          <w:rPr>
                            <w:rFonts w:ascii="宋体" w:cs="宋体" w:hAnsi="宋体" w:hint="eastAsia"/>
                            <w:w w:val="99"/>
                            <w:sz w:val="20"/>
                            <w:szCs w:val="20"/>
                          </w:rPr>
                          <w:t>A02061810洗衣机</w:t>
                        </w:r>
                      </w:p>
                    </w:tc>
                    <w:tc>
                      <w:tcPr>
                        <w:tcW w:w="1792"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pPr>
                          <w:pStyle w:val="style4212"/>
                          <w:spacing w:before="6" w:lineRule="auto" w:line="278"/>
                          <w:ind w:left="7" w:right="4"/>
                          <w:rPr>
                            <w:rFonts w:ascii="宋体" w:cs="宋体" w:hAnsi="宋体"/>
                            <w:sz w:val="20"/>
                            <w:szCs w:val="20"/>
                            <w:lang w:eastAsia="zh-CN"/>
                          </w:rPr>
                        </w:pPr>
                        <w:r>
                          <w:rPr>
                            <w:rFonts w:ascii="宋体" w:cs="宋体" w:hAnsi="宋体" w:hint="eastAsia"/>
                            <w:w w:val="99"/>
                            <w:sz w:val="20"/>
                            <w:szCs w:val="20"/>
                            <w:lang w:eastAsia="zh-CN"/>
                          </w:rPr>
                          <w:t>《电动洗衣机能效水效限定值及等级》（GB12021.4）</w:t>
                        </w:r>
                      </w:p>
                    </w:tc>
                  </w:tr>
                </w:tbl>
                <w:p>
                  <w:pPr>
                    <w:pStyle w:val="style0"/>
                    <w:rPr>
                      <w:rFonts w:ascii="Calibri" w:hAnsi="Calibri"/>
                      <w:sz w:val="22"/>
                      <w:szCs w:val="22"/>
                    </w:rPr>
                  </w:pPr>
                </w:p>
              </w:txbxContent>
            </v:textbox>
          </v:shape>
        </w:pict>
      </w: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spacing w:before="2"/>
        <w:rPr>
          <w:rFonts w:ascii="宋体" w:cs="宋体" w:hAnsi="宋体"/>
          <w:sz w:val="23"/>
          <w:szCs w:val="23"/>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spacing w:before="6"/>
        <w:rPr>
          <w:rFonts w:ascii="宋体" w:cs="宋体" w:hAnsi="宋体"/>
          <w:sz w:val="29"/>
          <w:szCs w:val="29"/>
        </w:rPr>
      </w:pPr>
    </w:p>
    <w:p>
      <w:pPr>
        <w:pStyle w:val="style0"/>
        <w:rPr>
          <w:rFonts w:ascii="宋体" w:cs="宋体" w:hAnsi="宋体"/>
          <w:sz w:val="20"/>
          <w:szCs w:val="20"/>
        </w:rPr>
      </w:pPr>
    </w:p>
    <w:p>
      <w:pPr>
        <w:pStyle w:val="style0"/>
        <w:rPr>
          <w:rFonts w:ascii="宋体" w:cs="宋体" w:hAnsi="宋体"/>
          <w:sz w:val="20"/>
          <w:szCs w:val="20"/>
        </w:rPr>
      </w:pPr>
    </w:p>
    <w:p>
      <w:pPr>
        <w:pStyle w:val="style0"/>
        <w:spacing w:before="3"/>
        <w:rPr>
          <w:rFonts w:ascii="宋体" w:cs="宋体" w:hAnsi="宋体"/>
          <w:sz w:val="22"/>
          <w:szCs w:val="22"/>
        </w:rPr>
      </w:pPr>
    </w:p>
    <w:p>
      <w:pPr>
        <w:pStyle w:val="style0"/>
        <w:widowControl/>
        <w:jc w:val="left"/>
        <w:rPr>
          <w:rFonts w:ascii="宋体" w:cs="宋体" w:hAnsi="宋体"/>
          <w:sz w:val="20"/>
          <w:szCs w:val="20"/>
        </w:rPr>
        <w:sectPr>
          <w:pgSz w:w="11910" w:h="16840" w:orient="portrait"/>
          <w:pgMar w:top="1340" w:right="1500" w:bottom="280" w:left="1680" w:header="720" w:footer="720" w:gutter="0"/>
          <w:cols w:space="720"/>
        </w:sectPr>
      </w:pPr>
    </w:p>
    <w:p>
      <w:pPr>
        <w:pStyle w:val="style0"/>
        <w:rPr>
          <w:rFonts w:ascii="宋体" w:cs="宋体" w:hAnsi="宋体"/>
          <w:sz w:val="20"/>
          <w:szCs w:val="20"/>
        </w:rPr>
      </w:pPr>
    </w:p>
    <w:p>
      <w:pPr>
        <w:pStyle w:val="style0"/>
        <w:rPr>
          <w:rFonts w:ascii="宋体" w:cs="宋体" w:hAnsi="宋体"/>
          <w:sz w:val="20"/>
          <w:szCs w:val="20"/>
        </w:rPr>
      </w:pPr>
      <w:r>
        <w:rPr/>
        <w:pict>
          <v:shape id="1030" type="#_x0000_t202" filled="f" stroked="f" style="position:absolute;margin-left:65.15pt;margin-top:3.6pt;width:472.0pt;height:651.6pt;z-index:4;mso-position-horizontal-relative:page;mso-position-vertical-relative:text;mso-width-relative:page;mso-height-relative:page;mso-wrap-distance-left:0.0pt;mso-wrap-distance-right:0.0pt;visibility:visible;">
            <v:stroke on="f" joinstyle="miter"/>
            <v:fill/>
            <v:path o:connecttype="rect" gradientshapeok="t"/>
            <v:textbox inset="0.0pt,0.0pt,0.0pt,0.0pt">
              <w:txbxContent>
                <w:tbl>
                  <w:tblPr>
                    <w:tblW w:w="90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305"/>
                    <w:gridCol w:w="1665"/>
                    <w:gridCol w:w="1770"/>
                    <w:gridCol w:w="3765"/>
                  </w:tblGrid>
                  <w:tr>
                    <w:trPr>
                      <w:trHeight w:val="742" w:hRule="exact"/>
                    </w:trPr>
                    <w:tc>
                      <w:tcPr>
                        <w:tcW w:w="585" w:type="dxa"/>
                        <w:vMerge w:val="restart"/>
                        <w:tcBorders>
                          <w:top w:val="single" w:sz="4" w:space="0" w:color="auto"/>
                          <w:left w:val="single" w:sz="4" w:space="0" w:color="auto"/>
                          <w:bottom w:val="single" w:sz="4" w:space="0" w:color="auto"/>
                          <w:right w:val="single" w:sz="4" w:space="0" w:color="auto"/>
                        </w:tcBorders>
                      </w:tcPr>
                      <w:p>
                        <w:pPr>
                          <w:pStyle w:val="style0"/>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pPr>
                          <w:pStyle w:val="style0"/>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spacing w:before="161"/>
                          <w:ind w:left="7"/>
                          <w:rPr>
                            <w:rFonts w:ascii="宋体" w:cs="宋体" w:hAnsi="宋体"/>
                            <w:sz w:val="20"/>
                            <w:szCs w:val="20"/>
                          </w:rPr>
                        </w:pPr>
                        <w:r>
                          <w:rPr>
                            <w:rFonts w:ascii="宋体" w:cs="宋体" w:hAnsi="宋体" w:hint="eastAsia"/>
                            <w:spacing w:val="1"/>
                            <w:w w:val="99"/>
                            <w:sz w:val="20"/>
                            <w:szCs w:val="20"/>
                          </w:rPr>
                          <w:t>A02061819</w:t>
                        </w:r>
                        <w:r>
                          <w:rPr>
                            <w:rFonts w:ascii="宋体" w:cs="宋体" w:hAnsi="宋体" w:hint="eastAsia"/>
                            <w:w w:val="99"/>
                            <w:sz w:val="20"/>
                            <w:szCs w:val="20"/>
                          </w:rPr>
                          <w:t>热水器</w:t>
                        </w:r>
                      </w:p>
                    </w:tc>
                    <w:tc>
                      <w:tcPr>
                        <w:tcW w:w="1770" w:type="dxa"/>
                        <w:tcBorders>
                          <w:top w:val="single" w:sz="4" w:space="0" w:color="auto"/>
                          <w:left w:val="single" w:sz="4" w:space="0" w:color="auto"/>
                          <w:bottom w:val="single" w:sz="4" w:space="0" w:color="auto"/>
                          <w:right w:val="single" w:sz="4" w:space="0" w:color="auto"/>
                        </w:tcBorders>
                      </w:tcPr>
                      <w:p>
                        <w:pPr>
                          <w:pStyle w:val="style4212"/>
                          <w:spacing w:before="12"/>
                          <w:rPr>
                            <w:rFonts w:ascii="宋体" w:cs="宋体" w:hAnsi="宋体"/>
                            <w:sz w:val="15"/>
                            <w:szCs w:val="15"/>
                          </w:rPr>
                        </w:pPr>
                      </w:p>
                      <w:p>
                        <w:pPr>
                          <w:pStyle w:val="style4212"/>
                          <w:ind w:left="7"/>
                          <w:rPr>
                            <w:rFonts w:ascii="宋体" w:cs="宋体" w:hAnsi="宋体"/>
                            <w:sz w:val="20"/>
                            <w:szCs w:val="20"/>
                          </w:rPr>
                        </w:pPr>
                        <w:r>
                          <w:rPr>
                            <w:rFonts w:ascii="宋体" w:cs="宋体" w:hAnsi="宋体" w:hint="eastAsia"/>
                            <w:w w:val="99"/>
                            <w:sz w:val="20"/>
                            <w:szCs w:val="20"/>
                          </w:rPr>
                          <w:t>★电热</w:t>
                        </w:r>
                        <w:r>
                          <w:rPr>
                            <w:rFonts w:ascii="宋体" w:cs="宋体" w:hAnsi="宋体" w:hint="eastAsia"/>
                            <w:spacing w:val="2"/>
                            <w:w w:val="99"/>
                            <w:sz w:val="20"/>
                            <w:szCs w:val="20"/>
                          </w:rPr>
                          <w:t>水</w:t>
                        </w:r>
                        <w:r>
                          <w:rPr>
                            <w:rFonts w:ascii="宋体" w:cs="宋体" w:hAnsi="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pPr>
                          <w:pStyle w:val="style4212"/>
                          <w:tabs>
                            <w:tab w:val="left" w:leader="none" w:pos="1608"/>
                          </w:tabs>
                          <w:spacing w:before="52"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《储水式电热水器能效</w:t>
                        </w:r>
                        <w:r>
                          <w:rPr>
                            <w:rFonts w:ascii="宋体" w:cs="宋体" w:hAnsi="宋体" w:hint="eastAsia"/>
                            <w:spacing w:val="9"/>
                            <w:w w:val="99"/>
                            <w:sz w:val="20"/>
                            <w:szCs w:val="20"/>
                            <w:lang w:eastAsia="zh-CN"/>
                          </w:rPr>
                          <w:t>限</w:t>
                        </w:r>
                        <w:r>
                          <w:rPr>
                            <w:rFonts w:ascii="宋体" w:cs="宋体" w:hAnsi="宋体" w:hint="eastAsia"/>
                            <w:spacing w:val="12"/>
                            <w:w w:val="99"/>
                            <w:sz w:val="20"/>
                            <w:szCs w:val="20"/>
                            <w:lang w:eastAsia="zh-CN"/>
                          </w:rPr>
                          <w:t>定值</w:t>
                        </w:r>
                        <w:r>
                          <w:rPr>
                            <w:rFonts w:ascii="宋体" w:cs="宋体" w:hAnsi="宋体" w:hint="eastAsia"/>
                            <w:w w:val="99"/>
                            <w:sz w:val="20"/>
                            <w:szCs w:val="20"/>
                            <w:lang w:eastAsia="zh-CN"/>
                          </w:rPr>
                          <w:t>及能效等</w:t>
                        </w:r>
                        <w:r>
                          <w:rPr>
                            <w:rFonts w:ascii="宋体" w:cs="宋体" w:hAnsi="宋体" w:hint="eastAsia"/>
                            <w:spacing w:val="2"/>
                            <w:w w:val="99"/>
                            <w:sz w:val="20"/>
                            <w:szCs w:val="20"/>
                            <w:lang w:eastAsia="zh-CN"/>
                          </w:rPr>
                          <w:t>级</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21</w:t>
                        </w:r>
                        <w:r>
                          <w:rPr>
                            <w:rFonts w:ascii="宋体" w:cs="宋体" w:hAnsi="宋体" w:hint="eastAsia"/>
                            <w:w w:val="99"/>
                            <w:sz w:val="20"/>
                            <w:szCs w:val="20"/>
                            <w:lang w:eastAsia="zh-CN"/>
                          </w:rPr>
                          <w:t>51</w:t>
                        </w:r>
                        <w:r>
                          <w:rPr>
                            <w:rFonts w:ascii="宋体" w:cs="宋体" w:hAnsi="宋体" w:hint="eastAsia"/>
                            <w:spacing w:val="1"/>
                            <w:w w:val="99"/>
                            <w:sz w:val="20"/>
                            <w:szCs w:val="20"/>
                            <w:lang w:eastAsia="zh-CN"/>
                          </w:rPr>
                          <w:t>9</w:t>
                        </w:r>
                        <w:r>
                          <w:rPr>
                            <w:rFonts w:ascii="宋体" w:cs="宋体" w:hAnsi="宋体" w:hint="eastAsia"/>
                            <w:w w:val="99"/>
                            <w:sz w:val="20"/>
                            <w:szCs w:val="20"/>
                            <w:lang w:eastAsia="zh-CN"/>
                          </w:rPr>
                          <w:t>）</w:t>
                        </w:r>
                      </w:p>
                    </w:tc>
                  </w:tr>
                  <w:tr>
                    <w:tblPrEx/>
                    <w:trPr>
                      <w:trHeight w:val="958" w:hRule="exact"/>
                    </w:trPr>
                    <w:tc>
                      <w:tcPr>
                        <w:tcW w:w="58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Calibri" w:hAnsi="Calibri"/>
                            <w:sz w:val="22"/>
                            <w:szCs w:val="22"/>
                          </w:rPr>
                        </w:pPr>
                      </w:p>
                    </w:tc>
                    <w:tc>
                      <w:tcPr>
                        <w:tcW w:w="130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Calibri" w:hAnsi="Calibri"/>
                            <w:sz w:val="22"/>
                            <w:szCs w:val="22"/>
                          </w:rPr>
                        </w:pPr>
                      </w:p>
                    </w:tc>
                    <w:tc>
                      <w:tcPr>
                        <w:tcW w:w="166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pPr>
                          <w:pStyle w:val="style4212"/>
                          <w:spacing w:before="2"/>
                          <w:rPr>
                            <w:rFonts w:ascii="宋体" w:cs="宋体" w:hAnsi="宋体"/>
                            <w:sz w:val="24"/>
                            <w:szCs w:val="24"/>
                            <w:lang w:eastAsia="zh-CN"/>
                          </w:rPr>
                        </w:pPr>
                      </w:p>
                      <w:p>
                        <w:pPr>
                          <w:pStyle w:val="style4212"/>
                          <w:ind w:left="7"/>
                          <w:rPr>
                            <w:rFonts w:ascii="宋体" w:cs="宋体" w:hAnsi="宋体"/>
                            <w:sz w:val="20"/>
                            <w:szCs w:val="20"/>
                          </w:rPr>
                        </w:pPr>
                        <w:r>
                          <w:rPr>
                            <w:rFonts w:ascii="宋体" w:cs="宋体" w:hAnsi="宋体" w:hint="eastAsia"/>
                            <w:w w:val="99"/>
                            <w:sz w:val="20"/>
                            <w:szCs w:val="20"/>
                          </w:rPr>
                          <w:t>燃气热</w:t>
                        </w:r>
                        <w:r>
                          <w:rPr>
                            <w:rFonts w:ascii="宋体" w:cs="宋体" w:hAnsi="宋体" w:hint="eastAsia"/>
                            <w:spacing w:val="2"/>
                            <w:w w:val="99"/>
                            <w:sz w:val="20"/>
                            <w:szCs w:val="20"/>
                          </w:rPr>
                          <w:t>水</w:t>
                        </w:r>
                        <w:r>
                          <w:rPr>
                            <w:rFonts w:ascii="宋体" w:cs="宋体" w:hAnsi="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4"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《家用燃气快速热水器</w:t>
                        </w:r>
                        <w:r>
                          <w:rPr>
                            <w:rFonts w:ascii="宋体" w:cs="宋体" w:hAnsi="宋体" w:hint="eastAsia"/>
                            <w:spacing w:val="9"/>
                            <w:w w:val="99"/>
                            <w:sz w:val="20"/>
                            <w:szCs w:val="20"/>
                            <w:lang w:eastAsia="zh-CN"/>
                          </w:rPr>
                          <w:t>和</w:t>
                        </w:r>
                        <w:r>
                          <w:rPr>
                            <w:rFonts w:ascii="宋体" w:cs="宋体" w:hAnsi="宋体" w:hint="eastAsia"/>
                            <w:spacing w:val="12"/>
                            <w:w w:val="99"/>
                            <w:sz w:val="20"/>
                            <w:szCs w:val="20"/>
                            <w:lang w:eastAsia="zh-CN"/>
                          </w:rPr>
                          <w:t>燃气</w:t>
                        </w:r>
                        <w:r>
                          <w:rPr>
                            <w:rFonts w:ascii="宋体" w:cs="宋体" w:hAnsi="宋体" w:hint="eastAsia"/>
                            <w:w w:val="99"/>
                            <w:sz w:val="20"/>
                            <w:szCs w:val="20"/>
                            <w:lang w:eastAsia="zh-CN"/>
                          </w:rPr>
                          <w:t>采暖热水</w:t>
                        </w:r>
                        <w:r>
                          <w:rPr>
                            <w:rFonts w:ascii="宋体" w:cs="宋体" w:hAnsi="宋体" w:hint="eastAsia"/>
                            <w:spacing w:val="2"/>
                            <w:w w:val="99"/>
                            <w:sz w:val="20"/>
                            <w:szCs w:val="20"/>
                            <w:lang w:eastAsia="zh-CN"/>
                          </w:rPr>
                          <w:t>炉</w:t>
                        </w:r>
                        <w:r>
                          <w:rPr>
                            <w:rFonts w:ascii="宋体" w:cs="宋体" w:hAnsi="宋体" w:hint="eastAsia"/>
                            <w:w w:val="99"/>
                            <w:sz w:val="20"/>
                            <w:szCs w:val="20"/>
                            <w:lang w:eastAsia="zh-CN"/>
                          </w:rPr>
                          <w:t>能效</w:t>
                        </w:r>
                        <w:r>
                          <w:rPr>
                            <w:rFonts w:ascii="宋体" w:cs="宋体" w:hAnsi="宋体" w:hint="eastAsia"/>
                            <w:spacing w:val="2"/>
                            <w:w w:val="99"/>
                            <w:sz w:val="20"/>
                            <w:szCs w:val="20"/>
                            <w:lang w:eastAsia="zh-CN"/>
                          </w:rPr>
                          <w:t>限</w:t>
                        </w:r>
                        <w:r>
                          <w:rPr>
                            <w:rFonts w:ascii="宋体" w:cs="宋体" w:hAnsi="宋体" w:hint="eastAsia"/>
                            <w:w w:val="99"/>
                            <w:sz w:val="20"/>
                            <w:szCs w:val="20"/>
                            <w:lang w:eastAsia="zh-CN"/>
                          </w:rPr>
                          <w:t>定值</w:t>
                        </w:r>
                        <w:r>
                          <w:rPr>
                            <w:rFonts w:ascii="宋体" w:cs="宋体" w:hAnsi="宋体" w:hint="eastAsia"/>
                            <w:spacing w:val="2"/>
                            <w:w w:val="99"/>
                            <w:sz w:val="20"/>
                            <w:szCs w:val="20"/>
                            <w:lang w:eastAsia="zh-CN"/>
                          </w:rPr>
                          <w:t>及</w:t>
                        </w:r>
                        <w:r>
                          <w:rPr>
                            <w:rFonts w:ascii="宋体" w:cs="宋体" w:hAnsi="宋体" w:hint="eastAsia"/>
                            <w:w w:val="99"/>
                            <w:sz w:val="20"/>
                            <w:szCs w:val="20"/>
                            <w:lang w:eastAsia="zh-CN"/>
                          </w:rPr>
                          <w:t>能</w:t>
                        </w:r>
                        <w:r>
                          <w:rPr>
                            <w:rFonts w:ascii="宋体" w:cs="宋体" w:hAnsi="宋体" w:hint="eastAsia"/>
                            <w:spacing w:val="2"/>
                            <w:w w:val="99"/>
                            <w:sz w:val="20"/>
                            <w:szCs w:val="20"/>
                            <w:lang w:eastAsia="zh-CN"/>
                          </w:rPr>
                          <w:t>效</w:t>
                        </w:r>
                        <w:r>
                          <w:rPr>
                            <w:rFonts w:ascii="宋体" w:cs="宋体" w:hAnsi="宋体" w:hint="eastAsia"/>
                            <w:w w:val="99"/>
                            <w:sz w:val="20"/>
                            <w:szCs w:val="20"/>
                            <w:lang w:eastAsia="zh-CN"/>
                          </w:rPr>
                          <w:t>等级》（</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w:t>
                        </w:r>
                        <w:r>
                          <w:rPr>
                            <w:rFonts w:ascii="宋体" w:cs="宋体" w:hAnsi="宋体" w:hint="eastAsia"/>
                            <w:w w:val="99"/>
                            <w:sz w:val="20"/>
                            <w:szCs w:val="20"/>
                            <w:lang w:eastAsia="zh-CN"/>
                          </w:rPr>
                          <w:t>06</w:t>
                        </w:r>
                        <w:r>
                          <w:rPr>
                            <w:rFonts w:ascii="宋体" w:cs="宋体" w:hAnsi="宋体" w:hint="eastAsia"/>
                            <w:spacing w:val="1"/>
                            <w:w w:val="99"/>
                            <w:sz w:val="20"/>
                            <w:szCs w:val="20"/>
                            <w:lang w:eastAsia="zh-CN"/>
                          </w:rPr>
                          <w:t>65</w:t>
                        </w:r>
                        <w:r>
                          <w:rPr>
                            <w:rFonts w:ascii="宋体" w:cs="宋体" w:hAnsi="宋体" w:hint="eastAsia"/>
                            <w:w w:val="99"/>
                            <w:sz w:val="20"/>
                            <w:szCs w:val="20"/>
                            <w:lang w:eastAsia="zh-CN"/>
                          </w:rPr>
                          <w:t>）</w:t>
                        </w:r>
                      </w:p>
                    </w:tc>
                  </w:tr>
                  <w:tr>
                    <w:tblPrEx/>
                    <w:trPr>
                      <w:trHeight w:val="823" w:hRule="exact"/>
                    </w:trPr>
                    <w:tc>
                      <w:tcPr>
                        <w:tcW w:w="58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Calibri" w:hAnsi="Calibri"/>
                            <w:sz w:val="22"/>
                            <w:szCs w:val="22"/>
                          </w:rPr>
                        </w:pPr>
                      </w:p>
                    </w:tc>
                    <w:tc>
                      <w:tcPr>
                        <w:tcW w:w="130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Calibri" w:hAnsi="Calibri"/>
                            <w:sz w:val="22"/>
                            <w:szCs w:val="22"/>
                          </w:rPr>
                        </w:pPr>
                      </w:p>
                    </w:tc>
                    <w:tc>
                      <w:tcPr>
                        <w:tcW w:w="166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pPr>
                          <w:pStyle w:val="style4212"/>
                          <w:rPr>
                            <w:rFonts w:ascii="宋体" w:cs="宋体" w:hAnsi="宋体"/>
                            <w:sz w:val="19"/>
                            <w:szCs w:val="19"/>
                            <w:lang w:eastAsia="zh-CN"/>
                          </w:rPr>
                        </w:pPr>
                      </w:p>
                      <w:p>
                        <w:pPr>
                          <w:pStyle w:val="style4212"/>
                          <w:ind w:left="7"/>
                          <w:rPr>
                            <w:rFonts w:ascii="宋体" w:cs="宋体" w:hAnsi="宋体"/>
                            <w:sz w:val="20"/>
                            <w:szCs w:val="20"/>
                          </w:rPr>
                        </w:pPr>
                        <w:r>
                          <w:rPr>
                            <w:rFonts w:ascii="宋体" w:cs="宋体" w:hAnsi="宋体" w:hint="eastAsia"/>
                            <w:w w:val="99"/>
                            <w:sz w:val="20"/>
                            <w:szCs w:val="20"/>
                          </w:rPr>
                          <w:t>热泵热</w:t>
                        </w:r>
                        <w:r>
                          <w:rPr>
                            <w:rFonts w:ascii="宋体" w:cs="宋体" w:hAnsi="宋体" w:hint="eastAsia"/>
                            <w:spacing w:val="2"/>
                            <w:w w:val="99"/>
                            <w:sz w:val="20"/>
                            <w:szCs w:val="20"/>
                          </w:rPr>
                          <w:t>水</w:t>
                        </w:r>
                        <w:r>
                          <w:rPr>
                            <w:rFonts w:ascii="宋体" w:cs="宋体" w:hAnsi="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93" w:lineRule="auto" w:line="278"/>
                          <w:ind w:left="7" w:right="7"/>
                          <w:rPr>
                            <w:rFonts w:ascii="宋体" w:cs="宋体" w:hAnsi="宋体"/>
                            <w:sz w:val="20"/>
                            <w:szCs w:val="20"/>
                            <w:lang w:eastAsia="zh-CN"/>
                          </w:rPr>
                        </w:pPr>
                        <w:r>
                          <w:rPr>
                            <w:rFonts w:ascii="宋体" w:cs="宋体" w:hAnsi="宋体" w:hint="eastAsia"/>
                            <w:w w:val="99"/>
                            <w:sz w:val="20"/>
                            <w:szCs w:val="20"/>
                            <w:lang w:eastAsia="zh-CN"/>
                          </w:rPr>
                          <w:t>《热泵</w:t>
                        </w:r>
                        <w:r>
                          <w:rPr>
                            <w:rFonts w:ascii="宋体" w:cs="宋体" w:hAnsi="宋体" w:hint="eastAsia"/>
                            <w:spacing w:val="2"/>
                            <w:w w:val="99"/>
                            <w:sz w:val="20"/>
                            <w:szCs w:val="20"/>
                            <w:lang w:eastAsia="zh-CN"/>
                          </w:rPr>
                          <w:t>热</w:t>
                        </w:r>
                        <w:r>
                          <w:rPr>
                            <w:rFonts w:ascii="宋体" w:cs="宋体" w:hAnsi="宋体" w:hint="eastAsia"/>
                            <w:w w:val="99"/>
                            <w:sz w:val="20"/>
                            <w:szCs w:val="20"/>
                            <w:lang w:eastAsia="zh-CN"/>
                          </w:rPr>
                          <w:t>水</w:t>
                        </w:r>
                        <w:r>
                          <w:rPr>
                            <w:rFonts w:ascii="宋体" w:cs="宋体" w:hAnsi="宋体" w:hint="eastAsia"/>
                            <w:spacing w:val="-27"/>
                            <w:w w:val="99"/>
                            <w:sz w:val="20"/>
                            <w:szCs w:val="20"/>
                            <w:lang w:eastAsia="zh-CN"/>
                          </w:rPr>
                          <w:t>机</w:t>
                        </w:r>
                        <w:r>
                          <w:rPr>
                            <w:rFonts w:ascii="宋体" w:cs="宋体" w:hAnsi="宋体" w:hint="eastAsia"/>
                            <w:w w:val="99"/>
                            <w:sz w:val="20"/>
                            <w:szCs w:val="20"/>
                            <w:lang w:eastAsia="zh-CN"/>
                          </w:rPr>
                          <w:t>（器</w:t>
                        </w:r>
                        <w:r>
                          <w:rPr>
                            <w:rFonts w:ascii="宋体" w:cs="宋体" w:hAnsi="宋体" w:hint="eastAsia"/>
                            <w:spacing w:val="-27"/>
                            <w:w w:val="99"/>
                            <w:sz w:val="20"/>
                            <w:szCs w:val="20"/>
                            <w:lang w:eastAsia="zh-CN"/>
                          </w:rPr>
                          <w:t>）</w:t>
                        </w:r>
                        <w:r>
                          <w:rPr>
                            <w:rFonts w:ascii="宋体" w:cs="宋体" w:hAnsi="宋体" w:hint="eastAsia"/>
                            <w:w w:val="99"/>
                            <w:sz w:val="20"/>
                            <w:szCs w:val="20"/>
                            <w:lang w:eastAsia="zh-CN"/>
                          </w:rPr>
                          <w:t>能效</w:t>
                        </w:r>
                        <w:r>
                          <w:rPr>
                            <w:rFonts w:ascii="宋体" w:cs="宋体" w:hAnsi="宋体" w:hint="eastAsia"/>
                            <w:spacing w:val="2"/>
                            <w:w w:val="99"/>
                            <w:sz w:val="20"/>
                            <w:szCs w:val="20"/>
                            <w:lang w:eastAsia="zh-CN"/>
                          </w:rPr>
                          <w:t>限</w:t>
                        </w:r>
                        <w:r>
                          <w:rPr>
                            <w:rFonts w:ascii="宋体" w:cs="宋体" w:hAnsi="宋体" w:hint="eastAsia"/>
                            <w:w w:val="99"/>
                            <w:sz w:val="20"/>
                            <w:szCs w:val="20"/>
                            <w:lang w:eastAsia="zh-CN"/>
                          </w:rPr>
                          <w:t>定值及能效等</w:t>
                        </w:r>
                        <w:r>
                          <w:rPr>
                            <w:rFonts w:ascii="宋体" w:cs="宋体" w:hAnsi="宋体" w:hint="eastAsia"/>
                            <w:spacing w:val="2"/>
                            <w:w w:val="99"/>
                            <w:sz w:val="20"/>
                            <w:szCs w:val="20"/>
                            <w:lang w:eastAsia="zh-CN"/>
                          </w:rPr>
                          <w:t>级</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295</w:t>
                        </w:r>
                        <w:r>
                          <w:rPr>
                            <w:rFonts w:ascii="宋体" w:cs="宋体" w:hAnsi="宋体" w:hint="eastAsia"/>
                            <w:w w:val="99"/>
                            <w:sz w:val="20"/>
                            <w:szCs w:val="20"/>
                            <w:lang w:eastAsia="zh-CN"/>
                          </w:rPr>
                          <w:t>4</w:t>
                        </w:r>
                        <w:r>
                          <w:rPr>
                            <w:rFonts w:ascii="宋体" w:cs="宋体" w:hAnsi="宋体" w:hint="eastAsia"/>
                            <w:spacing w:val="-1"/>
                            <w:w w:val="99"/>
                            <w:sz w:val="20"/>
                            <w:szCs w:val="20"/>
                            <w:lang w:eastAsia="zh-CN"/>
                          </w:rPr>
                          <w:t>1</w:t>
                        </w:r>
                        <w:r>
                          <w:rPr>
                            <w:rFonts w:ascii="宋体" w:cs="宋体" w:hAnsi="宋体" w:hint="eastAsia"/>
                            <w:w w:val="99"/>
                            <w:sz w:val="20"/>
                            <w:szCs w:val="20"/>
                            <w:lang w:eastAsia="zh-CN"/>
                          </w:rPr>
                          <w:t>）</w:t>
                        </w:r>
                      </w:p>
                    </w:tc>
                  </w:tr>
                  <w:tr>
                    <w:tblPrEx/>
                    <w:trPr>
                      <w:trHeight w:val="742" w:hRule="exact"/>
                    </w:trPr>
                    <w:tc>
                      <w:tcPr>
                        <w:tcW w:w="58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Calibri" w:hAnsi="Calibri"/>
                            <w:sz w:val="22"/>
                            <w:szCs w:val="22"/>
                          </w:rPr>
                        </w:pPr>
                      </w:p>
                    </w:tc>
                    <w:tc>
                      <w:tcPr>
                        <w:tcW w:w="130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Calibri" w:hAnsi="Calibri"/>
                            <w:sz w:val="22"/>
                            <w:szCs w:val="22"/>
                          </w:rPr>
                        </w:pPr>
                      </w:p>
                    </w:tc>
                    <w:tc>
                      <w:tcPr>
                        <w:tcW w:w="166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pPr>
                          <w:pStyle w:val="style4212"/>
                          <w:spacing w:before="12"/>
                          <w:rPr>
                            <w:rFonts w:ascii="宋体" w:cs="宋体" w:hAnsi="宋体"/>
                            <w:sz w:val="15"/>
                            <w:szCs w:val="15"/>
                            <w:lang w:eastAsia="zh-CN"/>
                          </w:rPr>
                        </w:pPr>
                      </w:p>
                      <w:p>
                        <w:pPr>
                          <w:pStyle w:val="style4212"/>
                          <w:ind w:left="7"/>
                          <w:rPr>
                            <w:rFonts w:ascii="宋体" w:cs="宋体" w:hAnsi="宋体"/>
                            <w:sz w:val="20"/>
                            <w:szCs w:val="20"/>
                          </w:rPr>
                        </w:pPr>
                        <w:r>
                          <w:rPr>
                            <w:rFonts w:ascii="宋体" w:cs="宋体" w:hAnsi="宋体" w:hint="eastAsia"/>
                            <w:w w:val="99"/>
                            <w:sz w:val="20"/>
                            <w:szCs w:val="20"/>
                          </w:rPr>
                          <w:t>太阳能</w:t>
                        </w:r>
                        <w:r>
                          <w:rPr>
                            <w:rFonts w:ascii="宋体" w:cs="宋体" w:hAnsi="宋体" w:hint="eastAsia"/>
                            <w:spacing w:val="2"/>
                            <w:w w:val="99"/>
                            <w:sz w:val="20"/>
                            <w:szCs w:val="20"/>
                          </w:rPr>
                          <w:t>热</w:t>
                        </w:r>
                        <w:r>
                          <w:rPr>
                            <w:rFonts w:ascii="宋体" w:cs="宋体" w:hAnsi="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52"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《家用太阳能热水系统</w:t>
                        </w:r>
                        <w:r>
                          <w:rPr>
                            <w:rFonts w:ascii="宋体" w:cs="宋体" w:hAnsi="宋体" w:hint="eastAsia"/>
                            <w:spacing w:val="9"/>
                            <w:w w:val="99"/>
                            <w:sz w:val="20"/>
                            <w:szCs w:val="20"/>
                            <w:lang w:eastAsia="zh-CN"/>
                          </w:rPr>
                          <w:t>能</w:t>
                        </w:r>
                        <w:r>
                          <w:rPr>
                            <w:rFonts w:ascii="宋体" w:cs="宋体" w:hAnsi="宋体" w:hint="eastAsia"/>
                            <w:spacing w:val="12"/>
                            <w:w w:val="99"/>
                            <w:sz w:val="20"/>
                            <w:szCs w:val="20"/>
                            <w:lang w:eastAsia="zh-CN"/>
                          </w:rPr>
                          <w:t>效限</w:t>
                        </w:r>
                        <w:r>
                          <w:rPr>
                            <w:rFonts w:ascii="宋体" w:cs="宋体" w:hAnsi="宋体" w:hint="eastAsia"/>
                            <w:w w:val="99"/>
                            <w:sz w:val="20"/>
                            <w:szCs w:val="20"/>
                            <w:lang w:eastAsia="zh-CN"/>
                          </w:rPr>
                          <w:t>定值及能</w:t>
                        </w:r>
                        <w:r>
                          <w:rPr>
                            <w:rFonts w:ascii="宋体" w:cs="宋体" w:hAnsi="宋体" w:hint="eastAsia"/>
                            <w:spacing w:val="2"/>
                            <w:w w:val="99"/>
                            <w:sz w:val="20"/>
                            <w:szCs w:val="20"/>
                            <w:lang w:eastAsia="zh-CN"/>
                          </w:rPr>
                          <w:t>效</w:t>
                        </w:r>
                        <w:r>
                          <w:rPr>
                            <w:rFonts w:ascii="宋体" w:cs="宋体" w:hAnsi="宋体" w:hint="eastAsia"/>
                            <w:w w:val="99"/>
                            <w:sz w:val="20"/>
                            <w:szCs w:val="20"/>
                            <w:lang w:eastAsia="zh-CN"/>
                          </w:rPr>
                          <w:t>等级</w:t>
                        </w:r>
                        <w:r>
                          <w:rPr>
                            <w:rFonts w:ascii="宋体" w:cs="宋体" w:hAnsi="宋体" w:hint="eastAsia"/>
                            <w:spacing w:val="2"/>
                            <w:w w:val="99"/>
                            <w:sz w:val="20"/>
                            <w:szCs w:val="20"/>
                            <w:lang w:eastAsia="zh-CN"/>
                          </w:rPr>
                          <w:t>》</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26</w:t>
                        </w:r>
                        <w:r>
                          <w:rPr>
                            <w:rFonts w:ascii="宋体" w:cs="宋体" w:hAnsi="宋体" w:hint="eastAsia"/>
                            <w:w w:val="99"/>
                            <w:sz w:val="20"/>
                            <w:szCs w:val="20"/>
                            <w:lang w:eastAsia="zh-CN"/>
                          </w:rPr>
                          <w:t>96</w:t>
                        </w:r>
                        <w:r>
                          <w:rPr>
                            <w:rFonts w:ascii="宋体" w:cs="宋体" w:hAnsi="宋体" w:hint="eastAsia"/>
                            <w:spacing w:val="-2"/>
                            <w:w w:val="99"/>
                            <w:sz w:val="20"/>
                            <w:szCs w:val="20"/>
                            <w:lang w:eastAsia="zh-CN"/>
                          </w:rPr>
                          <w:t>9</w:t>
                        </w:r>
                        <w:r>
                          <w:rPr>
                            <w:rFonts w:ascii="宋体" w:cs="宋体" w:hAnsi="宋体" w:hint="eastAsia"/>
                            <w:w w:val="99"/>
                            <w:sz w:val="20"/>
                            <w:szCs w:val="20"/>
                            <w:lang w:eastAsia="zh-CN"/>
                          </w:rPr>
                          <w:t>）</w:t>
                        </w:r>
                      </w:p>
                    </w:tc>
                  </w:tr>
                  <w:tr>
                    <w:tblPrEx/>
                    <w:trPr>
                      <w:trHeight w:val="902" w:hRule="exact"/>
                    </w:trPr>
                    <w:tc>
                      <w:tcPr>
                        <w:tcW w:w="585" w:type="dxa"/>
                        <w:vMerge w:val="restart"/>
                        <w:tcBorders>
                          <w:top w:val="single" w:sz="4" w:space="0" w:color="auto"/>
                          <w:left w:val="single" w:sz="4" w:space="0" w:color="auto"/>
                          <w:bottom w:val="single" w:sz="4" w:space="0" w:color="auto"/>
                          <w:right w:val="single" w:sz="4" w:space="0" w:color="auto"/>
                        </w:tcBorders>
                      </w:tcPr>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spacing w:before="12"/>
                          <w:rPr>
                            <w:rFonts w:ascii="宋体" w:cs="宋体" w:hAnsi="宋体"/>
                            <w:sz w:val="23"/>
                            <w:szCs w:val="23"/>
                            <w:lang w:eastAsia="zh-CN"/>
                          </w:rPr>
                        </w:pPr>
                      </w:p>
                      <w:p>
                        <w:pPr>
                          <w:pStyle w:val="style4212"/>
                          <w:ind w:left="182"/>
                          <w:rPr>
                            <w:rFonts w:ascii="宋体" w:cs="宋体" w:hAnsi="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rPr>
                            <w:rFonts w:ascii="宋体" w:cs="宋体" w:hAnsi="宋体"/>
                            <w:sz w:val="20"/>
                            <w:szCs w:val="20"/>
                          </w:rPr>
                        </w:pPr>
                      </w:p>
                      <w:p>
                        <w:pPr>
                          <w:pStyle w:val="style4212"/>
                          <w:spacing w:before="157"/>
                          <w:ind w:left="7"/>
                          <w:rPr>
                            <w:rFonts w:ascii="宋体" w:cs="宋体" w:hAnsi="宋体"/>
                            <w:sz w:val="20"/>
                            <w:szCs w:val="20"/>
                          </w:rPr>
                        </w:pPr>
                        <w:r>
                          <w:rPr>
                            <w:rFonts w:ascii="宋体" w:cs="宋体" w:hAnsi="宋体" w:hint="eastAsia"/>
                            <w:spacing w:val="1"/>
                            <w:w w:val="99"/>
                            <w:sz w:val="20"/>
                            <w:szCs w:val="20"/>
                          </w:rPr>
                          <w:t>A02</w:t>
                        </w:r>
                        <w:r>
                          <w:rPr>
                            <w:rFonts w:ascii="宋体" w:cs="宋体" w:hAnsi="宋体" w:hint="eastAsia"/>
                            <w:w w:val="99"/>
                            <w:sz w:val="20"/>
                            <w:szCs w:val="20"/>
                          </w:rPr>
                          <w:t>06</w:t>
                        </w:r>
                        <w:r>
                          <w:rPr>
                            <w:rFonts w:ascii="宋体" w:cs="宋体" w:hAnsi="宋体" w:hint="eastAsia"/>
                            <w:spacing w:val="1"/>
                            <w:w w:val="99"/>
                            <w:sz w:val="20"/>
                            <w:szCs w:val="20"/>
                          </w:rPr>
                          <w:t>1</w:t>
                        </w:r>
                        <w:r>
                          <w:rPr>
                            <w:rFonts w:ascii="宋体" w:cs="宋体" w:hAnsi="宋体" w:hint="eastAsia"/>
                            <w:w w:val="99"/>
                            <w:sz w:val="20"/>
                            <w:szCs w:val="20"/>
                          </w:rPr>
                          <w:t>9</w:t>
                        </w:r>
                        <w:r>
                          <w:rPr>
                            <w:rFonts w:ascii="宋体" w:cs="宋体" w:hAnsi="宋体" w:hint="eastAsia"/>
                            <w:w w:val="99"/>
                            <w:sz w:val="20"/>
                            <w:szCs w:val="20"/>
                            <w:lang w:eastAsia="zh-CN"/>
                          </w:rPr>
                          <w:t>00</w:t>
                        </w:r>
                        <w:r>
                          <w:rPr>
                            <w:rFonts w:ascii="宋体" w:cs="宋体" w:hAnsi="宋体" w:hint="eastAsia"/>
                            <w:w w:val="99"/>
                            <w:sz w:val="20"/>
                            <w:szCs w:val="20"/>
                          </w:rPr>
                          <w:t>照明设备</w:t>
                        </w:r>
                      </w:p>
                    </w:tc>
                    <w:tc>
                      <w:tcPr>
                        <w:tcW w:w="1665" w:type="dxa"/>
                        <w:tcBorders>
                          <w:top w:val="single" w:sz="4" w:space="0" w:color="auto"/>
                          <w:left w:val="single" w:sz="4" w:space="0" w:color="auto"/>
                          <w:bottom w:val="single" w:sz="4" w:space="0" w:color="auto"/>
                          <w:right w:val="single" w:sz="4" w:space="0" w:color="auto"/>
                        </w:tcBorders>
                      </w:tcPr>
                      <w:p>
                        <w:pPr>
                          <w:pStyle w:val="style4212"/>
                          <w:spacing w:before="133" w:lineRule="auto" w:line="278"/>
                          <w:ind w:left="7" w:right="7"/>
                          <w:rPr>
                            <w:rFonts w:ascii="宋体" w:cs="宋体" w:hAnsi="宋体"/>
                            <w:sz w:val="20"/>
                            <w:szCs w:val="20"/>
                            <w:lang w:eastAsia="zh-CN"/>
                          </w:rPr>
                        </w:pPr>
                        <w:r>
                          <w:rPr>
                            <w:rFonts w:ascii="宋体" w:cs="宋体" w:hAnsi="宋体" w:hint="eastAsia"/>
                            <w:w w:val="99"/>
                            <w:sz w:val="20"/>
                            <w:szCs w:val="20"/>
                            <w:lang w:eastAsia="zh-CN"/>
                          </w:rPr>
                          <w:t>★</w:t>
                        </w:r>
                        <w:r>
                          <w:rPr>
                            <w:rFonts w:ascii="宋体" w:cs="宋体" w:hAnsi="宋体" w:hint="eastAsia"/>
                            <w:spacing w:val="24"/>
                            <w:w w:val="99"/>
                            <w:sz w:val="20"/>
                            <w:szCs w:val="20"/>
                            <w:lang w:eastAsia="zh-CN"/>
                          </w:rPr>
                          <w:t>普</w:t>
                        </w:r>
                        <w:r>
                          <w:rPr>
                            <w:rFonts w:ascii="宋体" w:cs="宋体" w:hAnsi="宋体" w:hint="eastAsia"/>
                            <w:w w:val="99"/>
                            <w:sz w:val="20"/>
                            <w:szCs w:val="20"/>
                            <w:lang w:eastAsia="zh-CN"/>
                          </w:rPr>
                          <w:t>通照明用</w:t>
                        </w:r>
                        <w:r>
                          <w:rPr>
                            <w:rFonts w:ascii="宋体" w:cs="宋体" w:hAnsi="宋体" w:hint="eastAsia"/>
                            <w:spacing w:val="24"/>
                            <w:w w:val="99"/>
                            <w:sz w:val="20"/>
                            <w:szCs w:val="20"/>
                            <w:lang w:eastAsia="zh-CN"/>
                          </w:rPr>
                          <w:t>双</w:t>
                        </w:r>
                        <w:r>
                          <w:rPr>
                            <w:rFonts w:ascii="宋体" w:cs="宋体" w:hAnsi="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pPr>
                          <w:pStyle w:val="style0"/>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133"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《普通照明用双端荧光</w:t>
                        </w:r>
                        <w:r>
                          <w:rPr>
                            <w:rFonts w:ascii="宋体" w:cs="宋体" w:hAnsi="宋体" w:hint="eastAsia"/>
                            <w:spacing w:val="9"/>
                            <w:w w:val="99"/>
                            <w:sz w:val="20"/>
                            <w:szCs w:val="20"/>
                            <w:lang w:eastAsia="zh-CN"/>
                          </w:rPr>
                          <w:t>灯</w:t>
                        </w:r>
                        <w:r>
                          <w:rPr>
                            <w:rFonts w:ascii="宋体" w:cs="宋体" w:hAnsi="宋体" w:hint="eastAsia"/>
                            <w:spacing w:val="12"/>
                            <w:w w:val="99"/>
                            <w:sz w:val="20"/>
                            <w:szCs w:val="20"/>
                            <w:lang w:eastAsia="zh-CN"/>
                          </w:rPr>
                          <w:t>能效</w:t>
                        </w:r>
                        <w:r>
                          <w:rPr>
                            <w:rFonts w:ascii="宋体" w:cs="宋体" w:hAnsi="宋体" w:hint="eastAsia"/>
                            <w:w w:val="99"/>
                            <w:sz w:val="20"/>
                            <w:szCs w:val="20"/>
                            <w:lang w:eastAsia="zh-CN"/>
                          </w:rPr>
                          <w:t>限定值及</w:t>
                        </w:r>
                        <w:r>
                          <w:rPr>
                            <w:rFonts w:ascii="宋体" w:cs="宋体" w:hAnsi="宋体" w:hint="eastAsia"/>
                            <w:spacing w:val="2"/>
                            <w:w w:val="99"/>
                            <w:sz w:val="20"/>
                            <w:szCs w:val="20"/>
                            <w:lang w:eastAsia="zh-CN"/>
                          </w:rPr>
                          <w:t>能</w:t>
                        </w:r>
                        <w:r>
                          <w:rPr>
                            <w:rFonts w:ascii="宋体" w:cs="宋体" w:hAnsi="宋体" w:hint="eastAsia"/>
                            <w:w w:val="99"/>
                            <w:sz w:val="20"/>
                            <w:szCs w:val="20"/>
                            <w:lang w:eastAsia="zh-CN"/>
                          </w:rPr>
                          <w:t>效等</w:t>
                        </w:r>
                        <w:r>
                          <w:rPr>
                            <w:rFonts w:ascii="宋体" w:cs="宋体" w:hAnsi="宋体" w:hint="eastAsia"/>
                            <w:spacing w:val="2"/>
                            <w:w w:val="99"/>
                            <w:sz w:val="20"/>
                            <w:szCs w:val="20"/>
                            <w:lang w:eastAsia="zh-CN"/>
                          </w:rPr>
                          <w:t>级</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19</w:t>
                        </w:r>
                        <w:r>
                          <w:rPr>
                            <w:rFonts w:ascii="宋体" w:cs="宋体" w:hAnsi="宋体" w:hint="eastAsia"/>
                            <w:w w:val="99"/>
                            <w:sz w:val="20"/>
                            <w:szCs w:val="20"/>
                            <w:lang w:eastAsia="zh-CN"/>
                          </w:rPr>
                          <w:t>04</w:t>
                        </w:r>
                        <w:r>
                          <w:rPr>
                            <w:rFonts w:ascii="宋体" w:cs="宋体" w:hAnsi="宋体" w:hint="eastAsia"/>
                            <w:spacing w:val="1"/>
                            <w:w w:val="99"/>
                            <w:sz w:val="20"/>
                            <w:szCs w:val="20"/>
                            <w:lang w:eastAsia="zh-CN"/>
                          </w:rPr>
                          <w:t>3</w:t>
                        </w:r>
                        <w:r>
                          <w:rPr>
                            <w:rFonts w:ascii="宋体" w:cs="宋体" w:hAnsi="宋体" w:hint="eastAsia"/>
                            <w:w w:val="99"/>
                            <w:sz w:val="20"/>
                            <w:szCs w:val="20"/>
                            <w:lang w:eastAsia="zh-CN"/>
                          </w:rPr>
                          <w:t>）</w:t>
                        </w:r>
                      </w:p>
                    </w:tc>
                  </w:tr>
                  <w:tr>
                    <w:tblPrEx/>
                    <w:trPr>
                      <w:trHeight w:val="821" w:hRule="exact"/>
                    </w:trPr>
                    <w:tc>
                      <w:tcPr>
                        <w:tcW w:w="58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rPr>
                        </w:pPr>
                      </w:p>
                    </w:tc>
                    <w:tc>
                      <w:tcPr>
                        <w:tcW w:w="130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pPr>
                          <w:pStyle w:val="style4212"/>
                          <w:spacing w:before="92" w:lineRule="auto" w:line="278"/>
                          <w:ind w:left="7" w:right="2"/>
                          <w:rPr>
                            <w:rFonts w:ascii="宋体" w:cs="宋体" w:hAnsi="宋体"/>
                            <w:sz w:val="20"/>
                            <w:szCs w:val="20"/>
                          </w:rPr>
                        </w:pPr>
                        <w:r>
                          <w:rPr>
                            <w:rFonts w:ascii="宋体" w:cs="宋体" w:hAnsi="宋体" w:hint="eastAsia"/>
                            <w:spacing w:val="1"/>
                            <w:w w:val="99"/>
                            <w:sz w:val="20"/>
                            <w:szCs w:val="20"/>
                          </w:rPr>
                          <w:t>LE</w:t>
                        </w:r>
                        <w:r>
                          <w:rPr>
                            <w:rFonts w:ascii="宋体" w:cs="宋体" w:hAnsi="宋体" w:hint="eastAsia"/>
                            <w:w w:val="99"/>
                            <w:sz w:val="20"/>
                            <w:szCs w:val="20"/>
                          </w:rPr>
                          <w:t>D</w:t>
                        </w:r>
                        <w:r>
                          <w:rPr>
                            <w:rFonts w:ascii="宋体" w:cs="宋体" w:hAnsi="宋体" w:hint="eastAsia"/>
                            <w:spacing w:val="12"/>
                            <w:w w:val="99"/>
                            <w:sz w:val="20"/>
                            <w:szCs w:val="20"/>
                          </w:rPr>
                          <w:t>道</w:t>
                        </w:r>
                        <w:r>
                          <w:rPr>
                            <w:rFonts w:ascii="宋体" w:cs="宋体" w:hAnsi="宋体" w:hint="eastAsia"/>
                            <w:spacing w:val="9"/>
                            <w:w w:val="99"/>
                            <w:sz w:val="20"/>
                            <w:szCs w:val="20"/>
                          </w:rPr>
                          <w:t>路</w:t>
                        </w:r>
                        <w:r>
                          <w:rPr>
                            <w:rFonts w:ascii="宋体" w:cs="宋体" w:hAnsi="宋体" w:hint="eastAsia"/>
                            <w:spacing w:val="13"/>
                            <w:w w:val="99"/>
                            <w:sz w:val="20"/>
                            <w:szCs w:val="20"/>
                          </w:rPr>
                          <w:t>/</w:t>
                        </w:r>
                        <w:r>
                          <w:rPr>
                            <w:rFonts w:ascii="宋体" w:cs="宋体" w:hAnsi="宋体" w:hint="eastAsia"/>
                            <w:spacing w:val="12"/>
                            <w:w w:val="99"/>
                            <w:sz w:val="20"/>
                            <w:szCs w:val="20"/>
                          </w:rPr>
                          <w:t>隧道照</w:t>
                        </w:r>
                        <w:r>
                          <w:rPr>
                            <w:rFonts w:ascii="宋体" w:cs="宋体" w:hAnsi="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pPr>
                          <w:pStyle w:val="style0"/>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92" w:lineRule="auto" w:line="278"/>
                          <w:ind w:left="7" w:right="7"/>
                          <w:rPr>
                            <w:rFonts w:ascii="宋体" w:cs="宋体" w:hAnsi="宋体"/>
                            <w:sz w:val="20"/>
                            <w:szCs w:val="20"/>
                            <w:lang w:eastAsia="zh-CN"/>
                          </w:rPr>
                        </w:pPr>
                        <w:r>
                          <w:rPr>
                            <w:rFonts w:ascii="宋体" w:cs="宋体" w:hAnsi="宋体" w:hint="eastAsia"/>
                            <w:spacing w:val="4"/>
                            <w:w w:val="99"/>
                            <w:sz w:val="20"/>
                            <w:szCs w:val="20"/>
                            <w:lang w:eastAsia="zh-CN"/>
                          </w:rPr>
                          <w:t>《</w:t>
                        </w:r>
                        <w:r>
                          <w:rPr>
                            <w:rFonts w:ascii="宋体" w:cs="宋体" w:hAnsi="宋体" w:hint="eastAsia"/>
                            <w:spacing w:val="2"/>
                            <w:w w:val="99"/>
                            <w:sz w:val="20"/>
                            <w:szCs w:val="20"/>
                            <w:lang w:eastAsia="zh-CN"/>
                          </w:rPr>
                          <w:t>道</w:t>
                        </w:r>
                        <w:r>
                          <w:rPr>
                            <w:rFonts w:ascii="宋体" w:cs="宋体" w:hAnsi="宋体" w:hint="eastAsia"/>
                            <w:spacing w:val="4"/>
                            <w:w w:val="99"/>
                            <w:sz w:val="20"/>
                            <w:szCs w:val="20"/>
                            <w:lang w:eastAsia="zh-CN"/>
                          </w:rPr>
                          <w:t>路和隧道照</w:t>
                        </w:r>
                        <w:r>
                          <w:rPr>
                            <w:rFonts w:ascii="宋体" w:cs="宋体" w:hAnsi="宋体" w:hint="eastAsia"/>
                            <w:spacing w:val="2"/>
                            <w:w w:val="99"/>
                            <w:sz w:val="20"/>
                            <w:szCs w:val="20"/>
                            <w:lang w:eastAsia="zh-CN"/>
                          </w:rPr>
                          <w:t>明</w:t>
                        </w:r>
                        <w:r>
                          <w:rPr>
                            <w:rFonts w:ascii="宋体" w:cs="宋体" w:hAnsi="宋体" w:hint="eastAsia"/>
                            <w:w w:val="99"/>
                            <w:sz w:val="20"/>
                            <w:szCs w:val="20"/>
                            <w:lang w:eastAsia="zh-CN"/>
                          </w:rPr>
                          <w:t>用</w:t>
                        </w:r>
                        <w:r>
                          <w:rPr>
                            <w:rFonts w:ascii="宋体" w:cs="宋体" w:hAnsi="宋体" w:hint="eastAsia"/>
                            <w:spacing w:val="1"/>
                            <w:w w:val="99"/>
                            <w:sz w:val="20"/>
                            <w:szCs w:val="20"/>
                            <w:lang w:eastAsia="zh-CN"/>
                          </w:rPr>
                          <w:t>LE</w:t>
                        </w:r>
                        <w:r>
                          <w:rPr>
                            <w:rFonts w:ascii="宋体" w:cs="宋体" w:hAnsi="宋体" w:hint="eastAsia"/>
                            <w:w w:val="99"/>
                            <w:sz w:val="20"/>
                            <w:szCs w:val="20"/>
                            <w:lang w:eastAsia="zh-CN"/>
                          </w:rPr>
                          <w:t>D</w:t>
                        </w:r>
                        <w:r>
                          <w:rPr>
                            <w:rFonts w:ascii="宋体" w:cs="宋体" w:hAnsi="宋体" w:hint="eastAsia"/>
                            <w:spacing w:val="4"/>
                            <w:w w:val="99"/>
                            <w:sz w:val="20"/>
                            <w:szCs w:val="20"/>
                            <w:lang w:eastAsia="zh-CN"/>
                          </w:rPr>
                          <w:t>灯</w:t>
                        </w:r>
                        <w:r>
                          <w:rPr>
                            <w:rFonts w:ascii="宋体" w:cs="宋体" w:hAnsi="宋体" w:hint="eastAsia"/>
                            <w:spacing w:val="2"/>
                            <w:w w:val="99"/>
                            <w:sz w:val="20"/>
                            <w:szCs w:val="20"/>
                            <w:lang w:eastAsia="zh-CN"/>
                          </w:rPr>
                          <w:t>具</w:t>
                        </w:r>
                        <w:r>
                          <w:rPr>
                            <w:rFonts w:ascii="宋体" w:cs="宋体" w:hAnsi="宋体" w:hint="eastAsia"/>
                            <w:w w:val="99"/>
                            <w:sz w:val="20"/>
                            <w:szCs w:val="20"/>
                            <w:lang w:eastAsia="zh-CN"/>
                          </w:rPr>
                          <w:t>能效限定</w:t>
                        </w:r>
                        <w:r>
                          <w:rPr>
                            <w:rFonts w:ascii="宋体" w:cs="宋体" w:hAnsi="宋体" w:hint="eastAsia"/>
                            <w:spacing w:val="2"/>
                            <w:w w:val="99"/>
                            <w:sz w:val="20"/>
                            <w:szCs w:val="20"/>
                            <w:lang w:eastAsia="zh-CN"/>
                          </w:rPr>
                          <w:t>值</w:t>
                        </w:r>
                        <w:r>
                          <w:rPr>
                            <w:rFonts w:ascii="宋体" w:cs="宋体" w:hAnsi="宋体" w:hint="eastAsia"/>
                            <w:w w:val="99"/>
                            <w:sz w:val="20"/>
                            <w:szCs w:val="20"/>
                            <w:lang w:eastAsia="zh-CN"/>
                          </w:rPr>
                          <w:t>及能</w:t>
                        </w:r>
                        <w:r>
                          <w:rPr>
                            <w:rFonts w:ascii="宋体" w:cs="宋体" w:hAnsi="宋体" w:hint="eastAsia"/>
                            <w:spacing w:val="2"/>
                            <w:w w:val="99"/>
                            <w:sz w:val="20"/>
                            <w:szCs w:val="20"/>
                            <w:lang w:eastAsia="zh-CN"/>
                          </w:rPr>
                          <w:t>效</w:t>
                        </w:r>
                        <w:r>
                          <w:rPr>
                            <w:rFonts w:ascii="宋体" w:cs="宋体" w:hAnsi="宋体" w:hint="eastAsia"/>
                            <w:w w:val="99"/>
                            <w:sz w:val="20"/>
                            <w:szCs w:val="20"/>
                            <w:lang w:eastAsia="zh-CN"/>
                          </w:rPr>
                          <w:t>等级</w:t>
                        </w:r>
                        <w:r>
                          <w:rPr>
                            <w:rFonts w:ascii="宋体" w:cs="宋体" w:hAnsi="宋体" w:hint="eastAsia"/>
                            <w:spacing w:val="-106"/>
                            <w:w w:val="99"/>
                            <w:sz w:val="20"/>
                            <w:szCs w:val="20"/>
                            <w:lang w:eastAsia="zh-CN"/>
                          </w:rPr>
                          <w:t>》</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3747</w:t>
                        </w:r>
                        <w:r>
                          <w:rPr>
                            <w:rFonts w:ascii="宋体" w:cs="宋体" w:hAnsi="宋体" w:hint="eastAsia"/>
                            <w:w w:val="99"/>
                            <w:sz w:val="20"/>
                            <w:szCs w:val="20"/>
                            <w:lang w:eastAsia="zh-CN"/>
                          </w:rPr>
                          <w:t>8</w:t>
                        </w:r>
                      </w:p>
                    </w:tc>
                  </w:tr>
                  <w:tr>
                    <w:tblPrEx/>
                    <w:trPr>
                      <w:trHeight w:val="804" w:hRule="exact"/>
                    </w:trPr>
                    <w:tc>
                      <w:tcPr>
                        <w:tcW w:w="58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rPr>
                        </w:pPr>
                      </w:p>
                    </w:tc>
                    <w:tc>
                      <w:tcPr>
                        <w:tcW w:w="130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pPr>
                          <w:pStyle w:val="style4212"/>
                          <w:spacing w:before="4"/>
                          <w:rPr>
                            <w:rFonts w:ascii="宋体" w:cs="宋体" w:hAnsi="宋体"/>
                            <w:sz w:val="18"/>
                            <w:szCs w:val="18"/>
                            <w:lang w:eastAsia="zh-CN"/>
                          </w:rPr>
                        </w:pPr>
                      </w:p>
                      <w:p>
                        <w:pPr>
                          <w:pStyle w:val="style4212"/>
                          <w:ind w:left="7"/>
                          <w:rPr>
                            <w:rFonts w:ascii="宋体" w:cs="宋体" w:hAnsi="宋体"/>
                            <w:sz w:val="20"/>
                            <w:szCs w:val="20"/>
                          </w:rPr>
                        </w:pPr>
                        <w:r>
                          <w:rPr>
                            <w:rFonts w:ascii="宋体" w:cs="宋体" w:hAnsi="宋体" w:hint="eastAsia"/>
                            <w:spacing w:val="1"/>
                            <w:w w:val="99"/>
                            <w:sz w:val="20"/>
                            <w:szCs w:val="20"/>
                          </w:rPr>
                          <w:t>LE</w:t>
                        </w:r>
                        <w:r>
                          <w:rPr>
                            <w:rFonts w:ascii="宋体" w:cs="宋体" w:hAnsi="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pPr>
                          <w:pStyle w:val="style0"/>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83" w:lineRule="auto" w:line="278"/>
                          <w:ind w:left="7" w:right="7"/>
                          <w:rPr>
                            <w:rFonts w:ascii="宋体" w:cs="宋体" w:hAnsi="宋体"/>
                            <w:sz w:val="20"/>
                            <w:szCs w:val="20"/>
                            <w:lang w:eastAsia="zh-CN"/>
                          </w:rPr>
                        </w:pPr>
                        <w:r>
                          <w:rPr>
                            <w:rFonts w:ascii="宋体" w:cs="宋体" w:hAnsi="宋体" w:hint="eastAsia"/>
                            <w:spacing w:val="4"/>
                            <w:w w:val="99"/>
                            <w:sz w:val="20"/>
                            <w:szCs w:val="20"/>
                            <w:lang w:eastAsia="zh-CN"/>
                          </w:rPr>
                          <w:t>《</w:t>
                        </w:r>
                        <w:r>
                          <w:rPr>
                            <w:rFonts w:ascii="宋体" w:cs="宋体" w:hAnsi="宋体" w:hint="eastAsia"/>
                            <w:spacing w:val="2"/>
                            <w:w w:val="99"/>
                            <w:sz w:val="20"/>
                            <w:szCs w:val="20"/>
                            <w:lang w:eastAsia="zh-CN"/>
                          </w:rPr>
                          <w:t>室</w:t>
                        </w:r>
                        <w:r>
                          <w:rPr>
                            <w:rFonts w:ascii="宋体" w:cs="宋体" w:hAnsi="宋体" w:hint="eastAsia"/>
                            <w:spacing w:val="4"/>
                            <w:w w:val="99"/>
                            <w:sz w:val="20"/>
                            <w:szCs w:val="20"/>
                            <w:lang w:eastAsia="zh-CN"/>
                          </w:rPr>
                          <w:t>内照明</w:t>
                        </w:r>
                        <w:r>
                          <w:rPr>
                            <w:rFonts w:ascii="宋体" w:cs="宋体" w:hAnsi="宋体" w:hint="eastAsia"/>
                            <w:w w:val="99"/>
                            <w:sz w:val="20"/>
                            <w:szCs w:val="20"/>
                            <w:lang w:eastAsia="zh-CN"/>
                          </w:rPr>
                          <w:t>用</w:t>
                        </w:r>
                        <w:r>
                          <w:rPr>
                            <w:rFonts w:ascii="宋体" w:cs="宋体" w:hAnsi="宋体" w:hint="eastAsia"/>
                            <w:spacing w:val="1"/>
                            <w:w w:val="99"/>
                            <w:sz w:val="20"/>
                            <w:szCs w:val="20"/>
                            <w:lang w:eastAsia="zh-CN"/>
                          </w:rPr>
                          <w:t>LE</w:t>
                        </w:r>
                        <w:r>
                          <w:rPr>
                            <w:rFonts w:ascii="宋体" w:cs="宋体" w:hAnsi="宋体" w:hint="eastAsia"/>
                            <w:w w:val="99"/>
                            <w:sz w:val="20"/>
                            <w:szCs w:val="20"/>
                            <w:lang w:eastAsia="zh-CN"/>
                          </w:rPr>
                          <w:t>D</w:t>
                        </w:r>
                        <w:r>
                          <w:rPr>
                            <w:rFonts w:ascii="宋体" w:cs="宋体" w:hAnsi="宋体" w:hint="eastAsia"/>
                            <w:spacing w:val="4"/>
                            <w:w w:val="99"/>
                            <w:sz w:val="20"/>
                            <w:szCs w:val="20"/>
                            <w:lang w:eastAsia="zh-CN"/>
                          </w:rPr>
                          <w:t>产</w:t>
                        </w:r>
                        <w:r>
                          <w:rPr>
                            <w:rFonts w:ascii="宋体" w:cs="宋体" w:hAnsi="宋体" w:hint="eastAsia"/>
                            <w:spacing w:val="2"/>
                            <w:w w:val="99"/>
                            <w:sz w:val="20"/>
                            <w:szCs w:val="20"/>
                            <w:lang w:eastAsia="zh-CN"/>
                          </w:rPr>
                          <w:t>品</w:t>
                        </w:r>
                        <w:r>
                          <w:rPr>
                            <w:rFonts w:ascii="宋体" w:cs="宋体" w:hAnsi="宋体" w:hint="eastAsia"/>
                            <w:spacing w:val="4"/>
                            <w:w w:val="99"/>
                            <w:sz w:val="20"/>
                            <w:szCs w:val="20"/>
                            <w:lang w:eastAsia="zh-CN"/>
                          </w:rPr>
                          <w:t>能效</w:t>
                        </w:r>
                        <w:r>
                          <w:rPr>
                            <w:rFonts w:ascii="宋体" w:cs="宋体" w:hAnsi="宋体" w:hint="eastAsia"/>
                            <w:spacing w:val="2"/>
                            <w:w w:val="99"/>
                            <w:sz w:val="20"/>
                            <w:szCs w:val="20"/>
                            <w:lang w:eastAsia="zh-CN"/>
                          </w:rPr>
                          <w:t>限</w:t>
                        </w:r>
                        <w:r>
                          <w:rPr>
                            <w:rFonts w:ascii="宋体" w:cs="宋体" w:hAnsi="宋体" w:hint="eastAsia"/>
                            <w:w w:val="99"/>
                            <w:sz w:val="20"/>
                            <w:szCs w:val="20"/>
                            <w:lang w:eastAsia="zh-CN"/>
                          </w:rPr>
                          <w:t>定值及能</w:t>
                        </w:r>
                        <w:r>
                          <w:rPr>
                            <w:rFonts w:ascii="宋体" w:cs="宋体" w:hAnsi="宋体" w:hint="eastAsia"/>
                            <w:spacing w:val="2"/>
                            <w:w w:val="99"/>
                            <w:sz w:val="20"/>
                            <w:szCs w:val="20"/>
                            <w:lang w:eastAsia="zh-CN"/>
                          </w:rPr>
                          <w:t>效</w:t>
                        </w:r>
                        <w:r>
                          <w:rPr>
                            <w:rFonts w:ascii="宋体" w:cs="宋体" w:hAnsi="宋体" w:hint="eastAsia"/>
                            <w:w w:val="99"/>
                            <w:sz w:val="20"/>
                            <w:szCs w:val="20"/>
                            <w:lang w:eastAsia="zh-CN"/>
                          </w:rPr>
                          <w:t>等级</w:t>
                        </w:r>
                        <w:r>
                          <w:rPr>
                            <w:rFonts w:ascii="宋体" w:cs="宋体" w:hAnsi="宋体" w:hint="eastAsia"/>
                            <w:spacing w:val="2"/>
                            <w:w w:val="99"/>
                            <w:sz w:val="20"/>
                            <w:szCs w:val="20"/>
                            <w:lang w:eastAsia="zh-CN"/>
                          </w:rPr>
                          <w:t>》</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30</w:t>
                        </w:r>
                        <w:r>
                          <w:rPr>
                            <w:rFonts w:ascii="宋体" w:cs="宋体" w:hAnsi="宋体" w:hint="eastAsia"/>
                            <w:w w:val="99"/>
                            <w:sz w:val="20"/>
                            <w:szCs w:val="20"/>
                            <w:lang w:eastAsia="zh-CN"/>
                          </w:rPr>
                          <w:t>25</w:t>
                        </w:r>
                        <w:r>
                          <w:rPr>
                            <w:rFonts w:ascii="宋体" w:cs="宋体" w:hAnsi="宋体" w:hint="eastAsia"/>
                            <w:spacing w:val="-2"/>
                            <w:w w:val="99"/>
                            <w:sz w:val="20"/>
                            <w:szCs w:val="20"/>
                            <w:lang w:eastAsia="zh-CN"/>
                          </w:rPr>
                          <w:t>5</w:t>
                        </w:r>
                        <w:r>
                          <w:rPr>
                            <w:rFonts w:ascii="宋体" w:cs="宋体" w:hAnsi="宋体" w:hint="eastAsia"/>
                            <w:w w:val="99"/>
                            <w:sz w:val="20"/>
                            <w:szCs w:val="20"/>
                            <w:lang w:eastAsia="zh-CN"/>
                          </w:rPr>
                          <w:t>）</w:t>
                        </w:r>
                      </w:p>
                    </w:tc>
                  </w:tr>
                  <w:tr>
                    <w:tblPrEx/>
                    <w:trPr>
                      <w:trHeight w:val="1042" w:hRule="exact"/>
                    </w:trPr>
                    <w:tc>
                      <w:tcPr>
                        <w:tcW w:w="58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rPr>
                        </w:pPr>
                      </w:p>
                    </w:tc>
                    <w:tc>
                      <w:tcPr>
                        <w:tcW w:w="130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pPr>
                          <w:pStyle w:val="style4212"/>
                          <w:spacing w:before="5"/>
                          <w:rPr>
                            <w:rFonts w:ascii="宋体" w:cs="宋体" w:hAnsi="宋体"/>
                            <w:sz w:val="15"/>
                            <w:szCs w:val="15"/>
                            <w:lang w:eastAsia="zh-CN"/>
                          </w:rPr>
                        </w:pPr>
                      </w:p>
                      <w:p>
                        <w:pPr>
                          <w:pStyle w:val="style4212"/>
                          <w:spacing w:lineRule="auto" w:line="278"/>
                          <w:ind w:left="7" w:right="7"/>
                          <w:rPr>
                            <w:rFonts w:ascii="宋体" w:cs="宋体" w:hAnsi="宋体"/>
                            <w:sz w:val="20"/>
                            <w:szCs w:val="20"/>
                            <w:lang w:eastAsia="zh-CN"/>
                          </w:rPr>
                        </w:pPr>
                        <w:r>
                          <w:rPr>
                            <w:rFonts w:ascii="宋体" w:cs="宋体" w:hAnsi="宋体" w:hint="eastAsia"/>
                            <w:w w:val="99"/>
                            <w:sz w:val="20"/>
                            <w:szCs w:val="20"/>
                            <w:lang w:eastAsia="zh-CN"/>
                          </w:rPr>
                          <w:t>普</w:t>
                        </w:r>
                        <w:r>
                          <w:rPr>
                            <w:rFonts w:ascii="宋体" w:cs="宋体" w:hAnsi="宋体" w:hint="eastAsia"/>
                            <w:spacing w:val="24"/>
                            <w:w w:val="99"/>
                            <w:sz w:val="20"/>
                            <w:szCs w:val="20"/>
                            <w:lang w:eastAsia="zh-CN"/>
                          </w:rPr>
                          <w:t>通</w:t>
                        </w:r>
                        <w:r>
                          <w:rPr>
                            <w:rFonts w:ascii="宋体" w:cs="宋体" w:hAnsi="宋体" w:hint="eastAsia"/>
                            <w:w w:val="99"/>
                            <w:sz w:val="20"/>
                            <w:szCs w:val="20"/>
                            <w:lang w:eastAsia="zh-CN"/>
                          </w:rPr>
                          <w:t>照明用非</w:t>
                        </w:r>
                        <w:r>
                          <w:rPr>
                            <w:rFonts w:ascii="宋体" w:cs="宋体" w:hAnsi="宋体" w:hint="eastAsia"/>
                            <w:spacing w:val="24"/>
                            <w:w w:val="99"/>
                            <w:sz w:val="20"/>
                            <w:szCs w:val="20"/>
                            <w:lang w:eastAsia="zh-CN"/>
                          </w:rPr>
                          <w:t>定</w:t>
                        </w:r>
                        <w:r>
                          <w:rPr>
                            <w:rFonts w:ascii="宋体" w:cs="宋体" w:hAnsi="宋体" w:hint="eastAsia"/>
                            <w:w w:val="99"/>
                            <w:sz w:val="20"/>
                            <w:szCs w:val="20"/>
                            <w:lang w:eastAsia="zh-CN"/>
                          </w:rPr>
                          <w:t>向自镇流</w:t>
                        </w:r>
                        <w:r>
                          <w:rPr>
                            <w:rFonts w:ascii="宋体" w:cs="宋体" w:hAnsi="宋体" w:hint="eastAsia"/>
                            <w:spacing w:val="1"/>
                            <w:w w:val="99"/>
                            <w:sz w:val="20"/>
                            <w:szCs w:val="20"/>
                            <w:lang w:eastAsia="zh-CN"/>
                          </w:rPr>
                          <w:t>LE</w:t>
                        </w:r>
                        <w:r>
                          <w:rPr>
                            <w:rFonts w:ascii="宋体" w:cs="宋体" w:hAnsi="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pPr>
                          <w:pStyle w:val="style0"/>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5"/>
                          <w:rPr>
                            <w:rFonts w:ascii="宋体" w:cs="宋体" w:hAnsi="宋体"/>
                            <w:sz w:val="15"/>
                            <w:szCs w:val="15"/>
                            <w:lang w:eastAsia="zh-CN"/>
                          </w:rPr>
                        </w:pPr>
                      </w:p>
                      <w:p>
                        <w:pPr>
                          <w:pStyle w:val="style4212"/>
                          <w:spacing w:lineRule="auto" w:line="278"/>
                          <w:ind w:left="7" w:right="7"/>
                          <w:rPr>
                            <w:rFonts w:ascii="宋体" w:cs="宋体" w:hAnsi="宋体"/>
                            <w:sz w:val="20"/>
                            <w:szCs w:val="20"/>
                            <w:lang w:eastAsia="zh-CN"/>
                          </w:rPr>
                        </w:pPr>
                        <w:r>
                          <w:rPr>
                            <w:rFonts w:ascii="宋体" w:cs="宋体" w:hAnsi="宋体" w:hint="eastAsia"/>
                            <w:spacing w:val="4"/>
                            <w:w w:val="99"/>
                            <w:sz w:val="20"/>
                            <w:szCs w:val="20"/>
                            <w:lang w:eastAsia="zh-CN"/>
                          </w:rPr>
                          <w:t>《</w:t>
                        </w:r>
                        <w:r>
                          <w:rPr>
                            <w:rFonts w:ascii="宋体" w:cs="宋体" w:hAnsi="宋体" w:hint="eastAsia"/>
                            <w:spacing w:val="2"/>
                            <w:w w:val="99"/>
                            <w:sz w:val="20"/>
                            <w:szCs w:val="20"/>
                            <w:lang w:eastAsia="zh-CN"/>
                          </w:rPr>
                          <w:t>室</w:t>
                        </w:r>
                        <w:r>
                          <w:rPr>
                            <w:rFonts w:ascii="宋体" w:cs="宋体" w:hAnsi="宋体" w:hint="eastAsia"/>
                            <w:spacing w:val="4"/>
                            <w:w w:val="99"/>
                            <w:sz w:val="20"/>
                            <w:szCs w:val="20"/>
                            <w:lang w:eastAsia="zh-CN"/>
                          </w:rPr>
                          <w:t>内照明</w:t>
                        </w:r>
                        <w:r>
                          <w:rPr>
                            <w:rFonts w:ascii="宋体" w:cs="宋体" w:hAnsi="宋体" w:hint="eastAsia"/>
                            <w:w w:val="99"/>
                            <w:sz w:val="20"/>
                            <w:szCs w:val="20"/>
                            <w:lang w:eastAsia="zh-CN"/>
                          </w:rPr>
                          <w:t>用</w:t>
                        </w:r>
                        <w:r>
                          <w:rPr>
                            <w:rFonts w:ascii="宋体" w:cs="宋体" w:hAnsi="宋体" w:hint="eastAsia"/>
                            <w:spacing w:val="1"/>
                            <w:w w:val="99"/>
                            <w:sz w:val="20"/>
                            <w:szCs w:val="20"/>
                            <w:lang w:eastAsia="zh-CN"/>
                          </w:rPr>
                          <w:t>LE</w:t>
                        </w:r>
                        <w:r>
                          <w:rPr>
                            <w:rFonts w:ascii="宋体" w:cs="宋体" w:hAnsi="宋体" w:hint="eastAsia"/>
                            <w:w w:val="99"/>
                            <w:sz w:val="20"/>
                            <w:szCs w:val="20"/>
                            <w:lang w:eastAsia="zh-CN"/>
                          </w:rPr>
                          <w:t>D</w:t>
                        </w:r>
                        <w:r>
                          <w:rPr>
                            <w:rFonts w:ascii="宋体" w:cs="宋体" w:hAnsi="宋体" w:hint="eastAsia"/>
                            <w:spacing w:val="4"/>
                            <w:w w:val="99"/>
                            <w:sz w:val="20"/>
                            <w:szCs w:val="20"/>
                            <w:lang w:eastAsia="zh-CN"/>
                          </w:rPr>
                          <w:t>产</w:t>
                        </w:r>
                        <w:r>
                          <w:rPr>
                            <w:rFonts w:ascii="宋体" w:cs="宋体" w:hAnsi="宋体" w:hint="eastAsia"/>
                            <w:spacing w:val="2"/>
                            <w:w w:val="99"/>
                            <w:sz w:val="20"/>
                            <w:szCs w:val="20"/>
                            <w:lang w:eastAsia="zh-CN"/>
                          </w:rPr>
                          <w:t>品</w:t>
                        </w:r>
                        <w:r>
                          <w:rPr>
                            <w:rFonts w:ascii="宋体" w:cs="宋体" w:hAnsi="宋体" w:hint="eastAsia"/>
                            <w:spacing w:val="4"/>
                            <w:w w:val="99"/>
                            <w:sz w:val="20"/>
                            <w:szCs w:val="20"/>
                            <w:lang w:eastAsia="zh-CN"/>
                          </w:rPr>
                          <w:t>能效</w:t>
                        </w:r>
                        <w:r>
                          <w:rPr>
                            <w:rFonts w:ascii="宋体" w:cs="宋体" w:hAnsi="宋体" w:hint="eastAsia"/>
                            <w:spacing w:val="2"/>
                            <w:w w:val="99"/>
                            <w:sz w:val="20"/>
                            <w:szCs w:val="20"/>
                            <w:lang w:eastAsia="zh-CN"/>
                          </w:rPr>
                          <w:t>限</w:t>
                        </w:r>
                        <w:r>
                          <w:rPr>
                            <w:rFonts w:ascii="宋体" w:cs="宋体" w:hAnsi="宋体" w:hint="eastAsia"/>
                            <w:w w:val="99"/>
                            <w:sz w:val="20"/>
                            <w:szCs w:val="20"/>
                            <w:lang w:eastAsia="zh-CN"/>
                          </w:rPr>
                          <w:t>定值及能</w:t>
                        </w:r>
                        <w:r>
                          <w:rPr>
                            <w:rFonts w:ascii="宋体" w:cs="宋体" w:hAnsi="宋体" w:hint="eastAsia"/>
                            <w:spacing w:val="2"/>
                            <w:w w:val="99"/>
                            <w:sz w:val="20"/>
                            <w:szCs w:val="20"/>
                            <w:lang w:eastAsia="zh-CN"/>
                          </w:rPr>
                          <w:t>效</w:t>
                        </w:r>
                        <w:r>
                          <w:rPr>
                            <w:rFonts w:ascii="宋体" w:cs="宋体" w:hAnsi="宋体" w:hint="eastAsia"/>
                            <w:w w:val="99"/>
                            <w:sz w:val="20"/>
                            <w:szCs w:val="20"/>
                            <w:lang w:eastAsia="zh-CN"/>
                          </w:rPr>
                          <w:t>等级</w:t>
                        </w:r>
                        <w:r>
                          <w:rPr>
                            <w:rFonts w:ascii="宋体" w:cs="宋体" w:hAnsi="宋体" w:hint="eastAsia"/>
                            <w:spacing w:val="2"/>
                            <w:w w:val="99"/>
                            <w:sz w:val="20"/>
                            <w:szCs w:val="20"/>
                            <w:lang w:eastAsia="zh-CN"/>
                          </w:rPr>
                          <w:t>》</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30</w:t>
                        </w:r>
                        <w:r>
                          <w:rPr>
                            <w:rFonts w:ascii="宋体" w:cs="宋体" w:hAnsi="宋体" w:hint="eastAsia"/>
                            <w:w w:val="99"/>
                            <w:sz w:val="20"/>
                            <w:szCs w:val="20"/>
                            <w:lang w:eastAsia="zh-CN"/>
                          </w:rPr>
                          <w:t>25</w:t>
                        </w:r>
                        <w:r>
                          <w:rPr>
                            <w:rFonts w:ascii="宋体" w:cs="宋体" w:hAnsi="宋体" w:hint="eastAsia"/>
                            <w:spacing w:val="-2"/>
                            <w:w w:val="99"/>
                            <w:sz w:val="20"/>
                            <w:szCs w:val="20"/>
                            <w:lang w:eastAsia="zh-CN"/>
                          </w:rPr>
                          <w:t>5</w:t>
                        </w:r>
                        <w:r>
                          <w:rPr>
                            <w:rFonts w:ascii="宋体" w:cs="宋体" w:hAnsi="宋体" w:hint="eastAsia"/>
                            <w:w w:val="99"/>
                            <w:sz w:val="20"/>
                            <w:szCs w:val="20"/>
                            <w:lang w:eastAsia="zh-CN"/>
                          </w:rPr>
                          <w:t>）</w:t>
                        </w:r>
                      </w:p>
                    </w:tc>
                  </w:tr>
                  <w:tr>
                    <w:tblPrEx/>
                    <w:trPr>
                      <w:trHeight w:val="802" w:hRule="exact"/>
                    </w:trPr>
                    <w:tc>
                      <w:tcPr>
                        <w:tcW w:w="585" w:type="dxa"/>
                        <w:tcBorders>
                          <w:top w:val="single" w:sz="4" w:space="0" w:color="auto"/>
                          <w:left w:val="single" w:sz="4" w:space="0" w:color="auto"/>
                          <w:bottom w:val="single" w:sz="4" w:space="0" w:color="auto"/>
                          <w:right w:val="single" w:sz="4" w:space="0" w:color="auto"/>
                        </w:tcBorders>
                      </w:tcPr>
                      <w:p>
                        <w:pPr>
                          <w:pStyle w:val="style4212"/>
                          <w:spacing w:before="1"/>
                          <w:rPr>
                            <w:rFonts w:ascii="宋体" w:cs="宋体" w:hAnsi="宋体"/>
                            <w:sz w:val="18"/>
                            <w:szCs w:val="18"/>
                            <w:lang w:eastAsia="zh-CN"/>
                          </w:rPr>
                        </w:pPr>
                      </w:p>
                      <w:p>
                        <w:pPr>
                          <w:pStyle w:val="style4212"/>
                          <w:ind w:left="182"/>
                          <w:rPr>
                            <w:rFonts w:ascii="宋体" w:cs="宋体" w:hAnsi="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pPr>
                          <w:pStyle w:val="style4212"/>
                          <w:spacing w:before="81"/>
                          <w:ind w:left="7"/>
                          <w:rPr>
                            <w:rFonts w:ascii="宋体" w:cs="宋体" w:hAnsi="宋体"/>
                            <w:sz w:val="20"/>
                            <w:szCs w:val="20"/>
                          </w:rPr>
                        </w:pPr>
                        <w:r>
                          <w:rPr>
                            <w:rFonts w:ascii="宋体" w:cs="宋体" w:hAnsi="宋体" w:hint="eastAsia"/>
                            <w:w w:val="99"/>
                            <w:sz w:val="20"/>
                            <w:szCs w:val="20"/>
                          </w:rPr>
                          <w:t>★</w:t>
                        </w:r>
                        <w:r>
                          <w:rPr>
                            <w:rFonts w:ascii="宋体" w:cs="宋体" w:hAnsi="宋体" w:hint="eastAsia"/>
                            <w:spacing w:val="1"/>
                            <w:w w:val="99"/>
                            <w:sz w:val="20"/>
                            <w:szCs w:val="20"/>
                          </w:rPr>
                          <w:t>A020</w:t>
                        </w:r>
                        <w:r>
                          <w:rPr>
                            <w:rFonts w:ascii="宋体" w:cs="宋体" w:hAnsi="宋体" w:hint="eastAsia"/>
                            <w:w w:val="99"/>
                            <w:sz w:val="20"/>
                            <w:szCs w:val="20"/>
                          </w:rPr>
                          <w:t>910</w:t>
                        </w:r>
                        <w:r>
                          <w:rPr>
                            <w:rFonts w:ascii="宋体" w:cs="宋体" w:hAnsi="宋体" w:hint="eastAsia"/>
                            <w:w w:val="99"/>
                            <w:sz w:val="20"/>
                            <w:szCs w:val="20"/>
                            <w:lang w:eastAsia="zh-CN"/>
                          </w:rPr>
                          <w:t>00</w:t>
                        </w:r>
                        <w:r>
                          <w:rPr>
                            <w:rFonts w:ascii="宋体" w:cs="宋体" w:hAnsi="宋体" w:hint="eastAsia"/>
                            <w:w w:val="99"/>
                            <w:sz w:val="20"/>
                            <w:szCs w:val="20"/>
                          </w:rPr>
                          <w:t>电视设备</w:t>
                        </w:r>
                      </w:p>
                    </w:tc>
                    <w:tc>
                      <w:tcPr>
                        <w:tcW w:w="1665" w:type="dxa"/>
                        <w:tcBorders>
                          <w:top w:val="single" w:sz="4" w:space="0" w:color="auto"/>
                          <w:left w:val="single" w:sz="4" w:space="0" w:color="auto"/>
                          <w:bottom w:val="single" w:sz="4" w:space="0" w:color="auto"/>
                          <w:right w:val="single" w:sz="4" w:space="0" w:color="auto"/>
                        </w:tcBorders>
                      </w:tcPr>
                      <w:p>
                        <w:pPr>
                          <w:pStyle w:val="style4212"/>
                          <w:spacing w:before="81" w:lineRule="auto" w:line="278"/>
                          <w:ind w:left="7" w:right="5"/>
                          <w:rPr>
                            <w:rFonts w:ascii="宋体" w:cs="宋体" w:hAnsi="宋体"/>
                            <w:sz w:val="20"/>
                            <w:szCs w:val="20"/>
                            <w:lang w:eastAsia="zh-CN"/>
                          </w:rPr>
                        </w:pPr>
                        <w:r>
                          <w:rPr>
                            <w:rFonts w:ascii="宋体" w:cs="宋体" w:hAnsi="宋体" w:hint="eastAsia"/>
                            <w:spacing w:val="1"/>
                            <w:w w:val="99"/>
                            <w:sz w:val="20"/>
                            <w:szCs w:val="20"/>
                            <w:lang w:eastAsia="zh-CN"/>
                          </w:rPr>
                          <w:t>A02</w:t>
                        </w:r>
                        <w:r>
                          <w:rPr>
                            <w:rFonts w:ascii="宋体" w:cs="宋体" w:hAnsi="宋体" w:hint="eastAsia"/>
                            <w:w w:val="99"/>
                            <w:sz w:val="20"/>
                            <w:szCs w:val="20"/>
                            <w:lang w:eastAsia="zh-CN"/>
                          </w:rPr>
                          <w:t>09</w:t>
                        </w:r>
                        <w:r>
                          <w:rPr>
                            <w:rFonts w:ascii="宋体" w:cs="宋体" w:hAnsi="宋体" w:hint="eastAsia"/>
                            <w:spacing w:val="1"/>
                            <w:w w:val="99"/>
                            <w:sz w:val="20"/>
                            <w:szCs w:val="20"/>
                            <w:lang w:eastAsia="zh-CN"/>
                          </w:rPr>
                          <w:t>1</w:t>
                        </w:r>
                        <w:r>
                          <w:rPr>
                            <w:rFonts w:ascii="宋体" w:cs="宋体" w:hAnsi="宋体" w:hint="eastAsia"/>
                            <w:w w:val="99"/>
                            <w:sz w:val="20"/>
                            <w:szCs w:val="20"/>
                            <w:lang w:eastAsia="zh-CN"/>
                          </w:rPr>
                          <w:t>001普通电视设备（</w:t>
                        </w:r>
                        <w:r>
                          <w:rPr>
                            <w:rFonts w:ascii="宋体" w:cs="宋体" w:hAnsi="宋体" w:hint="eastAsia"/>
                            <w:spacing w:val="2"/>
                            <w:w w:val="99"/>
                            <w:sz w:val="20"/>
                            <w:szCs w:val="20"/>
                            <w:lang w:eastAsia="zh-CN"/>
                          </w:rPr>
                          <w:t>电</w:t>
                        </w:r>
                        <w:r>
                          <w:rPr>
                            <w:rFonts w:ascii="宋体" w:cs="宋体" w:hAnsi="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pPr>
                          <w:pStyle w:val="style0"/>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81"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《平板电视能效限定值</w:t>
                        </w:r>
                        <w:r>
                          <w:rPr>
                            <w:rFonts w:ascii="宋体" w:cs="宋体" w:hAnsi="宋体" w:hint="eastAsia"/>
                            <w:spacing w:val="9"/>
                            <w:w w:val="99"/>
                            <w:sz w:val="20"/>
                            <w:szCs w:val="20"/>
                            <w:lang w:eastAsia="zh-CN"/>
                          </w:rPr>
                          <w:t>及</w:t>
                        </w:r>
                        <w:r>
                          <w:rPr>
                            <w:rFonts w:ascii="宋体" w:cs="宋体" w:hAnsi="宋体" w:hint="eastAsia"/>
                            <w:spacing w:val="12"/>
                            <w:w w:val="99"/>
                            <w:sz w:val="20"/>
                            <w:szCs w:val="20"/>
                            <w:lang w:eastAsia="zh-CN"/>
                          </w:rPr>
                          <w:t>能效</w:t>
                        </w:r>
                        <w:r>
                          <w:rPr>
                            <w:rFonts w:ascii="宋体" w:cs="宋体" w:hAnsi="宋体" w:hint="eastAsia"/>
                            <w:w w:val="99"/>
                            <w:sz w:val="20"/>
                            <w:szCs w:val="20"/>
                            <w:lang w:eastAsia="zh-CN"/>
                          </w:rPr>
                          <w:t>等级》（</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248</w:t>
                        </w:r>
                        <w:r>
                          <w:rPr>
                            <w:rFonts w:ascii="宋体" w:cs="宋体" w:hAnsi="宋体" w:hint="eastAsia"/>
                            <w:w w:val="99"/>
                            <w:sz w:val="20"/>
                            <w:szCs w:val="20"/>
                            <w:lang w:eastAsia="zh-CN"/>
                          </w:rPr>
                          <w:t>50）</w:t>
                        </w:r>
                      </w:p>
                    </w:tc>
                  </w:tr>
                  <w:tr>
                    <w:tblPrEx/>
                    <w:trPr>
                      <w:trHeight w:val="1942" w:hRule="exact"/>
                    </w:trPr>
                    <w:tc>
                      <w:tcPr>
                        <w:tcW w:w="585" w:type="dxa"/>
                        <w:tcBorders>
                          <w:top w:val="single" w:sz="4" w:space="0" w:color="auto"/>
                          <w:left w:val="single" w:sz="4" w:space="0" w:color="auto"/>
                          <w:bottom w:val="single" w:sz="4" w:space="0" w:color="auto"/>
                          <w:right w:val="single" w:sz="4" w:space="0" w:color="auto"/>
                        </w:tcBorders>
                      </w:tcPr>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spacing w:before="10"/>
                          <w:rPr>
                            <w:rFonts w:ascii="宋体" w:cs="宋体" w:hAnsi="宋体"/>
                            <w:sz w:val="21"/>
                            <w:szCs w:val="21"/>
                            <w:lang w:eastAsia="zh-CN"/>
                          </w:rPr>
                        </w:pPr>
                      </w:p>
                      <w:p>
                        <w:pPr>
                          <w:pStyle w:val="style4212"/>
                          <w:ind w:left="182"/>
                          <w:rPr>
                            <w:rFonts w:ascii="宋体" w:cs="宋体" w:hAnsi="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pPr>
                          <w:pStyle w:val="style4212"/>
                          <w:rPr>
                            <w:rFonts w:ascii="宋体" w:cs="宋体" w:hAnsi="宋体"/>
                            <w:sz w:val="20"/>
                            <w:szCs w:val="20"/>
                          </w:rPr>
                        </w:pPr>
                      </w:p>
                      <w:p>
                        <w:pPr>
                          <w:pStyle w:val="style4212"/>
                          <w:spacing w:before="11"/>
                          <w:rPr>
                            <w:rFonts w:ascii="宋体" w:cs="宋体" w:hAnsi="宋体"/>
                            <w:sz w:val="29"/>
                            <w:szCs w:val="29"/>
                          </w:rPr>
                        </w:pPr>
                      </w:p>
                      <w:p>
                        <w:pPr>
                          <w:pStyle w:val="style4212"/>
                          <w:ind w:left="7"/>
                          <w:rPr>
                            <w:rFonts w:ascii="宋体" w:cs="宋体" w:hAnsi="宋体"/>
                            <w:sz w:val="20"/>
                            <w:szCs w:val="20"/>
                          </w:rPr>
                        </w:pPr>
                        <w:r>
                          <w:rPr>
                            <w:rFonts w:ascii="宋体" w:cs="宋体" w:hAnsi="宋体" w:hint="eastAsia"/>
                            <w:w w:val="99"/>
                            <w:sz w:val="20"/>
                            <w:szCs w:val="20"/>
                          </w:rPr>
                          <w:t>★</w:t>
                        </w:r>
                        <w:r>
                          <w:rPr>
                            <w:rFonts w:ascii="宋体" w:cs="宋体" w:hAnsi="宋体" w:hint="eastAsia"/>
                            <w:spacing w:val="1"/>
                            <w:w w:val="99"/>
                            <w:sz w:val="20"/>
                            <w:szCs w:val="20"/>
                          </w:rPr>
                          <w:t>A020</w:t>
                        </w:r>
                        <w:r>
                          <w:rPr>
                            <w:rFonts w:ascii="宋体" w:cs="宋体" w:hAnsi="宋体" w:hint="eastAsia"/>
                            <w:w w:val="99"/>
                            <w:sz w:val="20"/>
                            <w:szCs w:val="20"/>
                          </w:rPr>
                          <w:t>911</w:t>
                        </w:r>
                        <w:r>
                          <w:rPr>
                            <w:rFonts w:ascii="宋体" w:cs="宋体" w:hAnsi="宋体" w:hint="eastAsia"/>
                            <w:w w:val="99"/>
                            <w:sz w:val="20"/>
                            <w:szCs w:val="20"/>
                            <w:lang w:eastAsia="zh-CN"/>
                          </w:rPr>
                          <w:t>00</w:t>
                        </w:r>
                        <w:r>
                          <w:rPr>
                            <w:rFonts w:ascii="宋体" w:cs="宋体" w:hAnsi="宋体" w:hint="eastAsia"/>
                            <w:w w:val="99"/>
                            <w:sz w:val="20"/>
                            <w:szCs w:val="20"/>
                          </w:rPr>
                          <w:t>视频设备</w:t>
                        </w:r>
                      </w:p>
                    </w:tc>
                    <w:tc>
                      <w:tcPr>
                        <w:tcW w:w="1665" w:type="dxa"/>
                        <w:tcBorders>
                          <w:top w:val="single" w:sz="4" w:space="0" w:color="auto"/>
                          <w:left w:val="single" w:sz="4" w:space="0" w:color="auto"/>
                          <w:bottom w:val="single" w:sz="4" w:space="0" w:color="auto"/>
                          <w:right w:val="single" w:sz="4" w:space="0" w:color="auto"/>
                        </w:tcBorders>
                      </w:tcPr>
                      <w:p>
                        <w:pPr>
                          <w:pStyle w:val="style4212"/>
                          <w:rPr>
                            <w:rFonts w:ascii="宋体" w:cs="宋体" w:hAnsi="宋体"/>
                            <w:sz w:val="20"/>
                            <w:szCs w:val="20"/>
                          </w:rPr>
                        </w:pPr>
                      </w:p>
                      <w:p>
                        <w:pPr>
                          <w:pStyle w:val="style4212"/>
                          <w:spacing w:before="11"/>
                          <w:rPr>
                            <w:rFonts w:ascii="宋体" w:cs="宋体" w:hAnsi="宋体"/>
                            <w:sz w:val="29"/>
                            <w:szCs w:val="29"/>
                          </w:rPr>
                        </w:pPr>
                      </w:p>
                      <w:p>
                        <w:pPr>
                          <w:pStyle w:val="style4212"/>
                          <w:spacing w:lineRule="auto" w:line="278"/>
                          <w:ind w:left="7" w:right="5"/>
                          <w:rPr>
                            <w:rFonts w:ascii="宋体" w:cs="宋体" w:hAnsi="宋体"/>
                            <w:sz w:val="20"/>
                            <w:szCs w:val="20"/>
                          </w:rPr>
                        </w:pPr>
                        <w:r>
                          <w:rPr>
                            <w:rFonts w:ascii="宋体" w:cs="宋体" w:hAnsi="宋体" w:hint="eastAsia"/>
                            <w:spacing w:val="1"/>
                            <w:w w:val="99"/>
                            <w:sz w:val="20"/>
                            <w:szCs w:val="20"/>
                          </w:rPr>
                          <w:t>A02</w:t>
                        </w:r>
                        <w:r>
                          <w:rPr>
                            <w:rFonts w:ascii="宋体" w:cs="宋体" w:hAnsi="宋体" w:hint="eastAsia"/>
                            <w:w w:val="99"/>
                            <w:sz w:val="20"/>
                            <w:szCs w:val="20"/>
                          </w:rPr>
                          <w:t>09</w:t>
                        </w:r>
                        <w:r>
                          <w:rPr>
                            <w:rFonts w:ascii="宋体" w:cs="宋体" w:hAnsi="宋体" w:hint="eastAsia"/>
                            <w:spacing w:val="1"/>
                            <w:w w:val="99"/>
                            <w:sz w:val="20"/>
                            <w:szCs w:val="20"/>
                          </w:rPr>
                          <w:t>1</w:t>
                        </w:r>
                        <w:r>
                          <w:rPr>
                            <w:rFonts w:ascii="宋体" w:cs="宋体" w:hAnsi="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spacing w:before="10"/>
                          <w:rPr>
                            <w:rFonts w:ascii="宋体" w:cs="宋体" w:hAnsi="宋体"/>
                            <w:sz w:val="21"/>
                            <w:szCs w:val="21"/>
                          </w:rPr>
                        </w:pPr>
                      </w:p>
                      <w:p>
                        <w:pPr>
                          <w:pStyle w:val="style4212"/>
                          <w:ind w:left="7"/>
                          <w:rPr>
                            <w:rFonts w:ascii="宋体" w:cs="宋体" w:hAnsi="宋体"/>
                            <w:sz w:val="20"/>
                            <w:szCs w:val="20"/>
                          </w:rPr>
                        </w:pPr>
                        <w:r>
                          <w:rPr>
                            <w:rFonts w:ascii="宋体" w:cs="宋体" w:hAnsi="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28" w:lineRule="auto" w:line="278"/>
                          <w:ind w:left="7" w:right="5"/>
                          <w:rPr>
                            <w:rFonts w:ascii="宋体" w:cs="宋体" w:hAnsi="宋体"/>
                            <w:sz w:val="20"/>
                            <w:szCs w:val="20"/>
                            <w:lang w:eastAsia="zh-CN"/>
                          </w:rPr>
                        </w:pPr>
                        <w:r>
                          <w:rPr>
                            <w:rFonts w:ascii="宋体" w:cs="宋体" w:hAnsi="宋体" w:hint="eastAsia"/>
                            <w:spacing w:val="12"/>
                            <w:w w:val="99"/>
                            <w:sz w:val="20"/>
                            <w:szCs w:val="20"/>
                            <w:lang w:eastAsia="zh-CN"/>
                          </w:rPr>
                          <w:t>以射频信号为主要信号</w:t>
                        </w:r>
                        <w:r>
                          <w:rPr>
                            <w:rFonts w:ascii="宋体" w:cs="宋体" w:hAnsi="宋体" w:hint="eastAsia"/>
                            <w:spacing w:val="9"/>
                            <w:w w:val="99"/>
                            <w:sz w:val="20"/>
                            <w:szCs w:val="20"/>
                            <w:lang w:eastAsia="zh-CN"/>
                          </w:rPr>
                          <w:t>输</w:t>
                        </w:r>
                        <w:r>
                          <w:rPr>
                            <w:rFonts w:ascii="宋体" w:cs="宋体" w:hAnsi="宋体" w:hint="eastAsia"/>
                            <w:spacing w:val="12"/>
                            <w:w w:val="99"/>
                            <w:sz w:val="20"/>
                            <w:szCs w:val="20"/>
                            <w:lang w:eastAsia="zh-CN"/>
                          </w:rPr>
                          <w:t>入的</w:t>
                        </w:r>
                        <w:r>
                          <w:rPr>
                            <w:rFonts w:ascii="宋体" w:cs="宋体" w:hAnsi="宋体" w:hint="eastAsia"/>
                            <w:w w:val="99"/>
                            <w:sz w:val="20"/>
                            <w:szCs w:val="20"/>
                            <w:lang w:eastAsia="zh-CN"/>
                          </w:rPr>
                          <w:t>监视器应</w:t>
                        </w:r>
                        <w:r>
                          <w:rPr>
                            <w:rFonts w:ascii="宋体" w:cs="宋体" w:hAnsi="宋体" w:hint="eastAsia"/>
                            <w:spacing w:val="2"/>
                            <w:w w:val="99"/>
                            <w:sz w:val="20"/>
                            <w:szCs w:val="20"/>
                            <w:lang w:eastAsia="zh-CN"/>
                          </w:rPr>
                          <w:t>符</w:t>
                        </w:r>
                        <w:r>
                          <w:rPr>
                            <w:rFonts w:ascii="宋体" w:cs="宋体" w:hAnsi="宋体" w:hint="eastAsia"/>
                            <w:spacing w:val="-58"/>
                            <w:w w:val="99"/>
                            <w:sz w:val="20"/>
                            <w:szCs w:val="20"/>
                            <w:lang w:eastAsia="zh-CN"/>
                          </w:rPr>
                          <w:t>合</w:t>
                        </w:r>
                        <w:r>
                          <w:rPr>
                            <w:rFonts w:ascii="宋体" w:cs="宋体" w:hAnsi="宋体" w:hint="eastAsia"/>
                            <w:spacing w:val="2"/>
                            <w:w w:val="99"/>
                            <w:sz w:val="20"/>
                            <w:szCs w:val="20"/>
                            <w:lang w:eastAsia="zh-CN"/>
                          </w:rPr>
                          <w:t>《</w:t>
                        </w:r>
                        <w:r>
                          <w:rPr>
                            <w:rFonts w:ascii="宋体" w:cs="宋体" w:hAnsi="宋体" w:hint="eastAsia"/>
                            <w:w w:val="99"/>
                            <w:sz w:val="20"/>
                            <w:szCs w:val="20"/>
                            <w:lang w:eastAsia="zh-CN"/>
                          </w:rPr>
                          <w:t>平板</w:t>
                        </w:r>
                        <w:r>
                          <w:rPr>
                            <w:rFonts w:ascii="宋体" w:cs="宋体" w:hAnsi="宋体" w:hint="eastAsia"/>
                            <w:spacing w:val="2"/>
                            <w:w w:val="99"/>
                            <w:sz w:val="20"/>
                            <w:szCs w:val="20"/>
                            <w:lang w:eastAsia="zh-CN"/>
                          </w:rPr>
                          <w:t>电</w:t>
                        </w:r>
                        <w:r>
                          <w:rPr>
                            <w:rFonts w:ascii="宋体" w:cs="宋体" w:hAnsi="宋体" w:hint="eastAsia"/>
                            <w:w w:val="99"/>
                            <w:sz w:val="20"/>
                            <w:szCs w:val="20"/>
                            <w:lang w:eastAsia="zh-CN"/>
                          </w:rPr>
                          <w:t>视能</w:t>
                        </w:r>
                        <w:r>
                          <w:rPr>
                            <w:rFonts w:ascii="宋体" w:cs="宋体" w:hAnsi="宋体" w:hint="eastAsia"/>
                            <w:spacing w:val="2"/>
                            <w:w w:val="99"/>
                            <w:sz w:val="20"/>
                            <w:szCs w:val="20"/>
                            <w:lang w:eastAsia="zh-CN"/>
                          </w:rPr>
                          <w:t>效</w:t>
                        </w:r>
                        <w:r>
                          <w:rPr>
                            <w:rFonts w:ascii="宋体" w:cs="宋体" w:hAnsi="宋体" w:hint="eastAsia"/>
                            <w:w w:val="99"/>
                            <w:sz w:val="20"/>
                            <w:szCs w:val="20"/>
                            <w:lang w:eastAsia="zh-CN"/>
                          </w:rPr>
                          <w:t>限定值及能效</w:t>
                        </w:r>
                        <w:r>
                          <w:rPr>
                            <w:rFonts w:ascii="宋体" w:cs="宋体" w:hAnsi="宋体" w:hint="eastAsia"/>
                            <w:spacing w:val="2"/>
                            <w:w w:val="99"/>
                            <w:sz w:val="20"/>
                            <w:szCs w:val="20"/>
                            <w:lang w:eastAsia="zh-CN"/>
                          </w:rPr>
                          <w:t>等</w:t>
                        </w:r>
                        <w:r>
                          <w:rPr>
                            <w:rFonts w:ascii="宋体" w:cs="宋体" w:hAnsi="宋体" w:hint="eastAsia"/>
                            <w:w w:val="99"/>
                            <w:sz w:val="20"/>
                            <w:szCs w:val="20"/>
                            <w:lang w:eastAsia="zh-CN"/>
                          </w:rPr>
                          <w:t>级》（</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24850</w:t>
                        </w:r>
                        <w:r>
                          <w:rPr>
                            <w:rFonts w:ascii="宋体" w:cs="宋体" w:hAnsi="宋体" w:hint="eastAsia"/>
                            <w:spacing w:val="-3"/>
                            <w:w w:val="99"/>
                            <w:sz w:val="20"/>
                            <w:szCs w:val="20"/>
                            <w:lang w:eastAsia="zh-CN"/>
                          </w:rPr>
                          <w:t>）</w:t>
                        </w:r>
                        <w:r>
                          <w:rPr>
                            <w:rFonts w:ascii="宋体" w:cs="宋体" w:hAnsi="宋体" w:hint="eastAsia"/>
                            <w:w w:val="99"/>
                            <w:sz w:val="20"/>
                            <w:szCs w:val="20"/>
                            <w:lang w:eastAsia="zh-CN"/>
                          </w:rPr>
                          <w:t>，</w:t>
                        </w:r>
                        <w:r>
                          <w:rPr>
                            <w:rFonts w:ascii="宋体" w:cs="宋体" w:hAnsi="宋体" w:hint="eastAsia"/>
                            <w:spacing w:val="12"/>
                            <w:w w:val="99"/>
                            <w:sz w:val="20"/>
                            <w:szCs w:val="20"/>
                            <w:lang w:eastAsia="zh-CN"/>
                          </w:rPr>
                          <w:t>以数字信号为主要信号</w:t>
                        </w:r>
                        <w:r>
                          <w:rPr>
                            <w:rFonts w:ascii="宋体" w:cs="宋体" w:hAnsi="宋体" w:hint="eastAsia"/>
                            <w:spacing w:val="9"/>
                            <w:w w:val="99"/>
                            <w:sz w:val="20"/>
                            <w:szCs w:val="20"/>
                            <w:lang w:eastAsia="zh-CN"/>
                          </w:rPr>
                          <w:t>输</w:t>
                        </w:r>
                        <w:r>
                          <w:rPr>
                            <w:rFonts w:ascii="宋体" w:cs="宋体" w:hAnsi="宋体" w:hint="eastAsia"/>
                            <w:spacing w:val="12"/>
                            <w:w w:val="99"/>
                            <w:sz w:val="20"/>
                            <w:szCs w:val="20"/>
                            <w:lang w:eastAsia="zh-CN"/>
                          </w:rPr>
                          <w:t>入的</w:t>
                        </w:r>
                        <w:r>
                          <w:rPr>
                            <w:rFonts w:ascii="宋体" w:cs="宋体" w:hAnsi="宋体" w:hint="eastAsia"/>
                            <w:w w:val="99"/>
                            <w:sz w:val="20"/>
                            <w:szCs w:val="20"/>
                            <w:lang w:eastAsia="zh-CN"/>
                          </w:rPr>
                          <w:t>监视器应</w:t>
                        </w:r>
                        <w:r>
                          <w:rPr>
                            <w:rFonts w:ascii="宋体" w:cs="宋体" w:hAnsi="宋体" w:hint="eastAsia"/>
                            <w:spacing w:val="2"/>
                            <w:w w:val="99"/>
                            <w:sz w:val="20"/>
                            <w:szCs w:val="20"/>
                            <w:lang w:eastAsia="zh-CN"/>
                          </w:rPr>
                          <w:t>符</w:t>
                        </w:r>
                        <w:r>
                          <w:rPr>
                            <w:rFonts w:ascii="宋体" w:cs="宋体" w:hAnsi="宋体" w:hint="eastAsia"/>
                            <w:spacing w:val="-58"/>
                            <w:w w:val="99"/>
                            <w:sz w:val="20"/>
                            <w:szCs w:val="20"/>
                            <w:lang w:eastAsia="zh-CN"/>
                          </w:rPr>
                          <w:t>合</w:t>
                        </w:r>
                        <w:r>
                          <w:rPr>
                            <w:rFonts w:ascii="宋体" w:cs="宋体" w:hAnsi="宋体" w:hint="eastAsia"/>
                            <w:spacing w:val="2"/>
                            <w:w w:val="99"/>
                            <w:sz w:val="20"/>
                            <w:szCs w:val="20"/>
                            <w:lang w:eastAsia="zh-CN"/>
                          </w:rPr>
                          <w:t>《</w:t>
                        </w:r>
                        <w:r>
                          <w:rPr>
                            <w:rFonts w:ascii="宋体" w:cs="宋体" w:hAnsi="宋体" w:hint="eastAsia"/>
                            <w:w w:val="99"/>
                            <w:sz w:val="20"/>
                            <w:szCs w:val="20"/>
                            <w:lang w:eastAsia="zh-CN"/>
                          </w:rPr>
                          <w:t>计算</w:t>
                        </w:r>
                        <w:r>
                          <w:rPr>
                            <w:rFonts w:ascii="宋体" w:cs="宋体" w:hAnsi="宋体" w:hint="eastAsia"/>
                            <w:spacing w:val="2"/>
                            <w:w w:val="99"/>
                            <w:sz w:val="20"/>
                            <w:szCs w:val="20"/>
                            <w:lang w:eastAsia="zh-CN"/>
                          </w:rPr>
                          <w:t>机</w:t>
                        </w:r>
                        <w:r>
                          <w:rPr>
                            <w:rFonts w:ascii="宋体" w:cs="宋体" w:hAnsi="宋体" w:hint="eastAsia"/>
                            <w:w w:val="99"/>
                            <w:sz w:val="20"/>
                            <w:szCs w:val="20"/>
                            <w:lang w:eastAsia="zh-CN"/>
                          </w:rPr>
                          <w:t>显示</w:t>
                        </w:r>
                        <w:r>
                          <w:rPr>
                            <w:rFonts w:ascii="宋体" w:cs="宋体" w:hAnsi="宋体" w:hint="eastAsia"/>
                            <w:spacing w:val="2"/>
                            <w:w w:val="99"/>
                            <w:sz w:val="20"/>
                            <w:szCs w:val="20"/>
                            <w:lang w:eastAsia="zh-CN"/>
                          </w:rPr>
                          <w:t>器</w:t>
                        </w:r>
                        <w:r>
                          <w:rPr>
                            <w:rFonts w:ascii="宋体" w:cs="宋体" w:hAnsi="宋体" w:hint="eastAsia"/>
                            <w:w w:val="99"/>
                            <w:sz w:val="20"/>
                            <w:szCs w:val="20"/>
                            <w:lang w:eastAsia="zh-CN"/>
                          </w:rPr>
                          <w:t>能效限定值及</w:t>
                        </w:r>
                        <w:r>
                          <w:rPr>
                            <w:rFonts w:ascii="宋体" w:cs="宋体" w:hAnsi="宋体" w:hint="eastAsia"/>
                            <w:spacing w:val="2"/>
                            <w:w w:val="99"/>
                            <w:sz w:val="20"/>
                            <w:szCs w:val="20"/>
                            <w:lang w:eastAsia="zh-CN"/>
                          </w:rPr>
                          <w:t>能</w:t>
                        </w:r>
                        <w:r>
                          <w:rPr>
                            <w:rFonts w:ascii="宋体" w:cs="宋体" w:hAnsi="宋体" w:hint="eastAsia"/>
                            <w:w w:val="99"/>
                            <w:sz w:val="20"/>
                            <w:szCs w:val="20"/>
                            <w:lang w:eastAsia="zh-CN"/>
                          </w:rPr>
                          <w:t>效等</w:t>
                        </w:r>
                        <w:r>
                          <w:rPr>
                            <w:rFonts w:ascii="宋体" w:cs="宋体" w:hAnsi="宋体" w:hint="eastAsia"/>
                            <w:spacing w:val="2"/>
                            <w:w w:val="99"/>
                            <w:sz w:val="20"/>
                            <w:szCs w:val="20"/>
                            <w:lang w:eastAsia="zh-CN"/>
                          </w:rPr>
                          <w:t>级</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21</w:t>
                        </w:r>
                        <w:r>
                          <w:rPr>
                            <w:rFonts w:ascii="宋体" w:cs="宋体" w:hAnsi="宋体" w:hint="eastAsia"/>
                            <w:w w:val="99"/>
                            <w:sz w:val="20"/>
                            <w:szCs w:val="20"/>
                            <w:lang w:eastAsia="zh-CN"/>
                          </w:rPr>
                          <w:t>52</w:t>
                        </w:r>
                        <w:r>
                          <w:rPr>
                            <w:rFonts w:ascii="宋体" w:cs="宋体" w:hAnsi="宋体" w:hint="eastAsia"/>
                            <w:spacing w:val="1"/>
                            <w:w w:val="99"/>
                            <w:sz w:val="20"/>
                            <w:szCs w:val="20"/>
                            <w:lang w:eastAsia="zh-CN"/>
                          </w:rPr>
                          <w:t>0</w:t>
                        </w:r>
                        <w:r>
                          <w:rPr>
                            <w:rFonts w:ascii="宋体" w:cs="宋体" w:hAnsi="宋体" w:hint="eastAsia"/>
                            <w:w w:val="99"/>
                            <w:sz w:val="20"/>
                            <w:szCs w:val="20"/>
                            <w:lang w:eastAsia="zh-CN"/>
                          </w:rPr>
                          <w:t>）</w:t>
                        </w:r>
                      </w:p>
                    </w:tc>
                  </w:tr>
                  <w:tr>
                    <w:tblPrEx/>
                    <w:trPr>
                      <w:trHeight w:val="787" w:hRule="exact"/>
                    </w:trPr>
                    <w:tc>
                      <w:tcPr>
                        <w:tcW w:w="585" w:type="dxa"/>
                        <w:tcBorders>
                          <w:top w:val="single" w:sz="4" w:space="0" w:color="auto"/>
                          <w:left w:val="single" w:sz="4" w:space="0" w:color="auto"/>
                          <w:bottom w:val="single" w:sz="4" w:space="0" w:color="auto"/>
                          <w:right w:val="single" w:sz="4" w:space="0" w:color="auto"/>
                        </w:tcBorders>
                      </w:tcPr>
                      <w:p>
                        <w:pPr>
                          <w:pStyle w:val="style4212"/>
                          <w:spacing w:before="10"/>
                          <w:rPr>
                            <w:rFonts w:ascii="宋体" w:cs="宋体" w:hAnsi="宋体"/>
                            <w:sz w:val="17"/>
                            <w:szCs w:val="17"/>
                            <w:lang w:eastAsia="zh-CN"/>
                          </w:rPr>
                        </w:pPr>
                      </w:p>
                      <w:p>
                        <w:pPr>
                          <w:pStyle w:val="style4212"/>
                          <w:ind w:left="182"/>
                          <w:rPr>
                            <w:rFonts w:ascii="宋体" w:cs="宋体" w:hAnsi="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pPr>
                          <w:pStyle w:val="style4212"/>
                          <w:spacing w:before="76"/>
                          <w:ind w:left="7"/>
                          <w:rPr>
                            <w:rFonts w:ascii="宋体" w:cs="宋体" w:hAnsi="宋体"/>
                            <w:sz w:val="20"/>
                            <w:szCs w:val="20"/>
                          </w:rPr>
                        </w:pPr>
                        <w:r>
                          <w:rPr>
                            <w:rFonts w:ascii="宋体" w:cs="宋体" w:hAnsi="宋体" w:hint="eastAsia"/>
                            <w:spacing w:val="1"/>
                            <w:w w:val="99"/>
                            <w:sz w:val="20"/>
                            <w:szCs w:val="20"/>
                          </w:rPr>
                          <w:t>A02241000</w:t>
                        </w:r>
                        <w:r>
                          <w:rPr>
                            <w:rFonts w:ascii="宋体" w:cs="宋体" w:hAnsi="宋体" w:hint="eastAsia"/>
                            <w:w w:val="99"/>
                            <w:sz w:val="20"/>
                            <w:szCs w:val="20"/>
                          </w:rPr>
                          <w:t>饮食炊事机械</w:t>
                        </w:r>
                      </w:p>
                    </w:tc>
                    <w:tc>
                      <w:tcPr>
                        <w:tcW w:w="1665" w:type="dxa"/>
                        <w:tcBorders>
                          <w:top w:val="single" w:sz="4" w:space="0" w:color="auto"/>
                          <w:left w:val="single" w:sz="4" w:space="0" w:color="auto"/>
                          <w:bottom w:val="single" w:sz="4" w:space="0" w:color="auto"/>
                          <w:right w:val="single" w:sz="4" w:space="0" w:color="auto"/>
                        </w:tcBorders>
                      </w:tcPr>
                      <w:p>
                        <w:pPr>
                          <w:pStyle w:val="style4212"/>
                          <w:spacing w:before="10"/>
                          <w:rPr>
                            <w:rFonts w:ascii="宋体" w:cs="宋体" w:hAnsi="宋体"/>
                            <w:sz w:val="17"/>
                            <w:szCs w:val="17"/>
                          </w:rPr>
                        </w:pPr>
                      </w:p>
                      <w:p>
                        <w:pPr>
                          <w:pStyle w:val="style4212"/>
                          <w:ind w:left="7"/>
                          <w:rPr>
                            <w:rFonts w:ascii="宋体" w:cs="宋体" w:hAnsi="宋体"/>
                            <w:sz w:val="20"/>
                            <w:szCs w:val="20"/>
                          </w:rPr>
                        </w:pPr>
                        <w:r>
                          <w:rPr>
                            <w:rFonts w:ascii="宋体" w:cs="宋体" w:hAnsi="宋体" w:hint="eastAsia"/>
                            <w:w w:val="99"/>
                            <w:sz w:val="20"/>
                            <w:szCs w:val="20"/>
                          </w:rPr>
                          <w:t>商用燃</w:t>
                        </w:r>
                        <w:r>
                          <w:rPr>
                            <w:rFonts w:ascii="宋体" w:cs="宋体" w:hAnsi="宋体" w:hint="eastAsia"/>
                            <w:spacing w:val="2"/>
                            <w:w w:val="99"/>
                            <w:sz w:val="20"/>
                            <w:szCs w:val="20"/>
                          </w:rPr>
                          <w:t>气</w:t>
                        </w:r>
                        <w:r>
                          <w:rPr>
                            <w:rFonts w:ascii="宋体" w:cs="宋体" w:hAnsi="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pPr>
                          <w:pStyle w:val="style0"/>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76"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《商用燃气灶具能效限</w:t>
                        </w:r>
                        <w:r>
                          <w:rPr>
                            <w:rFonts w:ascii="宋体" w:cs="宋体" w:hAnsi="宋体" w:hint="eastAsia"/>
                            <w:spacing w:val="9"/>
                            <w:w w:val="99"/>
                            <w:sz w:val="20"/>
                            <w:szCs w:val="20"/>
                            <w:lang w:eastAsia="zh-CN"/>
                          </w:rPr>
                          <w:t>定</w:t>
                        </w:r>
                        <w:r>
                          <w:rPr>
                            <w:rFonts w:ascii="宋体" w:cs="宋体" w:hAnsi="宋体" w:hint="eastAsia"/>
                            <w:spacing w:val="12"/>
                            <w:w w:val="99"/>
                            <w:sz w:val="20"/>
                            <w:szCs w:val="20"/>
                            <w:lang w:eastAsia="zh-CN"/>
                          </w:rPr>
                          <w:t>值及</w:t>
                        </w:r>
                        <w:r>
                          <w:rPr>
                            <w:rFonts w:ascii="宋体" w:cs="宋体" w:hAnsi="宋体" w:hint="eastAsia"/>
                            <w:w w:val="99"/>
                            <w:sz w:val="20"/>
                            <w:szCs w:val="20"/>
                            <w:lang w:eastAsia="zh-CN"/>
                          </w:rPr>
                          <w:t>能效等级</w:t>
                        </w:r>
                        <w:r>
                          <w:rPr>
                            <w:rFonts w:ascii="宋体" w:cs="宋体" w:hAnsi="宋体" w:hint="eastAsia"/>
                            <w:spacing w:val="2"/>
                            <w:w w:val="99"/>
                            <w:sz w:val="20"/>
                            <w:szCs w:val="20"/>
                            <w:lang w:eastAsia="zh-CN"/>
                          </w:rPr>
                          <w:t>》</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30</w:t>
                        </w:r>
                        <w:r>
                          <w:rPr>
                            <w:rFonts w:ascii="宋体" w:cs="宋体" w:hAnsi="宋体" w:hint="eastAsia"/>
                            <w:w w:val="99"/>
                            <w:sz w:val="20"/>
                            <w:szCs w:val="20"/>
                            <w:lang w:eastAsia="zh-CN"/>
                          </w:rPr>
                          <w:t>53</w:t>
                        </w:r>
                        <w:r>
                          <w:rPr>
                            <w:rFonts w:ascii="宋体" w:cs="宋体" w:hAnsi="宋体" w:hint="eastAsia"/>
                            <w:spacing w:val="1"/>
                            <w:w w:val="99"/>
                            <w:sz w:val="20"/>
                            <w:szCs w:val="20"/>
                            <w:lang w:eastAsia="zh-CN"/>
                          </w:rPr>
                          <w:t>1</w:t>
                        </w:r>
                        <w:r>
                          <w:rPr>
                            <w:rFonts w:ascii="宋体" w:cs="宋体" w:hAnsi="宋体" w:hint="eastAsia"/>
                            <w:w w:val="99"/>
                            <w:sz w:val="20"/>
                            <w:szCs w:val="20"/>
                            <w:lang w:eastAsia="zh-CN"/>
                          </w:rPr>
                          <w:t>）</w:t>
                        </w:r>
                      </w:p>
                    </w:tc>
                  </w:tr>
                  <w:tr>
                    <w:tblPrEx/>
                    <w:trPr>
                      <w:trHeight w:val="886" w:hRule="exact"/>
                    </w:trPr>
                    <w:tc>
                      <w:tcPr>
                        <w:tcW w:w="585" w:type="dxa"/>
                        <w:vMerge w:val="restart"/>
                        <w:tcBorders>
                          <w:top w:val="single" w:sz="4" w:space="0" w:color="auto"/>
                          <w:left w:val="single" w:sz="4" w:space="0" w:color="auto"/>
                          <w:bottom w:val="single" w:sz="4" w:space="0" w:color="auto"/>
                          <w:right w:val="single" w:sz="4" w:space="0" w:color="auto"/>
                        </w:tcBorders>
                      </w:tcPr>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rPr>
                            <w:rFonts w:ascii="宋体" w:cs="宋体" w:hAnsi="宋体"/>
                            <w:sz w:val="20"/>
                            <w:szCs w:val="20"/>
                            <w:lang w:eastAsia="zh-CN"/>
                          </w:rPr>
                        </w:pPr>
                      </w:p>
                      <w:p>
                        <w:pPr>
                          <w:pStyle w:val="style4212"/>
                          <w:spacing w:before="1"/>
                          <w:rPr>
                            <w:rFonts w:ascii="宋体" w:cs="宋体" w:hAnsi="宋体"/>
                            <w:sz w:val="29"/>
                            <w:szCs w:val="29"/>
                            <w:lang w:eastAsia="zh-CN"/>
                          </w:rPr>
                        </w:pPr>
                      </w:p>
                      <w:p>
                        <w:pPr>
                          <w:pStyle w:val="style4212"/>
                          <w:ind w:left="182"/>
                          <w:rPr>
                            <w:rFonts w:ascii="宋体" w:cs="宋体" w:hAnsi="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pPr>
                          <w:pStyle w:val="style4212"/>
                          <w:rPr>
                            <w:rFonts w:ascii="宋体" w:cs="宋体" w:hAnsi="宋体"/>
                            <w:sz w:val="20"/>
                            <w:szCs w:val="20"/>
                          </w:rPr>
                        </w:pPr>
                      </w:p>
                      <w:p>
                        <w:pPr>
                          <w:pStyle w:val="style4212"/>
                          <w:rPr>
                            <w:rFonts w:ascii="宋体" w:cs="宋体" w:hAnsi="宋体"/>
                            <w:sz w:val="20"/>
                            <w:szCs w:val="20"/>
                          </w:rPr>
                        </w:pPr>
                      </w:p>
                      <w:p>
                        <w:pPr>
                          <w:pStyle w:val="style4212"/>
                          <w:spacing w:before="9"/>
                          <w:rPr>
                            <w:rFonts w:ascii="宋体" w:cs="宋体" w:hAnsi="宋体"/>
                            <w:sz w:val="17"/>
                            <w:szCs w:val="17"/>
                          </w:rPr>
                        </w:pPr>
                      </w:p>
                      <w:p>
                        <w:pPr>
                          <w:pStyle w:val="style4212"/>
                          <w:ind w:left="7"/>
                          <w:rPr>
                            <w:rFonts w:ascii="宋体" w:cs="宋体" w:hAnsi="宋体"/>
                            <w:w w:val="99"/>
                            <w:sz w:val="20"/>
                            <w:szCs w:val="20"/>
                          </w:rPr>
                        </w:pPr>
                        <w:r>
                          <w:rPr>
                            <w:rFonts w:ascii="宋体" w:cs="宋体" w:hAnsi="宋体" w:hint="eastAsia"/>
                            <w:w w:val="99"/>
                            <w:sz w:val="20"/>
                            <w:szCs w:val="20"/>
                          </w:rPr>
                          <w:t>★</w:t>
                        </w:r>
                        <w:r>
                          <w:rPr>
                            <w:rFonts w:ascii="宋体" w:cs="宋体" w:hAnsi="宋体" w:hint="eastAsia"/>
                            <w:spacing w:val="1"/>
                            <w:w w:val="99"/>
                            <w:sz w:val="20"/>
                            <w:szCs w:val="20"/>
                          </w:rPr>
                          <w:t>A05020105</w:t>
                        </w:r>
                      </w:p>
                      <w:p>
                        <w:pPr>
                          <w:pStyle w:val="style4212"/>
                          <w:ind w:left="7"/>
                          <w:rPr>
                            <w:rFonts w:ascii="宋体" w:cs="宋体" w:hAnsi="宋体"/>
                            <w:sz w:val="20"/>
                            <w:szCs w:val="20"/>
                          </w:rPr>
                        </w:pPr>
                        <w:r>
                          <w:rPr>
                            <w:rFonts w:ascii="宋体" w:cs="宋体" w:hAnsi="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pPr>
                          <w:pStyle w:val="style4212"/>
                          <w:spacing w:before="5"/>
                          <w:rPr>
                            <w:rFonts w:ascii="宋体" w:cs="宋体" w:hAnsi="宋体"/>
                            <w:sz w:val="21"/>
                            <w:szCs w:val="21"/>
                          </w:rPr>
                        </w:pPr>
                      </w:p>
                      <w:p>
                        <w:pPr>
                          <w:pStyle w:val="style4212"/>
                          <w:ind w:left="7"/>
                          <w:rPr>
                            <w:rFonts w:ascii="宋体" w:cs="宋体" w:hAnsi="宋体"/>
                            <w:sz w:val="20"/>
                            <w:szCs w:val="20"/>
                          </w:rPr>
                        </w:pPr>
                        <w:r>
                          <w:rPr>
                            <w:rFonts w:ascii="宋体" w:cs="宋体" w:hAnsi="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pPr>
                          <w:pStyle w:val="style0"/>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124"/>
                          <w:ind w:left="7"/>
                          <w:rPr>
                            <w:rFonts w:ascii="宋体" w:cs="宋体" w:hAnsi="宋体"/>
                            <w:sz w:val="20"/>
                            <w:szCs w:val="20"/>
                            <w:lang w:eastAsia="zh-CN"/>
                          </w:rPr>
                        </w:pPr>
                        <w:r>
                          <w:rPr>
                            <w:rFonts w:ascii="宋体" w:cs="宋体" w:hAnsi="宋体" w:hint="eastAsia"/>
                            <w:w w:val="99"/>
                            <w:sz w:val="20"/>
                            <w:szCs w:val="20"/>
                            <w:lang w:eastAsia="zh-CN"/>
                          </w:rPr>
                          <w:t>《坐便</w:t>
                        </w:r>
                        <w:r>
                          <w:rPr>
                            <w:rFonts w:ascii="宋体" w:cs="宋体" w:hAnsi="宋体" w:hint="eastAsia"/>
                            <w:spacing w:val="2"/>
                            <w:w w:val="99"/>
                            <w:sz w:val="20"/>
                            <w:szCs w:val="20"/>
                            <w:lang w:eastAsia="zh-CN"/>
                          </w:rPr>
                          <w:t>器</w:t>
                        </w:r>
                        <w:r>
                          <w:rPr>
                            <w:rFonts w:ascii="宋体" w:cs="宋体" w:hAnsi="宋体" w:hint="eastAsia"/>
                            <w:w w:val="99"/>
                            <w:sz w:val="20"/>
                            <w:szCs w:val="20"/>
                            <w:lang w:eastAsia="zh-CN"/>
                          </w:rPr>
                          <w:t>水效</w:t>
                        </w:r>
                        <w:r>
                          <w:rPr>
                            <w:rFonts w:ascii="宋体" w:cs="宋体" w:hAnsi="宋体" w:hint="eastAsia"/>
                            <w:spacing w:val="2"/>
                            <w:w w:val="99"/>
                            <w:sz w:val="20"/>
                            <w:szCs w:val="20"/>
                            <w:lang w:eastAsia="zh-CN"/>
                          </w:rPr>
                          <w:t>限</w:t>
                        </w:r>
                        <w:r>
                          <w:rPr>
                            <w:rFonts w:ascii="宋体" w:cs="宋体" w:hAnsi="宋体" w:hint="eastAsia"/>
                            <w:w w:val="99"/>
                            <w:sz w:val="20"/>
                            <w:szCs w:val="20"/>
                            <w:lang w:eastAsia="zh-CN"/>
                          </w:rPr>
                          <w:t>定值</w:t>
                        </w:r>
                        <w:r>
                          <w:rPr>
                            <w:rFonts w:ascii="宋体" w:cs="宋体" w:hAnsi="宋体" w:hint="eastAsia"/>
                            <w:spacing w:val="2"/>
                            <w:w w:val="99"/>
                            <w:sz w:val="20"/>
                            <w:szCs w:val="20"/>
                            <w:lang w:eastAsia="zh-CN"/>
                          </w:rPr>
                          <w:t>及</w:t>
                        </w:r>
                        <w:r>
                          <w:rPr>
                            <w:rFonts w:ascii="宋体" w:cs="宋体" w:hAnsi="宋体" w:hint="eastAsia"/>
                            <w:w w:val="99"/>
                            <w:sz w:val="20"/>
                            <w:szCs w:val="20"/>
                            <w:lang w:eastAsia="zh-CN"/>
                          </w:rPr>
                          <w:t>水</w:t>
                        </w:r>
                        <w:r>
                          <w:rPr>
                            <w:rFonts w:ascii="宋体" w:cs="宋体" w:hAnsi="宋体" w:hint="eastAsia"/>
                            <w:spacing w:val="2"/>
                            <w:w w:val="99"/>
                            <w:sz w:val="20"/>
                            <w:szCs w:val="20"/>
                            <w:lang w:eastAsia="zh-CN"/>
                          </w:rPr>
                          <w:t>效</w:t>
                        </w:r>
                        <w:r>
                          <w:rPr>
                            <w:rFonts w:ascii="宋体" w:cs="宋体" w:hAnsi="宋体" w:hint="eastAsia"/>
                            <w:w w:val="99"/>
                            <w:sz w:val="20"/>
                            <w:szCs w:val="20"/>
                            <w:lang w:eastAsia="zh-CN"/>
                          </w:rPr>
                          <w:t>等级》</w:t>
                        </w:r>
                      </w:p>
                      <w:p>
                        <w:pPr>
                          <w:pStyle w:val="style4212"/>
                          <w:spacing w:before="50"/>
                          <w:ind w:left="7"/>
                          <w:rPr>
                            <w:rFonts w:ascii="宋体" w:cs="宋体" w:hAnsi="宋体"/>
                            <w:sz w:val="20"/>
                            <w:szCs w:val="20"/>
                          </w:rPr>
                        </w:pPr>
                        <w:r>
                          <w:rPr>
                            <w:rFonts w:ascii="宋体" w:cs="宋体" w:hAnsi="宋体" w:hint="eastAsia"/>
                            <w:w w:val="99"/>
                            <w:sz w:val="20"/>
                            <w:szCs w:val="20"/>
                          </w:rPr>
                          <w:t>（</w:t>
                        </w:r>
                        <w:r>
                          <w:rPr>
                            <w:rFonts w:ascii="宋体" w:cs="宋体" w:hAnsi="宋体" w:hint="eastAsia"/>
                            <w:spacing w:val="1"/>
                            <w:w w:val="99"/>
                            <w:sz w:val="20"/>
                            <w:szCs w:val="20"/>
                          </w:rPr>
                          <w:t>G</w:t>
                        </w:r>
                        <w:r>
                          <w:rPr>
                            <w:rFonts w:ascii="宋体" w:cs="宋体" w:hAnsi="宋体" w:hint="eastAsia"/>
                            <w:w w:val="99"/>
                            <w:sz w:val="20"/>
                            <w:szCs w:val="20"/>
                          </w:rPr>
                          <w:t>B</w:t>
                        </w:r>
                        <w:r>
                          <w:rPr>
                            <w:rFonts w:ascii="宋体" w:cs="宋体" w:hAnsi="宋体" w:hint="eastAsia"/>
                            <w:spacing w:val="1"/>
                            <w:w w:val="99"/>
                            <w:sz w:val="20"/>
                            <w:szCs w:val="20"/>
                          </w:rPr>
                          <w:t>2</w:t>
                        </w:r>
                        <w:r>
                          <w:rPr>
                            <w:rFonts w:ascii="宋体" w:cs="宋体" w:hAnsi="宋体" w:hint="eastAsia"/>
                            <w:w w:val="99"/>
                            <w:sz w:val="20"/>
                            <w:szCs w:val="20"/>
                          </w:rPr>
                          <w:t>55</w:t>
                        </w:r>
                        <w:r>
                          <w:rPr>
                            <w:rFonts w:ascii="宋体" w:cs="宋体" w:hAnsi="宋体" w:hint="eastAsia"/>
                            <w:spacing w:val="1"/>
                            <w:w w:val="99"/>
                            <w:sz w:val="20"/>
                            <w:szCs w:val="20"/>
                          </w:rPr>
                          <w:t>02</w:t>
                        </w:r>
                        <w:r>
                          <w:rPr>
                            <w:rFonts w:ascii="宋体" w:cs="宋体" w:hAnsi="宋体" w:hint="eastAsia"/>
                            <w:w w:val="99"/>
                            <w:sz w:val="20"/>
                            <w:szCs w:val="20"/>
                          </w:rPr>
                          <w:t>）</w:t>
                        </w:r>
                      </w:p>
                    </w:tc>
                  </w:tr>
                  <w:tr>
                    <w:tblPrEx/>
                    <w:trPr>
                      <w:trHeight w:val="886" w:hRule="exact"/>
                    </w:trPr>
                    <w:tc>
                      <w:tcPr>
                        <w:tcW w:w="58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lang w:eastAsia="en-US"/>
                          </w:rPr>
                        </w:pPr>
                      </w:p>
                    </w:tc>
                    <w:tc>
                      <w:tcPr>
                        <w:tcW w:w="130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pPr>
                          <w:pStyle w:val="style4212"/>
                          <w:spacing w:before="5"/>
                          <w:rPr>
                            <w:rFonts w:ascii="宋体" w:cs="宋体" w:hAnsi="宋体"/>
                            <w:sz w:val="21"/>
                            <w:szCs w:val="21"/>
                          </w:rPr>
                        </w:pPr>
                      </w:p>
                      <w:p>
                        <w:pPr>
                          <w:pStyle w:val="style4212"/>
                          <w:ind w:left="7"/>
                          <w:rPr>
                            <w:rFonts w:ascii="宋体" w:cs="宋体" w:hAnsi="宋体"/>
                            <w:sz w:val="20"/>
                            <w:szCs w:val="20"/>
                          </w:rPr>
                        </w:pPr>
                        <w:r>
                          <w:rPr>
                            <w:rFonts w:ascii="宋体" w:cs="宋体" w:hAnsi="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pPr>
                          <w:pStyle w:val="style0"/>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124"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《蹲便器用水效率限定</w:t>
                        </w:r>
                        <w:r>
                          <w:rPr>
                            <w:rFonts w:ascii="宋体" w:cs="宋体" w:hAnsi="宋体" w:hint="eastAsia"/>
                            <w:spacing w:val="9"/>
                            <w:w w:val="99"/>
                            <w:sz w:val="20"/>
                            <w:szCs w:val="20"/>
                            <w:lang w:eastAsia="zh-CN"/>
                          </w:rPr>
                          <w:t>值</w:t>
                        </w:r>
                        <w:r>
                          <w:rPr>
                            <w:rFonts w:ascii="宋体" w:cs="宋体" w:hAnsi="宋体" w:hint="eastAsia"/>
                            <w:spacing w:val="12"/>
                            <w:w w:val="99"/>
                            <w:sz w:val="20"/>
                            <w:szCs w:val="20"/>
                            <w:lang w:eastAsia="zh-CN"/>
                          </w:rPr>
                          <w:t>及用</w:t>
                        </w:r>
                        <w:r>
                          <w:rPr>
                            <w:rFonts w:ascii="宋体" w:cs="宋体" w:hAnsi="宋体" w:hint="eastAsia"/>
                            <w:w w:val="99"/>
                            <w:sz w:val="20"/>
                            <w:szCs w:val="20"/>
                            <w:lang w:eastAsia="zh-CN"/>
                          </w:rPr>
                          <w:t>水效率等</w:t>
                        </w:r>
                        <w:r>
                          <w:rPr>
                            <w:rFonts w:ascii="宋体" w:cs="宋体" w:hAnsi="宋体" w:hint="eastAsia"/>
                            <w:spacing w:val="2"/>
                            <w:w w:val="99"/>
                            <w:sz w:val="20"/>
                            <w:szCs w:val="20"/>
                            <w:lang w:eastAsia="zh-CN"/>
                          </w:rPr>
                          <w:t>级</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307</w:t>
                        </w:r>
                        <w:r>
                          <w:rPr>
                            <w:rFonts w:ascii="宋体" w:cs="宋体" w:hAnsi="宋体" w:hint="eastAsia"/>
                            <w:w w:val="99"/>
                            <w:sz w:val="20"/>
                            <w:szCs w:val="20"/>
                            <w:lang w:eastAsia="zh-CN"/>
                          </w:rPr>
                          <w:t>1</w:t>
                        </w:r>
                        <w:r>
                          <w:rPr>
                            <w:rFonts w:ascii="宋体" w:cs="宋体" w:hAnsi="宋体" w:hint="eastAsia"/>
                            <w:spacing w:val="-1"/>
                            <w:w w:val="99"/>
                            <w:sz w:val="20"/>
                            <w:szCs w:val="20"/>
                            <w:lang w:eastAsia="zh-CN"/>
                          </w:rPr>
                          <w:t>7</w:t>
                        </w:r>
                        <w:r>
                          <w:rPr>
                            <w:rFonts w:ascii="宋体" w:cs="宋体" w:hAnsi="宋体" w:hint="eastAsia"/>
                            <w:w w:val="99"/>
                            <w:sz w:val="20"/>
                            <w:szCs w:val="20"/>
                            <w:lang w:eastAsia="zh-CN"/>
                          </w:rPr>
                          <w:t>）</w:t>
                        </w:r>
                      </w:p>
                    </w:tc>
                  </w:tr>
                  <w:tr>
                    <w:tblPrEx/>
                    <w:trPr>
                      <w:trHeight w:val="888" w:hRule="exact"/>
                    </w:trPr>
                    <w:tc>
                      <w:tcPr>
                        <w:tcW w:w="58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rPr>
                        </w:pPr>
                      </w:p>
                    </w:tc>
                    <w:tc>
                      <w:tcPr>
                        <w:tcW w:w="1305"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pPr>
                          <w:pStyle w:val="style4212"/>
                          <w:spacing w:before="5"/>
                          <w:rPr>
                            <w:rFonts w:ascii="宋体" w:cs="宋体" w:hAnsi="宋体"/>
                            <w:sz w:val="21"/>
                            <w:szCs w:val="21"/>
                            <w:lang w:eastAsia="zh-CN"/>
                          </w:rPr>
                        </w:pPr>
                      </w:p>
                      <w:p>
                        <w:pPr>
                          <w:pStyle w:val="style4212"/>
                          <w:ind w:left="7"/>
                          <w:rPr>
                            <w:rFonts w:ascii="宋体" w:cs="宋体" w:hAnsi="宋体"/>
                            <w:sz w:val="20"/>
                            <w:szCs w:val="20"/>
                          </w:rPr>
                        </w:pPr>
                        <w:r>
                          <w:rPr>
                            <w:rFonts w:ascii="宋体" w:cs="宋体" w:hAnsi="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pPr>
                          <w:pStyle w:val="style0"/>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pPr>
                          <w:pStyle w:val="style4212"/>
                          <w:spacing w:before="124" w:lineRule="auto" w:line="278"/>
                          <w:ind w:left="7" w:right="4"/>
                          <w:rPr>
                            <w:rFonts w:ascii="宋体" w:cs="宋体" w:hAnsi="宋体"/>
                            <w:sz w:val="20"/>
                            <w:szCs w:val="20"/>
                            <w:lang w:eastAsia="zh-CN"/>
                          </w:rPr>
                        </w:pPr>
                        <w:r>
                          <w:rPr>
                            <w:rFonts w:ascii="宋体" w:cs="宋体" w:hAnsi="宋体" w:hint="eastAsia"/>
                            <w:spacing w:val="12"/>
                            <w:w w:val="99"/>
                            <w:sz w:val="20"/>
                            <w:szCs w:val="20"/>
                            <w:lang w:eastAsia="zh-CN"/>
                          </w:rPr>
                          <w:t>《小便器用水效率限定</w:t>
                        </w:r>
                        <w:r>
                          <w:rPr>
                            <w:rFonts w:ascii="宋体" w:cs="宋体" w:hAnsi="宋体" w:hint="eastAsia"/>
                            <w:spacing w:val="9"/>
                            <w:w w:val="99"/>
                            <w:sz w:val="20"/>
                            <w:szCs w:val="20"/>
                            <w:lang w:eastAsia="zh-CN"/>
                          </w:rPr>
                          <w:t>值</w:t>
                        </w:r>
                        <w:r>
                          <w:rPr>
                            <w:rFonts w:ascii="宋体" w:cs="宋体" w:hAnsi="宋体" w:hint="eastAsia"/>
                            <w:spacing w:val="12"/>
                            <w:w w:val="99"/>
                            <w:sz w:val="20"/>
                            <w:szCs w:val="20"/>
                            <w:lang w:eastAsia="zh-CN"/>
                          </w:rPr>
                          <w:t>及用</w:t>
                        </w:r>
                        <w:r>
                          <w:rPr>
                            <w:rFonts w:ascii="宋体" w:cs="宋体" w:hAnsi="宋体" w:hint="eastAsia"/>
                            <w:w w:val="99"/>
                            <w:sz w:val="20"/>
                            <w:szCs w:val="20"/>
                            <w:lang w:eastAsia="zh-CN"/>
                          </w:rPr>
                          <w:t>水效率等</w:t>
                        </w:r>
                        <w:r>
                          <w:rPr>
                            <w:rFonts w:ascii="宋体" w:cs="宋体" w:hAnsi="宋体" w:hint="eastAsia"/>
                            <w:spacing w:val="2"/>
                            <w:w w:val="99"/>
                            <w:sz w:val="20"/>
                            <w:szCs w:val="20"/>
                            <w:lang w:eastAsia="zh-CN"/>
                          </w:rPr>
                          <w:t>级</w:t>
                        </w:r>
                        <w:r>
                          <w:rPr>
                            <w:rFonts w:ascii="宋体" w:cs="宋体" w:hAnsi="宋体" w:hint="eastAsia"/>
                            <w:w w:val="99"/>
                            <w:sz w:val="20"/>
                            <w:szCs w:val="20"/>
                            <w:lang w:eastAsia="zh-CN"/>
                          </w:rPr>
                          <w:t>》（</w:t>
                        </w:r>
                        <w:r>
                          <w:rPr>
                            <w:rFonts w:ascii="宋体" w:cs="宋体" w:hAnsi="宋体" w:hint="eastAsia"/>
                            <w:spacing w:val="1"/>
                            <w:w w:val="99"/>
                            <w:sz w:val="20"/>
                            <w:szCs w:val="20"/>
                            <w:lang w:eastAsia="zh-CN"/>
                          </w:rPr>
                          <w:t>G</w:t>
                        </w:r>
                        <w:r>
                          <w:rPr>
                            <w:rFonts w:ascii="宋体" w:cs="宋体" w:hAnsi="宋体" w:hint="eastAsia"/>
                            <w:w w:val="99"/>
                            <w:sz w:val="20"/>
                            <w:szCs w:val="20"/>
                            <w:lang w:eastAsia="zh-CN"/>
                          </w:rPr>
                          <w:t>B</w:t>
                        </w:r>
                        <w:r>
                          <w:rPr>
                            <w:rFonts w:ascii="宋体" w:cs="宋体" w:hAnsi="宋体" w:hint="eastAsia"/>
                            <w:spacing w:val="1"/>
                            <w:w w:val="99"/>
                            <w:sz w:val="20"/>
                            <w:szCs w:val="20"/>
                            <w:lang w:eastAsia="zh-CN"/>
                          </w:rPr>
                          <w:t>283</w:t>
                        </w:r>
                        <w:r>
                          <w:rPr>
                            <w:rFonts w:ascii="宋体" w:cs="宋体" w:hAnsi="宋体" w:hint="eastAsia"/>
                            <w:w w:val="99"/>
                            <w:sz w:val="20"/>
                            <w:szCs w:val="20"/>
                            <w:lang w:eastAsia="zh-CN"/>
                          </w:rPr>
                          <w:t>7</w:t>
                        </w:r>
                        <w:r>
                          <w:rPr>
                            <w:rFonts w:ascii="宋体" w:cs="宋体" w:hAnsi="宋体" w:hint="eastAsia"/>
                            <w:spacing w:val="-1"/>
                            <w:w w:val="99"/>
                            <w:sz w:val="20"/>
                            <w:szCs w:val="20"/>
                            <w:lang w:eastAsia="zh-CN"/>
                          </w:rPr>
                          <w:t>7</w:t>
                        </w:r>
                        <w:r>
                          <w:rPr>
                            <w:rFonts w:ascii="宋体" w:cs="宋体" w:hAnsi="宋体" w:hint="eastAsia"/>
                            <w:w w:val="99"/>
                            <w:sz w:val="20"/>
                            <w:szCs w:val="20"/>
                            <w:lang w:eastAsia="zh-CN"/>
                          </w:rPr>
                          <w:t>）</w:t>
                        </w:r>
                      </w:p>
                    </w:tc>
                  </w:tr>
                </w:tbl>
                <w:p>
                  <w:pPr>
                    <w:pStyle w:val="style0"/>
                    <w:rPr>
                      <w:rFonts w:ascii="Calibri" w:hAnsi="Calibri"/>
                      <w:sz w:val="22"/>
                      <w:szCs w:val="22"/>
                    </w:rPr>
                  </w:pPr>
                </w:p>
              </w:txbxContent>
            </v:textbox>
          </v:shape>
        </w:pict>
      </w:r>
    </w:p>
    <w:p>
      <w:pPr>
        <w:pStyle w:val="style0"/>
        <w:rPr>
          <w:rFonts w:ascii="宋体" w:cs="宋体" w:hAnsi="宋体"/>
          <w:sz w:val="20"/>
          <w:szCs w:val="20"/>
        </w:rPr>
      </w:pPr>
    </w:p>
    <w:p>
      <w:pPr>
        <w:pStyle w:val="style0"/>
        <w:rPr>
          <w:rFonts w:ascii="宋体" w:cs="宋体" w:hAnsi="宋体"/>
          <w:sz w:val="20"/>
          <w:szCs w:val="20"/>
        </w:rPr>
      </w:pPr>
    </w:p>
    <w:p>
      <w:pPr>
        <w:pStyle w:val="style0"/>
        <w:spacing w:before="13"/>
        <w:rPr>
          <w:rFonts w:ascii="宋体" w:cs="宋体" w:hAnsi="宋体"/>
          <w:sz w:val="24"/>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rPr>
          <w:rFonts w:ascii="宋体" w:cs="宋体" w:hAnsi="宋体"/>
          <w:sz w:val="20"/>
          <w:szCs w:val="20"/>
        </w:rPr>
      </w:pPr>
    </w:p>
    <w:p>
      <w:pPr>
        <w:pStyle w:val="style0"/>
        <w:spacing w:before="3"/>
        <w:rPr>
          <w:rFonts w:ascii="宋体" w:cs="宋体" w:hAnsi="宋体"/>
          <w:sz w:val="29"/>
          <w:szCs w:val="29"/>
        </w:rPr>
      </w:pPr>
    </w:p>
    <w:p>
      <w:pPr>
        <w:pStyle w:val="style0"/>
        <w:widowControl/>
        <w:jc w:val="left"/>
        <w:rPr>
          <w:rFonts w:ascii="宋体" w:cs="宋体" w:hAnsi="宋体"/>
          <w:sz w:val="20"/>
          <w:szCs w:val="20"/>
        </w:rPr>
      </w:pPr>
    </w:p>
    <w:p>
      <w:pPr>
        <w:pStyle w:val="style0"/>
        <w:spacing w:before="4"/>
        <w:rPr>
          <w:rFonts w:ascii="宋体" w:cs="宋体" w:hAnsi="宋体"/>
          <w:sz w:val="6"/>
          <w:szCs w:val="6"/>
        </w:rPr>
      </w:pPr>
      <w:r>
        <w:rPr>
          <w:rFonts w:ascii="宋体" w:cs="宋体" w:hAnsi="宋体" w:hint="eastAsia"/>
          <w:sz w:val="20"/>
          <w:szCs w:val="20"/>
        </w:rPr>
        <w:br w:type="page"/>
      </w:r>
    </w:p>
    <w:tbl>
      <w:tblPr>
        <w:tblW w:w="9120" w:type="dxa"/>
        <w:tblInd w:w="-339" w:type="dxa"/>
        <w:tblLayout w:type="fixed"/>
        <w:tblCellMar>
          <w:left w:w="0" w:type="dxa"/>
          <w:right w:w="0" w:type="dxa"/>
        </w:tblCellMar>
        <w:tblLook w:val="04A0" w:firstRow="1" w:lastRow="0" w:firstColumn="1" w:lastColumn="0" w:noHBand="0" w:noVBand="1"/>
      </w:tblPr>
      <w:tblGrid>
        <w:gridCol w:w="615"/>
        <w:gridCol w:w="1290"/>
        <w:gridCol w:w="2077"/>
        <w:gridCol w:w="1373"/>
        <w:gridCol w:w="3765"/>
      </w:tblGrid>
      <w:tr>
        <w:trPr>
          <w:trHeight w:val="943" w:hRule="exact"/>
        </w:trPr>
        <w:tc>
          <w:tcPr>
            <w:tcW w:w="615" w:type="dxa"/>
            <w:tcBorders>
              <w:top w:val="single" w:sz="4" w:space="0" w:color="000000"/>
              <w:left w:val="single" w:sz="4" w:space="0" w:color="000000"/>
              <w:bottom w:val="single" w:sz="4" w:space="0" w:color="000000"/>
              <w:right w:val="single" w:sz="4" w:space="0" w:color="000000"/>
            </w:tcBorders>
          </w:tcPr>
          <w:p>
            <w:pPr>
              <w:pStyle w:val="style0"/>
              <w:spacing w:before="8"/>
              <w:jc w:val="left"/>
              <w:rPr>
                <w:rFonts w:ascii="宋体" w:cs="宋体" w:hAnsi="宋体"/>
                <w:kern w:val="0"/>
                <w:sz w:val="23"/>
                <w:szCs w:val="23"/>
              </w:rPr>
            </w:pPr>
          </w:p>
          <w:p>
            <w:pPr>
              <w:pStyle w:val="style0"/>
              <w:ind w:left="182"/>
              <w:jc w:val="left"/>
              <w:rPr>
                <w:rFonts w:ascii="宋体" w:cs="宋体" w:hAnsi="宋体"/>
                <w:kern w:val="0"/>
                <w:sz w:val="20"/>
                <w:szCs w:val="20"/>
                <w:lang w:eastAsia="en-US"/>
              </w:rPr>
            </w:pPr>
            <w:r>
              <w:rPr>
                <w:rFonts w:ascii="宋体" w:hAnsi="Calibri" w:hint="eastAsia"/>
                <w:kern w:val="0"/>
                <w:sz w:val="20"/>
                <w:szCs w:val="22"/>
                <w:lang w:eastAsia="en-US"/>
              </w:rPr>
              <w:t>16</w:t>
            </w:r>
          </w:p>
        </w:tc>
        <w:tc>
          <w:tcPr>
            <w:tcW w:w="1290" w:type="dxa"/>
            <w:tcBorders>
              <w:top w:val="single" w:sz="4" w:space="0" w:color="000000"/>
              <w:left w:val="single" w:sz="4" w:space="0" w:color="000000"/>
              <w:bottom w:val="single" w:sz="4" w:space="0" w:color="000000"/>
              <w:right w:val="single" w:sz="4" w:space="0" w:color="000000"/>
            </w:tcBorders>
          </w:tcPr>
          <w:p>
            <w:pPr>
              <w:pStyle w:val="style0"/>
              <w:spacing w:before="153"/>
              <w:ind w:left="7"/>
              <w:jc w:val="left"/>
              <w:rPr>
                <w:rFonts w:ascii="宋体" w:cs="宋体" w:hAnsi="宋体"/>
                <w:kern w:val="0"/>
                <w:sz w:val="20"/>
                <w:szCs w:val="20"/>
                <w:lang w:eastAsia="en-US"/>
              </w:rPr>
            </w:pPr>
            <w:r>
              <w:rPr>
                <w:rFonts w:ascii="宋体" w:cs="宋体" w:hAnsi="宋体" w:hint="eastAsia"/>
                <w:kern w:val="0"/>
                <w:sz w:val="20"/>
                <w:szCs w:val="20"/>
                <w:lang w:eastAsia="en-US"/>
              </w:rPr>
              <w:t>★A05020106水</w:t>
            </w:r>
            <w:r>
              <w:rPr>
                <w:rFonts w:ascii="宋体" w:cs="宋体" w:hAnsi="宋体" w:hint="eastAsia"/>
                <w:w w:val="99"/>
                <w:kern w:val="0"/>
                <w:sz w:val="20"/>
                <w:szCs w:val="20"/>
                <w:lang w:eastAsia="en-US"/>
              </w:rPr>
              <w:t>嘴</w:t>
            </w:r>
          </w:p>
        </w:tc>
        <w:tc>
          <w:tcPr>
            <w:tcW w:w="2077"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pPr>
              <w:pStyle w:val="style0"/>
              <w:spacing w:before="153" w:lineRule="auto" w:line="278"/>
              <w:ind w:left="7" w:right="4"/>
              <w:jc w:val="left"/>
              <w:rPr>
                <w:rFonts w:ascii="宋体" w:cs="宋体" w:hAnsi="宋体"/>
                <w:kern w:val="0"/>
                <w:sz w:val="20"/>
                <w:szCs w:val="20"/>
              </w:rPr>
            </w:pPr>
            <w:r>
              <w:rPr>
                <w:rFonts w:ascii="宋体" w:cs="宋体" w:hAnsi="宋体" w:hint="eastAsia"/>
                <w:spacing w:val="10"/>
                <w:kern w:val="0"/>
                <w:sz w:val="20"/>
                <w:szCs w:val="20"/>
              </w:rPr>
              <w:t>《水嘴用水效率限定值及用水效</w:t>
            </w:r>
            <w:r>
              <w:rPr>
                <w:rFonts w:ascii="宋体" w:cs="宋体" w:hAnsi="宋体" w:hint="eastAsia"/>
                <w:kern w:val="0"/>
                <w:sz w:val="20"/>
                <w:szCs w:val="20"/>
              </w:rPr>
              <w:t>率等级》（GB 25501）</w:t>
            </w:r>
          </w:p>
        </w:tc>
      </w:tr>
      <w:tr>
        <w:tblPrEx/>
        <w:trPr>
          <w:trHeight w:val="862" w:hRule="exact"/>
        </w:trPr>
        <w:tc>
          <w:tcPr>
            <w:tcW w:w="615" w:type="dxa"/>
            <w:tcBorders>
              <w:top w:val="single" w:sz="4" w:space="0" w:color="000000"/>
              <w:left w:val="single" w:sz="4" w:space="0" w:color="000000"/>
              <w:bottom w:val="single" w:sz="4" w:space="0" w:color="000000"/>
              <w:right w:val="single" w:sz="4" w:space="0" w:color="000000"/>
            </w:tcBorders>
          </w:tcPr>
          <w:p>
            <w:pPr>
              <w:pStyle w:val="style0"/>
              <w:spacing w:before="6"/>
              <w:jc w:val="left"/>
              <w:rPr>
                <w:rFonts w:ascii="宋体" w:cs="宋体" w:hAnsi="宋体"/>
                <w:kern w:val="0"/>
                <w:sz w:val="20"/>
                <w:szCs w:val="20"/>
              </w:rPr>
            </w:pPr>
          </w:p>
          <w:p>
            <w:pPr>
              <w:pStyle w:val="style0"/>
              <w:ind w:left="182"/>
              <w:jc w:val="left"/>
              <w:rPr>
                <w:rFonts w:ascii="宋体" w:cs="宋体" w:hAnsi="宋体"/>
                <w:kern w:val="0"/>
                <w:sz w:val="20"/>
                <w:szCs w:val="20"/>
                <w:lang w:eastAsia="en-US"/>
              </w:rPr>
            </w:pPr>
            <w:r>
              <w:rPr>
                <w:rFonts w:ascii="宋体" w:hAnsi="Calibri" w:hint="eastAsia"/>
                <w:kern w:val="0"/>
                <w:sz w:val="20"/>
                <w:szCs w:val="22"/>
                <w:lang w:eastAsia="en-US"/>
              </w:rPr>
              <w:t>17</w:t>
            </w:r>
          </w:p>
        </w:tc>
        <w:tc>
          <w:tcPr>
            <w:tcW w:w="1290" w:type="dxa"/>
            <w:tcBorders>
              <w:top w:val="single" w:sz="4" w:space="0" w:color="000000"/>
              <w:left w:val="single" w:sz="4" w:space="0" w:color="000000"/>
              <w:bottom w:val="single" w:sz="4" w:space="0" w:color="000000"/>
              <w:right w:val="single" w:sz="4" w:space="0" w:color="000000"/>
            </w:tcBorders>
          </w:tcPr>
          <w:p>
            <w:pPr>
              <w:pStyle w:val="style0"/>
              <w:spacing w:before="112"/>
              <w:ind w:left="7"/>
              <w:jc w:val="left"/>
              <w:rPr>
                <w:rFonts w:ascii="宋体" w:cs="宋体" w:hAnsi="宋体"/>
                <w:kern w:val="0"/>
                <w:sz w:val="20"/>
                <w:szCs w:val="20"/>
                <w:lang w:eastAsia="en-US"/>
              </w:rPr>
            </w:pPr>
            <w:r>
              <w:rPr>
                <w:rFonts w:ascii="宋体" w:cs="宋体" w:hAnsi="宋体" w:hint="eastAsia"/>
                <w:kern w:val="0"/>
                <w:sz w:val="20"/>
                <w:szCs w:val="20"/>
                <w:lang w:eastAsia="en-US"/>
              </w:rPr>
              <w:t>A05020107便器冲洗阀</w:t>
            </w:r>
          </w:p>
        </w:tc>
        <w:tc>
          <w:tcPr>
            <w:tcW w:w="2077"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pPr>
              <w:pStyle w:val="style0"/>
              <w:spacing w:before="112" w:lineRule="auto" w:line="278"/>
              <w:ind w:left="7" w:right="4"/>
              <w:jc w:val="left"/>
              <w:rPr>
                <w:rFonts w:ascii="宋体" w:cs="宋体" w:hAnsi="宋体"/>
                <w:kern w:val="0"/>
                <w:sz w:val="20"/>
                <w:szCs w:val="20"/>
              </w:rPr>
            </w:pPr>
            <w:r>
              <w:rPr>
                <w:rFonts w:ascii="宋体" w:cs="宋体" w:hAnsi="宋体" w:hint="eastAsia"/>
                <w:spacing w:val="10"/>
                <w:kern w:val="0"/>
                <w:sz w:val="20"/>
                <w:szCs w:val="20"/>
              </w:rPr>
              <w:t>《便器冲洗阀用水效率限定值及</w:t>
            </w:r>
            <w:r>
              <w:rPr>
                <w:rFonts w:ascii="宋体" w:cs="宋体" w:hAnsi="宋体" w:hint="eastAsia"/>
                <w:kern w:val="0"/>
                <w:sz w:val="20"/>
                <w:szCs w:val="20"/>
              </w:rPr>
              <w:t>用水效率等级》（GB28379）</w:t>
            </w:r>
          </w:p>
        </w:tc>
      </w:tr>
      <w:tr>
        <w:tblPrEx/>
        <w:trPr>
          <w:trHeight w:val="902" w:hRule="exact"/>
        </w:trPr>
        <w:tc>
          <w:tcPr>
            <w:tcW w:w="615" w:type="dxa"/>
            <w:tcBorders>
              <w:top w:val="single" w:sz="4" w:space="0" w:color="000000"/>
              <w:left w:val="single" w:sz="4" w:space="0" w:color="000000"/>
              <w:bottom w:val="single" w:sz="4" w:space="0" w:color="000000"/>
              <w:right w:val="single" w:sz="4" w:space="0" w:color="000000"/>
            </w:tcBorders>
          </w:tcPr>
          <w:p>
            <w:pPr>
              <w:pStyle w:val="style0"/>
              <w:spacing w:before="12"/>
              <w:jc w:val="left"/>
              <w:rPr>
                <w:rFonts w:ascii="宋体" w:cs="宋体" w:hAnsi="宋体"/>
                <w:kern w:val="0"/>
                <w:szCs w:val="21"/>
              </w:rPr>
            </w:pPr>
          </w:p>
          <w:p>
            <w:pPr>
              <w:pStyle w:val="style0"/>
              <w:ind w:left="182"/>
              <w:jc w:val="left"/>
              <w:rPr>
                <w:rFonts w:ascii="宋体" w:cs="宋体" w:hAnsi="宋体"/>
                <w:kern w:val="0"/>
                <w:sz w:val="20"/>
                <w:szCs w:val="20"/>
                <w:lang w:eastAsia="en-US"/>
              </w:rPr>
            </w:pPr>
            <w:r>
              <w:rPr>
                <w:rFonts w:ascii="宋体" w:hAnsi="Calibri" w:hint="eastAsia"/>
                <w:kern w:val="0"/>
                <w:sz w:val="20"/>
                <w:szCs w:val="22"/>
                <w:lang w:eastAsia="en-US"/>
              </w:rPr>
              <w:t>18</w:t>
            </w:r>
          </w:p>
        </w:tc>
        <w:tc>
          <w:tcPr>
            <w:tcW w:w="1290" w:type="dxa"/>
            <w:tcBorders>
              <w:top w:val="single" w:sz="4" w:space="0" w:color="000000"/>
              <w:left w:val="single" w:sz="4" w:space="0" w:color="000000"/>
              <w:bottom w:val="single" w:sz="4" w:space="0" w:color="000000"/>
              <w:right w:val="single" w:sz="4" w:space="0" w:color="000000"/>
            </w:tcBorders>
          </w:tcPr>
          <w:p>
            <w:pPr>
              <w:pStyle w:val="style0"/>
              <w:spacing w:before="131"/>
              <w:ind w:left="7"/>
              <w:jc w:val="left"/>
              <w:rPr>
                <w:rFonts w:ascii="宋体" w:cs="宋体" w:hAnsi="宋体"/>
                <w:kern w:val="0"/>
                <w:sz w:val="20"/>
                <w:szCs w:val="20"/>
                <w:lang w:eastAsia="en-US"/>
              </w:rPr>
            </w:pPr>
            <w:r>
              <w:rPr>
                <w:rFonts w:ascii="宋体" w:cs="宋体" w:hAnsi="宋体" w:hint="eastAsia"/>
                <w:kern w:val="0"/>
                <w:sz w:val="20"/>
                <w:szCs w:val="20"/>
                <w:lang w:eastAsia="en-US"/>
              </w:rPr>
              <w:t>A05020110淋浴</w:t>
            </w:r>
            <w:r>
              <w:rPr>
                <w:rFonts w:ascii="宋体" w:cs="宋体" w:hAnsi="宋体" w:hint="eastAsia"/>
                <w:w w:val="99"/>
                <w:kern w:val="0"/>
                <w:sz w:val="20"/>
                <w:szCs w:val="20"/>
                <w:lang w:eastAsia="en-US"/>
              </w:rPr>
              <w:t>器</w:t>
            </w:r>
          </w:p>
        </w:tc>
        <w:tc>
          <w:tcPr>
            <w:tcW w:w="2077"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pPr>
              <w:pStyle w:val="style0"/>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pPr>
              <w:pStyle w:val="style0"/>
              <w:spacing w:before="131" w:lineRule="auto" w:line="278"/>
              <w:ind w:left="7" w:right="4"/>
              <w:jc w:val="left"/>
              <w:rPr>
                <w:rFonts w:ascii="宋体" w:cs="宋体" w:hAnsi="宋体"/>
                <w:kern w:val="0"/>
                <w:sz w:val="20"/>
                <w:szCs w:val="20"/>
              </w:rPr>
            </w:pPr>
            <w:r>
              <w:rPr>
                <w:rFonts w:ascii="宋体" w:cs="宋体" w:hAnsi="宋体" w:hint="eastAsia"/>
                <w:spacing w:val="10"/>
                <w:kern w:val="0"/>
                <w:sz w:val="20"/>
                <w:szCs w:val="20"/>
              </w:rPr>
              <w:t>《淋浴器用水效率限定值及用水</w:t>
            </w:r>
            <w:r>
              <w:rPr>
                <w:rFonts w:ascii="宋体" w:cs="宋体" w:hAnsi="宋体" w:hint="eastAsia"/>
                <w:kern w:val="0"/>
                <w:sz w:val="20"/>
                <w:szCs w:val="20"/>
              </w:rPr>
              <w:t>效率等级》（GB28378）</w:t>
            </w:r>
          </w:p>
        </w:tc>
      </w:tr>
    </w:tbl>
    <w:p>
      <w:pPr>
        <w:pStyle w:val="style0"/>
        <w:spacing w:after="120" w:lineRule="auto" w:line="360"/>
        <w:rPr>
          <w:rFonts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style0"/>
        <w:spacing w:after="120" w:lineRule="auto" w:line="360"/>
        <w:rPr>
          <w:szCs w:val="21"/>
        </w:rPr>
      </w:pPr>
      <w:r>
        <w:rPr>
          <w:szCs w:val="21"/>
        </w:rPr>
        <w:t>2..</w:t>
      </w:r>
      <w:r>
        <w:rPr>
          <w:rFonts w:hint="eastAsia"/>
          <w:szCs w:val="21"/>
        </w:rPr>
        <w:t>以</w:t>
      </w:r>
      <w:r>
        <w:rPr>
          <w:szCs w:val="21"/>
        </w:rPr>
        <w:t>“</w:t>
      </w:r>
      <w:r>
        <w:rPr>
          <w:rFonts w:hint="eastAsia"/>
          <w:szCs w:val="21"/>
        </w:rPr>
        <w:t>★</w:t>
      </w:r>
      <w:r>
        <w:rPr>
          <w:szCs w:val="21"/>
        </w:rPr>
        <w:t>”</w:t>
      </w:r>
      <w:r>
        <w:rPr>
          <w:rFonts w:hint="eastAsia"/>
          <w:szCs w:val="21"/>
        </w:rPr>
        <w:t>标注的为政府强制采购产品。</w:t>
      </w:r>
    </w:p>
    <w:p>
      <w:pPr>
        <w:pStyle w:val="style32"/>
        <w:rPr/>
      </w:pPr>
    </w:p>
    <w:p>
      <w:pPr>
        <w:pStyle w:val="style32"/>
        <w:rPr/>
      </w:pPr>
    </w:p>
    <w:p>
      <w:pPr>
        <w:pStyle w:val="style0"/>
        <w:spacing w:before="7"/>
        <w:rPr>
          <w:rFonts w:ascii="宋体" w:cs="Arial Unicode MS" w:hAnsi="宋体"/>
          <w:sz w:val="17"/>
          <w:szCs w:val="17"/>
        </w:rPr>
      </w:pPr>
    </w:p>
    <w:p>
      <w:pPr>
        <w:pStyle w:val="style0"/>
        <w:widowControl/>
        <w:jc w:val="left"/>
        <w:rPr/>
      </w:pPr>
      <w:r>
        <w:br w:type="page"/>
      </w:r>
    </w:p>
    <w:bookmarkStart w:id="59" w:name="_Toc11192"/>
    <w:p>
      <w:pPr>
        <w:pStyle w:val="style90"/>
        <w:jc w:val="left"/>
        <w:outlineLvl w:val="1"/>
        <w:rPr>
          <w:rFonts w:cs="Arial Unicode MS" w:hAnsi="宋体"/>
          <w:sz w:val="32"/>
          <w:szCs w:val="32"/>
        </w:rPr>
      </w:pPr>
      <w:r>
        <w:rPr>
          <w:rFonts w:cs="Arial Unicode MS" w:hAnsi="宋体" w:hint="eastAsia"/>
          <w:sz w:val="32"/>
          <w:szCs w:val="32"/>
        </w:rPr>
        <w:t>附件</w:t>
      </w:r>
      <w:r>
        <w:rPr>
          <w:rFonts w:cs="Arial Unicode MS" w:hAnsi="宋体"/>
          <w:sz w:val="32"/>
          <w:szCs w:val="32"/>
        </w:rPr>
        <w:t>2：</w:t>
      </w:r>
      <w:bookmarkEnd w:id="59"/>
    </w:p>
    <w:p>
      <w:pPr>
        <w:pStyle w:val="style0"/>
        <w:spacing w:lineRule="exact" w:line="528"/>
        <w:jc w:val="center"/>
        <w:rPr>
          <w:rFonts w:ascii="宋体" w:cs="Arial Unicode MS" w:hAnsi="宋体"/>
          <w:sz w:val="40"/>
          <w:szCs w:val="40"/>
        </w:rPr>
      </w:pPr>
      <w:r>
        <w:rPr>
          <w:rFonts w:ascii="宋体" w:cs="Arial Unicode MS" w:hAnsi="宋体" w:hint="eastAsia"/>
          <w:sz w:val="40"/>
          <w:szCs w:val="40"/>
        </w:rPr>
        <w:t>中小微企业划型标准</w:t>
      </w:r>
    </w:p>
    <w:tbl>
      <w:tblPr>
        <w:tblW w:w="7983" w:type="dxa"/>
        <w:jc w:val="center"/>
        <w:tblLayout w:type="fixed"/>
        <w:tblLook w:val="04A0" w:firstRow="1" w:lastRow="0" w:firstColumn="1" w:lastColumn="0" w:noHBand="0" w:noVBand="1"/>
      </w:tblPr>
      <w:tblGrid>
        <w:gridCol w:w="1701"/>
        <w:gridCol w:w="1384"/>
        <w:gridCol w:w="913"/>
        <w:gridCol w:w="1620"/>
        <w:gridCol w:w="1440"/>
        <w:gridCol w:w="925"/>
      </w:tblGrid>
      <w:tr>
        <w:trPr>
          <w:trHeight w:val="283" w:hRule="atLeast"/>
          <w:jc w:val="center"/>
        </w:trPr>
        <w:tc>
          <w:tcPr>
            <w:tcW w:w="1701" w:type="dxa"/>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hAnsi="宋体"/>
                <w:b/>
                <w:kern w:val="0"/>
                <w:sz w:val="24"/>
              </w:rPr>
            </w:pPr>
            <w:r>
              <w:rPr>
                <w:rFonts w:ascii="宋体" w:cs="宋体" w:hAnsi="宋体" w:hint="eastAsia"/>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pPr>
              <w:pStyle w:val="style0"/>
              <w:widowControl/>
              <w:jc w:val="left"/>
              <w:rPr>
                <w:rFonts w:ascii="宋体" w:cs="宋体" w:hAnsi="宋体"/>
                <w:b/>
                <w:kern w:val="0"/>
                <w:sz w:val="24"/>
              </w:rPr>
            </w:pPr>
            <w:r>
              <w:rPr>
                <w:rFonts w:ascii="宋体" w:cs="宋体" w:hAnsi="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pPr>
              <w:pStyle w:val="style0"/>
              <w:widowControl/>
              <w:jc w:val="left"/>
              <w:rPr>
                <w:rFonts w:ascii="宋体" w:cs="宋体" w:hAnsi="宋体"/>
                <w:b/>
                <w:kern w:val="0"/>
                <w:sz w:val="24"/>
              </w:rPr>
            </w:pPr>
            <w:r>
              <w:rPr>
                <w:rFonts w:ascii="宋体" w:cs="宋体" w:hAnsi="宋体" w:hint="eastAsia"/>
                <w:b/>
                <w:kern w:val="0"/>
                <w:sz w:val="24"/>
              </w:rPr>
              <w:t>计量单位</w:t>
            </w:r>
          </w:p>
        </w:tc>
        <w:tc>
          <w:tcPr>
            <w:tcW w:w="1620" w:type="dxa"/>
            <w:tcBorders>
              <w:top w:val="single" w:sz="4" w:space="0" w:color="auto"/>
              <w:left w:val="nil"/>
              <w:bottom w:val="single" w:sz="4" w:space="0" w:color="auto"/>
              <w:right w:val="single" w:sz="4" w:space="0" w:color="auto"/>
            </w:tcBorders>
            <w:vAlign w:val="center"/>
          </w:tcPr>
          <w:p>
            <w:pPr>
              <w:pStyle w:val="style0"/>
              <w:widowControl/>
              <w:jc w:val="left"/>
              <w:rPr>
                <w:rFonts w:ascii="宋体" w:cs="宋体" w:hAnsi="宋体"/>
                <w:b/>
                <w:kern w:val="0"/>
                <w:sz w:val="24"/>
              </w:rPr>
            </w:pPr>
            <w:r>
              <w:rPr>
                <w:rFonts w:ascii="宋体" w:cs="宋体" w:hAnsi="宋体" w:hint="eastAsia"/>
                <w:b/>
                <w:kern w:val="0"/>
                <w:sz w:val="24"/>
              </w:rPr>
              <w:t>中型</w:t>
            </w:r>
          </w:p>
        </w:tc>
        <w:tc>
          <w:tcPr>
            <w:tcW w:w="1440" w:type="dxa"/>
            <w:tcBorders>
              <w:top w:val="single" w:sz="4" w:space="0" w:color="auto"/>
              <w:left w:val="nil"/>
              <w:bottom w:val="single" w:sz="4" w:space="0" w:color="auto"/>
              <w:right w:val="single" w:sz="4" w:space="0" w:color="auto"/>
            </w:tcBorders>
            <w:vAlign w:val="center"/>
          </w:tcPr>
          <w:p>
            <w:pPr>
              <w:pStyle w:val="style0"/>
              <w:widowControl/>
              <w:jc w:val="left"/>
              <w:rPr>
                <w:rFonts w:ascii="宋体" w:cs="宋体" w:hAnsi="宋体"/>
                <w:b/>
                <w:kern w:val="0"/>
                <w:sz w:val="24"/>
              </w:rPr>
            </w:pPr>
            <w:r>
              <w:rPr>
                <w:rFonts w:ascii="宋体" w:cs="宋体" w:hAnsi="宋体" w:hint="eastAsia"/>
                <w:b/>
                <w:kern w:val="0"/>
                <w:sz w:val="24"/>
              </w:rPr>
              <w:t>小型</w:t>
            </w:r>
          </w:p>
        </w:tc>
        <w:tc>
          <w:tcPr>
            <w:tcW w:w="925" w:type="dxa"/>
            <w:tcBorders>
              <w:top w:val="single" w:sz="4" w:space="0" w:color="auto"/>
              <w:left w:val="nil"/>
              <w:bottom w:val="single" w:sz="4" w:space="0" w:color="auto"/>
              <w:right w:val="single" w:sz="4" w:space="0" w:color="auto"/>
            </w:tcBorders>
            <w:vAlign w:val="center"/>
          </w:tcPr>
          <w:p>
            <w:pPr>
              <w:pStyle w:val="style0"/>
              <w:widowControl/>
              <w:jc w:val="left"/>
              <w:rPr>
                <w:rFonts w:ascii="宋体" w:cs="宋体" w:hAnsi="宋体"/>
                <w:b/>
                <w:kern w:val="0"/>
                <w:sz w:val="24"/>
              </w:rPr>
            </w:pPr>
            <w:r>
              <w:rPr>
                <w:rFonts w:ascii="宋体" w:cs="宋体" w:hAnsi="宋体" w:hint="eastAsia"/>
                <w:b/>
                <w:kern w:val="0"/>
                <w:sz w:val="24"/>
              </w:rPr>
              <w:t>微型</w:t>
            </w:r>
          </w:p>
        </w:tc>
      </w:tr>
      <w:tr>
        <w:tblPrEx/>
        <w:trPr>
          <w:trHeight w:val="225" w:hRule="atLeast"/>
          <w:jc w:val="center"/>
        </w:trPr>
        <w:tc>
          <w:tcPr>
            <w:tcW w:w="1701" w:type="dxa"/>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500≤Y＜20000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50≤Y＜500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Y＜50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300≤X＜1000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20≤X＜300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X＜20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2000≤Y＜40000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300≤Y＜2000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Y＜300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6000≤Y＜80000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300≤Y＜6000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Y＜300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资产总额（</w:t>
            </w:r>
            <w:r>
              <w:rPr>
                <w:rFonts w:ascii="宋体" w:cs="宋体" w:hAnsi="宋体"/>
                <w:kern w:val="0"/>
                <w:sz w:val="18"/>
                <w:szCs w:val="18"/>
              </w:rPr>
              <w:t>Z）</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5000≤Z＜80000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300≤Z＜5000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Z＜300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20≤X＜200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5≤X＜20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X＜5</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5000≤Y＜40000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1000≤Y＜5000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Y＜1000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50≤X＜300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10≤X＜50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X＜10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500≤Y＜20000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100≤Y＜500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Y＜100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300≤X＜1000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20≤X＜300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X＜20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3000≤Y＜30000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200≤Y＜3000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Y＜200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100≤X＜200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20≤X＜100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X＜20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1000≤Y＜30000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100≤Y＜1000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Y＜100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300≤X＜1000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20≤X＜300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X＜20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2000≤Y＜30000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100≤Y＜2000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Y＜100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100≤X＜300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10≤X＜100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X＜10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2000≤Y＜10000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100≤Y＜2000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Y＜100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100≤X＜300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10≤X＜100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X＜10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2000≤Y＜10000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100≤Y＜2000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Y＜100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100≤X＜2000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10≤X＜100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X＜10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1000≤Y＜100000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100≤Y＜1000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Y＜100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100≤X＜300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10≤X＜100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X＜10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1000≤Y＜10000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50≤Y＜1000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Y＜50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1000≤Y＜200000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100≤X＜1000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X＜100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资产总额（</w:t>
            </w:r>
            <w:r>
              <w:rPr>
                <w:rFonts w:ascii="宋体" w:cs="宋体" w:hAnsi="宋体"/>
                <w:kern w:val="0"/>
                <w:sz w:val="18"/>
                <w:szCs w:val="18"/>
              </w:rPr>
              <w:t>Z）</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5000≤Z＜10000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2000≤Y＜5000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Y＜2000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300≤X＜1000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100≤X＜300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X＜100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营业收入（</w:t>
            </w:r>
            <w:r>
              <w:rPr>
                <w:rFonts w:ascii="宋体" w:cs="宋体" w:hAnsi="宋体"/>
                <w:kern w:val="0"/>
                <w:sz w:val="18"/>
                <w:szCs w:val="18"/>
              </w:rPr>
              <w:t>Y）</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1000≤Y＜5000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500≤Y＜1000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Y＜500</w:t>
            </w:r>
          </w:p>
        </w:tc>
      </w:tr>
      <w:tr>
        <w:tblPrEx/>
        <w:trPr>
          <w:trHeight w:val="225" w:hRule="atLeast"/>
          <w:jc w:val="center"/>
        </w:trPr>
        <w:tc>
          <w:tcPr>
            <w:tcW w:w="1701" w:type="dxa"/>
            <w:vMerge w:val="restart"/>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100≤X＜300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10≤X＜100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X＜10</w:t>
            </w:r>
          </w:p>
        </w:tc>
      </w:tr>
      <w:tr>
        <w:tblPrEx/>
        <w:trPr>
          <w:trHeight w:val="225" w:hRule="atLeast"/>
          <w:jc w:val="center"/>
        </w:trPr>
        <w:tc>
          <w:tcPr>
            <w:tcW w:w="1701" w:type="dxa"/>
            <w:vMerge w:val="continue"/>
            <w:tcBorders>
              <w:top w:val="nil"/>
              <w:left w:val="single" w:sz="4" w:space="0" w:color="auto"/>
              <w:bottom w:val="single" w:sz="4" w:space="0" w:color="auto"/>
              <w:right w:val="single" w:sz="4" w:space="0" w:color="auto"/>
            </w:tcBorders>
            <w:vAlign w:val="center"/>
          </w:tcPr>
          <w:p>
            <w:pPr>
              <w:pStyle w:val="style0"/>
              <w:widowControl/>
              <w:jc w:val="left"/>
              <w:rPr>
                <w:rFonts w:ascii="宋体" w:cs="宋体" w:hAnsi="宋体"/>
                <w:b/>
                <w:bCs/>
                <w:kern w:val="0"/>
                <w:sz w:val="18"/>
                <w:szCs w:val="18"/>
              </w:rPr>
            </w:pP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资产总额（</w:t>
            </w:r>
            <w:r>
              <w:rPr>
                <w:rFonts w:ascii="宋体" w:cs="宋体" w:hAnsi="宋体"/>
                <w:kern w:val="0"/>
                <w:sz w:val="18"/>
                <w:szCs w:val="18"/>
              </w:rPr>
              <w:t>Z）</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万元</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8000≤Z＜120000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100≤Z＜8000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Y＜100</w:t>
            </w:r>
          </w:p>
        </w:tc>
      </w:tr>
      <w:tr>
        <w:tblPrEx/>
        <w:trPr>
          <w:trHeight w:val="225" w:hRule="atLeast"/>
          <w:jc w:val="center"/>
        </w:trPr>
        <w:tc>
          <w:tcPr>
            <w:tcW w:w="1701" w:type="dxa"/>
            <w:tcBorders>
              <w:top w:val="nil"/>
              <w:left w:val="single" w:sz="4" w:space="0" w:color="auto"/>
              <w:bottom w:val="single" w:sz="4" w:space="0" w:color="auto"/>
              <w:right w:val="single" w:sz="4" w:space="0" w:color="auto"/>
            </w:tcBorders>
            <w:vAlign w:val="bottom"/>
          </w:tcPr>
          <w:p>
            <w:pPr>
              <w:pStyle w:val="style0"/>
              <w:widowControl/>
              <w:jc w:val="center"/>
              <w:rPr>
                <w:rFonts w:ascii="宋体" w:cs="宋体" w:hAnsi="宋体"/>
                <w:b/>
                <w:bCs/>
                <w:kern w:val="0"/>
                <w:sz w:val="18"/>
                <w:szCs w:val="18"/>
              </w:rPr>
            </w:pPr>
            <w:r>
              <w:rPr>
                <w:rFonts w:ascii="宋体" w:cs="宋体" w:hAnsi="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从业人员（</w:t>
            </w:r>
            <w:r>
              <w:rPr>
                <w:rFonts w:ascii="宋体" w:cs="宋体" w:hAnsi="宋体"/>
                <w:kern w:val="0"/>
                <w:sz w:val="18"/>
                <w:szCs w:val="18"/>
              </w:rPr>
              <w:t>X）</w:t>
            </w:r>
          </w:p>
        </w:tc>
        <w:tc>
          <w:tcPr>
            <w:tcW w:w="913"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hint="eastAsia"/>
                <w:kern w:val="0"/>
                <w:sz w:val="18"/>
                <w:szCs w:val="18"/>
              </w:rPr>
              <w:t>人</w:t>
            </w:r>
          </w:p>
        </w:tc>
        <w:tc>
          <w:tcPr>
            <w:tcW w:w="162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100≤X＜300</w:t>
            </w:r>
          </w:p>
        </w:tc>
        <w:tc>
          <w:tcPr>
            <w:tcW w:w="1440"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10≤X＜100</w:t>
            </w:r>
          </w:p>
        </w:tc>
        <w:tc>
          <w:tcPr>
            <w:tcW w:w="925" w:type="dxa"/>
            <w:tcBorders>
              <w:top w:val="nil"/>
              <w:left w:val="nil"/>
              <w:bottom w:val="single" w:sz="4" w:space="0" w:color="auto"/>
              <w:right w:val="single" w:sz="4" w:space="0" w:color="auto"/>
            </w:tcBorders>
            <w:vAlign w:val="center"/>
          </w:tcPr>
          <w:p>
            <w:pPr>
              <w:pStyle w:val="style0"/>
              <w:widowControl/>
              <w:jc w:val="left"/>
              <w:rPr>
                <w:rFonts w:ascii="宋体" w:cs="宋体" w:hAnsi="宋体"/>
                <w:kern w:val="0"/>
                <w:sz w:val="18"/>
                <w:szCs w:val="18"/>
              </w:rPr>
            </w:pPr>
            <w:r>
              <w:rPr>
                <w:rFonts w:ascii="宋体" w:cs="宋体" w:hAnsi="宋体"/>
                <w:kern w:val="0"/>
                <w:sz w:val="18"/>
                <w:szCs w:val="18"/>
              </w:rPr>
              <w:t>X＜10</w:t>
            </w:r>
          </w:p>
        </w:tc>
      </w:tr>
    </w:tbl>
    <w:p>
      <w:pPr>
        <w:pStyle w:val="style0"/>
        <w:spacing w:lineRule="auto" w:line="360"/>
        <w:ind w:firstLine="525" w:firstLineChars="250"/>
        <w:rPr>
          <w:rFonts w:ascii="宋体" w:hAnsi="宋体"/>
          <w:szCs w:val="21"/>
        </w:rPr>
      </w:pPr>
      <w:r>
        <w:rPr>
          <w:rFonts w:ascii="宋体" w:hAnsi="宋体" w:hint="eastAsia"/>
          <w:szCs w:val="21"/>
        </w:rPr>
        <w:t>说明：上述标准参照《关于印发中小企业划型标准规定的通知》（工信部联企业</w:t>
      </w:r>
      <w:r>
        <w:rPr>
          <w:rFonts w:ascii="宋体" w:hAnsi="宋体"/>
          <w:szCs w:val="21"/>
        </w:rPr>
        <w:t>[2011]300号），大型、中型和小型企业须同时满足所列指标的下限，否则下划一档；微型企业只须满足所列指标中的一项即可。</w:t>
      </w:r>
    </w:p>
    <w:p>
      <w:pPr>
        <w:pStyle w:val="style0"/>
        <w:jc w:val="center"/>
        <w:outlineLvl w:val="0"/>
        <w:rPr/>
      </w:pPr>
    </w:p>
    <w:p>
      <w:pPr>
        <w:pStyle w:val="style0"/>
        <w:jc w:val="center"/>
        <w:outlineLvl w:val="0"/>
        <w:rPr/>
      </w:pPr>
    </w:p>
    <w:p>
      <w:pPr>
        <w:pStyle w:val="style0"/>
        <w:jc w:val="center"/>
        <w:outlineLvl w:val="0"/>
        <w:rPr/>
      </w:pPr>
    </w:p>
    <w:bookmarkStart w:id="60" w:name="_Toc23457"/>
    <w:p>
      <w:pPr>
        <w:pStyle w:val="style90"/>
        <w:jc w:val="left"/>
        <w:outlineLvl w:val="1"/>
        <w:rPr/>
      </w:pPr>
      <w:r>
        <w:rPr>
          <w:rFonts w:cs="Arial Unicode MS" w:hAnsi="宋体" w:hint="eastAsia"/>
          <w:sz w:val="32"/>
          <w:szCs w:val="32"/>
        </w:rPr>
        <w:t>附件</w:t>
      </w:r>
      <w:r>
        <w:rPr>
          <w:rFonts w:cs="Arial Unicode MS" w:hAnsi="宋体"/>
          <w:sz w:val="32"/>
          <w:szCs w:val="32"/>
        </w:rPr>
        <w:t>3：</w:t>
      </w:r>
      <w:bookmarkEnd w:id="60"/>
    </w:p>
    <w:p>
      <w:pPr>
        <w:pStyle w:val="style0"/>
        <w:spacing w:afterLines="50"/>
        <w:jc w:val="center"/>
        <w:outlineLvl w:val="1"/>
        <w:rPr>
          <w:rFonts w:ascii="宋体" w:cs="宋体" w:hAnsi="宋体"/>
          <w:b/>
          <w:sz w:val="28"/>
          <w:szCs w:val="28"/>
        </w:rPr>
      </w:pPr>
      <w:r>
        <w:rPr>
          <w:rFonts w:ascii="宋体" w:cs="宋体" w:hAnsi="宋体" w:hint="eastAsia"/>
          <w:b/>
          <w:sz w:val="28"/>
          <w:szCs w:val="28"/>
        </w:rPr>
        <w:t>廉洁承诺书</w:t>
      </w:r>
    </w:p>
    <w:p>
      <w:pPr>
        <w:pStyle w:val="style0"/>
        <w:snapToGrid w:val="false"/>
        <w:spacing w:before="50" w:afterLines="50" w:lineRule="auto" w:line="360"/>
        <w:jc w:val="left"/>
        <w:rPr>
          <w:rFonts w:ascii="宋体" w:cs="宋体" w:hAnsi="宋体"/>
          <w:bCs/>
          <w:szCs w:val="21"/>
        </w:rPr>
      </w:pPr>
      <w:r>
        <w:rPr>
          <w:rFonts w:ascii="宋体" w:cs="宋体" w:hAnsi="宋体" w:hint="eastAsia"/>
          <w:bCs/>
          <w:szCs w:val="21"/>
        </w:rPr>
        <w:t>广西壮族自治区公安厅：</w:t>
      </w:r>
    </w:p>
    <w:p>
      <w:pPr>
        <w:pStyle w:val="style0"/>
        <w:snapToGrid w:val="false"/>
        <w:spacing w:before="50" w:afterLines="50" w:lineRule="auto" w:line="360"/>
        <w:ind w:firstLine="420" w:firstLineChars="200"/>
        <w:jc w:val="left"/>
        <w:rPr>
          <w:rFonts w:ascii="宋体" w:cs="宋体" w:hAnsi="宋体"/>
          <w:bCs/>
          <w:szCs w:val="21"/>
        </w:rPr>
      </w:pPr>
      <w:r>
        <w:rPr>
          <w:rFonts w:ascii="宋体" w:cs="宋体" w:hAnsi="宋体" w:hint="eastAsia"/>
          <w:bCs/>
          <w:szCs w:val="21"/>
        </w:rPr>
        <w:t>为了有效遏制不公平竞争和违规违纪行为发生，确保招标工作公平、公正、公开、有序进行，我们保证认真贯彻执行《中华人民共和国政府采购法》《中华人民共和国政府采购法实施条例》等法律法规以及与廉洁有关的规章制度，特向贵单位承诺如下事项：</w:t>
      </w:r>
    </w:p>
    <w:p>
      <w:pPr>
        <w:pStyle w:val="style0"/>
        <w:snapToGrid w:val="false"/>
        <w:spacing w:before="50" w:afterLines="50" w:lineRule="auto" w:line="360"/>
        <w:ind w:firstLine="420" w:firstLineChars="200"/>
        <w:jc w:val="left"/>
        <w:rPr>
          <w:rFonts w:ascii="宋体" w:cs="宋体" w:hAnsi="宋体"/>
          <w:bCs/>
          <w:szCs w:val="21"/>
        </w:rPr>
      </w:pPr>
      <w:r>
        <w:rPr>
          <w:rFonts w:ascii="宋体" w:cs="宋体" w:hAnsi="宋体" w:hint="eastAsia"/>
          <w:bCs/>
          <w:szCs w:val="21"/>
        </w:rPr>
        <w:t>一、自觉遵守国家有关法律法规及廉洁规定。</w:t>
      </w:r>
    </w:p>
    <w:p>
      <w:pPr>
        <w:pStyle w:val="style0"/>
        <w:snapToGrid w:val="false"/>
        <w:spacing w:before="50" w:afterLines="50" w:lineRule="auto" w:line="360"/>
        <w:ind w:firstLine="420" w:firstLineChars="200"/>
        <w:jc w:val="left"/>
        <w:rPr>
          <w:rFonts w:ascii="宋体" w:cs="宋体" w:hAnsi="宋体"/>
          <w:bCs/>
          <w:szCs w:val="21"/>
        </w:rPr>
      </w:pPr>
      <w:r>
        <w:rPr>
          <w:rFonts w:ascii="宋体" w:cs="宋体" w:hAnsi="宋体" w:hint="eastAsia"/>
          <w:bCs/>
          <w:szCs w:val="21"/>
        </w:rPr>
        <w:t>二、不与招标采购单位（采购人或采购代理机构）工作人员串通投标，损害国家利益、企业利益以及他人的合法利益；不与其他竞标人相互串通投标报价，不排挤其他竞标人，不损害招标人或其他竞标人的合法权益。</w:t>
      </w:r>
    </w:p>
    <w:p>
      <w:pPr>
        <w:pStyle w:val="style0"/>
        <w:snapToGrid w:val="false"/>
        <w:spacing w:before="50" w:afterLines="50" w:lineRule="auto" w:line="360"/>
        <w:ind w:firstLine="420" w:firstLineChars="200"/>
        <w:jc w:val="left"/>
        <w:rPr>
          <w:rFonts w:ascii="宋体" w:cs="宋体" w:hAnsi="宋体"/>
          <w:bCs/>
          <w:szCs w:val="21"/>
        </w:rPr>
      </w:pPr>
      <w:r>
        <w:rPr>
          <w:rFonts w:ascii="宋体" w:cs="宋体" w:hAnsi="宋体" w:hint="eastAsia"/>
          <w:bCs/>
          <w:szCs w:val="21"/>
        </w:rPr>
        <w:t>三、不以任何名义为参与招标、评标工作的有关人员报销应由参与招标、评标工作的有关人员支付的任何费用；</w:t>
      </w:r>
    </w:p>
    <w:p>
      <w:pPr>
        <w:pStyle w:val="style0"/>
        <w:snapToGrid w:val="false"/>
        <w:spacing w:before="50" w:afterLines="50" w:lineRule="auto" w:line="360"/>
        <w:ind w:firstLine="420" w:firstLineChars="200"/>
        <w:jc w:val="left"/>
        <w:rPr>
          <w:rFonts w:ascii="宋体" w:cs="宋体" w:hAnsi="宋体"/>
          <w:bCs/>
          <w:szCs w:val="21"/>
        </w:rPr>
      </w:pPr>
      <w:r>
        <w:rPr>
          <w:rFonts w:ascii="宋体" w:cs="宋体" w:hAnsi="宋体" w:hint="eastAsia"/>
          <w:bCs/>
          <w:szCs w:val="21"/>
        </w:rPr>
        <w:t>四、不以任何名义向参与招标、评标工作的有关人员赠送回扣、红包、礼金、购物卡、有价证券、贵重物品和好处费、感谢费等；</w:t>
      </w:r>
    </w:p>
    <w:p>
      <w:pPr>
        <w:pStyle w:val="style0"/>
        <w:snapToGrid w:val="false"/>
        <w:spacing w:before="50" w:afterLines="50" w:lineRule="auto" w:line="360"/>
        <w:ind w:firstLine="420" w:firstLineChars="200"/>
        <w:jc w:val="left"/>
        <w:rPr>
          <w:rFonts w:ascii="宋体" w:cs="宋体" w:hAnsi="宋体"/>
          <w:bCs/>
          <w:szCs w:val="21"/>
        </w:rPr>
      </w:pPr>
      <w:r>
        <w:rPr>
          <w:rFonts w:ascii="宋体" w:cs="宋体" w:hAnsi="宋体" w:hint="eastAsia"/>
          <w:bCs/>
          <w:szCs w:val="21"/>
        </w:rPr>
        <w:t>五、不以任何名义向参与招标、评标工作的有关人员提供高消费宴请及娱乐活动；</w:t>
      </w:r>
    </w:p>
    <w:p>
      <w:pPr>
        <w:pStyle w:val="style0"/>
        <w:snapToGrid w:val="false"/>
        <w:spacing w:before="50" w:afterLines="50" w:lineRule="auto" w:line="360"/>
        <w:ind w:firstLine="420" w:firstLineChars="200"/>
        <w:jc w:val="left"/>
        <w:rPr>
          <w:rFonts w:ascii="宋体" w:cs="宋体" w:hAnsi="宋体"/>
          <w:bCs/>
          <w:szCs w:val="21"/>
        </w:rPr>
      </w:pPr>
      <w:r>
        <w:rPr>
          <w:rFonts w:ascii="宋体" w:cs="宋体" w:hAnsi="宋体" w:hint="eastAsia"/>
          <w:bCs/>
          <w:szCs w:val="21"/>
        </w:rPr>
        <w:t>六、不以谋取非正当利益为目的，擅自与参与招标、评标工作的有关人员就业务问题进行私下商谈或者达成利益默契；</w:t>
      </w:r>
    </w:p>
    <w:p>
      <w:pPr>
        <w:pStyle w:val="style0"/>
        <w:snapToGrid w:val="false"/>
        <w:spacing w:before="50" w:afterLines="50" w:lineRule="auto" w:line="360"/>
        <w:ind w:firstLine="420" w:firstLineChars="200"/>
        <w:jc w:val="left"/>
        <w:rPr>
          <w:rFonts w:ascii="宋体" w:cs="宋体" w:hAnsi="宋体"/>
          <w:bCs/>
          <w:szCs w:val="21"/>
        </w:rPr>
      </w:pPr>
      <w:r>
        <w:rPr>
          <w:rFonts w:ascii="宋体" w:cs="宋体" w:hAnsi="宋体" w:hint="eastAsia"/>
          <w:bCs/>
          <w:szCs w:val="21"/>
        </w:rPr>
        <w:t>七、不以任何名义接受或暗示为参与招标、评标工作的有关人员装修住房、婚丧嫁娶、配偶子女的工作安排以及境内外旅游等提供方便。</w:t>
      </w:r>
    </w:p>
    <w:p>
      <w:pPr>
        <w:pStyle w:val="style0"/>
        <w:snapToGrid w:val="false"/>
        <w:spacing w:before="50" w:afterLines="50" w:lineRule="auto" w:line="360"/>
        <w:ind w:firstLine="420" w:firstLineChars="200"/>
        <w:jc w:val="left"/>
        <w:rPr>
          <w:rFonts w:ascii="宋体" w:cs="宋体" w:hAnsi="宋体"/>
          <w:bCs/>
          <w:szCs w:val="21"/>
        </w:rPr>
      </w:pPr>
      <w:r>
        <w:rPr>
          <w:rFonts w:ascii="宋体" w:cs="宋体" w:hAnsi="宋体" w:hint="eastAsia"/>
          <w:bCs/>
          <w:szCs w:val="21"/>
        </w:rPr>
        <w:t>贵单位既可根据国家有关单位的判决、裁定等有效文书认定我单位是否违反承诺，也有权通过对贵单位相关人员的调查来认定我单位是否违反承诺。如违反以上承诺，我单位自愿接受贵单位对我单位进行严肃处理（包括但不限于实施市场禁入、取消投、中标资格以及终止合同等），给贵单位造成损失的，予以赔偿。承诺单位（盖章）：</w:t>
      </w:r>
    </w:p>
    <w:p>
      <w:pPr>
        <w:pStyle w:val="style0"/>
        <w:snapToGrid w:val="false"/>
        <w:spacing w:before="50" w:afterLines="50" w:lineRule="exact" w:line="360"/>
        <w:ind w:firstLine="5040" w:firstLineChars="2400"/>
        <w:jc w:val="left"/>
        <w:rPr>
          <w:rFonts w:ascii="宋体" w:cs="宋体" w:hAnsi="宋体"/>
          <w:bCs/>
          <w:szCs w:val="21"/>
        </w:rPr>
      </w:pPr>
      <w:r>
        <w:rPr>
          <w:rFonts w:ascii="宋体" w:cs="宋体" w:hAnsi="宋体" w:hint="eastAsia"/>
          <w:bCs/>
          <w:szCs w:val="21"/>
        </w:rPr>
        <w:t>承诺单位法定代表人（负责人）：</w:t>
      </w:r>
    </w:p>
    <w:p>
      <w:pPr>
        <w:pStyle w:val="style0"/>
        <w:snapToGrid w:val="false"/>
        <w:spacing w:before="50" w:afterLines="50" w:lineRule="exact" w:line="360"/>
        <w:ind w:firstLine="5040" w:firstLineChars="2400"/>
        <w:jc w:val="left"/>
        <w:rPr>
          <w:rFonts w:ascii="宋体" w:cs="宋体" w:hAnsi="宋体"/>
          <w:bCs/>
          <w:szCs w:val="21"/>
        </w:rPr>
      </w:pPr>
      <w:r>
        <w:rPr>
          <w:rFonts w:ascii="宋体" w:cs="宋体" w:hAnsi="宋体" w:hint="eastAsia"/>
          <w:bCs/>
          <w:szCs w:val="21"/>
        </w:rPr>
        <w:t>（签字或盖章）</w:t>
      </w:r>
    </w:p>
    <w:p>
      <w:pPr>
        <w:pStyle w:val="style0"/>
        <w:snapToGrid w:val="false"/>
        <w:spacing w:before="50" w:afterLines="50" w:lineRule="exact" w:line="360"/>
        <w:jc w:val="center"/>
        <w:rPr>
          <w:rFonts w:ascii="宋体" w:cs="宋体" w:hAnsi="宋体"/>
          <w:bCs/>
          <w:szCs w:val="21"/>
        </w:rPr>
      </w:pPr>
      <w:r>
        <w:rPr>
          <w:rFonts w:ascii="宋体" w:cs="宋体" w:hAnsi="宋体" w:hint="eastAsia"/>
          <w:bCs/>
          <w:szCs w:val="21"/>
        </w:rPr>
        <w:t>年  月  日</w:t>
      </w:r>
    </w:p>
    <w:p>
      <w:pPr>
        <w:pStyle w:val="style0"/>
        <w:rPr/>
      </w:pPr>
    </w:p>
    <w:p>
      <w:pPr>
        <w:pStyle w:val="style32"/>
        <w:rPr/>
      </w:pPr>
    </w:p>
    <w:p>
      <w:pPr>
        <w:pStyle w:val="style90"/>
        <w:outlineLvl w:val="0"/>
        <w:rPr>
          <w:rFonts w:hAnsi="宋体"/>
          <w:b/>
          <w:bCs/>
        </w:rPr>
        <w:sectPr>
          <w:footerReference w:type="default" r:id="rId3"/>
          <w:footerReference w:type="first" r:id="rId4"/>
          <w:pgSz w:w="11906" w:h="16838" w:orient="portrait"/>
          <w:pgMar w:top="1134" w:right="1134" w:bottom="1134" w:left="1134" w:header="720" w:footer="720" w:gutter="0"/>
          <w:cols w:space="720"/>
          <w:docGrid w:type="lines" w:linePitch="331"/>
        </w:sectPr>
      </w:pPr>
    </w:p>
    <w:bookmarkStart w:id="61" w:name="_Toc532545044"/>
    <w:bookmarkStart w:id="62" w:name="_Toc119359482"/>
    <w:bookmarkStart w:id="63" w:name="_Toc22110"/>
    <w:p>
      <w:pPr>
        <w:pStyle w:val="style90"/>
        <w:jc w:val="center"/>
        <w:outlineLvl w:val="0"/>
        <w:rPr>
          <w:rFonts w:hAnsi="宋体"/>
          <w:b/>
          <w:sz w:val="36"/>
          <w:szCs w:val="36"/>
        </w:rPr>
      </w:pPr>
      <w:r>
        <w:rPr>
          <w:rFonts w:hAnsi="宋体" w:hint="eastAsia"/>
          <w:b/>
          <w:sz w:val="36"/>
        </w:rPr>
        <w:t>第三章投标人须知</w:t>
      </w:r>
      <w:bookmarkEnd w:id="61"/>
      <w:bookmarkEnd w:id="62"/>
      <w:bookmarkEnd w:id="63"/>
    </w:p>
    <w:bookmarkStart w:id="64" w:name="_Toc5767"/>
    <w:bookmarkStart w:id="65" w:name="_Toc119359483"/>
    <w:p>
      <w:pPr>
        <w:pStyle w:val="style90"/>
        <w:spacing w:lineRule="auto" w:line="720"/>
        <w:jc w:val="center"/>
        <w:outlineLvl w:val="1"/>
        <w:rPr>
          <w:rFonts w:hAnsi="宋体"/>
          <w:b/>
          <w:sz w:val="30"/>
          <w:szCs w:val="30"/>
        </w:rPr>
      </w:pPr>
      <w:r>
        <w:rPr>
          <w:rFonts w:hAnsi="宋体" w:hint="eastAsia"/>
          <w:b/>
          <w:sz w:val="30"/>
          <w:szCs w:val="30"/>
        </w:rPr>
        <w:t>第一节投标人须知前附表</w:t>
      </w:r>
      <w:bookmarkEnd w:id="64"/>
      <w:bookmarkEnd w:id="65"/>
    </w:p>
    <w:tbl>
      <w:tblPr>
        <w:tblW w:w="990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0"/>
        <w:gridCol w:w="2053"/>
        <w:gridCol w:w="6966"/>
      </w:tblGrid>
      <w:tr>
        <w:trPr/>
        <w:tc>
          <w:tcPr>
            <w:tcW w:w="890"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ascii="宋体" w:hAnsi="宋体"/>
                <w:szCs w:val="21"/>
              </w:rPr>
            </w:pPr>
            <w:r>
              <w:rPr>
                <w:rFonts w:ascii="宋体" w:hAnsi="宋体" w:hint="eastAsia"/>
                <w:szCs w:val="21"/>
              </w:rPr>
              <w:t>条款号</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ascii="宋体" w:hAnsi="宋体"/>
                <w:szCs w:val="21"/>
              </w:rPr>
            </w:pPr>
            <w:r>
              <w:rPr>
                <w:rFonts w:ascii="宋体" w:hAnsi="宋体" w:hint="eastAsia"/>
                <w:szCs w:val="21"/>
              </w:rPr>
              <w:t>项目内容</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hAnsi="宋体"/>
                <w:szCs w:val="21"/>
              </w:rPr>
            </w:pPr>
            <w:r>
              <w:rPr>
                <w:rFonts w:ascii="宋体" w:hAnsi="宋体" w:hint="eastAsia"/>
                <w:szCs w:val="21"/>
              </w:rPr>
              <w:t>编列内容</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6.1</w:t>
            </w:r>
          </w:p>
          <w:bookmarkStart w:id="66" w:name="_8.1"/>
          <w:bookmarkStart w:id="67" w:name="_5"/>
          <w:bookmarkStart w:id="68" w:name="_9.2"/>
          <w:bookmarkEnd w:id="66"/>
          <w:bookmarkEnd w:id="67"/>
          <w:bookmarkEnd w:id="68"/>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是否接受联合体投标</w:t>
            </w:r>
          </w:p>
          <w:bookmarkStart w:id="69" w:name="PO_3000001867_PM007_1"/>
        </w:tc>
        <w:tc>
          <w:tcPr>
            <w:tcW w:w="6966" w:type="dxa"/>
            <w:tcBorders>
              <w:top w:val="single" w:sz="4" w:space="0" w:color="auto"/>
              <w:left w:val="single" w:sz="4" w:space="0" w:color="auto"/>
              <w:bottom w:val="single" w:sz="4" w:space="0" w:color="auto"/>
              <w:right w:val="single" w:sz="4" w:space="0" w:color="auto"/>
            </w:tcBorders>
            <w:vAlign w:val="center"/>
          </w:tcPr>
          <w:p>
            <w:pPr>
              <w:pStyle w:val="style30"/>
              <w:spacing w:lineRule="exact" w:line="380"/>
              <w:rPr>
                <w:rFonts w:ascii="宋体" w:hAnsi="宋体"/>
                <w:szCs w:val="21"/>
              </w:rPr>
            </w:pPr>
            <w:r>
              <w:rPr>
                <w:rFonts w:ascii="宋体" w:hAnsi="宋体" w:hint="eastAsia"/>
                <w:szCs w:val="21"/>
              </w:rPr>
              <w:t>不允许联合体投标</w:t>
            </w:r>
            <w:bookmarkEnd w:id="69"/>
            <w:r>
              <w:rPr>
                <w:rFonts w:ascii="宋体" w:hAnsi="宋体" w:hint="eastAsia"/>
                <w:szCs w:val="21"/>
              </w:rPr>
              <w:t>。</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6.2</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联合体投标要求</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30"/>
              <w:spacing w:lineRule="exact" w:line="380"/>
              <w:rPr>
                <w:rFonts w:ascii="宋体" w:hAnsi="宋体"/>
                <w:szCs w:val="21"/>
              </w:rPr>
            </w:pPr>
            <w:r>
              <w:rPr>
                <w:rFonts w:ascii="宋体" w:hAnsi="宋体" w:hint="eastAsia"/>
                <w:szCs w:val="21"/>
              </w:rPr>
              <w:t>无</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7.2</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是否允许转包</w:t>
            </w:r>
            <w:r>
              <w:rPr>
                <w:rFonts w:ascii="宋体" w:hAnsi="宋体"/>
                <w:szCs w:val="21"/>
              </w:rPr>
              <w:t>/分包</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30"/>
              <w:spacing w:lineRule="exact" w:line="380"/>
              <w:rPr>
                <w:rFonts w:ascii="宋体" w:hAnsi="宋体"/>
                <w:szCs w:val="21"/>
              </w:rPr>
            </w:pPr>
            <w:r>
              <w:rPr>
                <w:rFonts w:ascii="宋体" w:hAnsi="宋体"/>
                <w:szCs w:val="21"/>
              </w:rPr>
              <w:t>☑不允许转包/分包</w:t>
            </w:r>
          </w:p>
          <w:p>
            <w:pPr>
              <w:pStyle w:val="style30"/>
              <w:spacing w:lineRule="exact" w:line="380"/>
              <w:rPr>
                <w:rFonts w:ascii="宋体" w:hAnsi="宋体"/>
                <w:szCs w:val="21"/>
              </w:rPr>
            </w:pPr>
            <w:r>
              <w:rPr>
                <w:rFonts w:ascii="宋体" w:hAnsi="宋体" w:hint="eastAsia"/>
                <w:szCs w:val="21"/>
              </w:rPr>
              <w:t>□允许转包</w:t>
            </w:r>
            <w:r>
              <w:rPr>
                <w:rFonts w:ascii="宋体" w:hAnsi="宋体"/>
                <w:szCs w:val="21"/>
              </w:rPr>
              <w:t>/分包</w:t>
            </w:r>
          </w:p>
          <w:p>
            <w:pPr>
              <w:pStyle w:val="style30"/>
              <w:spacing w:lineRule="exact" w:line="380"/>
              <w:rPr>
                <w:rFonts w:ascii="宋体" w:hAnsi="宋体"/>
                <w:szCs w:val="21"/>
              </w:rPr>
            </w:pPr>
            <w:r>
              <w:rPr>
                <w:rFonts w:ascii="宋体" w:hAnsi="宋体" w:hint="eastAsia"/>
                <w:szCs w:val="21"/>
              </w:rPr>
              <w:t>转包</w:t>
            </w:r>
            <w:r>
              <w:rPr>
                <w:rFonts w:ascii="宋体" w:hAnsi="宋体"/>
                <w:szCs w:val="21"/>
              </w:rPr>
              <w:t>/分包内容：</w:t>
            </w:r>
            <w:r>
              <w:rPr>
                <w:rFonts w:ascii="宋体" w:hAnsi="宋体"/>
                <w:szCs w:val="21"/>
                <w:u w:val="single"/>
              </w:rPr>
              <w:t xml:space="preserve">      /       。</w:t>
            </w:r>
          </w:p>
          <w:p>
            <w:pPr>
              <w:pStyle w:val="style30"/>
              <w:spacing w:lineRule="exact" w:line="380"/>
              <w:rPr>
                <w:rFonts w:ascii="宋体" w:hAnsi="宋体"/>
                <w:szCs w:val="21"/>
              </w:rPr>
            </w:pPr>
            <w:r>
              <w:rPr>
                <w:rFonts w:ascii="宋体" w:hAnsi="宋体" w:hint="eastAsia"/>
                <w:szCs w:val="21"/>
              </w:rPr>
              <w:t>转包</w:t>
            </w:r>
            <w:r>
              <w:rPr>
                <w:rFonts w:ascii="宋体" w:hAnsi="宋体"/>
                <w:szCs w:val="21"/>
              </w:rPr>
              <w:t>/分包金额或者比例：</w:t>
            </w:r>
            <w:r>
              <w:rPr>
                <w:rFonts w:ascii="宋体" w:hAnsi="宋体"/>
                <w:szCs w:val="21"/>
                <w:u w:val="single"/>
              </w:rPr>
              <w:t xml:space="preserve">      /       。</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11.4</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媒体发布渠道</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8"/>
                <w:szCs w:val="18"/>
              </w:rPr>
            </w:pPr>
            <w:r>
              <w:rPr>
                <w:rFonts w:ascii="宋体" w:cs="宋体" w:hAnsi="宋体" w:hint="eastAsia"/>
                <w:szCs w:val="21"/>
              </w:rPr>
              <w:t>与本项目相关的政府采购业务澄清、更正及与之相关的事项将在采购公告中“</w:t>
            </w:r>
            <w:r>
              <w:rPr>
                <w:rFonts w:ascii="宋体" w:hAnsi="宋体" w:hint="eastAsia"/>
                <w:szCs w:val="21"/>
              </w:rPr>
              <w:t>六、其他补充事宜”中网上查询地址</w:t>
            </w:r>
            <w:r>
              <w:rPr>
                <w:rFonts w:ascii="宋体" w:cs="宋体" w:hAnsi="宋体" w:hint="eastAsia"/>
                <w:szCs w:val="21"/>
              </w:rPr>
              <w:t>上发布</w:t>
            </w:r>
            <w:r>
              <w:rPr>
                <w:rFonts w:ascii="宋体" w:cs="宋体" w:hAnsi="宋体" w:hint="eastAsia"/>
                <w:kern w:val="0"/>
                <w:szCs w:val="21"/>
              </w:rPr>
              <w:t>。</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11.5</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是否组织标前答疑会</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□不组织召开开标前答疑会</w:t>
            </w:r>
          </w:p>
          <w:p>
            <w:pPr>
              <w:pStyle w:val="style0"/>
              <w:snapToGrid w:val="false"/>
              <w:spacing w:lineRule="exact" w:line="380"/>
              <w:rPr>
                <w:rFonts w:ascii="宋体" w:hAnsi="宋体"/>
                <w:szCs w:val="21"/>
              </w:rPr>
            </w:pPr>
            <w:r>
              <w:rPr>
                <w:rFonts w:ascii="宋体" w:cs="MS Mincho" w:eastAsia="MS Mincho" w:hAnsi="MS Mincho"/>
                <w:szCs w:val="21"/>
              </w:rPr>
              <w:t>☑</w:t>
            </w:r>
            <w:r>
              <w:rPr>
                <w:rFonts w:ascii="宋体" w:hAnsi="宋体" w:hint="eastAsia"/>
                <w:szCs w:val="21"/>
              </w:rPr>
              <w:t>组织召开开标前答疑会：</w:t>
            </w:r>
          </w:p>
          <w:p>
            <w:pPr>
              <w:pStyle w:val="style0"/>
              <w:snapToGrid w:val="false"/>
              <w:spacing w:lineRule="exact" w:line="380"/>
              <w:jc w:val="left"/>
              <w:rPr/>
            </w:pPr>
            <w:r>
              <w:rPr>
                <w:rFonts w:ascii="宋体" w:hAnsi="宋体" w:hint="eastAsia"/>
                <w:szCs w:val="21"/>
              </w:rPr>
              <w:t>由于本项目标准及内容涉及公安系统内部信息，详细信息不宜对外公开，因此投标人应到采购人现场查阅相关资料及考察，以充分了解项目情况，否则导致投标失误由投标人自行承担。踏勘集合时间：</w:t>
            </w:r>
            <w:r>
              <w:rPr>
                <w:rFonts w:ascii="宋体" w:hAnsi="宋体"/>
                <w:szCs w:val="21"/>
              </w:rPr>
              <w:t>2024年</w:t>
            </w:r>
            <w:r>
              <w:rPr>
                <w:rFonts w:ascii="宋体" w:hAnsi="宋体" w:hint="eastAsia"/>
                <w:szCs w:val="21"/>
              </w:rPr>
              <w:t>10</w:t>
            </w:r>
            <w:r>
              <w:rPr>
                <w:rFonts w:ascii="宋体" w:hAnsi="宋体" w:hint="eastAsia"/>
                <w:szCs w:val="21"/>
              </w:rPr>
              <w:t>月</w:t>
            </w:r>
            <w:r>
              <w:rPr>
                <w:rFonts w:ascii="宋体" w:hAnsi="宋体" w:hint="eastAsia"/>
                <w:szCs w:val="21"/>
              </w:rPr>
              <w:t>29</w:t>
            </w:r>
            <w:r>
              <w:rPr>
                <w:rFonts w:ascii="宋体" w:hAnsi="宋体" w:hint="eastAsia"/>
                <w:szCs w:val="21"/>
              </w:rPr>
              <w:t>日上午9</w:t>
            </w:r>
            <w:r>
              <w:rPr>
                <w:rFonts w:ascii="宋体" w:hAnsi="宋体"/>
                <w:szCs w:val="21"/>
              </w:rPr>
              <w:t>时</w:t>
            </w:r>
            <w:r>
              <w:rPr>
                <w:rFonts w:ascii="宋体" w:hAnsi="宋体" w:hint="eastAsia"/>
                <w:szCs w:val="21"/>
              </w:rPr>
              <w:t>3</w:t>
            </w:r>
            <w:r>
              <w:rPr>
                <w:rFonts w:ascii="宋体" w:hAnsi="宋体"/>
                <w:szCs w:val="21"/>
              </w:rPr>
              <w:t>0分集合（北京时间），逾期不候。踏勘集合地点：</w:t>
            </w:r>
            <w:r>
              <w:rPr>
                <w:rFonts w:ascii="宋体" w:cs="宋体" w:hAnsi="宋体"/>
                <w:szCs w:val="21"/>
              </w:rPr>
              <w:t>南宁市</w:t>
            </w:r>
            <w:r>
              <w:rPr>
                <w:rFonts w:ascii="宋体" w:cs="宋体" w:hAnsi="宋体" w:hint="eastAsia"/>
                <w:szCs w:val="21"/>
              </w:rPr>
              <w:t>青秀区</w:t>
            </w:r>
            <w:r>
              <w:rPr>
                <w:rFonts w:ascii="宋体" w:cs="宋体" w:hAnsi="宋体"/>
                <w:szCs w:val="21"/>
              </w:rPr>
              <w:t>佛子岭路1号</w:t>
            </w:r>
            <w:r>
              <w:rPr>
                <w:rFonts w:ascii="宋体" w:hAnsi="宋体"/>
                <w:szCs w:val="21"/>
              </w:rPr>
              <w:t>，联系人：</w:t>
            </w:r>
            <w:r>
              <w:rPr>
                <w:rFonts w:ascii="宋体" w:cs="宋体" w:hAnsi="宋体"/>
                <w:szCs w:val="21"/>
              </w:rPr>
              <w:t>蓝警官</w:t>
            </w:r>
            <w:r>
              <w:rPr>
                <w:rFonts w:ascii="宋体" w:hAnsi="宋体"/>
                <w:szCs w:val="21"/>
              </w:rPr>
              <w:t>，联系电话：</w:t>
            </w:r>
            <w:r>
              <w:rPr>
                <w:rFonts w:ascii="宋体" w:cs="宋体" w:hAnsi="宋体"/>
                <w:szCs w:val="21"/>
              </w:rPr>
              <w:t>南宁市</w:t>
            </w:r>
            <w:r>
              <w:rPr>
                <w:rFonts w:ascii="宋体" w:cs="宋体" w:hAnsi="宋体" w:hint="eastAsia"/>
                <w:szCs w:val="21"/>
              </w:rPr>
              <w:t>青秀区</w:t>
            </w:r>
            <w:r>
              <w:rPr>
                <w:rFonts w:ascii="宋体" w:cs="宋体" w:hAnsi="宋体"/>
                <w:szCs w:val="21"/>
              </w:rPr>
              <w:t>佛子岭路1号</w:t>
            </w:r>
            <w:r>
              <w:rPr>
                <w:rFonts w:ascii="宋体" w:hAnsi="宋体"/>
                <w:szCs w:val="21"/>
              </w:rPr>
              <w:t>。踏勘准备事项：投标人如参加现场踏勘，指派参与现场踏勘的人员须携带有效的本人身份证、</w:t>
            </w:r>
            <w:bookmarkStart w:id="70" w:name="OLE_LINK10"/>
            <w:bookmarkStart w:id="71" w:name="OLE_LINK9"/>
            <w:r>
              <w:rPr>
                <w:rFonts w:ascii="宋体" w:hAnsi="宋体"/>
                <w:szCs w:val="21"/>
              </w:rPr>
              <w:t>单位授权委托书</w:t>
            </w:r>
            <w:bookmarkEnd w:id="70"/>
            <w:bookmarkEnd w:id="71"/>
            <w:r>
              <w:rPr>
                <w:rFonts w:ascii="宋体" w:hAnsi="宋体"/>
                <w:szCs w:val="21"/>
              </w:rPr>
              <w:t>前往并签到，现场踏勘所发生的一切费用由投标人自行承担。</w:t>
            </w:r>
          </w:p>
        </w:tc>
      </w:tr>
      <w:tr>
        <w:tblPrEx/>
        <w:trPr/>
        <w:tc>
          <w:tcPr>
            <w:tcW w:w="890" w:type="dxa"/>
            <w:tcBorders>
              <w:left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13.1</w:t>
            </w:r>
          </w:p>
          <w:bookmarkStart w:id="72" w:name="_13.2"/>
          <w:bookmarkEnd w:id="72"/>
        </w:tc>
        <w:tc>
          <w:tcPr>
            <w:tcW w:w="205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jc w:val="left"/>
              <w:rPr>
                <w:rFonts w:ascii="宋体" w:cs="Courier New" w:hAnsi="宋体"/>
                <w:szCs w:val="21"/>
              </w:rPr>
            </w:pPr>
            <w:r>
              <w:rPr>
                <w:rFonts w:ascii="宋体" w:cs="Courier New" w:hAnsi="宋体" w:hint="eastAsia"/>
                <w:szCs w:val="21"/>
              </w:rPr>
              <w:t>报价文件</w:t>
            </w:r>
            <w:r>
              <w:rPr>
                <w:rFonts w:ascii="宋体" w:hAnsi="宋体" w:hint="eastAsia"/>
                <w:szCs w:val="21"/>
              </w:rPr>
              <w:t>组成</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459"/>
              </w:tabs>
              <w:snapToGrid w:val="false"/>
              <w:spacing w:lineRule="exact" w:line="380"/>
              <w:jc w:val="left"/>
              <w:rPr>
                <w:rFonts w:ascii="宋体" w:hAnsi="宋体"/>
                <w:szCs w:val="21"/>
              </w:rPr>
            </w:pPr>
            <w:r>
              <w:rPr>
                <w:rFonts w:ascii="宋体" w:hAnsi="宋体"/>
                <w:szCs w:val="21"/>
              </w:rPr>
              <w:t>1、投标函（格式后附）；</w:t>
            </w:r>
            <w:r>
              <w:rPr>
                <w:rFonts w:ascii="宋体" w:hAnsi="宋体" w:hint="eastAsia"/>
                <w:b/>
                <w:szCs w:val="21"/>
              </w:rPr>
              <w:t>（必须提供，否则作无效投标处理）</w:t>
            </w:r>
          </w:p>
          <w:p>
            <w:pPr>
              <w:pStyle w:val="style0"/>
              <w:tabs>
                <w:tab w:val="left" w:leader="none" w:pos="459"/>
              </w:tabs>
              <w:snapToGrid w:val="false"/>
              <w:spacing w:lineRule="exact" w:line="380"/>
              <w:jc w:val="left"/>
              <w:rPr>
                <w:rFonts w:ascii="宋体" w:hAnsi="宋体"/>
                <w:szCs w:val="21"/>
              </w:rPr>
            </w:pPr>
            <w:r>
              <w:rPr>
                <w:rFonts w:ascii="宋体" w:hAnsi="宋体"/>
                <w:szCs w:val="21"/>
              </w:rPr>
              <w:t>2、开标一览表（格式后附）；（</w:t>
            </w:r>
            <w:r>
              <w:rPr>
                <w:rFonts w:ascii="宋体" w:hAnsi="宋体" w:hint="eastAsia"/>
                <w:b/>
                <w:szCs w:val="21"/>
              </w:rPr>
              <w:t>必须提供，否则作无效投标处理</w:t>
            </w:r>
            <w:r>
              <w:rPr>
                <w:rFonts w:ascii="宋体" w:hAnsi="宋体" w:hint="eastAsia"/>
                <w:szCs w:val="21"/>
              </w:rPr>
              <w:t>）</w:t>
            </w:r>
          </w:p>
          <w:p>
            <w:pPr>
              <w:pStyle w:val="style0"/>
              <w:tabs>
                <w:tab w:val="left" w:leader="none" w:pos="459"/>
              </w:tabs>
              <w:snapToGrid w:val="false"/>
              <w:spacing w:lineRule="exact" w:line="380"/>
              <w:jc w:val="left"/>
              <w:rPr>
                <w:rFonts w:ascii="宋体" w:hAnsi="宋体"/>
                <w:szCs w:val="21"/>
              </w:rPr>
            </w:pPr>
            <w:r>
              <w:rPr>
                <w:rFonts w:ascii="宋体" w:hAnsi="宋体"/>
                <w:szCs w:val="21"/>
              </w:rPr>
              <w:t>3、投标人针对报价需要说明的其他文件和说明。</w:t>
            </w:r>
          </w:p>
        </w:tc>
      </w:tr>
      <w:tr>
        <w:tblPrEx/>
        <w:trPr/>
        <w:tc>
          <w:tcPr>
            <w:tcW w:w="890" w:type="dxa"/>
            <w:tcBorders>
              <w:left w:val="single" w:sz="4" w:space="0" w:color="auto"/>
              <w:right w:val="single" w:sz="4" w:space="0" w:color="auto"/>
            </w:tcBorders>
            <w:vAlign w:val="center"/>
          </w:tcPr>
          <w:p>
            <w:pPr>
              <w:pStyle w:val="style0"/>
              <w:spacing w:lineRule="exact" w:line="380"/>
              <w:rPr>
                <w:rFonts w:ascii="宋体" w:hAnsi="宋体"/>
                <w:szCs w:val="21"/>
              </w:rPr>
            </w:pP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jc w:val="left"/>
              <w:rPr>
                <w:rFonts w:ascii="宋体" w:cs="Courier New" w:hAnsi="宋体"/>
                <w:szCs w:val="21"/>
              </w:rPr>
            </w:pPr>
            <w:r>
              <w:rPr>
                <w:rFonts w:ascii="宋体" w:cs="Courier New" w:hAnsi="宋体" w:hint="eastAsia"/>
                <w:szCs w:val="21"/>
              </w:rPr>
              <w:t>资格证明文件组成</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jc w:val="left"/>
              <w:rPr>
                <w:rFonts w:ascii="宋体" w:hAnsi="宋体"/>
                <w:szCs w:val="21"/>
              </w:rPr>
            </w:pPr>
            <w:r>
              <w:rPr>
                <w:rFonts w:ascii="宋体" w:hAnsi="宋体"/>
                <w:szCs w:val="21"/>
              </w:rPr>
              <w:t>1、投标人为法人或者其他组织的，提供营业执照等证明文件</w:t>
            </w:r>
            <w:r>
              <w:rPr>
                <w:rFonts w:ascii="宋体" w:cs="宋体" w:hAnsi="宋体" w:hint="eastAsia"/>
                <w:szCs w:val="21"/>
              </w:rPr>
              <w:t>（如营业执照或者事业单位法人证书或者</w:t>
            </w:r>
            <w:r>
              <w:rPr>
                <w:rStyle w:val="style4161"/>
                <w:color w:val="auto"/>
                <w:szCs w:val="21"/>
              </w:rPr>
              <w:t>执业许可证</w:t>
            </w:r>
            <w:r>
              <w:rPr>
                <w:rFonts w:ascii="宋体" w:cs="宋体" w:hAnsi="宋体" w:hint="eastAsia"/>
                <w:szCs w:val="21"/>
              </w:rPr>
              <w:t>等）</w:t>
            </w:r>
            <w:r>
              <w:rPr>
                <w:rFonts w:ascii="宋体" w:hAnsi="宋体" w:hint="eastAsia"/>
                <w:szCs w:val="21"/>
              </w:rPr>
              <w:t>，投标人为自然人的，提供身份证</w:t>
            </w:r>
            <w:r>
              <w:rPr>
                <w:rFonts w:ascii="宋体" w:cs="宋体" w:hAnsi="宋体" w:hint="eastAsia"/>
                <w:szCs w:val="21"/>
              </w:rPr>
              <w:t>复印件</w:t>
            </w:r>
            <w:r>
              <w:rPr>
                <w:rFonts w:ascii="宋体" w:hAnsi="宋体" w:hint="eastAsia"/>
                <w:szCs w:val="21"/>
              </w:rPr>
              <w:t>；（</w:t>
            </w:r>
            <w:r>
              <w:rPr>
                <w:rFonts w:ascii="宋体" w:hAnsi="宋体" w:hint="eastAsia"/>
                <w:b/>
                <w:szCs w:val="21"/>
              </w:rPr>
              <w:t>必须提供，否则作无效投标处理</w:t>
            </w:r>
            <w:r>
              <w:rPr>
                <w:rFonts w:ascii="宋体" w:hAnsi="宋体" w:hint="eastAsia"/>
                <w:szCs w:val="21"/>
              </w:rPr>
              <w:t>）</w:t>
            </w:r>
          </w:p>
          <w:p>
            <w:pPr>
              <w:pStyle w:val="style0"/>
              <w:snapToGrid w:val="false"/>
              <w:spacing w:lineRule="exact" w:line="400"/>
              <w:jc w:val="left"/>
              <w:rPr>
                <w:rFonts w:ascii="宋体" w:hAnsi="宋体"/>
                <w:szCs w:val="21"/>
              </w:rPr>
            </w:pPr>
            <w:r>
              <w:rPr>
                <w:rFonts w:ascii="宋体" w:cs="宋体" w:hAnsi="宋体"/>
                <w:szCs w:val="21"/>
              </w:rPr>
              <w:t>2、投标人依法缴纳税收的相关材料</w:t>
            </w:r>
            <w:r>
              <w:rPr>
                <w:rFonts w:ascii="宋体" w:hAnsi="宋体"/>
                <w:szCs w:val="21"/>
              </w:rPr>
              <w:t>[</w:t>
            </w:r>
            <w:r>
              <w:rPr>
                <w:rFonts w:ascii="宋体" w:hAnsi="宋体" w:hint="eastAsia"/>
                <w:szCs w:val="21"/>
                <w:u w:val="single"/>
              </w:rPr>
              <w:t>投标截止日期近半年</w:t>
            </w:r>
            <w:r>
              <w:rPr>
                <w:rFonts w:ascii="宋体" w:hAnsi="宋体"/>
                <w:szCs w:val="21"/>
                <w:u w:val="single"/>
              </w:rPr>
              <w:t>内</w:t>
            </w:r>
            <w:r>
              <w:rPr>
                <w:rFonts w:ascii="宋体" w:hAnsi="宋体"/>
                <w:szCs w:val="21"/>
              </w:rPr>
              <w:t>任意</w:t>
            </w:r>
            <w:r>
              <w:rPr>
                <w:rFonts w:ascii="宋体" w:hAnsi="宋体" w:hint="eastAsia"/>
                <w:szCs w:val="21"/>
                <w:u w:val="single"/>
              </w:rPr>
              <w:t>1</w:t>
            </w:r>
            <w:r>
              <w:rPr>
                <w:rFonts w:ascii="宋体" w:hAnsi="宋体"/>
                <w:szCs w:val="21"/>
              </w:rPr>
              <w:t>个月的依法缴纳税收的凭据复印件；依法免税的供应商，必须提供相应文件证明其依法免税</w:t>
            </w:r>
            <w:r>
              <w:rPr>
                <w:rFonts w:ascii="宋体" w:hAnsi="宋体" w:hint="eastAsia"/>
                <w:szCs w:val="21"/>
              </w:rPr>
              <w:t>]</w:t>
            </w:r>
            <w:r>
              <w:rPr>
                <w:rFonts w:ascii="宋体" w:hAnsi="宋体"/>
                <w:szCs w:val="21"/>
              </w:rPr>
              <w:t>；（</w:t>
            </w:r>
            <w:r>
              <w:rPr>
                <w:rFonts w:ascii="宋体" w:hAnsi="宋体"/>
                <w:b/>
                <w:szCs w:val="21"/>
              </w:rPr>
              <w:t>必须提供，否则作无效投标处理</w:t>
            </w:r>
            <w:r>
              <w:rPr>
                <w:rFonts w:ascii="宋体" w:hAnsi="宋体"/>
                <w:szCs w:val="21"/>
              </w:rPr>
              <w:t>）</w:t>
            </w:r>
          </w:p>
          <w:p>
            <w:pPr>
              <w:pStyle w:val="style0"/>
              <w:snapToGrid w:val="false"/>
              <w:spacing w:lineRule="exact" w:line="400"/>
              <w:jc w:val="left"/>
              <w:rPr>
                <w:rFonts w:ascii="宋体" w:hAnsi="宋体"/>
                <w:szCs w:val="21"/>
              </w:rPr>
            </w:pPr>
            <w:r>
              <w:rPr>
                <w:rFonts w:ascii="宋体" w:cs="宋体" w:hAnsi="宋体"/>
                <w:szCs w:val="21"/>
              </w:rPr>
              <w:t>3、投标人依法缴纳社会保障资金的相关材料[</w:t>
            </w:r>
            <w:r>
              <w:rPr>
                <w:rFonts w:ascii="宋体" w:hAnsi="宋体" w:hint="eastAsia"/>
                <w:szCs w:val="21"/>
                <w:u w:val="single"/>
              </w:rPr>
              <w:t>投标截止日期近半年</w:t>
            </w:r>
            <w:r>
              <w:rPr>
                <w:rFonts w:ascii="宋体" w:cs="宋体" w:hAnsi="宋体" w:hint="eastAsia"/>
                <w:szCs w:val="21"/>
                <w:u w:val="single"/>
              </w:rPr>
              <w:t>内</w:t>
            </w:r>
            <w:r>
              <w:rPr>
                <w:rFonts w:ascii="宋体" w:cs="宋体" w:hAnsi="宋体" w:hint="eastAsia"/>
                <w:szCs w:val="21"/>
              </w:rPr>
              <w:t>任意</w:t>
            </w:r>
            <w:r>
              <w:rPr>
                <w:rFonts w:ascii="宋体" w:cs="宋体" w:hAnsi="宋体" w:hint="eastAsia"/>
                <w:szCs w:val="21"/>
                <w:u w:val="single"/>
              </w:rPr>
              <w:t>1</w:t>
            </w:r>
            <w:r>
              <w:rPr>
                <w:rFonts w:ascii="宋体" w:cs="宋体" w:hAnsi="宋体" w:hint="eastAsia"/>
                <w:szCs w:val="21"/>
              </w:rPr>
              <w:t>个月的依法缴纳社会保障资金的缴费凭证（专用收据或者社会保险缴纳清单）复印件；</w:t>
            </w:r>
            <w:r>
              <w:rPr>
                <w:rFonts w:ascii="宋体" w:hAnsi="宋体" w:hint="eastAsia"/>
                <w:szCs w:val="21"/>
              </w:rPr>
              <w:t>依法不需要缴纳社会保障资金的供应商，必须提供相应文件证明不需要缴纳社会保障资金</w:t>
            </w:r>
            <w:r>
              <w:rPr>
                <w:rFonts w:ascii="宋体" w:hAnsi="宋体" w:hint="eastAsia"/>
                <w:szCs w:val="21"/>
              </w:rPr>
              <w:t>]</w:t>
            </w:r>
            <w:r>
              <w:rPr>
                <w:rFonts w:ascii="宋体" w:hAnsi="宋体" w:hint="eastAsia"/>
                <w:szCs w:val="21"/>
              </w:rPr>
              <w:t>；（</w:t>
            </w:r>
            <w:r>
              <w:rPr>
                <w:rFonts w:ascii="宋体" w:hAnsi="宋体" w:hint="eastAsia"/>
                <w:b/>
                <w:szCs w:val="21"/>
              </w:rPr>
              <w:t>必须提供，否则作无效投标处理</w:t>
            </w:r>
            <w:r>
              <w:rPr>
                <w:rFonts w:ascii="宋体" w:hAnsi="宋体" w:hint="eastAsia"/>
                <w:szCs w:val="21"/>
              </w:rPr>
              <w:t>）</w:t>
            </w:r>
          </w:p>
          <w:p>
            <w:pPr>
              <w:pStyle w:val="style0"/>
              <w:snapToGrid w:val="false"/>
              <w:spacing w:lineRule="exact" w:line="400"/>
              <w:jc w:val="left"/>
              <w:rPr>
                <w:rFonts w:ascii="宋体" w:hAnsi="宋体"/>
                <w:szCs w:val="21"/>
              </w:rPr>
            </w:pPr>
            <w:r>
              <w:rPr>
                <w:rFonts w:ascii="宋体" w:cs="宋体" w:hAnsi="宋体"/>
                <w:szCs w:val="21"/>
              </w:rPr>
              <w:t>4、</w:t>
            </w:r>
            <w:r>
              <w:rPr>
                <w:rFonts w:ascii="宋体" w:hAnsi="宋体"/>
                <w:szCs w:val="21"/>
              </w:rPr>
              <w:t>投标人财务状况报告[</w:t>
            </w:r>
            <w:r>
              <w:rPr>
                <w:rFonts w:ascii="宋体" w:hAnsi="宋体"/>
                <w:szCs w:val="21"/>
                <w:u w:val="single"/>
              </w:rPr>
              <w:t>2023</w:t>
            </w:r>
            <w:r>
              <w:rPr>
                <w:rFonts w:ascii="宋体" w:hAnsi="宋体" w:hint="eastAsia"/>
                <w:szCs w:val="21"/>
              </w:rPr>
              <w:t>年度财务报表复印件，或者银行出具的资信证明，或者中国人民银行征信中心出具的信用报告（企业投标的提供企业信用报告，自然人投标的提供个人信用报告）；投标人属于</w:t>
            </w:r>
            <w:r>
              <w:rPr>
                <w:rFonts w:ascii="宋体" w:hAnsi="宋体" w:hint="eastAsia"/>
              </w:rPr>
              <w:t>成立时间</w:t>
            </w:r>
            <w:r>
              <w:rPr>
                <w:rFonts w:ascii="宋体" w:hAnsi="宋体" w:hint="eastAsia"/>
                <w:kern w:val="0"/>
              </w:rPr>
              <w:t>在规定年度之后</w:t>
            </w:r>
            <w:r>
              <w:rPr>
                <w:rFonts w:ascii="宋体" w:hAnsi="宋体" w:hint="eastAsia"/>
              </w:rPr>
              <w:t>的</w:t>
            </w:r>
            <w:r>
              <w:rPr>
                <w:rFonts w:ascii="宋体" w:hAnsi="宋体" w:hint="eastAsia"/>
                <w:szCs w:val="21"/>
              </w:rPr>
              <w:t>法人或其他组织</w:t>
            </w:r>
            <w:r>
              <w:rPr>
                <w:rFonts w:ascii="宋体" w:hAnsi="宋体" w:hint="eastAsia"/>
              </w:rPr>
              <w:t>，需提供成立之日起至投标文件提交截止时间前的月报表</w:t>
            </w:r>
            <w:r>
              <w:rPr>
                <w:rFonts w:ascii="宋体" w:hAnsi="宋体" w:hint="eastAsia"/>
                <w:szCs w:val="21"/>
              </w:rPr>
              <w:t>或银行出具的资信证明或者中国人民银行征信中心出具的企业信用报告；资信证明应在有效期内，未注明有效期的，银行出具时间至投标文件提交截止时间不超过一年</w:t>
            </w:r>
            <w:r>
              <w:rPr>
                <w:rFonts w:ascii="宋体" w:hAnsi="宋体"/>
                <w:szCs w:val="21"/>
              </w:rPr>
              <w:t>]（</w:t>
            </w:r>
            <w:r>
              <w:rPr>
                <w:rFonts w:ascii="宋体" w:hAnsi="宋体"/>
                <w:b/>
                <w:szCs w:val="21"/>
              </w:rPr>
              <w:t>必须提供，否则作无效投标处理</w:t>
            </w:r>
            <w:r>
              <w:rPr>
                <w:rFonts w:ascii="宋体" w:hAnsi="宋体"/>
                <w:szCs w:val="21"/>
              </w:rPr>
              <w:t>）</w:t>
            </w:r>
          </w:p>
          <w:p>
            <w:pPr>
              <w:pStyle w:val="style0"/>
              <w:snapToGrid w:val="false"/>
              <w:spacing w:lineRule="exact" w:line="380"/>
              <w:jc w:val="left"/>
              <w:rPr>
                <w:rFonts w:ascii="宋体" w:hAnsi="宋体"/>
                <w:szCs w:val="21"/>
              </w:rPr>
            </w:pPr>
            <w:r>
              <w:rPr>
                <w:rFonts w:ascii="宋体" w:hAnsi="宋体"/>
                <w:szCs w:val="21"/>
              </w:rPr>
              <w:t>5、投标人直接控股、管理关系信息表（格式后附）；（</w:t>
            </w:r>
            <w:r>
              <w:rPr>
                <w:rFonts w:ascii="宋体" w:hAnsi="宋体" w:hint="eastAsia"/>
                <w:b/>
                <w:szCs w:val="21"/>
              </w:rPr>
              <w:t>必须提供，否则作无效投标处理</w:t>
            </w:r>
            <w:r>
              <w:rPr>
                <w:rFonts w:ascii="宋体" w:hAnsi="宋体" w:hint="eastAsia"/>
                <w:szCs w:val="21"/>
              </w:rPr>
              <w:t>）</w:t>
            </w:r>
          </w:p>
          <w:p>
            <w:pPr>
              <w:pStyle w:val="style0"/>
              <w:snapToGrid w:val="false"/>
              <w:spacing w:lineRule="exact" w:line="380"/>
              <w:jc w:val="left"/>
              <w:rPr>
                <w:rFonts w:ascii="宋体" w:hAnsi="宋体"/>
                <w:szCs w:val="21"/>
              </w:rPr>
            </w:pPr>
            <w:r>
              <w:rPr>
                <w:rFonts w:ascii="宋体" w:hAnsi="宋体"/>
                <w:szCs w:val="21"/>
              </w:rPr>
              <w:t>6、投标声明（格式后附）；（</w:t>
            </w:r>
            <w:r>
              <w:rPr>
                <w:rFonts w:ascii="宋体" w:hAnsi="宋体" w:hint="eastAsia"/>
                <w:b/>
                <w:szCs w:val="21"/>
              </w:rPr>
              <w:t>必须提供，否则作无效投标处理</w:t>
            </w:r>
            <w:r>
              <w:rPr>
                <w:rFonts w:ascii="宋体" w:hAnsi="宋体" w:hint="eastAsia"/>
                <w:szCs w:val="21"/>
              </w:rPr>
              <w:t>）</w:t>
            </w:r>
          </w:p>
          <w:p>
            <w:pPr>
              <w:pStyle w:val="style0"/>
              <w:snapToGrid w:val="false"/>
              <w:spacing w:lineRule="exact" w:line="380"/>
              <w:jc w:val="left"/>
              <w:rPr>
                <w:rFonts w:ascii="宋体" w:hAnsi="宋体"/>
                <w:szCs w:val="21"/>
              </w:rPr>
            </w:pPr>
            <w:r>
              <w:rPr>
                <w:rFonts w:ascii="宋体" w:hAnsi="宋体"/>
                <w:szCs w:val="21"/>
              </w:rPr>
              <w:t>7、联合体协议书（格式后附）；（</w:t>
            </w:r>
            <w:r>
              <w:rPr>
                <w:rFonts w:ascii="宋体" w:hAnsi="宋体" w:hint="eastAsia"/>
                <w:b/>
                <w:szCs w:val="21"/>
              </w:rPr>
              <w:t>联合体投标时必须提供，否则作无效投标处理</w:t>
            </w:r>
            <w:r>
              <w:rPr>
                <w:rFonts w:ascii="宋体" w:hAnsi="宋体" w:hint="eastAsia"/>
                <w:szCs w:val="21"/>
              </w:rPr>
              <w:t>）</w:t>
            </w:r>
          </w:p>
          <w:p>
            <w:pPr>
              <w:pStyle w:val="style0"/>
              <w:snapToGrid w:val="false"/>
              <w:spacing w:lineRule="exact" w:line="380"/>
              <w:jc w:val="left"/>
              <w:rPr>
                <w:rFonts w:ascii="宋体" w:hAnsi="宋体"/>
                <w:szCs w:val="21"/>
              </w:rPr>
            </w:pPr>
            <w:r>
              <w:rPr>
                <w:rFonts w:ascii="宋体" w:hAnsi="宋体"/>
                <w:szCs w:val="21"/>
              </w:rPr>
              <w:t>8、根据招标公告对应的特定资格要求及特定条件设置投标人提供的资格证明材料；</w:t>
            </w:r>
            <w:r>
              <w:rPr>
                <w:rFonts w:ascii="宋体" w:hAnsi="宋体" w:hint="eastAsia"/>
                <w:b/>
                <w:szCs w:val="21"/>
              </w:rPr>
              <w:t>（如有要求则必须提供，否则作无效投标处理）</w:t>
            </w:r>
          </w:p>
          <w:p>
            <w:pPr>
              <w:pStyle w:val="style0"/>
              <w:snapToGrid w:val="false"/>
              <w:spacing w:lineRule="exact" w:line="380"/>
              <w:jc w:val="left"/>
              <w:rPr>
                <w:rFonts w:ascii="宋体" w:hAnsi="宋体"/>
                <w:szCs w:val="21"/>
              </w:rPr>
            </w:pPr>
            <w:r>
              <w:rPr>
                <w:rFonts w:ascii="宋体" w:hAnsi="宋体"/>
                <w:szCs w:val="21"/>
              </w:rPr>
              <w:t>9、除</w:t>
            </w:r>
            <w:r>
              <w:rPr>
                <w:rFonts w:ascii="宋体" w:hAnsi="宋体"/>
              </w:rPr>
              <w:t>招标文件</w:t>
            </w:r>
            <w:r>
              <w:rPr>
                <w:rFonts w:ascii="宋体" w:hAnsi="宋体"/>
                <w:szCs w:val="21"/>
              </w:rPr>
              <w:t>规定必须提供以外，投标人认为需要提供的其他证明材料。</w:t>
            </w:r>
          </w:p>
          <w:p>
            <w:pPr>
              <w:pStyle w:val="style0"/>
              <w:snapToGrid w:val="false"/>
              <w:spacing w:lineRule="exact" w:line="380"/>
              <w:jc w:val="left"/>
              <w:rPr>
                <w:rFonts w:ascii="宋体" w:cs="Courier New" w:hAnsi="宋体"/>
                <w:b/>
                <w:szCs w:val="21"/>
              </w:rPr>
            </w:pPr>
            <w:r>
              <w:rPr>
                <w:rFonts w:ascii="宋体" w:hAnsi="宋体" w:hint="eastAsia"/>
                <w:b/>
                <w:bCs/>
                <w:szCs w:val="21"/>
              </w:rPr>
              <w:t>注：</w:t>
            </w:r>
            <w:r>
              <w:rPr>
                <w:rFonts w:ascii="宋体" w:hAnsi="宋体"/>
                <w:b/>
                <w:bCs/>
                <w:szCs w:val="21"/>
              </w:rPr>
              <w:t>1.以上标明“必须提供”的材料</w:t>
            </w:r>
            <w:r>
              <w:rPr>
                <w:rFonts w:ascii="宋体" w:cs="宋体" w:hAnsi="宋体" w:hint="eastAsia"/>
                <w:b/>
                <w:szCs w:val="21"/>
              </w:rPr>
              <w:t>属于复印件的扫描件的</w:t>
            </w:r>
            <w:r>
              <w:rPr>
                <w:rFonts w:ascii="宋体" w:hAnsi="宋体" w:hint="eastAsia"/>
                <w:b/>
                <w:bCs/>
                <w:szCs w:val="21"/>
              </w:rPr>
              <w:t>，必须加盖投标人电子公章，否则</w:t>
            </w:r>
            <w:r>
              <w:rPr>
                <w:rFonts w:ascii="宋体" w:cs="Courier New" w:hAnsi="宋体" w:hint="eastAsia"/>
                <w:b/>
                <w:szCs w:val="21"/>
              </w:rPr>
              <w:t>作无效投标处理。</w:t>
            </w:r>
          </w:p>
          <w:p>
            <w:pPr>
              <w:pStyle w:val="style0"/>
              <w:snapToGrid w:val="false"/>
              <w:spacing w:after="120" w:lineRule="exact" w:line="380"/>
              <w:ind w:firstLine="422" w:firstLineChars="200"/>
              <w:jc w:val="left"/>
              <w:rPr>
                <w:rFonts w:ascii="宋体" w:hAnsi="宋体"/>
                <w:b/>
                <w:bCs/>
                <w:szCs w:val="21"/>
              </w:rPr>
            </w:pPr>
            <w:r>
              <w:rPr>
                <w:rFonts w:ascii="宋体" w:cs="Courier New" w:hAnsi="宋体"/>
                <w:b/>
                <w:szCs w:val="21"/>
              </w:rPr>
              <w:t>2</w:t>
            </w:r>
            <w:r>
              <w:rPr>
                <w:rFonts w:ascii="宋体" w:hAnsi="宋体"/>
                <w:b/>
                <w:bCs/>
                <w:szCs w:val="21"/>
              </w:rPr>
              <w:t>.联合体投标时，第1-5项资格证明文件联合体各方均必须分别提供，联合体各方分别盖章和签字，否则投标文件按无效响应处理。</w:t>
            </w:r>
          </w:p>
        </w:tc>
      </w:tr>
      <w:tr>
        <w:tblPrEx/>
        <w:trPr/>
        <w:tc>
          <w:tcPr>
            <w:tcW w:w="890" w:type="dxa"/>
            <w:tcBorders>
              <w:left w:val="single" w:sz="4" w:space="0" w:color="auto"/>
              <w:right w:val="single" w:sz="4" w:space="0" w:color="auto"/>
            </w:tcBorders>
            <w:vAlign w:val="center"/>
          </w:tcPr>
          <w:p>
            <w:pPr>
              <w:pStyle w:val="style0"/>
              <w:spacing w:lineRule="exact" w:line="380"/>
              <w:rPr>
                <w:rFonts w:ascii="宋体" w:hAnsi="宋体"/>
                <w:szCs w:val="21"/>
              </w:rPr>
            </w:pPr>
          </w:p>
          <w:bookmarkStart w:id="73" w:name="_13.3"/>
          <w:bookmarkEnd w:id="73"/>
        </w:tc>
        <w:tc>
          <w:tcPr>
            <w:tcW w:w="205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jc w:val="left"/>
              <w:rPr>
                <w:rFonts w:ascii="宋体" w:hAnsi="宋体"/>
                <w:szCs w:val="21"/>
              </w:rPr>
            </w:pPr>
            <w:r>
              <w:rPr>
                <w:rFonts w:ascii="宋体" w:cs="Courier New" w:hAnsi="宋体" w:hint="eastAsia"/>
                <w:szCs w:val="21"/>
              </w:rPr>
              <w:t>商务文件组成</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jc w:val="left"/>
              <w:rPr>
                <w:rFonts w:ascii="宋体" w:hAnsi="宋体"/>
                <w:szCs w:val="21"/>
              </w:rPr>
            </w:pPr>
            <w:r>
              <w:rPr>
                <w:rFonts w:ascii="宋体" w:hAnsi="宋体"/>
                <w:szCs w:val="21"/>
              </w:rPr>
              <w:t>1、无串通投标行为的承诺函（格式后附）；（</w:t>
            </w:r>
            <w:r>
              <w:rPr>
                <w:rFonts w:ascii="宋体" w:hAnsi="宋体" w:hint="eastAsia"/>
                <w:b/>
                <w:szCs w:val="21"/>
              </w:rPr>
              <w:t>必须提供，否则作无效投标处理</w:t>
            </w:r>
            <w:r>
              <w:rPr>
                <w:rFonts w:ascii="宋体" w:hAnsi="宋体" w:hint="eastAsia"/>
                <w:szCs w:val="21"/>
              </w:rPr>
              <w:t>）</w:t>
            </w:r>
          </w:p>
          <w:p>
            <w:pPr>
              <w:pStyle w:val="style0"/>
              <w:snapToGrid w:val="false"/>
              <w:spacing w:lineRule="exact" w:line="380"/>
              <w:jc w:val="left"/>
              <w:rPr>
                <w:rFonts w:ascii="宋体" w:hAnsi="宋体"/>
                <w:szCs w:val="21"/>
              </w:rPr>
            </w:pPr>
            <w:r>
              <w:rPr>
                <w:rFonts w:ascii="宋体" w:hAnsi="宋体"/>
                <w:szCs w:val="21"/>
              </w:rPr>
              <w:t>2、法定代表人身份证明及法定代表人有效身份证正反面复印件（格式后附）；（</w:t>
            </w:r>
            <w:r>
              <w:rPr>
                <w:rFonts w:ascii="宋体" w:cs="宋体" w:hAnsi="宋体" w:hint="eastAsia"/>
                <w:b/>
                <w:bCs/>
                <w:szCs w:val="21"/>
              </w:rPr>
              <w:t>除自然人投标外</w:t>
            </w:r>
            <w:r>
              <w:rPr>
                <w:rFonts w:ascii="宋体" w:hAnsi="宋体" w:hint="eastAsia"/>
                <w:b/>
                <w:szCs w:val="21"/>
              </w:rPr>
              <w:t>必须提供，否则作无效投标处理</w:t>
            </w:r>
            <w:r>
              <w:rPr>
                <w:rFonts w:ascii="宋体" w:hAnsi="宋体" w:hint="eastAsia"/>
                <w:szCs w:val="21"/>
              </w:rPr>
              <w:t>）</w:t>
            </w:r>
          </w:p>
          <w:p>
            <w:pPr>
              <w:pStyle w:val="style0"/>
              <w:snapToGrid w:val="false"/>
              <w:spacing w:lineRule="exact" w:line="380"/>
              <w:jc w:val="left"/>
              <w:rPr>
                <w:rFonts w:ascii="宋体" w:hAnsi="宋体"/>
                <w:szCs w:val="21"/>
              </w:rPr>
            </w:pPr>
            <w:r>
              <w:rPr>
                <w:rFonts w:ascii="宋体" w:hAnsi="宋体"/>
                <w:szCs w:val="21"/>
              </w:rPr>
              <w:t>3、法定代表人授权委托书及委托代理人有效身份证正反面复印件（格式后附）；（</w:t>
            </w:r>
            <w:r>
              <w:rPr>
                <w:rFonts w:ascii="宋体" w:hAnsi="宋体" w:hint="eastAsia"/>
                <w:b/>
                <w:szCs w:val="21"/>
              </w:rPr>
              <w:t>委托时必须提供，否则作无效投标处理</w:t>
            </w:r>
            <w:r>
              <w:rPr>
                <w:rFonts w:ascii="宋体" w:hAnsi="宋体" w:hint="eastAsia"/>
                <w:szCs w:val="21"/>
              </w:rPr>
              <w:t>）</w:t>
            </w:r>
          </w:p>
          <w:p>
            <w:pPr>
              <w:pStyle w:val="style0"/>
              <w:snapToGrid w:val="false"/>
              <w:spacing w:lineRule="exact" w:line="380"/>
              <w:jc w:val="left"/>
              <w:rPr>
                <w:rFonts w:ascii="宋体" w:hAnsi="宋体"/>
                <w:szCs w:val="21"/>
              </w:rPr>
            </w:pPr>
            <w:r>
              <w:rPr>
                <w:rFonts w:ascii="宋体" w:hAnsi="宋体"/>
                <w:szCs w:val="21"/>
              </w:rPr>
              <w:t>4、商务</w:t>
            </w:r>
            <w:r>
              <w:rPr>
                <w:rFonts w:ascii="宋体" w:hAnsi="宋体" w:hint="eastAsia"/>
                <w:szCs w:val="21"/>
              </w:rPr>
              <w:t>要求</w:t>
            </w:r>
            <w:r>
              <w:rPr>
                <w:rFonts w:ascii="宋体" w:hAnsi="宋体"/>
                <w:szCs w:val="21"/>
              </w:rPr>
              <w:t>偏离表（格式后附）；（</w:t>
            </w:r>
            <w:r>
              <w:rPr>
                <w:rFonts w:ascii="宋体" w:hAnsi="宋体" w:hint="eastAsia"/>
                <w:b/>
                <w:szCs w:val="21"/>
              </w:rPr>
              <w:t>必须提供，否则作无效投标处理</w:t>
            </w:r>
            <w:r>
              <w:rPr>
                <w:rFonts w:ascii="宋体" w:hAnsi="宋体" w:hint="eastAsia"/>
                <w:szCs w:val="21"/>
              </w:rPr>
              <w:t>）</w:t>
            </w:r>
          </w:p>
          <w:p>
            <w:pPr>
              <w:pStyle w:val="style0"/>
              <w:snapToGrid w:val="false"/>
              <w:spacing w:lineRule="exact" w:line="380"/>
              <w:jc w:val="left"/>
              <w:rPr>
                <w:rFonts w:ascii="宋体" w:hAnsi="宋体"/>
                <w:szCs w:val="21"/>
              </w:rPr>
            </w:pPr>
            <w:r>
              <w:rPr>
                <w:rFonts w:ascii="宋体" w:hAnsi="宋体"/>
                <w:szCs w:val="21"/>
              </w:rPr>
              <w:t>5、廉洁承诺书；（</w:t>
            </w:r>
            <w:r>
              <w:rPr>
                <w:rFonts w:ascii="宋体" w:hAnsi="宋体" w:hint="eastAsia"/>
                <w:b/>
                <w:szCs w:val="21"/>
              </w:rPr>
              <w:t>必须提供，否则作无效投标处理</w:t>
            </w:r>
            <w:r>
              <w:rPr>
                <w:rFonts w:ascii="宋体" w:hAnsi="宋体" w:hint="eastAsia"/>
                <w:szCs w:val="21"/>
              </w:rPr>
              <w:t>）</w:t>
            </w:r>
          </w:p>
          <w:p>
            <w:pPr>
              <w:pStyle w:val="style0"/>
              <w:snapToGrid w:val="false"/>
              <w:spacing w:lineRule="exact" w:line="380"/>
              <w:jc w:val="left"/>
              <w:rPr>
                <w:rFonts w:ascii="宋体" w:hAnsi="宋体"/>
                <w:szCs w:val="21"/>
              </w:rPr>
            </w:pPr>
            <w:r>
              <w:rPr>
                <w:rFonts w:ascii="宋体" w:hAnsi="宋体"/>
                <w:szCs w:val="21"/>
              </w:rPr>
              <w:t>6、投标人情况介绍；</w:t>
            </w:r>
          </w:p>
          <w:p>
            <w:pPr>
              <w:pStyle w:val="style0"/>
              <w:snapToGrid w:val="false"/>
              <w:spacing w:lineRule="exact" w:line="380"/>
              <w:jc w:val="left"/>
              <w:rPr>
                <w:rFonts w:ascii="宋体" w:hAnsi="宋体"/>
                <w:szCs w:val="21"/>
              </w:rPr>
            </w:pPr>
            <w:r>
              <w:rPr>
                <w:rFonts w:ascii="宋体" w:hAnsi="宋体"/>
                <w:szCs w:val="21"/>
              </w:rPr>
              <w:t xml:space="preserve">7、投标人类似业绩的证明文件； </w:t>
            </w:r>
          </w:p>
          <w:p>
            <w:pPr>
              <w:pStyle w:val="style0"/>
              <w:snapToGrid w:val="false"/>
              <w:spacing w:lineRule="exact" w:line="380"/>
              <w:jc w:val="left"/>
              <w:rPr>
                <w:rFonts w:ascii="宋体" w:hAnsi="宋体"/>
                <w:szCs w:val="21"/>
              </w:rPr>
            </w:pPr>
            <w:r>
              <w:rPr>
                <w:rFonts w:ascii="宋体" w:hAnsi="宋体"/>
                <w:szCs w:val="21"/>
              </w:rPr>
              <w:t xml:space="preserve">8、除招标文件规定必须提供以外，投标人认为需要提供的其他证明材料。（投标人根据“第二章 </w:t>
            </w:r>
            <w:r>
              <w:rPr>
                <w:rFonts w:ascii="宋体" w:hAnsi="宋体" w:hint="eastAsia"/>
                <w:szCs w:val="21"/>
              </w:rPr>
              <w:t>采购需求”及“第四章评标方法及评标标准”提供有关证明材料）。</w:t>
            </w:r>
          </w:p>
          <w:p>
            <w:pPr>
              <w:pStyle w:val="style0"/>
              <w:snapToGrid w:val="false"/>
              <w:spacing w:lineRule="exact" w:line="380"/>
              <w:jc w:val="left"/>
              <w:rPr>
                <w:rFonts w:ascii="宋体" w:hAnsi="宋体"/>
                <w:b/>
                <w:bCs/>
                <w:szCs w:val="21"/>
              </w:rPr>
            </w:pPr>
            <w:r>
              <w:rPr>
                <w:rFonts w:ascii="宋体" w:hAnsi="宋体" w:hint="eastAsia"/>
                <w:b/>
                <w:bCs/>
                <w:szCs w:val="21"/>
              </w:rPr>
              <w:t>注：</w:t>
            </w:r>
            <w:r>
              <w:rPr>
                <w:rFonts w:ascii="宋体" w:hAnsi="宋体"/>
                <w:b/>
                <w:bCs/>
                <w:szCs w:val="21"/>
              </w:rPr>
              <w:t xml:space="preserve"> 1.法定代表人授权委托书必须由法定代表人及委托代理人签字，并加盖投标人公章，否则作无效投标处理。</w:t>
            </w:r>
          </w:p>
          <w:p>
            <w:pPr>
              <w:pStyle w:val="style0"/>
              <w:snapToGrid w:val="false"/>
              <w:spacing w:lineRule="exact" w:line="380"/>
              <w:ind w:firstLine="422" w:firstLineChars="200"/>
              <w:jc w:val="left"/>
              <w:rPr>
                <w:rFonts w:ascii="宋体" w:cs="Courier New" w:hAnsi="宋体"/>
                <w:b/>
                <w:szCs w:val="21"/>
              </w:rPr>
            </w:pPr>
            <w:r>
              <w:rPr>
                <w:rFonts w:ascii="宋体" w:hAnsi="宋体"/>
                <w:b/>
                <w:bCs/>
                <w:szCs w:val="21"/>
              </w:rPr>
              <w:t>2.以上标明“必须提供”的材料</w:t>
            </w:r>
            <w:r>
              <w:rPr>
                <w:rFonts w:ascii="宋体" w:cs="宋体" w:hAnsi="宋体" w:hint="eastAsia"/>
                <w:b/>
                <w:szCs w:val="21"/>
              </w:rPr>
              <w:t>属于复印件的扫描件的</w:t>
            </w:r>
            <w:r>
              <w:rPr>
                <w:rFonts w:ascii="宋体" w:hAnsi="宋体" w:hint="eastAsia"/>
                <w:b/>
                <w:bCs/>
                <w:szCs w:val="21"/>
              </w:rPr>
              <w:t>，必须加盖投标人电子公章，否则</w:t>
            </w:r>
            <w:r>
              <w:rPr>
                <w:rFonts w:ascii="宋体" w:cs="Courier New" w:hAnsi="宋体" w:hint="eastAsia"/>
                <w:b/>
                <w:szCs w:val="21"/>
              </w:rPr>
              <w:t>作无效投标处理</w:t>
            </w:r>
            <w:r>
              <w:rPr>
                <w:rFonts w:ascii="宋体" w:hAnsi="宋体" w:hint="eastAsia"/>
                <w:b/>
                <w:bCs/>
                <w:szCs w:val="21"/>
              </w:rPr>
              <w:t>。</w:t>
            </w:r>
          </w:p>
        </w:tc>
      </w:tr>
      <w:tr>
        <w:tblPrEx/>
        <w:trPr>
          <w:trHeight w:val="3830" w:hRule="atLeast"/>
        </w:trPr>
        <w:tc>
          <w:tcPr>
            <w:tcW w:w="890" w:type="dxa"/>
            <w:tcBorders>
              <w:left w:val="single" w:sz="4" w:space="0" w:color="auto"/>
              <w:right w:val="single" w:sz="4" w:space="0" w:color="auto"/>
            </w:tcBorders>
            <w:vAlign w:val="center"/>
          </w:tcPr>
          <w:p>
            <w:pPr>
              <w:pStyle w:val="style0"/>
              <w:spacing w:lineRule="exact" w:line="380"/>
              <w:rPr>
                <w:rFonts w:ascii="宋体" w:hAnsi="宋体"/>
                <w:szCs w:val="21"/>
              </w:rPr>
            </w:pPr>
          </w:p>
          <w:bookmarkStart w:id="74" w:name="_13.4"/>
          <w:bookmarkEnd w:id="74"/>
        </w:tc>
        <w:tc>
          <w:tcPr>
            <w:tcW w:w="2053" w:type="dxa"/>
            <w:tcBorders>
              <w:top w:val="single" w:sz="4" w:space="0" w:color="auto"/>
              <w:left w:val="single" w:sz="4" w:space="0" w:color="auto"/>
              <w:right w:val="single" w:sz="4" w:space="0" w:color="auto"/>
            </w:tcBorders>
            <w:vAlign w:val="center"/>
          </w:tcPr>
          <w:p>
            <w:pPr>
              <w:pStyle w:val="style0"/>
              <w:snapToGrid w:val="false"/>
              <w:spacing w:lineRule="exact" w:line="380"/>
              <w:jc w:val="left"/>
              <w:rPr>
                <w:rFonts w:ascii="宋体" w:hAnsi="宋体"/>
                <w:szCs w:val="21"/>
              </w:rPr>
            </w:pPr>
            <w:r>
              <w:rPr>
                <w:rFonts w:ascii="宋体" w:cs="Courier New" w:hAnsi="宋体" w:hint="eastAsia"/>
                <w:szCs w:val="21"/>
              </w:rPr>
              <w:t>技术文件组成</w:t>
            </w:r>
          </w:p>
        </w:tc>
        <w:tc>
          <w:tcPr>
            <w:tcW w:w="6966" w:type="dxa"/>
            <w:tcBorders>
              <w:top w:val="single" w:sz="4" w:space="0" w:color="auto"/>
              <w:left w:val="single" w:sz="4" w:space="0" w:color="auto"/>
              <w:right w:val="single" w:sz="4" w:space="0" w:color="auto"/>
            </w:tcBorders>
            <w:vAlign w:val="center"/>
          </w:tcPr>
          <w:p>
            <w:pPr>
              <w:pStyle w:val="style0"/>
              <w:snapToGrid w:val="false"/>
              <w:spacing w:lineRule="exact" w:line="400"/>
              <w:jc w:val="left"/>
              <w:rPr>
                <w:rFonts w:ascii="宋体" w:hAnsi="宋体"/>
                <w:szCs w:val="21"/>
              </w:rPr>
            </w:pPr>
            <w:r>
              <w:rPr>
                <w:rFonts w:ascii="宋体" w:hAnsi="宋体"/>
                <w:szCs w:val="21"/>
              </w:rPr>
              <w:t>1.技术要求偏离表</w:t>
            </w:r>
            <w:r>
              <w:rPr>
                <w:rFonts w:ascii="宋体" w:hAnsi="宋体" w:hint="eastAsia"/>
                <w:szCs w:val="21"/>
              </w:rPr>
              <w:t>（格式后附）</w:t>
            </w:r>
            <w:r>
              <w:rPr>
                <w:rFonts w:ascii="宋体" w:hAnsi="宋体"/>
                <w:szCs w:val="21"/>
              </w:rPr>
              <w:t>；（</w:t>
            </w:r>
            <w:r>
              <w:rPr>
                <w:rFonts w:ascii="宋体" w:hAnsi="宋体"/>
                <w:b/>
                <w:szCs w:val="21"/>
              </w:rPr>
              <w:t>必须提供，否则作无效投标处理</w:t>
            </w:r>
            <w:r>
              <w:rPr>
                <w:rFonts w:ascii="宋体" w:hAnsi="宋体"/>
                <w:szCs w:val="21"/>
              </w:rPr>
              <w:t>）</w:t>
            </w:r>
            <w:r>
              <w:rPr>
                <w:rFonts w:ascii="宋体" w:hAnsi="宋体" w:hint="eastAsia"/>
                <w:szCs w:val="21"/>
              </w:rPr>
              <w:t>；</w:t>
            </w:r>
          </w:p>
          <w:p>
            <w:pPr>
              <w:pStyle w:val="style0"/>
              <w:snapToGrid w:val="false"/>
              <w:spacing w:lineRule="exact" w:line="400"/>
              <w:jc w:val="left"/>
              <w:rPr>
                <w:rFonts w:ascii="宋体" w:hAnsi="宋体"/>
                <w:szCs w:val="21"/>
              </w:rPr>
            </w:pPr>
            <w:r>
              <w:rPr>
                <w:rFonts w:ascii="宋体" w:hAnsi="宋体"/>
                <w:szCs w:val="21"/>
              </w:rPr>
              <w:t>2.</w:t>
            </w:r>
            <w:r>
              <w:rPr>
                <w:rFonts w:ascii="宋体" w:hAnsi="宋体" w:hint="eastAsia"/>
                <w:szCs w:val="21"/>
              </w:rPr>
              <w:t>总体建设方案；（根据评标办法的评分项自行编制，格式自拟）</w:t>
            </w:r>
          </w:p>
          <w:p>
            <w:pPr>
              <w:pStyle w:val="style0"/>
              <w:snapToGrid w:val="false"/>
              <w:spacing w:lineRule="exact" w:line="400"/>
              <w:jc w:val="left"/>
              <w:rPr/>
            </w:pPr>
            <w:r>
              <w:rPr>
                <w:rFonts w:ascii="宋体" w:hAnsi="宋体"/>
                <w:szCs w:val="21"/>
              </w:rPr>
              <w:t>3.</w:t>
            </w:r>
            <w:r>
              <w:rPr>
                <w:rFonts w:ascii="宋体" w:hAnsi="宋体" w:hint="eastAsia"/>
                <w:szCs w:val="21"/>
              </w:rPr>
              <w:t>实施方案；（根据评标办法的评分项自行编制，格式自拟）</w:t>
            </w:r>
          </w:p>
          <w:p>
            <w:pPr>
              <w:pStyle w:val="style0"/>
              <w:snapToGrid w:val="false"/>
              <w:spacing w:lineRule="exact" w:line="400"/>
              <w:jc w:val="left"/>
              <w:rPr>
                <w:rFonts w:ascii="宋体" w:hAnsi="宋体"/>
                <w:szCs w:val="21"/>
              </w:rPr>
            </w:pPr>
            <w:r>
              <w:rPr>
                <w:rFonts w:ascii="宋体" w:hAnsi="宋体"/>
                <w:szCs w:val="21"/>
              </w:rPr>
              <w:t>4.项目实施人员一览表</w:t>
            </w:r>
            <w:r>
              <w:rPr>
                <w:rFonts w:ascii="宋体" w:hAnsi="宋体" w:hint="eastAsia"/>
                <w:szCs w:val="21"/>
              </w:rPr>
              <w:t>；</w:t>
            </w:r>
            <w:r>
              <w:rPr>
                <w:rFonts w:ascii="宋体" w:hAnsi="宋体"/>
                <w:szCs w:val="21"/>
              </w:rPr>
              <w:t>（格式后附）</w:t>
            </w:r>
          </w:p>
          <w:p>
            <w:pPr>
              <w:pStyle w:val="style0"/>
              <w:snapToGrid w:val="false"/>
              <w:spacing w:lineRule="exact" w:line="400"/>
              <w:jc w:val="left"/>
              <w:rPr/>
            </w:pPr>
            <w:r>
              <w:rPr>
                <w:rFonts w:ascii="宋体" w:hAnsi="宋体"/>
                <w:szCs w:val="21"/>
              </w:rPr>
              <w:t>5.</w:t>
            </w:r>
            <w:r>
              <w:rPr>
                <w:rFonts w:ascii="宋体" w:hAnsi="宋体" w:hint="eastAsia"/>
                <w:szCs w:val="21"/>
              </w:rPr>
              <w:t>售后服务方案；（根据评标办法的评分项自行编制，格式自拟）</w:t>
            </w:r>
          </w:p>
          <w:p>
            <w:pPr>
              <w:pStyle w:val="style0"/>
              <w:snapToGrid w:val="false"/>
              <w:spacing w:lineRule="exact" w:line="400"/>
              <w:jc w:val="left"/>
              <w:rPr>
                <w:rFonts w:ascii="宋体" w:hAnsi="宋体"/>
                <w:szCs w:val="21"/>
              </w:rPr>
            </w:pPr>
            <w:r>
              <w:rPr>
                <w:rFonts w:ascii="宋体" w:hAnsi="宋体"/>
                <w:szCs w:val="21"/>
              </w:rPr>
              <w:t>6.投标人对本项目的合理化建议和改进措施</w:t>
            </w:r>
            <w:r>
              <w:rPr>
                <w:rFonts w:ascii="宋体" w:hAnsi="宋体" w:hint="eastAsia"/>
                <w:szCs w:val="21"/>
              </w:rPr>
              <w:t>；</w:t>
            </w:r>
            <w:r>
              <w:rPr>
                <w:rFonts w:ascii="宋体" w:hAnsi="宋体"/>
                <w:szCs w:val="21"/>
              </w:rPr>
              <w:t>（格式自拟）</w:t>
            </w:r>
          </w:p>
          <w:p>
            <w:pPr>
              <w:pStyle w:val="style0"/>
              <w:snapToGrid w:val="false"/>
              <w:spacing w:lineRule="exact" w:line="400"/>
              <w:jc w:val="left"/>
              <w:rPr>
                <w:rFonts w:ascii="宋体" w:hAnsi="宋体"/>
                <w:szCs w:val="21"/>
              </w:rPr>
            </w:pPr>
            <w:r>
              <w:rPr>
                <w:rFonts w:ascii="宋体" w:hAnsi="宋体"/>
                <w:szCs w:val="21"/>
              </w:rPr>
              <w:t>7.除招标文件规定必须提供以外，投标人需要说明的其他文件和说明</w:t>
            </w:r>
            <w:r>
              <w:rPr>
                <w:rFonts w:ascii="宋体" w:hAnsi="宋体" w:hint="eastAsia"/>
                <w:szCs w:val="21"/>
              </w:rPr>
              <w:t>。</w:t>
            </w:r>
            <w:r>
              <w:rPr>
                <w:rFonts w:ascii="宋体" w:hAnsi="宋体"/>
                <w:szCs w:val="21"/>
              </w:rPr>
              <w:t>（格式自拟）</w:t>
            </w:r>
          </w:p>
          <w:p>
            <w:pPr>
              <w:pStyle w:val="style0"/>
              <w:snapToGrid w:val="false"/>
              <w:spacing w:lineRule="exact" w:line="380"/>
              <w:jc w:val="left"/>
              <w:rPr>
                <w:rFonts w:ascii="宋体" w:hAnsi="宋体"/>
                <w:b/>
                <w:bCs/>
                <w:szCs w:val="21"/>
              </w:rPr>
            </w:pPr>
            <w:r>
              <w:rPr>
                <w:rFonts w:ascii="宋体" w:hAnsi="宋体"/>
                <w:b/>
                <w:bCs/>
                <w:szCs w:val="21"/>
              </w:rPr>
              <w:t>注：以上标明“必须提供”的材料</w:t>
            </w:r>
            <w:r>
              <w:rPr>
                <w:rFonts w:ascii="宋体" w:hAnsi="宋体"/>
                <w:b/>
                <w:szCs w:val="21"/>
              </w:rPr>
              <w:t>属于复印件或扫描件的</w:t>
            </w:r>
            <w:r>
              <w:rPr>
                <w:rFonts w:ascii="宋体" w:hAnsi="宋体"/>
                <w:b/>
                <w:bCs/>
                <w:szCs w:val="21"/>
              </w:rPr>
              <w:t>，必须加盖投标人</w:t>
            </w:r>
            <w:r>
              <w:rPr>
                <w:rFonts w:ascii="宋体" w:hAnsi="宋体"/>
                <w:b/>
                <w:szCs w:val="21"/>
              </w:rPr>
              <w:t>电子签章，否则作无效投标处理</w:t>
            </w:r>
            <w:r>
              <w:rPr>
                <w:rFonts w:ascii="宋体" w:hAnsi="宋体"/>
                <w:b/>
                <w:bCs/>
                <w:szCs w:val="21"/>
              </w:rPr>
              <w:t>。</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16.2</w:t>
            </w:r>
          </w:p>
          <w:bookmarkStart w:id="75" w:name="_16.2"/>
          <w:bookmarkEnd w:id="75"/>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投标报价要求</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b/>
                <w:szCs w:val="21"/>
              </w:rPr>
            </w:pPr>
            <w:r>
              <w:rPr>
                <w:rFonts w:ascii="宋体" w:hAnsi="宋体" w:hint="eastAsia"/>
                <w:szCs w:val="21"/>
              </w:rPr>
              <w:t>投标报价是履行合同的最终价格，必须</w:t>
            </w:r>
            <w:r>
              <w:rPr>
                <w:rFonts w:ascii="宋体" w:hAnsi="宋体"/>
                <w:kern w:val="0"/>
                <w:szCs w:val="21"/>
              </w:rPr>
              <w:t>包括</w:t>
            </w:r>
            <w:r>
              <w:rPr>
                <w:rFonts w:ascii="宋体" w:hAnsi="宋体" w:hint="eastAsia"/>
                <w:kern w:val="0"/>
                <w:szCs w:val="21"/>
              </w:rPr>
              <w:t>但不限于</w:t>
            </w:r>
            <w:r>
              <w:rPr>
                <w:rFonts w:ascii="宋体" w:hAnsi="宋体"/>
                <w:kern w:val="0"/>
                <w:szCs w:val="21"/>
              </w:rPr>
              <w:t>系统项目的开发、安装调试、运维的技术服务、技术支持、货物采购、标准附件、备品备件、运抵指定交货地点、合理利润、风险、运输、保管、项目实施过程中技术文档论证专家费用、项目验收费用等各种费用和售后服务、税金、招标代理服务费及其它所有成本费用的总和，采购人不再支付任何费用</w:t>
            </w:r>
            <w:r>
              <w:rPr>
                <w:rFonts w:ascii="宋体" w:hAnsi="宋体" w:hint="eastAsia"/>
                <w:szCs w:val="21"/>
              </w:rPr>
              <w:t>。</w:t>
            </w:r>
            <w:r>
              <w:rPr>
                <w:rFonts w:ascii="宋体" w:cs="宋体" w:hAnsi="宋体" w:hint="eastAsia"/>
                <w:szCs w:val="21"/>
              </w:rPr>
              <w:t>（采购需求另有约定的，从其约定）</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17.2</w:t>
            </w:r>
          </w:p>
          <w:bookmarkStart w:id="76" w:name="_17.1"/>
          <w:bookmarkEnd w:id="76"/>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投标有效期</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自投标截止之日起</w:t>
            </w:r>
            <w:r>
              <w:rPr>
                <w:rFonts w:ascii="宋体" w:hAnsi="宋体"/>
                <w:szCs w:val="21"/>
                <w:u w:val="single"/>
              </w:rPr>
              <w:t>90日</w:t>
            </w:r>
            <w:r>
              <w:rPr>
                <w:rFonts w:ascii="宋体" w:hAnsi="宋体" w:hint="eastAsia"/>
                <w:szCs w:val="21"/>
              </w:rPr>
              <w:t>。</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18</w:t>
            </w:r>
          </w:p>
          <w:bookmarkStart w:id="77" w:name="_18"/>
          <w:bookmarkEnd w:id="77"/>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投标保证金</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00"/>
              <w:rPr>
                <w:rFonts w:ascii="宋体" w:hAnsi="宋体"/>
                <w:szCs w:val="21"/>
              </w:rPr>
            </w:pPr>
            <w:r>
              <w:rPr>
                <w:rFonts w:ascii="宋体" w:hAnsi="宋体" w:hint="eastAsia"/>
                <w:szCs w:val="21"/>
              </w:rPr>
              <w:t>投标保证金的交纳方式：详见招标公告</w:t>
            </w:r>
          </w:p>
          <w:p>
            <w:pPr>
              <w:pStyle w:val="style0"/>
              <w:snapToGrid w:val="false"/>
              <w:spacing w:lineRule="exact" w:line="400"/>
              <w:rPr>
                <w:rFonts w:ascii="宋体" w:hAnsi="宋体"/>
                <w:szCs w:val="21"/>
              </w:rPr>
            </w:pPr>
            <w:r>
              <w:rPr>
                <w:rFonts w:ascii="宋体" w:hAnsi="宋体" w:hint="eastAsia"/>
                <w:szCs w:val="21"/>
              </w:rPr>
              <w:t>投标保证金的金额：详见招标公告</w:t>
            </w:r>
          </w:p>
          <w:p>
            <w:pPr>
              <w:pStyle w:val="style0"/>
              <w:snapToGrid w:val="false"/>
              <w:spacing w:lineRule="exact" w:line="400"/>
              <w:rPr>
                <w:rFonts w:ascii="宋体" w:hAnsi="宋体"/>
                <w:szCs w:val="21"/>
              </w:rPr>
            </w:pPr>
            <w:r>
              <w:rPr>
                <w:rFonts w:ascii="宋体" w:hAnsi="宋体" w:hint="eastAsia"/>
                <w:szCs w:val="21"/>
              </w:rPr>
              <w:t>相关要求：</w:t>
            </w:r>
          </w:p>
          <w:p>
            <w:pPr>
              <w:pStyle w:val="style30"/>
              <w:spacing w:lineRule="exact" w:line="400"/>
              <w:rPr>
                <w:rFonts w:ascii="宋体" w:hAnsi="宋体"/>
                <w:szCs w:val="21"/>
              </w:rPr>
            </w:pPr>
            <w:r>
              <w:rPr>
                <w:rFonts w:ascii="宋体" w:hAnsi="宋体" w:hint="eastAsia"/>
                <w:szCs w:val="21"/>
              </w:rPr>
              <w:t>1.投标保证金采用银行转账交纳方式的，在投标截止时间前交至采购代理机构指定账户并且到账，投标人应将银行转账底单的复印件作为投标保证金提交凭证，</w:t>
            </w:r>
            <w:r>
              <w:rPr>
                <w:rFonts w:ascii="宋体" w:hAnsi="宋体"/>
                <w:szCs w:val="21"/>
              </w:rPr>
              <w:t>放置于</w:t>
            </w:r>
            <w:r>
              <w:rPr>
                <w:rFonts w:ascii="宋体" w:hAnsi="宋体" w:hint="eastAsia"/>
                <w:szCs w:val="21"/>
              </w:rPr>
              <w:t>商务文件</w:t>
            </w:r>
            <w:r>
              <w:rPr>
                <w:rFonts w:ascii="宋体" w:hAnsi="宋体"/>
                <w:szCs w:val="21"/>
              </w:rPr>
              <w:t>中</w:t>
            </w:r>
            <w:r>
              <w:rPr>
                <w:rFonts w:ascii="宋体" w:hAnsi="宋体" w:hint="eastAsia"/>
                <w:szCs w:val="21"/>
              </w:rPr>
              <w:t>，</w:t>
            </w:r>
            <w:r>
              <w:rPr>
                <w:rFonts w:ascii="宋体" w:hAnsi="宋体" w:hint="eastAsia"/>
                <w:b/>
                <w:szCs w:val="21"/>
              </w:rPr>
              <w:t>否则投标无效</w:t>
            </w:r>
            <w:r>
              <w:rPr>
                <w:rFonts w:ascii="宋体" w:hAnsi="宋体" w:hint="eastAsia"/>
                <w:szCs w:val="21"/>
              </w:rPr>
              <w:t>。</w:t>
            </w:r>
          </w:p>
          <w:p>
            <w:pPr>
              <w:pStyle w:val="style0"/>
              <w:snapToGrid w:val="false"/>
              <w:spacing w:lineRule="exact" w:line="400"/>
              <w:rPr>
                <w:rFonts w:ascii="宋体" w:hAnsi="宋体"/>
                <w:szCs w:val="21"/>
              </w:rPr>
            </w:pPr>
            <w:r>
              <w:rPr>
                <w:rFonts w:ascii="宋体" w:hAnsi="宋体" w:hint="eastAsia"/>
                <w:szCs w:val="21"/>
              </w:rPr>
              <w:t>2.投标保证金采用支票、汇票、本票或者金融、担保机构出具的保函交纳方式的，投标人应将支票、汇票、本票或者金融、担保机构出具的保函的复印件作为投标保证金提交凭证，放置于商务文件中，</w:t>
            </w:r>
            <w:r>
              <w:rPr>
                <w:rFonts w:ascii="宋体" w:hAnsi="宋体" w:hint="eastAsia"/>
                <w:b/>
                <w:szCs w:val="21"/>
              </w:rPr>
              <w:t>否则投标无效</w:t>
            </w:r>
            <w:r>
              <w:rPr>
                <w:rFonts w:ascii="宋体" w:hAnsi="宋体" w:hint="eastAsia"/>
                <w:szCs w:val="21"/>
              </w:rPr>
              <w:t>。投标人必须于递交投标文件时将支票、汇票、本票或者金融、担保机构出具的保函原件提交给采购人或者采购代理机构，由采购人或者采购代理机构向投标人出具回执，并妥善保管。</w:t>
            </w:r>
          </w:p>
          <w:p>
            <w:pPr>
              <w:pStyle w:val="style0"/>
              <w:snapToGrid w:val="false"/>
              <w:spacing w:lineRule="exact" w:line="400"/>
              <w:rPr>
                <w:rFonts w:ascii="宋体" w:hAnsi="宋体"/>
                <w:szCs w:val="21"/>
              </w:rPr>
            </w:pPr>
            <w:r>
              <w:rPr>
                <w:rFonts w:ascii="宋体" w:hAnsi="宋体" w:hint="eastAsia"/>
                <w:szCs w:val="21"/>
              </w:rPr>
              <w:t>3.投标保证金指定帐户：详见招标公告。</w:t>
            </w:r>
          </w:p>
          <w:p>
            <w:pPr>
              <w:pStyle w:val="style0"/>
              <w:snapToGrid w:val="false"/>
              <w:spacing w:lineRule="exact" w:line="400"/>
              <w:rPr>
                <w:rFonts w:ascii="宋体" w:hAnsi="宋体"/>
                <w:b/>
                <w:szCs w:val="21"/>
              </w:rPr>
            </w:pPr>
            <w:r>
              <w:rPr>
                <w:rFonts w:ascii="宋体" w:hAnsi="宋体" w:hint="eastAsia"/>
                <w:b/>
                <w:szCs w:val="21"/>
              </w:rPr>
              <w:t xml:space="preserve">备注： </w:t>
            </w:r>
          </w:p>
          <w:p>
            <w:pPr>
              <w:pStyle w:val="style0"/>
              <w:snapToGrid w:val="false"/>
              <w:spacing w:lineRule="exact" w:line="400"/>
              <w:rPr>
                <w:rFonts w:ascii="宋体" w:hAnsi="宋体"/>
                <w:b/>
                <w:szCs w:val="21"/>
              </w:rPr>
            </w:pPr>
            <w:r>
              <w:rPr>
                <w:rFonts w:ascii="宋体" w:hAnsi="宋体" w:hint="eastAsia"/>
                <w:b/>
                <w:szCs w:val="21"/>
              </w:rPr>
              <w:t>1. 投标保证金在投标截止时间后提交的，或者不按规定交纳方式交纳的，或者未足额交纳的（包含保函额度不足的），视为无效投标保证金。</w:t>
            </w:r>
          </w:p>
          <w:p>
            <w:pPr>
              <w:pStyle w:val="style0"/>
              <w:snapToGrid w:val="false"/>
              <w:spacing w:lineRule="exact" w:line="400"/>
              <w:rPr>
                <w:rFonts w:ascii="宋体" w:hAnsi="宋体"/>
                <w:b/>
                <w:szCs w:val="21"/>
              </w:rPr>
            </w:pPr>
            <w:r>
              <w:rPr>
                <w:rFonts w:ascii="宋体" w:hAnsi="宋体" w:hint="eastAsia"/>
                <w:b/>
                <w:szCs w:val="21"/>
              </w:rPr>
              <w:t>2.投标人采用现钞方式或者从个人账户（自然人投标除外）转出的投标保证金，视为无效投标保证金。</w:t>
            </w:r>
          </w:p>
          <w:p>
            <w:pPr>
              <w:pStyle w:val="style0"/>
              <w:snapToGrid w:val="false"/>
              <w:spacing w:lineRule="exact" w:line="400"/>
              <w:rPr>
                <w:rFonts w:ascii="宋体" w:hAnsi="宋体"/>
                <w:b/>
                <w:szCs w:val="21"/>
              </w:rPr>
            </w:pPr>
            <w:r>
              <w:rPr>
                <w:rFonts w:ascii="宋体" w:hAnsi="宋体" w:hint="eastAsia"/>
                <w:b/>
                <w:szCs w:val="21"/>
              </w:rPr>
              <w:t>3.支票、汇票或者本票出现无效或者背书情形的，视为无效投标保证金。</w:t>
            </w:r>
          </w:p>
          <w:p>
            <w:pPr>
              <w:pStyle w:val="style0"/>
              <w:snapToGrid w:val="false"/>
              <w:spacing w:lineRule="exact" w:line="400"/>
              <w:rPr>
                <w:rFonts w:ascii="宋体" w:hAnsi="宋体"/>
                <w:b/>
                <w:szCs w:val="21"/>
              </w:rPr>
            </w:pPr>
            <w:r>
              <w:rPr>
                <w:rFonts w:ascii="宋体" w:hAnsi="宋体" w:hint="eastAsia"/>
                <w:b/>
                <w:szCs w:val="21"/>
              </w:rPr>
              <w:t>4.保函有效期低于投标有效期的，视为无效投标保证金。</w:t>
            </w:r>
          </w:p>
          <w:p>
            <w:pPr>
              <w:pStyle w:val="style0"/>
              <w:snapToGrid w:val="false"/>
              <w:spacing w:lineRule="exact" w:line="400"/>
              <w:rPr>
                <w:rFonts w:ascii="宋体" w:hAnsi="宋体"/>
                <w:szCs w:val="21"/>
              </w:rPr>
            </w:pPr>
            <w:r>
              <w:rPr>
                <w:rFonts w:ascii="宋体" w:hAnsi="宋体" w:hint="eastAsia"/>
                <w:b/>
                <w:szCs w:val="21"/>
              </w:rPr>
              <w:t>5.采用金融、担保机构出具保函的，必须为无条件保函，否则视为无效投标保证金。</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19.1</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投标文件编制要求</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rFonts w:ascii="宋体" w:cs="宋体" w:hAnsi="宋体"/>
                <w:b/>
                <w:szCs w:val="21"/>
                <w:u w:val="single"/>
              </w:rPr>
            </w:pPr>
            <w:r>
              <w:rPr>
                <w:rFonts w:ascii="宋体" w:hAnsi="宋体" w:hint="eastAsia"/>
                <w:szCs w:val="21"/>
              </w:rPr>
              <w:t>投标文件应按报价文件、资格证明文件、商务文件、技术文件分别编制，报价文件、资格证明文件分别生成电子文件，商务文件和技术文件按顺序合并生成电子文件。</w:t>
            </w:r>
            <w:r>
              <w:rPr>
                <w:rFonts w:ascii="宋体" w:cs="宋体" w:hAnsi="宋体" w:hint="eastAsia"/>
                <w:b/>
                <w:szCs w:val="21"/>
                <w:u w:val="single"/>
              </w:rPr>
              <w:t>电子版投标文件制作方式见招标公告附件。</w:t>
            </w:r>
          </w:p>
          <w:p>
            <w:pPr>
              <w:pStyle w:val="style0"/>
              <w:spacing w:lineRule="exact" w:line="360"/>
              <w:rPr>
                <w:rFonts w:ascii="宋体" w:cs="宋体" w:hAnsi="宋体"/>
                <w:b/>
                <w:szCs w:val="21"/>
                <w:u w:val="single"/>
              </w:rPr>
            </w:pPr>
            <w:r>
              <w:rPr>
                <w:rFonts w:ascii="宋体" w:cs="宋体" w:hAnsi="宋体" w:hint="eastAsia"/>
                <w:b/>
                <w:szCs w:val="21"/>
                <w:u w:val="single"/>
              </w:rPr>
              <w:t>纸质投标文件：中标人在中标通知书发出后</w:t>
            </w:r>
            <w:r>
              <w:rPr>
                <w:rFonts w:ascii="宋体" w:cs="宋体" w:hAnsi="宋体"/>
                <w:b/>
                <w:szCs w:val="21"/>
                <w:u w:val="single"/>
              </w:rPr>
              <w:t xml:space="preserve">5天内须提交 2套纸质版投标文件（含报价文件、资格证明文件、商务文件、技术文件。按要求加盖公章）给招标代理机构，一正一副。 </w:t>
            </w:r>
          </w:p>
          <w:p>
            <w:pPr>
              <w:pStyle w:val="style0"/>
              <w:spacing w:lineRule="exact" w:line="360"/>
              <w:rPr>
                <w:rFonts w:ascii="宋体" w:hAnsi="宋体"/>
                <w:b/>
                <w:szCs w:val="21"/>
                <w:u w:val="single"/>
              </w:rPr>
            </w:pPr>
            <w:r>
              <w:rPr>
                <w:rFonts w:ascii="宋体" w:cs="宋体" w:hAnsi="宋体" w:hint="eastAsia"/>
                <w:b/>
                <w:szCs w:val="21"/>
                <w:u w:val="single"/>
              </w:rPr>
              <w:t>提交的纸质版投标文件文本必须与其上传到广西政府采购云平台系统的电子投标文件内容一致，不允许有篡改。如项目验收时因所提供的纸质投标文件与评标的投标文件不一致造成纠纷时，所有责任由中标人承担。</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20</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备份投标文件</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napToGrid w:val="false"/>
              <w:spacing w:lineRule="exact" w:line="380"/>
              <w:textAlignment w:val="bottom"/>
              <w:rPr>
                <w:rFonts w:ascii="宋体" w:hAnsi="宋体"/>
                <w:szCs w:val="21"/>
              </w:rPr>
            </w:pPr>
            <w:r>
              <w:rPr>
                <w:rFonts w:ascii="宋体" w:hAnsi="宋体" w:hint="eastAsia"/>
                <w:szCs w:val="21"/>
              </w:rPr>
              <w:t>本项目不接受备份投标文件。</w:t>
            </w:r>
          </w:p>
        </w:tc>
      </w:tr>
      <w:tr>
        <w:tblPrEx/>
        <w:trPr>
          <w:trHeight w:val="427" w:hRule="atLeast"/>
        </w:trPr>
        <w:tc>
          <w:tcPr>
            <w:tcW w:w="890" w:type="dxa"/>
            <w:vMerge w:val="restart"/>
            <w:tcBorders>
              <w:top w:val="single" w:sz="4" w:space="0" w:color="auto"/>
              <w:left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21.1</w:t>
            </w:r>
          </w:p>
          <w:bookmarkStart w:id="78" w:name="_21.1"/>
          <w:bookmarkEnd w:id="78"/>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投标截止时间</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u w:val="single"/>
              </w:rPr>
            </w:pPr>
            <w:r>
              <w:rPr>
                <w:rFonts w:ascii="宋体" w:hAnsi="宋体" w:hint="eastAsia"/>
                <w:szCs w:val="21"/>
              </w:rPr>
              <w:t>详见招标公告</w:t>
            </w:r>
          </w:p>
        </w:tc>
      </w:tr>
      <w:tr>
        <w:tblPrEx/>
        <w:trPr>
          <w:trHeight w:val="425" w:hRule="atLeast"/>
        </w:trPr>
        <w:tc>
          <w:tcPr>
            <w:tcW w:w="890" w:type="dxa"/>
            <w:vMerge w:val="continue"/>
            <w:tcBorders>
              <w:left w:val="single" w:sz="4" w:space="0" w:color="auto"/>
              <w:right w:val="single" w:sz="4" w:space="0" w:color="auto"/>
            </w:tcBorders>
            <w:vAlign w:val="center"/>
          </w:tcPr>
          <w:p>
            <w:pPr>
              <w:pStyle w:val="style0"/>
              <w:keepNext/>
              <w:keepLines/>
              <w:spacing w:lineRule="exact" w:line="380"/>
              <w:ind w:firstLine="420" w:firstLineChars="200"/>
              <w:outlineLvl w:val="2"/>
              <w:rPr>
                <w:rFonts w:ascii="宋体" w:hAnsi="宋体"/>
                <w:szCs w:val="21"/>
              </w:rPr>
            </w:pP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投标文件提交起止时间</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详见招标公告</w:t>
            </w:r>
          </w:p>
        </w:tc>
      </w:tr>
      <w:tr>
        <w:tblPrEx/>
        <w:trPr>
          <w:trHeight w:val="425" w:hRule="atLeast"/>
        </w:trPr>
        <w:tc>
          <w:tcPr>
            <w:tcW w:w="890" w:type="dxa"/>
            <w:vMerge w:val="continue"/>
            <w:tcBorders>
              <w:left w:val="single" w:sz="4" w:space="0" w:color="auto"/>
              <w:right w:val="single" w:sz="4" w:space="0" w:color="auto"/>
            </w:tcBorders>
            <w:vAlign w:val="center"/>
          </w:tcPr>
          <w:p>
            <w:pPr>
              <w:pStyle w:val="style0"/>
              <w:keepNext/>
              <w:keepLines/>
              <w:spacing w:lineRule="exact" w:line="380"/>
              <w:ind w:firstLine="420" w:firstLineChars="200"/>
              <w:outlineLvl w:val="2"/>
              <w:rPr>
                <w:rFonts w:ascii="宋体" w:hAnsi="宋体"/>
                <w:szCs w:val="21"/>
              </w:rPr>
            </w:pP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投标地点</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详见招标公告</w:t>
            </w:r>
          </w:p>
        </w:tc>
      </w:tr>
      <w:tr>
        <w:tblPrEx/>
        <w:trPr>
          <w:trHeight w:val="425" w:hRule="atLeast"/>
        </w:trPr>
        <w:tc>
          <w:tcPr>
            <w:tcW w:w="890" w:type="dxa"/>
            <w:vMerge w:val="continue"/>
            <w:tcBorders>
              <w:left w:val="single" w:sz="4" w:space="0" w:color="auto"/>
              <w:right w:val="single" w:sz="4" w:space="0" w:color="auto"/>
            </w:tcBorders>
            <w:vAlign w:val="center"/>
          </w:tcPr>
          <w:p>
            <w:pPr>
              <w:pStyle w:val="style0"/>
              <w:keepNext/>
              <w:keepLines/>
              <w:spacing w:lineRule="exact" w:line="380"/>
              <w:ind w:firstLine="420" w:firstLineChars="200"/>
              <w:outlineLvl w:val="2"/>
              <w:rPr>
                <w:rFonts w:ascii="宋体" w:hAnsi="宋体"/>
                <w:szCs w:val="21"/>
              </w:rPr>
            </w:pP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投标人递交投标样品截止时间及地点</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bCs/>
                <w:szCs w:val="21"/>
              </w:rPr>
            </w:pPr>
            <w:r>
              <w:rPr>
                <w:rFonts w:ascii="宋体" w:hAnsi="宋体" w:hint="eastAsia"/>
                <w:bCs/>
                <w:szCs w:val="21"/>
              </w:rPr>
              <w:t>时间：</w:t>
            </w:r>
            <w:r>
              <w:rPr>
                <w:rFonts w:ascii="宋体" w:hAnsi="宋体"/>
                <w:bCs/>
                <w:szCs w:val="21"/>
                <w:u w:val="single"/>
              </w:rPr>
              <w:t xml:space="preserve">  /  年 / 月 / 日  /  时  /  分</w:t>
            </w:r>
            <w:r>
              <w:rPr>
                <w:rFonts w:ascii="宋体" w:hAnsi="宋体" w:hint="eastAsia"/>
                <w:bCs/>
                <w:szCs w:val="21"/>
              </w:rPr>
              <w:t>（北京时间）</w:t>
            </w:r>
          </w:p>
          <w:p>
            <w:pPr>
              <w:pStyle w:val="style0"/>
              <w:snapToGrid w:val="false"/>
              <w:spacing w:lineRule="exact" w:line="380"/>
              <w:rPr>
                <w:rFonts w:ascii="宋体" w:hAnsi="宋体"/>
                <w:szCs w:val="21"/>
              </w:rPr>
            </w:pPr>
            <w:r>
              <w:rPr>
                <w:rFonts w:ascii="宋体" w:hAnsi="宋体" w:hint="eastAsia"/>
                <w:bCs/>
                <w:szCs w:val="21"/>
              </w:rPr>
              <w:t>地点：</w:t>
            </w:r>
            <w:r>
              <w:rPr>
                <w:rFonts w:ascii="宋体" w:hAnsi="宋体"/>
                <w:bCs/>
                <w:szCs w:val="21"/>
                <w:u w:val="single"/>
              </w:rPr>
              <w:t xml:space="preserve">           /            </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23</w:t>
            </w:r>
          </w:p>
          <w:bookmarkStart w:id="79" w:name="_23"/>
          <w:bookmarkEnd w:id="79"/>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开标时间、地点</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详见招标公告</w:t>
            </w:r>
          </w:p>
        </w:tc>
      </w:tr>
      <w:tr>
        <w:tblPrEx/>
        <w:trPr>
          <w:trHeight w:val="1287" w:hRule="atLeast"/>
        </w:trPr>
        <w:tc>
          <w:tcPr>
            <w:tcW w:w="890" w:type="dxa"/>
            <w:vMerge w:val="restart"/>
            <w:tcBorders>
              <w:top w:val="single" w:sz="4" w:space="0" w:color="auto"/>
              <w:left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25.3（2）</w:t>
            </w:r>
          </w:p>
          <w:bookmarkStart w:id="80" w:name="_25.3"/>
          <w:bookmarkEnd w:id="80"/>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投标人信用查询渠道</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采购人或者采购代理机构在资格审查结束前，对投标人进行信用查询。</w:t>
            </w:r>
          </w:p>
          <w:p>
            <w:pPr>
              <w:pStyle w:val="style0"/>
              <w:snapToGrid w:val="false"/>
              <w:spacing w:lineRule="exact" w:line="380"/>
              <w:rPr>
                <w:rFonts w:ascii="宋体" w:hAnsi="宋体"/>
                <w:szCs w:val="21"/>
              </w:rPr>
            </w:pPr>
            <w:r>
              <w:rPr>
                <w:rFonts w:ascii="宋体" w:hAnsi="宋体" w:hint="eastAsia"/>
                <w:szCs w:val="21"/>
              </w:rPr>
              <w:t>查询渠道：“信用中国”网站</w:t>
            </w:r>
            <w:r>
              <w:rPr>
                <w:rFonts w:ascii="宋体" w:hAnsi="宋体"/>
                <w:szCs w:val="21"/>
              </w:rPr>
              <w:t xml:space="preserve">(www.creditchina.gov.cn) </w:t>
            </w:r>
            <w:r>
              <w:rPr>
                <w:rFonts w:ascii="宋体" w:hAnsi="宋体" w:hint="eastAsia"/>
                <w:szCs w:val="21"/>
              </w:rPr>
              <w:t>、中国政府采购网</w:t>
            </w:r>
            <w:r>
              <w:rPr>
                <w:rFonts w:ascii="宋体" w:hAnsi="宋体"/>
                <w:szCs w:val="21"/>
              </w:rPr>
              <w:t>(www.ccgp.gov.cn)。</w:t>
            </w:r>
          </w:p>
        </w:tc>
      </w:tr>
      <w:tr>
        <w:tblPrEx/>
        <w:trPr>
          <w:trHeight w:val="643" w:hRule="atLeast"/>
        </w:trPr>
        <w:tc>
          <w:tcPr>
            <w:tcW w:w="890" w:type="dxa"/>
            <w:vMerge w:val="continue"/>
            <w:tcBorders>
              <w:left w:val="single" w:sz="4" w:space="0" w:color="auto"/>
              <w:right w:val="single" w:sz="4" w:space="0" w:color="auto"/>
            </w:tcBorders>
            <w:vAlign w:val="center"/>
          </w:tcPr>
          <w:p>
            <w:pPr>
              <w:pStyle w:val="style0"/>
              <w:keepNext/>
              <w:keepLines/>
              <w:spacing w:lineRule="exact" w:line="380"/>
              <w:ind w:firstLine="420" w:firstLineChars="200"/>
              <w:outlineLvl w:val="2"/>
              <w:rPr>
                <w:rFonts w:ascii="宋体" w:hAnsi="宋体"/>
                <w:szCs w:val="21"/>
              </w:rPr>
            </w:pP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信用查询截止时点</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资格审查结束前</w:t>
            </w:r>
          </w:p>
        </w:tc>
      </w:tr>
      <w:tr>
        <w:tblPrEx/>
        <w:trPr>
          <w:trHeight w:val="708" w:hRule="atLeast"/>
        </w:trPr>
        <w:tc>
          <w:tcPr>
            <w:tcW w:w="890" w:type="dxa"/>
            <w:vMerge w:val="continue"/>
            <w:tcBorders>
              <w:left w:val="single" w:sz="4" w:space="0" w:color="auto"/>
              <w:right w:val="single" w:sz="4" w:space="0" w:color="auto"/>
            </w:tcBorders>
            <w:vAlign w:val="center"/>
          </w:tcPr>
          <w:p>
            <w:pPr>
              <w:pStyle w:val="style0"/>
              <w:keepNext/>
              <w:keepLines/>
              <w:spacing w:lineRule="exact" w:line="380"/>
              <w:ind w:firstLine="420" w:firstLineChars="200"/>
              <w:outlineLvl w:val="2"/>
              <w:rPr>
                <w:rFonts w:ascii="宋体" w:hAnsi="宋体"/>
                <w:szCs w:val="21"/>
              </w:rPr>
            </w:pP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查询记录和证据留存方式</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在查询网站中直接截图查询记录，截图作为附件保存。</w:t>
            </w:r>
          </w:p>
        </w:tc>
      </w:tr>
      <w:tr>
        <w:tblPrEx/>
        <w:trPr>
          <w:trHeight w:val="840" w:hRule="atLeast"/>
        </w:trPr>
        <w:tc>
          <w:tcPr>
            <w:tcW w:w="890" w:type="dxa"/>
            <w:vMerge w:val="continue"/>
            <w:tcBorders>
              <w:left w:val="single" w:sz="4" w:space="0" w:color="auto"/>
              <w:bottom w:val="single" w:sz="4" w:space="0" w:color="auto"/>
              <w:right w:val="single" w:sz="4" w:space="0" w:color="auto"/>
            </w:tcBorders>
            <w:vAlign w:val="center"/>
          </w:tcPr>
          <w:p>
            <w:pPr>
              <w:pStyle w:val="style0"/>
              <w:keepNext/>
              <w:keepLines/>
              <w:spacing w:lineRule="exact" w:line="380"/>
              <w:ind w:firstLine="420" w:firstLineChars="200"/>
              <w:outlineLvl w:val="2"/>
              <w:rPr>
                <w:rFonts w:ascii="宋体" w:hAnsi="宋体"/>
                <w:szCs w:val="21"/>
              </w:rPr>
            </w:pP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信用信息使用规则</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对在“信用中国”网站</w:t>
            </w:r>
            <w:r>
              <w:rPr>
                <w:rFonts w:ascii="宋体" w:hAnsi="宋体"/>
                <w:szCs w:val="21"/>
              </w:rPr>
              <w:t xml:space="preserve">(www.creditchina.gov.cn) </w:t>
            </w:r>
            <w:r>
              <w:rPr>
                <w:rFonts w:ascii="宋体" w:hAnsi="宋体" w:hint="eastAsia"/>
                <w:szCs w:val="21"/>
              </w:rPr>
              <w:t>、中国政府采购网</w:t>
            </w:r>
            <w:r>
              <w:rPr>
                <w:rFonts w:ascii="宋体" w:hAnsi="宋体"/>
                <w:szCs w:val="21"/>
              </w:rPr>
              <w:t>(www.ccgp.gov.cn)被列入失信被执行人、重大税收违法</w:t>
            </w:r>
            <w:r>
              <w:rPr>
                <w:rFonts w:ascii="宋体" w:hAnsi="宋体" w:hint="eastAsia"/>
                <w:szCs w:val="21"/>
              </w:rPr>
              <w:t>失信主体、政府采购严重违法失信行为记录名单及其他不符合《中华人民共和国政府采购法》第二十二条规定条件的供应商，采购人或者采购代理机构</w:t>
            </w:r>
            <w:r>
              <w:rPr>
                <w:rFonts w:ascii="宋体" w:hAnsi="宋体" w:hint="eastAsia"/>
                <w:sz w:val="22"/>
                <w:szCs w:val="22"/>
              </w:rPr>
              <w:t>应当拒绝其参与政府采购活动</w:t>
            </w:r>
            <w:r>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29.1</w:t>
            </w:r>
          </w:p>
          <w:bookmarkStart w:id="81" w:name="_28.3"/>
          <w:bookmarkStart w:id="82" w:name="_26"/>
          <w:bookmarkEnd w:id="81"/>
          <w:bookmarkEnd w:id="82"/>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评标方法</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napToGrid w:val="false"/>
              <w:spacing w:lineRule="exact" w:line="380"/>
              <w:textAlignment w:val="bottom"/>
              <w:rPr>
                <w:rFonts w:ascii="宋体" w:hAnsi="宋体"/>
                <w:szCs w:val="21"/>
              </w:rPr>
            </w:pPr>
            <w:r>
              <w:rPr>
                <w:rFonts w:ascii="MS Mincho" w:cs="MS Mincho" w:eastAsia="MS Mincho" w:hAnsi="MS Mincho"/>
                <w:szCs w:val="21"/>
              </w:rPr>
              <w:t>☑</w:t>
            </w:r>
            <w:r>
              <w:rPr>
                <w:rFonts w:ascii="宋体" w:cs="宋体" w:hAnsi="宋体" w:hint="eastAsia"/>
                <w:szCs w:val="21"/>
              </w:rPr>
              <w:t>综合评分法</w:t>
            </w:r>
          </w:p>
          <w:p>
            <w:pPr>
              <w:pStyle w:val="style0"/>
              <w:autoSpaceDE w:val="false"/>
              <w:autoSpaceDN w:val="false"/>
              <w:snapToGrid w:val="false"/>
              <w:spacing w:lineRule="exact" w:line="380"/>
              <w:textAlignment w:val="bottom"/>
              <w:rPr>
                <w:rFonts w:ascii="宋体" w:hAnsi="宋体"/>
                <w:szCs w:val="21"/>
              </w:rPr>
            </w:pPr>
            <w:r>
              <w:rPr>
                <w:rFonts w:ascii="宋体" w:hAnsi="宋体" w:hint="eastAsia"/>
                <w:szCs w:val="21"/>
              </w:rPr>
              <w:t>□最低评标价法</w:t>
            </w:r>
          </w:p>
        </w:tc>
      </w:tr>
      <w:tr>
        <w:tblPrEx/>
        <w:trPr>
          <w:trHeight w:val="555" w:hRule="atLeast"/>
        </w:trPr>
        <w:tc>
          <w:tcPr>
            <w:tcW w:w="890" w:type="dxa"/>
            <w:tcBorders>
              <w:top w:val="single" w:sz="4" w:space="0" w:color="auto"/>
              <w:left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29.2</w:t>
            </w:r>
          </w:p>
          <w:bookmarkStart w:id="83" w:name="_29.2.2（2）"/>
          <w:bookmarkEnd w:id="83"/>
        </w:tc>
        <w:tc>
          <w:tcPr>
            <w:tcW w:w="2053" w:type="dxa"/>
            <w:tcBorders>
              <w:top w:val="single" w:sz="4" w:space="0" w:color="auto"/>
              <w:left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允许负偏离项</w:t>
            </w:r>
          </w:p>
        </w:tc>
        <w:tc>
          <w:tcPr>
            <w:tcW w:w="6966" w:type="dxa"/>
            <w:tcBorders>
              <w:top w:val="single" w:sz="4" w:space="0" w:color="auto"/>
              <w:left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cs="宋体" w:hAnsi="宋体" w:hint="eastAsia"/>
                <w:szCs w:val="21"/>
              </w:rPr>
              <w:t>商务条款</w:t>
            </w:r>
            <w:r>
              <w:rPr>
                <w:rFonts w:ascii="宋体" w:hAnsi="宋体" w:hint="eastAsia"/>
                <w:szCs w:val="21"/>
              </w:rPr>
              <w:t>评审中允许负偏离的条款数为</w:t>
            </w:r>
            <w:r>
              <w:rPr>
                <w:rFonts w:ascii="宋体" w:hAnsi="宋体" w:hint="eastAsia"/>
                <w:szCs w:val="21"/>
                <w:u w:val="single"/>
              </w:rPr>
              <w:t>0</w:t>
            </w:r>
            <w:r>
              <w:rPr>
                <w:rFonts w:ascii="宋体" w:hAnsi="宋体" w:hint="eastAsia"/>
                <w:szCs w:val="21"/>
              </w:rPr>
              <w:t>项。</w:t>
            </w:r>
          </w:p>
          <w:p>
            <w:pPr>
              <w:pStyle w:val="style0"/>
              <w:snapToGrid w:val="false"/>
              <w:spacing w:lineRule="exact" w:line="380"/>
              <w:rPr>
                <w:rFonts w:ascii="宋体" w:hAnsi="宋体"/>
                <w:szCs w:val="21"/>
              </w:rPr>
            </w:pPr>
            <w:r>
              <w:rPr>
                <w:rFonts w:ascii="宋体" w:cs="宋体" w:hAnsi="宋体" w:hint="eastAsia"/>
                <w:szCs w:val="21"/>
              </w:rPr>
              <w:t>技术需求</w:t>
            </w:r>
            <w:r>
              <w:rPr>
                <w:rFonts w:ascii="宋体" w:hAnsi="宋体" w:hint="eastAsia"/>
                <w:szCs w:val="21"/>
              </w:rPr>
              <w:t>评审中允许负偏离的条款数为</w:t>
            </w:r>
            <w:r>
              <w:rPr>
                <w:rFonts w:ascii="宋体" w:hAnsi="宋体" w:hint="eastAsia"/>
                <w:szCs w:val="21"/>
                <w:u w:val="single"/>
              </w:rPr>
              <w:t>0</w:t>
            </w:r>
            <w:r>
              <w:rPr>
                <w:rFonts w:ascii="宋体" w:hAnsi="宋体" w:hint="eastAsia"/>
                <w:szCs w:val="21"/>
              </w:rPr>
              <w:t>项。</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30.1</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napToGrid w:val="false"/>
              <w:spacing w:lineRule="exact" w:line="380"/>
              <w:textAlignment w:val="bottom"/>
              <w:rPr>
                <w:rFonts w:ascii="宋体" w:hAnsi="宋体"/>
                <w:szCs w:val="21"/>
              </w:rPr>
            </w:pPr>
            <w:r>
              <w:rPr>
                <w:rFonts w:ascii="宋体" w:hAnsi="宋体" w:hint="eastAsia"/>
                <w:szCs w:val="21"/>
              </w:rPr>
              <w:t>确定中标人时，出现中标候选人分数并列的情形，确定中标人方式</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napToGrid w:val="false"/>
              <w:spacing w:lineRule="exact" w:line="380"/>
              <w:textAlignment w:val="bottom"/>
              <w:rPr>
                <w:rFonts w:ascii="宋体" w:hAnsi="宋体"/>
                <w:szCs w:val="21"/>
              </w:rPr>
            </w:pPr>
            <w:r>
              <w:rPr>
                <w:rFonts w:ascii="宋体" w:hAnsi="宋体" w:hint="eastAsia"/>
                <w:szCs w:val="21"/>
              </w:rPr>
              <w:t>□采用最低评标价法的，投标文件满足招标文件全部实质性要求且投标报价最低的投标人为排名第一的中标候选人；</w:t>
            </w:r>
          </w:p>
          <w:p>
            <w:pPr>
              <w:pStyle w:val="style0"/>
              <w:autoSpaceDE w:val="false"/>
              <w:autoSpaceDN w:val="false"/>
              <w:snapToGrid w:val="false"/>
              <w:spacing w:lineRule="exact" w:line="380"/>
              <w:textAlignment w:val="bottom"/>
              <w:rPr>
                <w:rFonts w:ascii="宋体" w:hAnsi="宋体"/>
                <w:b/>
                <w:szCs w:val="21"/>
              </w:rPr>
            </w:pPr>
            <w:r>
              <w:rPr>
                <w:rFonts w:ascii="MS Mincho" w:cs="MS Mincho" w:eastAsia="MS Mincho" w:hAnsi="MS Mincho"/>
                <w:szCs w:val="21"/>
              </w:rPr>
              <w:t>☑</w:t>
            </w:r>
            <w:r>
              <w:rPr>
                <w:rFonts w:ascii="宋体" w:cs="宋体" w:hAnsi="宋体" w:hint="eastAsia"/>
                <w:szCs w:val="21"/>
              </w:rPr>
              <w:t>采用综合评分法的，按投标报价由低到高顺序排列。得分且投标报价相同的并列。投标文件满足招标文件全部实质性要求，且按照评审因素的量化指标评审得分最高的</w:t>
            </w:r>
            <w:r>
              <w:rPr>
                <w:rFonts w:ascii="宋体" w:hAnsi="宋体" w:hint="eastAsia"/>
                <w:szCs w:val="21"/>
              </w:rPr>
              <w:t>投标人为排名第一的中标候选人。</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36.1</w:t>
            </w:r>
          </w:p>
          <w:bookmarkStart w:id="84" w:name="_40.1"/>
          <w:bookmarkEnd w:id="84"/>
        </w:tc>
        <w:tc>
          <w:tcPr>
            <w:tcW w:w="2053"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Cs w:val="21"/>
              </w:rPr>
            </w:pPr>
            <w:r>
              <w:rPr>
                <w:rFonts w:ascii="宋体" w:hAnsi="宋体" w:hint="eastAsia"/>
                <w:szCs w:val="21"/>
              </w:rPr>
              <w:t>签订合同携带的证明材料</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snapToGrid w:val="false"/>
              <w:spacing w:lineRule="exact" w:line="400"/>
              <w:textAlignment w:val="bottom"/>
              <w:rPr>
                <w:rFonts w:ascii="宋体" w:hAnsi="宋体"/>
                <w:szCs w:val="21"/>
              </w:rPr>
            </w:pPr>
            <w:r>
              <w:rPr>
                <w:rFonts w:ascii="宋体" w:hAnsi="宋体" w:hint="eastAsia"/>
                <w:szCs w:val="21"/>
              </w:rPr>
              <w:t>委托代理人负责签订合同的，须携带授权委托书及委托代理人身份证原件等其他资格证件。</w:t>
            </w:r>
          </w:p>
          <w:p>
            <w:pPr>
              <w:pStyle w:val="style0"/>
              <w:autoSpaceDE w:val="false"/>
              <w:autoSpaceDN w:val="false"/>
              <w:snapToGrid w:val="false"/>
              <w:spacing w:lineRule="exact" w:line="380"/>
              <w:textAlignment w:val="bottom"/>
              <w:rPr>
                <w:rFonts w:ascii="宋体" w:hAnsi="宋体"/>
                <w:szCs w:val="21"/>
              </w:rPr>
            </w:pPr>
            <w:r>
              <w:rPr>
                <w:rFonts w:ascii="宋体" w:hAnsi="宋体" w:hint="eastAsia"/>
                <w:szCs w:val="21"/>
              </w:rPr>
              <w:t>法定代表人负责签订合同的，须携带法定代表人</w:t>
            </w:r>
            <w:r>
              <w:rPr>
                <w:rFonts w:ascii="宋体" w:hAnsi="宋体"/>
                <w:szCs w:val="21"/>
              </w:rPr>
              <w:t>身份证明原件</w:t>
            </w:r>
            <w:r>
              <w:rPr>
                <w:rFonts w:ascii="宋体" w:hAnsi="宋体" w:hint="eastAsia"/>
                <w:szCs w:val="21"/>
              </w:rPr>
              <w:t>及</w:t>
            </w:r>
            <w:r>
              <w:rPr>
                <w:rFonts w:ascii="宋体" w:hAnsi="宋体"/>
                <w:szCs w:val="21"/>
              </w:rPr>
              <w:t>身份证原件</w:t>
            </w:r>
            <w:r>
              <w:rPr>
                <w:rFonts w:ascii="宋体" w:hAnsi="宋体" w:hint="eastAsia"/>
                <w:szCs w:val="21"/>
              </w:rPr>
              <w:t>等其他证明材料。</w:t>
            </w:r>
          </w:p>
        </w:tc>
      </w:tr>
      <w:tr>
        <w:tblPrEx/>
        <w:trPr>
          <w:trHeight w:val="591" w:hRule="atLeast"/>
        </w:trPr>
        <w:tc>
          <w:tcPr>
            <w:tcW w:w="890" w:type="dxa"/>
            <w:vMerge w:val="restart"/>
            <w:tcBorders>
              <w:top w:val="single" w:sz="4" w:space="0" w:color="auto"/>
              <w:left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38.2.1</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接收质疑函方式</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以书面形式</w:t>
            </w:r>
          </w:p>
        </w:tc>
      </w:tr>
      <w:tr>
        <w:tblPrEx/>
        <w:trPr>
          <w:trHeight w:val="709" w:hRule="atLeast"/>
        </w:trPr>
        <w:tc>
          <w:tcPr>
            <w:tcW w:w="890" w:type="dxa"/>
            <w:vMerge w:val="continue"/>
            <w:tcBorders>
              <w:left w:val="single" w:sz="4" w:space="0" w:color="auto"/>
              <w:right w:val="single" w:sz="4" w:space="0" w:color="auto"/>
            </w:tcBorders>
            <w:vAlign w:val="center"/>
          </w:tcPr>
          <w:p>
            <w:pPr>
              <w:pStyle w:val="style0"/>
              <w:keepNext/>
              <w:keepLines/>
              <w:spacing w:lineRule="exact" w:line="380"/>
              <w:ind w:firstLine="420" w:firstLineChars="200"/>
              <w:outlineLvl w:val="2"/>
              <w:rPr>
                <w:rFonts w:ascii="宋体" w:hAnsi="宋体"/>
                <w:szCs w:val="21"/>
              </w:rPr>
            </w:pP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szCs w:val="21"/>
              </w:rPr>
              <w:t>质疑联系部门及联系方式</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u w:val="single"/>
              </w:rPr>
              <w:t>（</w:t>
            </w:r>
            <w:r>
              <w:rPr>
                <w:rFonts w:ascii="宋体" w:hAnsi="宋体"/>
                <w:szCs w:val="21"/>
                <w:u w:val="single"/>
              </w:rPr>
              <w:t xml:space="preserve">1）广西国盛招标有限公司    </w:t>
            </w:r>
            <w:r>
              <w:rPr>
                <w:rFonts w:ascii="宋体" w:hAnsi="宋体" w:hint="eastAsia"/>
                <w:szCs w:val="21"/>
              </w:rPr>
              <w:t>部门；</w:t>
            </w:r>
          </w:p>
          <w:p>
            <w:pPr>
              <w:pStyle w:val="style0"/>
              <w:snapToGrid w:val="false"/>
              <w:spacing w:lineRule="exact" w:line="380"/>
              <w:rPr>
                <w:rFonts w:ascii="宋体" w:hAnsi="宋体"/>
                <w:szCs w:val="21"/>
              </w:rPr>
            </w:pPr>
            <w:r>
              <w:rPr>
                <w:rFonts w:ascii="宋体" w:hAnsi="宋体"/>
                <w:szCs w:val="21"/>
              </w:rPr>
              <w:t>联系电话</w:t>
            </w:r>
            <w:r>
              <w:rPr>
                <w:rFonts w:ascii="宋体" w:hAnsi="宋体" w:hint="eastAsia"/>
                <w:szCs w:val="21"/>
              </w:rPr>
              <w:t>：</w:t>
            </w:r>
            <w:r>
              <w:rPr>
                <w:rFonts w:ascii="宋体" w:cs="宋体" w:hAnsi="宋体"/>
                <w:szCs w:val="21"/>
                <w:u w:val="single"/>
              </w:rPr>
              <w:t>0771-5828133</w:t>
            </w:r>
          </w:p>
          <w:p>
            <w:pPr>
              <w:pStyle w:val="style0"/>
              <w:snapToGrid w:val="false"/>
              <w:spacing w:lineRule="exact" w:line="380"/>
              <w:rPr>
                <w:rFonts w:ascii="宋体" w:hAnsi="宋体"/>
                <w:szCs w:val="21"/>
              </w:rPr>
            </w:pPr>
            <w:r>
              <w:rPr>
                <w:rFonts w:ascii="宋体" w:hAnsi="宋体"/>
                <w:szCs w:val="21"/>
              </w:rPr>
              <w:t>通讯地址</w:t>
            </w:r>
            <w:r>
              <w:rPr>
                <w:rFonts w:ascii="宋体" w:cs="Helvetica" w:hAnsi="宋体" w:hint="eastAsia"/>
                <w:szCs w:val="21"/>
              </w:rPr>
              <w:t>：</w:t>
            </w:r>
            <w:r>
              <w:rPr>
                <w:rFonts w:ascii="宋体" w:hAnsi="宋体" w:hint="eastAsia"/>
                <w:szCs w:val="21"/>
                <w:u w:val="single"/>
              </w:rPr>
              <w:t>广西南宁市青秀区朱槿路</w:t>
            </w:r>
            <w:r>
              <w:rPr>
                <w:rFonts w:ascii="宋体" w:hAnsi="宋体"/>
                <w:szCs w:val="21"/>
                <w:u w:val="single"/>
              </w:rPr>
              <w:t>10号新加坡园区星岛国际303号</w:t>
            </w:r>
          </w:p>
          <w:p>
            <w:pPr>
              <w:pStyle w:val="style0"/>
              <w:snapToGrid w:val="false"/>
              <w:spacing w:lineRule="exact" w:line="380"/>
              <w:rPr>
                <w:rFonts w:ascii="宋体" w:hAnsi="宋体"/>
                <w:szCs w:val="21"/>
              </w:rPr>
            </w:pPr>
            <w:r>
              <w:rPr>
                <w:rFonts w:ascii="宋体" w:hAnsi="宋体" w:hint="eastAsia"/>
                <w:szCs w:val="21"/>
                <w:u w:val="single"/>
              </w:rPr>
              <w:t>（</w:t>
            </w:r>
            <w:r>
              <w:rPr>
                <w:rFonts w:ascii="宋体" w:hAnsi="宋体"/>
                <w:szCs w:val="21"/>
                <w:u w:val="single"/>
              </w:rPr>
              <w:t>2）</w:t>
            </w:r>
            <w:r>
              <w:rPr>
                <w:rFonts w:ascii="宋体" w:hAnsi="宋体" w:hint="eastAsia"/>
                <w:szCs w:val="21"/>
                <w:u w:val="single"/>
              </w:rPr>
              <w:t>广西壮族自治区公安厅</w:t>
            </w:r>
            <w:r>
              <w:rPr>
                <w:rFonts w:ascii="宋体" w:hAnsi="宋体" w:hint="eastAsia"/>
                <w:szCs w:val="21"/>
              </w:rPr>
              <w:t>部门；</w:t>
            </w:r>
          </w:p>
          <w:p>
            <w:pPr>
              <w:pStyle w:val="style0"/>
              <w:snapToGrid w:val="false"/>
              <w:spacing w:lineRule="exact" w:line="380"/>
              <w:rPr>
                <w:rFonts w:ascii="宋体" w:hAnsi="宋体"/>
                <w:szCs w:val="21"/>
              </w:rPr>
            </w:pPr>
            <w:r>
              <w:rPr>
                <w:rFonts w:ascii="宋体" w:hAnsi="宋体"/>
                <w:szCs w:val="21"/>
              </w:rPr>
              <w:t>联系电话</w:t>
            </w:r>
            <w:r>
              <w:rPr>
                <w:rFonts w:ascii="宋体" w:hAnsi="宋体" w:hint="eastAsia"/>
                <w:szCs w:val="21"/>
              </w:rPr>
              <w:t>：</w:t>
            </w:r>
            <w:r>
              <w:rPr>
                <w:rFonts w:ascii="宋体" w:hAnsi="宋体"/>
              </w:rPr>
              <w:t>0771-</w:t>
            </w:r>
            <w:r>
              <w:rPr>
                <w:rFonts w:ascii="宋体" w:hAnsi="宋体" w:hint="eastAsia"/>
              </w:rPr>
              <w:t>2892778</w:t>
            </w:r>
          </w:p>
          <w:p>
            <w:pPr>
              <w:pStyle w:val="style0"/>
              <w:snapToGrid w:val="false"/>
              <w:spacing w:lineRule="exact" w:line="380"/>
              <w:rPr>
                <w:rFonts w:ascii="宋体" w:hAnsi="宋体"/>
                <w:szCs w:val="21"/>
              </w:rPr>
            </w:pPr>
            <w:r>
              <w:rPr>
                <w:rFonts w:ascii="宋体" w:hAnsi="宋体"/>
                <w:szCs w:val="21"/>
              </w:rPr>
              <w:t>通讯地址</w:t>
            </w:r>
            <w:r>
              <w:rPr>
                <w:rFonts w:ascii="宋体" w:cs="Helvetica" w:hAnsi="宋体" w:hint="eastAsia"/>
                <w:szCs w:val="21"/>
              </w:rPr>
              <w:t>：南宁市青秀区佛子岭路1号</w:t>
            </w:r>
          </w:p>
        </w:tc>
      </w:tr>
      <w:tr>
        <w:tblPrEx/>
        <w:trPr>
          <w:trHeight w:val="709" w:hRule="atLeast"/>
        </w:trPr>
        <w:tc>
          <w:tcPr>
            <w:tcW w:w="890" w:type="dxa"/>
            <w:vMerge w:val="continue"/>
            <w:tcBorders>
              <w:left w:val="single" w:sz="4" w:space="0" w:color="auto"/>
              <w:bottom w:val="single" w:sz="4" w:space="0" w:color="auto"/>
              <w:right w:val="single" w:sz="4" w:space="0" w:color="auto"/>
            </w:tcBorders>
            <w:vAlign w:val="center"/>
          </w:tcPr>
          <w:p>
            <w:pPr>
              <w:pStyle w:val="style0"/>
              <w:keepNext/>
              <w:keepLines/>
              <w:spacing w:lineRule="exact" w:line="380"/>
              <w:ind w:firstLine="420" w:firstLineChars="200"/>
              <w:outlineLvl w:val="2"/>
              <w:rPr>
                <w:rFonts w:ascii="宋体" w:hAnsi="宋体"/>
                <w:szCs w:val="21"/>
              </w:rPr>
            </w:pP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hint="eastAsia"/>
              </w:rPr>
              <w:t>现场提交质疑办理业务时间</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rPr>
              <w:t>质疑期内每个工作日</w:t>
            </w:r>
            <w:r>
              <w:rPr>
                <w:rFonts w:ascii="宋体" w:cs="宋体" w:hAnsi="宋体"/>
                <w:szCs w:val="21"/>
                <w:u w:val="single"/>
              </w:rPr>
              <w:t>8</w:t>
            </w:r>
            <w:r>
              <w:rPr>
                <w:rFonts w:ascii="宋体" w:cs="宋体" w:hAnsi="宋体" w:hint="eastAsia"/>
                <w:szCs w:val="21"/>
              </w:rPr>
              <w:t>时</w:t>
            </w:r>
            <w:r>
              <w:rPr>
                <w:rFonts w:ascii="宋体" w:cs="宋体" w:hAnsi="宋体"/>
                <w:szCs w:val="21"/>
                <w:u w:val="single"/>
              </w:rPr>
              <w:t>30</w:t>
            </w:r>
            <w:r>
              <w:rPr>
                <w:rFonts w:ascii="宋体" w:cs="宋体" w:hAnsi="宋体" w:hint="eastAsia"/>
                <w:szCs w:val="21"/>
              </w:rPr>
              <w:t>分到</w:t>
            </w:r>
            <w:r>
              <w:rPr>
                <w:rFonts w:ascii="宋体" w:cs="宋体" w:hAnsi="宋体"/>
                <w:szCs w:val="21"/>
                <w:u w:val="single"/>
              </w:rPr>
              <w:t>12</w:t>
            </w:r>
            <w:r>
              <w:rPr>
                <w:rFonts w:ascii="宋体" w:cs="宋体" w:hAnsi="宋体" w:hint="eastAsia"/>
                <w:szCs w:val="21"/>
              </w:rPr>
              <w:t>时</w:t>
            </w:r>
            <w:r>
              <w:rPr>
                <w:rFonts w:ascii="宋体" w:cs="宋体" w:hAnsi="宋体"/>
                <w:szCs w:val="21"/>
                <w:u w:val="single"/>
              </w:rPr>
              <w:t>00</w:t>
            </w:r>
            <w:r>
              <w:rPr>
                <w:rFonts w:ascii="宋体" w:cs="宋体" w:hAnsi="宋体" w:hint="eastAsia"/>
                <w:szCs w:val="21"/>
              </w:rPr>
              <w:t>分，</w:t>
            </w:r>
            <w:r>
              <w:rPr>
                <w:rFonts w:ascii="宋体" w:cs="宋体" w:hAnsi="宋体"/>
                <w:szCs w:val="21"/>
                <w:u w:val="single"/>
              </w:rPr>
              <w:t>15</w:t>
            </w:r>
            <w:r>
              <w:rPr>
                <w:rFonts w:ascii="宋体" w:cs="宋体" w:hAnsi="宋体" w:hint="eastAsia"/>
                <w:szCs w:val="21"/>
              </w:rPr>
              <w:t>时</w:t>
            </w:r>
            <w:r>
              <w:rPr>
                <w:rFonts w:ascii="宋体" w:cs="宋体" w:hAnsi="宋体"/>
                <w:szCs w:val="21"/>
                <w:u w:val="single"/>
              </w:rPr>
              <w:t>00</w:t>
            </w:r>
            <w:r>
              <w:rPr>
                <w:rFonts w:ascii="宋体" w:cs="宋体" w:hAnsi="宋体" w:hint="eastAsia"/>
                <w:szCs w:val="21"/>
              </w:rPr>
              <w:t>分到</w:t>
            </w:r>
            <w:r>
              <w:rPr>
                <w:rFonts w:ascii="宋体" w:cs="宋体" w:hAnsi="宋体"/>
                <w:szCs w:val="21"/>
                <w:u w:val="single"/>
              </w:rPr>
              <w:t>17</w:t>
            </w:r>
            <w:r>
              <w:rPr>
                <w:rFonts w:ascii="宋体" w:cs="宋体" w:hAnsi="宋体" w:hint="eastAsia"/>
                <w:szCs w:val="21"/>
              </w:rPr>
              <w:t>时</w:t>
            </w:r>
            <w:r>
              <w:rPr>
                <w:rFonts w:ascii="宋体" w:cs="宋体" w:hAnsi="宋体"/>
                <w:szCs w:val="21"/>
                <w:u w:val="single"/>
              </w:rPr>
              <w:t>30</w:t>
            </w:r>
            <w:r>
              <w:rPr>
                <w:rFonts w:ascii="宋体" w:cs="宋体" w:hAnsi="宋体" w:hint="eastAsia"/>
                <w:szCs w:val="21"/>
              </w:rPr>
              <w:t>分</w:t>
            </w:r>
          </w:p>
        </w:tc>
      </w:tr>
      <w:tr>
        <w:tblPrEx/>
        <w:trPr>
          <w:trHeight w:val="709" w:hRule="atLeast"/>
        </w:trPr>
        <w:tc>
          <w:tcPr>
            <w:tcW w:w="890" w:type="dxa"/>
            <w:tcBorders>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38.3.1</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rPr>
            </w:pPr>
            <w:r>
              <w:rPr>
                <w:rFonts w:ascii="宋体" w:hAnsi="宋体" w:hint="eastAsia"/>
              </w:rPr>
              <w:t>投诉受理方式</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rPr>
            </w:pPr>
            <w:r>
              <w:rPr>
                <w:rFonts w:ascii="宋体" w:hAnsi="宋体" w:hint="eastAsia"/>
              </w:rPr>
              <w:t>质疑供应商对采购人、采购代理机构的答复不满意，或者采购人、采购代理机构未在规定时间内作出答复的，可以在答复期满后</w:t>
            </w:r>
            <w:r>
              <w:rPr>
                <w:rFonts w:ascii="宋体" w:hAnsi="宋体"/>
              </w:rPr>
              <w:t>15个工作日内向《政府采购质疑和投诉办法》（财政部令第94号）第六条规定的财政部门提起投诉。</w:t>
            </w:r>
          </w:p>
        </w:tc>
      </w:tr>
      <w:tr>
        <w:tblPrEx/>
        <w:trPr>
          <w:trHeight w:val="1580" w:hRule="atLeast"/>
        </w:trPr>
        <w:tc>
          <w:tcPr>
            <w:tcW w:w="890" w:type="dxa"/>
            <w:vMerge w:val="restart"/>
            <w:tcBorders>
              <w:top w:val="single" w:sz="4" w:space="0" w:color="auto"/>
              <w:left w:val="single" w:sz="4" w:space="0" w:color="auto"/>
              <w:right w:val="single" w:sz="4" w:space="0" w:color="auto"/>
            </w:tcBorders>
            <w:vAlign w:val="center"/>
          </w:tcPr>
          <w:p>
            <w:pPr>
              <w:pStyle w:val="style0"/>
              <w:spacing w:lineRule="exact" w:line="380"/>
              <w:rPr>
                <w:rFonts w:ascii="宋体" w:hAnsi="宋体"/>
                <w:szCs w:val="21"/>
              </w:rPr>
            </w:pPr>
            <w:r>
              <w:rPr>
                <w:rFonts w:ascii="宋体" w:hAnsi="宋体"/>
                <w:szCs w:val="21"/>
              </w:rPr>
              <w:t>40</w:t>
            </w:r>
          </w:p>
          <w:bookmarkStart w:id="85" w:name="_41"/>
          <w:bookmarkStart w:id="86" w:name="_42"/>
          <w:bookmarkEnd w:id="85"/>
          <w:bookmarkEnd w:id="86"/>
        </w:tc>
        <w:tc>
          <w:tcPr>
            <w:tcW w:w="205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宋体"/>
                <w:szCs w:val="21"/>
              </w:rPr>
            </w:pPr>
            <w:r>
              <w:rPr>
                <w:rFonts w:ascii="宋体" w:cs="宋体" w:hAnsi="宋体" w:hint="eastAsia"/>
              </w:rPr>
              <w:t>采购代理费支付方式</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90"/>
              <w:snapToGrid w:val="false"/>
              <w:spacing w:lineRule="exact" w:line="380"/>
              <w:rPr>
                <w:rFonts w:cs="宋体" w:hAnsi="宋体"/>
              </w:rPr>
            </w:pPr>
            <w:r>
              <w:rPr>
                <w:rFonts w:ascii="MS Mincho" w:cs="MS Mincho" w:eastAsia="MS Mincho" w:hAnsi="MS Mincho"/>
              </w:rPr>
              <w:t>☑</w:t>
            </w:r>
            <w:r>
              <w:rPr>
                <w:rFonts w:cs="宋体" w:hAnsi="宋体" w:hint="eastAsia"/>
              </w:rPr>
              <w:t>本项目代理服务费由</w:t>
            </w:r>
            <w:r>
              <w:rPr>
                <w:rFonts w:cs="宋体" w:hAnsi="宋体" w:hint="eastAsia"/>
                <w:u w:val="single"/>
              </w:rPr>
              <w:t>中标人</w:t>
            </w:r>
            <w:r>
              <w:rPr>
                <w:rFonts w:cs="宋体" w:hAnsi="宋体" w:hint="eastAsia"/>
              </w:rPr>
              <w:t>在领取中标通知书前，一次性向采购代理机构支付。</w:t>
            </w:r>
          </w:p>
          <w:p>
            <w:pPr>
              <w:pStyle w:val="style90"/>
              <w:snapToGrid w:val="false"/>
              <w:spacing w:lineRule="exact" w:line="380"/>
              <w:rPr>
                <w:rFonts w:cs="宋体" w:hAnsi="宋体"/>
              </w:rPr>
            </w:pPr>
            <w:r>
              <w:rPr>
                <w:rFonts w:cs="宋体" w:hAnsi="宋体" w:hint="eastAsia"/>
              </w:rPr>
              <w:t>□采购人支付。</w:t>
            </w:r>
          </w:p>
          <w:p>
            <w:pPr>
              <w:pStyle w:val="style90"/>
              <w:snapToGrid w:val="false"/>
              <w:spacing w:lineRule="exact" w:line="380"/>
              <w:rPr>
                <w:rFonts w:cs="宋体" w:hAnsi="宋体"/>
              </w:rPr>
            </w:pPr>
            <w:r>
              <w:rPr>
                <w:rFonts w:cs="宋体" w:hAnsi="宋体" w:hint="eastAsia"/>
              </w:rPr>
              <w:t>□本项目不收取代理服务费。</w:t>
            </w:r>
          </w:p>
        </w:tc>
      </w:tr>
      <w:tr>
        <w:tblPrEx/>
        <w:trPr>
          <w:trHeight w:val="1607" w:hRule="atLeast"/>
        </w:trPr>
        <w:tc>
          <w:tcPr>
            <w:tcW w:w="890" w:type="dxa"/>
            <w:vMerge w:val="continue"/>
            <w:tcBorders>
              <w:left w:val="single" w:sz="4" w:space="0" w:color="auto"/>
              <w:right w:val="single" w:sz="4" w:space="0" w:color="auto"/>
            </w:tcBorders>
            <w:vAlign w:val="center"/>
          </w:tcPr>
          <w:p>
            <w:pPr>
              <w:pStyle w:val="style0"/>
              <w:keepNext/>
              <w:keepLines/>
              <w:spacing w:lineRule="exact" w:line="380"/>
              <w:ind w:firstLine="420" w:firstLineChars="200"/>
              <w:outlineLvl w:val="2"/>
              <w:rPr>
                <w:rFonts w:ascii="宋体" w:hAnsi="宋体"/>
                <w:szCs w:val="21"/>
              </w:rPr>
            </w:pPr>
          </w:p>
        </w:tc>
        <w:tc>
          <w:tcPr>
            <w:tcW w:w="2053" w:type="dxa"/>
            <w:tcBorders>
              <w:top w:val="single" w:sz="4" w:space="0" w:color="auto"/>
              <w:left w:val="single" w:sz="4" w:space="0" w:color="auto"/>
              <w:right w:val="single" w:sz="4" w:space="0" w:color="auto"/>
            </w:tcBorders>
            <w:vAlign w:val="center"/>
          </w:tcPr>
          <w:p>
            <w:pPr>
              <w:pStyle w:val="style0"/>
              <w:spacing w:lineRule="exact" w:line="380"/>
              <w:rPr>
                <w:rFonts w:ascii="宋体" w:hAnsi="宋体"/>
                <w:szCs w:val="21"/>
              </w:rPr>
            </w:pPr>
            <w:r>
              <w:rPr>
                <w:rFonts w:ascii="宋体" w:cs="宋体" w:hAnsi="宋体" w:hint="eastAsia"/>
              </w:rPr>
              <w:t>采购代理费收取标准</w:t>
            </w:r>
          </w:p>
        </w:tc>
        <w:tc>
          <w:tcPr>
            <w:tcW w:w="6966" w:type="dxa"/>
            <w:tcBorders>
              <w:top w:val="single" w:sz="4" w:space="0" w:color="auto"/>
              <w:left w:val="single" w:sz="4" w:space="0" w:color="auto"/>
              <w:right w:val="single" w:sz="4" w:space="0" w:color="auto"/>
            </w:tcBorders>
            <w:vAlign w:val="center"/>
          </w:tcPr>
          <w:p>
            <w:pPr>
              <w:pStyle w:val="style90"/>
              <w:snapToGrid w:val="false"/>
              <w:spacing w:lineRule="exact" w:line="380"/>
              <w:rPr>
                <w:rFonts w:cs="宋体" w:hAnsi="宋体"/>
              </w:rPr>
            </w:pPr>
            <w:r>
              <w:rPr>
                <w:rFonts w:cs="宋体" w:hAnsi="宋体" w:hint="eastAsia"/>
              </w:rPr>
              <w:t>□以标项（</w:t>
            </w:r>
            <w:r>
              <w:rPr>
                <w:rFonts w:ascii="MS Mincho" w:cs="MS Mincho" w:eastAsia="MS Mincho" w:hAnsi="MS Mincho"/>
              </w:rPr>
              <w:t>☑</w:t>
            </w:r>
            <w:r>
              <w:rPr>
                <w:rFonts w:cs="宋体" w:hAnsi="宋体" w:hint="eastAsia"/>
              </w:rPr>
              <w:t>中标金额</w:t>
            </w:r>
            <w:r>
              <w:rPr>
                <w:rFonts w:cs="宋体" w:hAnsi="宋体"/>
              </w:rPr>
              <w:t>/□</w:t>
            </w:r>
            <w:r>
              <w:rPr>
                <w:rFonts w:cs="宋体" w:hAnsi="宋体" w:hint="eastAsia"/>
              </w:rPr>
              <w:t>采购预算</w:t>
            </w:r>
            <w:r>
              <w:rPr>
                <w:rFonts w:cs="宋体" w:hAnsi="宋体"/>
              </w:rPr>
              <w:t>/□暂定中标金额/□其他）为计费额，按</w:t>
            </w:r>
            <w:r>
              <w:rPr>
                <w:rFonts w:cs="宋体" w:hAnsi="宋体" w:hint="eastAsia"/>
                <w:u w:val="single"/>
              </w:rPr>
              <w:t>服务类</w:t>
            </w:r>
            <w:r>
              <w:rPr>
                <w:rFonts w:cs="宋体" w:hAnsi="宋体"/>
              </w:rPr>
              <w:t>招标采用差额定率累进法计算出收费基准价格，采购代理收费以（</w:t>
            </w:r>
            <w:r>
              <w:rPr>
                <w:rFonts w:ascii="MS Mincho" w:cs="MS Mincho" w:eastAsia="MS Mincho" w:hAnsi="MS Mincho"/>
              </w:rPr>
              <w:t>☑</w:t>
            </w:r>
            <w:r>
              <w:rPr>
                <w:rFonts w:cs="宋体" w:hAnsi="宋体" w:hint="eastAsia"/>
              </w:rPr>
              <w:t>收费基准价格</w:t>
            </w:r>
            <w:r>
              <w:rPr>
                <w:rFonts w:cs="宋体" w:hAnsi="宋体"/>
              </w:rPr>
              <w:t>/□收费基准价格下浮</w:t>
            </w:r>
            <w:r>
              <w:rPr>
                <w:rFonts w:cs="宋体" w:hAnsi="宋体"/>
                <w:u w:val="single"/>
              </w:rPr>
              <w:t>%</w:t>
            </w:r>
            <w:r>
              <w:rPr>
                <w:rFonts w:cs="宋体" w:hAnsi="宋体"/>
              </w:rPr>
              <w:t>/</w:t>
            </w:r>
            <w:r>
              <w:rPr>
                <w:rFonts w:cs="宋体" w:hAnsi="宋体" w:hint="eastAsia"/>
              </w:rPr>
              <w:t>□收费基准价格上浮</w:t>
            </w:r>
            <w:r>
              <w:rPr>
                <w:rFonts w:cs="宋体" w:hAnsi="宋体"/>
                <w:u w:val="single"/>
              </w:rPr>
              <w:t>%</w:t>
            </w:r>
            <w:r>
              <w:rPr>
                <w:rFonts w:cs="宋体" w:hAnsi="宋体" w:hint="eastAsia"/>
              </w:rPr>
              <w:t>）收取。</w:t>
            </w:r>
          </w:p>
          <w:p>
            <w:pPr>
              <w:pStyle w:val="style90"/>
              <w:snapToGrid w:val="false"/>
              <w:spacing w:lineRule="exact" w:line="380"/>
              <w:rPr>
                <w:rFonts w:cs="宋体" w:hAnsi="宋体"/>
                <w:u w:val="single"/>
              </w:rPr>
            </w:pPr>
            <w:r>
              <w:rPr>
                <w:rFonts w:cs="宋体" w:hAnsi="宋体" w:hint="eastAsia"/>
              </w:rPr>
              <w:t>□固定采购代理收费</w:t>
            </w:r>
            <w:r>
              <w:rPr>
                <w:rFonts w:cs="宋体" w:hAnsi="宋体"/>
                <w:u w:val="single"/>
              </w:rPr>
              <w:t xml:space="preserve">              。</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jc w:val="center"/>
              <w:rPr>
                <w:rFonts w:ascii="宋体" w:hAnsi="宋体"/>
                <w:szCs w:val="21"/>
              </w:rPr>
            </w:pPr>
            <w:r>
              <w:rPr>
                <w:rFonts w:ascii="宋体" w:hAnsi="宋体"/>
                <w:szCs w:val="21"/>
              </w:rPr>
              <w:t>41.1</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解释</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b/>
                <w:szCs w:val="21"/>
              </w:rPr>
            </w:pPr>
            <w:r>
              <w:rPr>
                <w:rFonts w:ascii="宋体" w:hAnsi="宋体" w:hint="eastAsia"/>
                <w:b/>
                <w:szCs w:val="21"/>
              </w:rPr>
              <w:t>解释权：</w:t>
            </w:r>
            <w:r>
              <w:rPr>
                <w:rFonts w:ascii="宋体" w:hAnsi="宋体"/>
                <w:szCs w:val="21"/>
              </w:rPr>
              <w:t>构成本招标文件的各个组成文件应互为解释，互为说明；除招标文件中有特别规定外，仅适用于招标投标阶段的规定，按</w:t>
            </w:r>
            <w:r>
              <w:rPr>
                <w:rFonts w:ascii="宋体" w:hAnsi="宋体" w:hint="eastAsia"/>
                <w:szCs w:val="21"/>
              </w:rPr>
              <w:t>更正公告（澄清公告）</w:t>
            </w:r>
            <w:r>
              <w:rPr>
                <w:rFonts w:ascii="宋体" w:hAnsi="宋体"/>
                <w:szCs w:val="21"/>
              </w:rPr>
              <w:t>、招标公告、</w:t>
            </w:r>
            <w:r>
              <w:rPr>
                <w:rFonts w:ascii="宋体" w:hAnsi="宋体" w:hint="eastAsia"/>
                <w:szCs w:val="21"/>
              </w:rPr>
              <w:t>采购需求、</w:t>
            </w:r>
            <w:r>
              <w:rPr>
                <w:rFonts w:ascii="宋体" w:hAnsi="宋体"/>
                <w:szCs w:val="21"/>
              </w:rPr>
              <w:t>投标人须知、</w:t>
            </w:r>
            <w:r>
              <w:rPr>
                <w:rFonts w:ascii="宋体" w:hAnsi="宋体" w:hint="eastAsia"/>
                <w:szCs w:val="21"/>
              </w:rPr>
              <w:t>评标方法及评标标准</w:t>
            </w:r>
            <w:r>
              <w:rPr>
                <w:rFonts w:ascii="宋体" w:hAnsi="宋体"/>
                <w:szCs w:val="21"/>
              </w:rPr>
              <w:t>、</w:t>
            </w:r>
            <w:r>
              <w:rPr>
                <w:rFonts w:ascii="宋体" w:hAnsi="宋体" w:hint="eastAsia"/>
                <w:szCs w:val="21"/>
              </w:rPr>
              <w:t>拟签订的合同文本、</w:t>
            </w:r>
            <w:r>
              <w:rPr>
                <w:rFonts w:ascii="宋体" w:hAnsi="宋体"/>
                <w:szCs w:val="21"/>
              </w:rPr>
              <w:t>投标文件格式的先后顺序解释；同一组成文件中就同一事项的规定或者约定不一致的，以编排顺序在后者为准；同一组成文件不同版</w:t>
            </w:r>
            <w:r>
              <w:rPr>
                <w:rFonts w:ascii="宋体" w:hAnsi="宋体"/>
                <w:szCs w:val="21"/>
              </w:rPr>
              <w:t>本之间有不一致的，以形成时间在后者为准；</w:t>
            </w:r>
            <w:r>
              <w:rPr>
                <w:rFonts w:ascii="宋体" w:hAnsi="宋体" w:hint="eastAsia"/>
                <w:szCs w:val="21"/>
              </w:rPr>
              <w:t>更正公告（澄清公告）</w:t>
            </w:r>
            <w:r>
              <w:rPr>
                <w:rFonts w:ascii="宋体" w:hAnsi="宋体"/>
                <w:szCs w:val="21"/>
              </w:rPr>
              <w:t>与同步更新的招标文件不一致时以</w:t>
            </w:r>
            <w:r>
              <w:rPr>
                <w:rFonts w:ascii="宋体" w:hAnsi="宋体" w:hint="eastAsia"/>
                <w:szCs w:val="21"/>
              </w:rPr>
              <w:t>更正公告（澄清公告）</w:t>
            </w:r>
            <w:r>
              <w:rPr>
                <w:rFonts w:ascii="宋体" w:hAnsi="宋体"/>
                <w:szCs w:val="21"/>
              </w:rPr>
              <w:t>为准。按本款前述规定仍不能形成结论的</w:t>
            </w:r>
            <w:r>
              <w:rPr>
                <w:rFonts w:ascii="宋体" w:hAnsi="宋体"/>
                <w:b/>
                <w:szCs w:val="21"/>
              </w:rPr>
              <w:t>，由</w:t>
            </w:r>
            <w:r>
              <w:rPr>
                <w:rFonts w:ascii="宋体" w:hAnsi="宋体" w:hint="eastAsia"/>
                <w:b/>
                <w:szCs w:val="21"/>
              </w:rPr>
              <w:t>采购</w:t>
            </w:r>
            <w:r>
              <w:rPr>
                <w:rFonts w:ascii="宋体" w:hAnsi="宋体"/>
                <w:b/>
                <w:szCs w:val="21"/>
              </w:rPr>
              <w:t>人</w:t>
            </w:r>
            <w:r>
              <w:rPr>
                <w:rFonts w:ascii="宋体" w:hAnsi="宋体" w:hint="eastAsia"/>
                <w:b/>
                <w:szCs w:val="21"/>
              </w:rPr>
              <w:t>或者采购代理机构</w:t>
            </w:r>
            <w:r>
              <w:rPr>
                <w:rFonts w:ascii="宋体" w:hAnsi="宋体"/>
                <w:b/>
                <w:szCs w:val="21"/>
              </w:rPr>
              <w:t>负责解释。</w:t>
            </w:r>
          </w:p>
          <w:p>
            <w:pPr>
              <w:pStyle w:val="style0"/>
              <w:snapToGrid w:val="false"/>
              <w:spacing w:lineRule="exact" w:line="380"/>
              <w:rPr>
                <w:rFonts w:ascii="宋体" w:hAnsi="宋体"/>
                <w:szCs w:val="21"/>
              </w:rPr>
            </w:pPr>
            <w:r>
              <w:rPr>
                <w:rFonts w:ascii="宋体" w:hAnsi="宋体" w:hint="eastAsia"/>
                <w:b/>
                <w:szCs w:val="21"/>
              </w:rPr>
              <w:t>法律责任：</w:t>
            </w:r>
            <w:r>
              <w:rPr>
                <w:rFonts w:ascii="宋体" w:hAnsi="宋体" w:hint="eastAsia"/>
                <w:szCs w:val="21"/>
              </w:rPr>
              <w:t>本采购文件根据《中华人民共和国政府采购法》、《中华人民共和国民法典》、《中华人民共和国政府采购法实施条例》等有关法律、法规编制，参与本项目的各政府采购当事人依法享有上述法律法规所赋予的权利与义务。</w:t>
            </w:r>
          </w:p>
        </w:tc>
      </w:tr>
      <w:tr>
        <w:tblPrEx/>
        <w:trPr/>
        <w:tc>
          <w:tcPr>
            <w:tcW w:w="890"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jc w:val="center"/>
              <w:rPr>
                <w:rFonts w:ascii="宋体" w:hAnsi="宋体"/>
                <w:szCs w:val="21"/>
              </w:rPr>
            </w:pPr>
            <w:r>
              <w:rPr>
                <w:rFonts w:ascii="宋体" w:hAnsi="宋体"/>
                <w:szCs w:val="21"/>
              </w:rPr>
              <w:t>41.2</w:t>
            </w:r>
          </w:p>
        </w:tc>
        <w:tc>
          <w:tcPr>
            <w:tcW w:w="205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80"/>
              <w:rPr>
                <w:rFonts w:ascii="宋体" w:hAnsi="宋体"/>
                <w:szCs w:val="21"/>
              </w:rPr>
            </w:pPr>
            <w:r>
              <w:rPr>
                <w:rFonts w:ascii="宋体" w:hAnsi="宋体" w:hint="eastAsia"/>
                <w:szCs w:val="21"/>
              </w:rPr>
              <w:t>其他释义</w:t>
            </w:r>
          </w:p>
        </w:tc>
        <w:tc>
          <w:tcPr>
            <w:tcW w:w="6966" w:type="dxa"/>
            <w:tcBorders>
              <w:top w:val="single" w:sz="4" w:space="0" w:color="auto"/>
              <w:left w:val="single" w:sz="4" w:space="0" w:color="auto"/>
              <w:bottom w:val="single" w:sz="4" w:space="0" w:color="auto"/>
              <w:right w:val="single" w:sz="4" w:space="0" w:color="auto"/>
            </w:tcBorders>
            <w:vAlign w:val="center"/>
          </w:tcPr>
          <w:p>
            <w:pPr>
              <w:pStyle w:val="style90"/>
              <w:snapToGrid w:val="false"/>
              <w:spacing w:lineRule="exact" w:line="380"/>
              <w:rPr>
                <w:rFonts w:cs="宋体" w:hAnsi="宋体"/>
                <w:b/>
                <w:bCs/>
              </w:rPr>
            </w:pPr>
            <w:r>
              <w:rPr>
                <w:rFonts w:cs="宋体" w:hAnsi="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style90"/>
              <w:snapToGrid w:val="false"/>
              <w:spacing w:lineRule="exact" w:line="380"/>
              <w:rPr>
                <w:rFonts w:cs="宋体" w:hAnsi="宋体"/>
                <w:b/>
                <w:bCs/>
              </w:rPr>
            </w:pPr>
            <w:r>
              <w:rPr>
                <w:rFonts w:cs="宋体" w:hAnsi="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style90"/>
              <w:snapToGrid w:val="false"/>
              <w:spacing w:lineRule="exact" w:line="380"/>
              <w:rPr>
                <w:rFonts w:cs="宋体" w:hAnsi="宋体"/>
                <w:b/>
                <w:bCs/>
              </w:rPr>
            </w:pPr>
            <w:r>
              <w:rPr>
                <w:rFonts w:cs="宋体" w:hAnsi="宋体"/>
                <w:b/>
                <w:bCs/>
              </w:rPr>
              <w:t>3.本招标文件中描述投标人的“签字”是指投标人的法定代表人或者委托代理人亲自在文件规定签署处亲笔写上个人的名字的行为，私章、签字章、印鉴、影印等其他形式均不能代替亲笔签字。</w:t>
            </w:r>
          </w:p>
          <w:p>
            <w:pPr>
              <w:pStyle w:val="style90"/>
              <w:snapToGrid w:val="false"/>
              <w:spacing w:lineRule="exact" w:line="380"/>
              <w:rPr>
                <w:rFonts w:cs="宋体" w:hAnsi="宋体"/>
                <w:b/>
                <w:bCs/>
              </w:rPr>
            </w:pPr>
            <w:r>
              <w:rPr>
                <w:rFonts w:cs="宋体" w:hAnsi="宋体"/>
                <w:b/>
                <w:bCs/>
              </w:rPr>
              <w:t>4.自然人投标的，招标文件规定盖公章处由自然人摁手指指印。</w:t>
            </w:r>
          </w:p>
          <w:p>
            <w:pPr>
              <w:pStyle w:val="style0"/>
              <w:spacing w:lineRule="exact" w:line="380"/>
              <w:jc w:val="left"/>
              <w:rPr>
                <w:rFonts w:ascii="宋体" w:hAnsi="宋体"/>
                <w:szCs w:val="21"/>
              </w:rPr>
            </w:pPr>
            <w:r>
              <w:rPr>
                <w:rFonts w:ascii="宋体" w:cs="宋体" w:hAnsi="宋体"/>
                <w:b/>
                <w:bCs/>
                <w:szCs w:val="21"/>
              </w:rPr>
              <w:t>5.本招标文件所称的“以上”“以下”“以内”“届满”，包括本数；所称的“不满”“超过”“以外”，不包括本数。</w:t>
            </w:r>
          </w:p>
        </w:tc>
      </w:tr>
    </w:tbl>
    <w:p>
      <w:pPr>
        <w:pStyle w:val="style0"/>
        <w:rPr>
          <w:rFonts w:ascii="宋体" w:hAnsi="宋体"/>
        </w:rPr>
      </w:pPr>
    </w:p>
    <w:p>
      <w:pPr>
        <w:pStyle w:val="style32"/>
        <w:rPr/>
      </w:pPr>
    </w:p>
    <w:bookmarkStart w:id="87" w:name="_Toc119359484"/>
    <w:bookmarkStart w:id="88" w:name="_Toc9007"/>
    <w:p>
      <w:pPr>
        <w:pStyle w:val="style2"/>
        <w:jc w:val="center"/>
        <w:rPr>
          <w:rFonts w:ascii="宋体" w:eastAsia="宋体" w:hAnsi="宋体"/>
        </w:rPr>
      </w:pPr>
      <w:r>
        <w:rPr>
          <w:rFonts w:ascii="宋体" w:eastAsia="宋体" w:hAnsi="宋体" w:hint="eastAsia"/>
        </w:rPr>
        <w:t>第二节投标人须知正文</w:t>
      </w:r>
      <w:bookmarkEnd w:id="87"/>
      <w:bookmarkEnd w:id="88"/>
    </w:p>
    <w:bookmarkStart w:id="89" w:name="_Toc119359485"/>
    <w:bookmarkStart w:id="90" w:name="_Toc11648"/>
    <w:p>
      <w:pPr>
        <w:pStyle w:val="style3"/>
        <w:keepNext w:val="false"/>
        <w:keepLines w:val="false"/>
        <w:spacing w:lineRule="exact" w:line="400"/>
        <w:ind w:firstLine="602"/>
        <w:jc w:val="center"/>
        <w:rPr>
          <w:rFonts w:ascii="宋体" w:hAnsi="宋体"/>
          <w:sz w:val="30"/>
          <w:szCs w:val="30"/>
        </w:rPr>
      </w:pPr>
      <w:r>
        <w:rPr>
          <w:rFonts w:ascii="宋体" w:hAnsi="宋体" w:hint="eastAsia"/>
          <w:sz w:val="30"/>
          <w:szCs w:val="30"/>
        </w:rPr>
        <w:t>一、总则</w:t>
      </w:r>
      <w:bookmarkEnd w:id="89"/>
      <w:bookmarkEnd w:id="90"/>
    </w:p>
    <w:bookmarkStart w:id="91" w:name="_Toc254970668"/>
    <w:bookmarkStart w:id="92" w:name="_Toc254970527"/>
    <w:p>
      <w:pPr>
        <w:pStyle w:val="style0"/>
        <w:spacing w:lineRule="auto" w:line="360"/>
        <w:ind w:firstLine="482" w:firstLineChars="200"/>
        <w:rPr>
          <w:rFonts w:ascii="宋体" w:hAnsi="宋体"/>
          <w:b/>
          <w:sz w:val="24"/>
        </w:rPr>
      </w:pPr>
      <w:r>
        <w:rPr>
          <w:rFonts w:ascii="宋体" w:hAnsi="宋体"/>
          <w:b/>
          <w:sz w:val="24"/>
        </w:rPr>
        <w:t>1.适用范围</w:t>
      </w:r>
      <w:bookmarkEnd w:id="91"/>
      <w:bookmarkEnd w:id="92"/>
    </w:p>
    <w:p>
      <w:pPr>
        <w:pStyle w:val="style0"/>
        <w:spacing w:lineRule="auto" w:line="360"/>
        <w:ind w:firstLine="420" w:firstLineChars="200"/>
        <w:rPr>
          <w:rFonts w:ascii="宋体" w:hAnsi="宋体"/>
          <w:szCs w:val="21"/>
        </w:rPr>
      </w:pPr>
      <w:r>
        <w:rPr>
          <w:rFonts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pStyle w:val="style0"/>
        <w:spacing w:lineRule="auto" w:line="360"/>
        <w:ind w:firstLine="420" w:firstLineChars="200"/>
        <w:rPr>
          <w:rFonts w:ascii="宋体" w:hAnsi="宋体"/>
          <w:szCs w:val="21"/>
        </w:rPr>
      </w:pPr>
      <w:r>
        <w:rPr>
          <w:rFonts w:ascii="宋体" w:hAnsi="宋体"/>
          <w:szCs w:val="21"/>
        </w:rPr>
        <w:t>1.2本招标文件</w:t>
      </w:r>
      <w:r>
        <w:rPr>
          <w:rFonts w:ascii="宋体" w:cs="宋体" w:hAnsi="宋体" w:hint="eastAsia"/>
          <w:spacing w:val="-6"/>
          <w:szCs w:val="21"/>
        </w:rPr>
        <w:t>适用于本项目的所有采购程序和环节（法律、法规另有规定的，从其规定）。</w:t>
      </w:r>
    </w:p>
    <w:bookmarkStart w:id="93" w:name="_Toc254970669"/>
    <w:bookmarkStart w:id="94" w:name="_Toc254970528"/>
    <w:p>
      <w:pPr>
        <w:pStyle w:val="style0"/>
        <w:spacing w:lineRule="auto" w:line="360"/>
        <w:ind w:firstLine="482" w:firstLineChars="200"/>
        <w:rPr>
          <w:rFonts w:ascii="宋体" w:hAnsi="宋体"/>
          <w:b/>
          <w:sz w:val="24"/>
        </w:rPr>
      </w:pPr>
      <w:r>
        <w:rPr>
          <w:rFonts w:ascii="宋体" w:hAnsi="宋体"/>
          <w:b/>
          <w:sz w:val="24"/>
        </w:rPr>
        <w:t>2.定义</w:t>
      </w:r>
      <w:bookmarkEnd w:id="93"/>
      <w:bookmarkEnd w:id="94"/>
    </w:p>
    <w:p>
      <w:pPr>
        <w:pStyle w:val="style0"/>
        <w:spacing w:lineRule="auto" w:line="360"/>
        <w:ind w:firstLine="422" w:firstLineChars="200"/>
        <w:rPr>
          <w:rFonts w:ascii="宋体" w:hAnsi="宋体"/>
          <w:b/>
          <w:szCs w:val="21"/>
        </w:rPr>
      </w:pPr>
      <w:r>
        <w:rPr>
          <w:rFonts w:ascii="宋体" w:hAnsi="宋体"/>
          <w:b/>
          <w:szCs w:val="21"/>
        </w:rPr>
        <w:t>2.1“采购人”是指依法进行政府采购的国家机关、事业单位、团体组织。</w:t>
      </w:r>
    </w:p>
    <w:p>
      <w:pPr>
        <w:pStyle w:val="style0"/>
        <w:spacing w:lineRule="auto" w:line="360"/>
        <w:ind w:firstLine="422" w:firstLineChars="200"/>
        <w:rPr>
          <w:rFonts w:ascii="宋体" w:hAnsi="宋体"/>
          <w:b/>
          <w:szCs w:val="21"/>
        </w:rPr>
      </w:pPr>
      <w:r>
        <w:rPr>
          <w:rFonts w:ascii="宋体" w:hAnsi="宋体"/>
          <w:b/>
          <w:szCs w:val="21"/>
        </w:rPr>
        <w:t xml:space="preserve">2.2“采购代理机构” </w:t>
      </w:r>
      <w:r>
        <w:rPr>
          <w:rFonts w:ascii="宋体" w:hAnsi="宋体" w:hint="eastAsia"/>
          <w:b/>
          <w:szCs w:val="21"/>
        </w:rPr>
        <w:t>指政府采购集中采购机构和集中采购机构以外的采购代理机构。</w:t>
      </w:r>
    </w:p>
    <w:p>
      <w:pPr>
        <w:pStyle w:val="style0"/>
        <w:spacing w:lineRule="auto" w:line="360"/>
        <w:ind w:firstLine="422" w:firstLineChars="200"/>
        <w:rPr>
          <w:rFonts w:ascii="宋体" w:hAnsi="宋体"/>
          <w:b/>
          <w:szCs w:val="21"/>
        </w:rPr>
      </w:pPr>
      <w:r>
        <w:rPr>
          <w:rFonts w:ascii="宋体" w:hAnsi="宋体"/>
          <w:b/>
          <w:szCs w:val="21"/>
        </w:rPr>
        <w:t>2.3“供应商”是指向采购人提供货物、工程或者服务的法人、其他组织或者自然人。</w:t>
      </w:r>
    </w:p>
    <w:p>
      <w:pPr>
        <w:pStyle w:val="style0"/>
        <w:spacing w:lineRule="auto" w:line="360"/>
        <w:ind w:firstLine="420" w:firstLineChars="200"/>
        <w:rPr>
          <w:rFonts w:ascii="宋体" w:hAnsi="宋体"/>
          <w:szCs w:val="21"/>
        </w:rPr>
      </w:pPr>
      <w:r>
        <w:rPr>
          <w:rFonts w:ascii="宋体" w:hAnsi="宋体"/>
          <w:szCs w:val="21"/>
        </w:rPr>
        <w:t>2.4“投标人”是指响应招标、参加投标竞争的法人、非法人组织或者自然人。</w:t>
      </w:r>
    </w:p>
    <w:p>
      <w:pPr>
        <w:pStyle w:val="style0"/>
        <w:spacing w:lineRule="auto" w:line="360"/>
        <w:ind w:firstLine="422" w:firstLineChars="200"/>
        <w:rPr>
          <w:rFonts w:ascii="宋体" w:hAnsi="宋体"/>
          <w:b/>
          <w:szCs w:val="21"/>
        </w:rPr>
      </w:pPr>
      <w:r>
        <w:rPr>
          <w:rFonts w:ascii="宋体" w:hAnsi="宋体"/>
          <w:b/>
          <w:szCs w:val="21"/>
        </w:rPr>
        <w:t>2.5“货物”是指各种形态和种类的物品，包括原材料、燃料、设备、产品等。</w:t>
      </w:r>
    </w:p>
    <w:p>
      <w:pPr>
        <w:pStyle w:val="style5"/>
        <w:keepNext w:val="false"/>
        <w:keepLines w:val="false"/>
        <w:spacing w:before="0" w:after="0" w:lineRule="auto" w:line="360"/>
        <w:ind w:firstLine="420" w:firstLineChars="200"/>
        <w:rPr>
          <w:rFonts w:ascii="宋体" w:hAnsi="宋体"/>
          <w:b w:val="false"/>
          <w:sz w:val="21"/>
          <w:szCs w:val="21"/>
        </w:rPr>
      </w:pPr>
      <w:r>
        <w:rPr>
          <w:rFonts w:ascii="宋体" w:hAnsi="宋体"/>
          <w:b w:val="false"/>
          <w:sz w:val="21"/>
          <w:szCs w:val="21"/>
        </w:rPr>
        <w:t xml:space="preserve">2.6“售后服务” </w:t>
      </w:r>
      <w:r>
        <w:rPr>
          <w:rFonts w:ascii="宋体" w:hAnsi="宋体" w:hint="eastAsia"/>
          <w:b w:val="false"/>
          <w:sz w:val="21"/>
          <w:szCs w:val="21"/>
        </w:rPr>
        <w:t>是指商品出售以后所提供的各种服务，包含但不限于投标人须承担的备品备件、包装、运输、装卸、保险、货到就位以及安装、调试、培训、保修以及其他各种服务。</w:t>
      </w:r>
    </w:p>
    <w:p>
      <w:pPr>
        <w:pStyle w:val="style5"/>
        <w:keepNext w:val="false"/>
        <w:keepLines w:val="false"/>
        <w:spacing w:before="0" w:after="0" w:lineRule="auto" w:line="360"/>
        <w:rPr>
          <w:rFonts w:ascii="宋体" w:hAnsi="宋体"/>
          <w:b w:val="false"/>
          <w:sz w:val="21"/>
          <w:szCs w:val="21"/>
        </w:rPr>
      </w:pPr>
      <w:r>
        <w:rPr>
          <w:rFonts w:ascii="宋体" w:hAnsi="宋体"/>
          <w:b w:val="false"/>
          <w:sz w:val="21"/>
          <w:szCs w:val="21"/>
        </w:rPr>
        <w:t xml:space="preserve">    2.7“书面形式”是指合同书、信件和数据电文（包括电报、电传、传真、电子数据交换和电子邮件）等可以有形地表现所载内容的形式。</w:t>
      </w:r>
    </w:p>
    <w:p>
      <w:pPr>
        <w:pStyle w:val="style5"/>
        <w:keepNext w:val="false"/>
        <w:keepLines w:val="false"/>
        <w:spacing w:before="0" w:after="0" w:lineRule="auto" w:line="360"/>
        <w:ind w:firstLine="420" w:firstLineChars="200"/>
        <w:rPr>
          <w:rFonts w:ascii="宋体" w:hAnsi="宋体"/>
          <w:b w:val="false"/>
          <w:sz w:val="21"/>
          <w:szCs w:val="21"/>
        </w:rPr>
      </w:pPr>
      <w:r>
        <w:rPr>
          <w:rFonts w:ascii="宋体" w:hAnsi="宋体"/>
          <w:b w:val="false"/>
          <w:sz w:val="21"/>
          <w:szCs w:val="21"/>
        </w:rPr>
        <w:t>2.8“实质性要求”是指招标文件中已经指明不满足则投标无效的条款，或者不能负偏离的条款，或者采购需求中带“▲”的条款。</w:t>
      </w:r>
    </w:p>
    <w:p>
      <w:pPr>
        <w:pStyle w:val="style0"/>
        <w:snapToGrid w:val="false"/>
        <w:spacing w:lineRule="auto" w:line="360"/>
        <w:ind w:firstLine="420" w:firstLineChars="200"/>
        <w:jc w:val="left"/>
        <w:rPr>
          <w:rFonts w:ascii="宋体" w:cs="宋体" w:hAnsi="宋体"/>
          <w:szCs w:val="21"/>
        </w:rPr>
      </w:pPr>
      <w:r>
        <w:rPr>
          <w:rFonts w:ascii="宋体" w:hAnsi="宋体"/>
          <w:szCs w:val="21"/>
        </w:rPr>
        <w:t xml:space="preserve">2.9 </w:t>
      </w:r>
      <w:r>
        <w:rPr>
          <w:rFonts w:ascii="宋体" w:cs="宋体" w:hAnsi="宋体" w:hint="eastAsia"/>
          <w:szCs w:val="21"/>
        </w:rPr>
        <w:t>“正偏离”，是指投标文件对招标文件“采购需求”中有关条款作出的响应优于条款要求并有利于采购人的情形。</w:t>
      </w:r>
    </w:p>
    <w:p>
      <w:pPr>
        <w:pStyle w:val="style0"/>
        <w:snapToGrid w:val="false"/>
        <w:spacing w:lineRule="auto" w:line="360"/>
        <w:ind w:firstLine="420" w:firstLineChars="200"/>
        <w:jc w:val="left"/>
        <w:rPr>
          <w:rFonts w:ascii="宋体" w:cs="宋体" w:hAnsi="宋体"/>
          <w:szCs w:val="21"/>
        </w:rPr>
      </w:pPr>
      <w:r>
        <w:rPr>
          <w:rFonts w:ascii="宋体" w:cs="宋体" w:hAnsi="宋体"/>
          <w:szCs w:val="21"/>
        </w:rPr>
        <w:t>2.10</w:t>
      </w:r>
      <w:r>
        <w:rPr>
          <w:rFonts w:ascii="宋体" w:cs="宋体" w:hAnsi="宋体" w:hint="eastAsia"/>
          <w:szCs w:val="21"/>
        </w:rPr>
        <w:t>“负偏离”，是指投标文件对招标文件“采购需求”中有关条款作出的响应不满足条款要求，导致采购人要求不能得到满足的情形。</w:t>
      </w:r>
    </w:p>
    <w:p>
      <w:pPr>
        <w:pStyle w:val="style0"/>
        <w:snapToGrid w:val="false"/>
        <w:spacing w:lineRule="auto" w:line="360"/>
        <w:ind w:firstLine="420" w:firstLineChars="200"/>
        <w:jc w:val="left"/>
        <w:rPr>
          <w:rFonts w:ascii="宋体" w:cs="宋体" w:hAnsi="宋体"/>
          <w:szCs w:val="21"/>
        </w:rPr>
      </w:pPr>
      <w:r>
        <w:rPr>
          <w:rFonts w:ascii="宋体" w:hAnsi="宋体"/>
          <w:szCs w:val="21"/>
        </w:rPr>
        <w:t>2.11</w:t>
      </w:r>
      <w:r>
        <w:rPr>
          <w:rFonts w:ascii="宋体" w:cs="宋体" w:hAnsi="宋体" w:hint="eastAsia"/>
          <w:szCs w:val="21"/>
        </w:rPr>
        <w:t>“允许负偏离的条款”是指采购需求中的不属于“实质性要求”的条款。</w:t>
      </w:r>
    </w:p>
    <w:bookmarkStart w:id="95" w:name="_Toc254970670"/>
    <w:bookmarkStart w:id="96" w:name="_Toc254970529"/>
    <w:p>
      <w:pPr>
        <w:pStyle w:val="style0"/>
        <w:spacing w:lineRule="auto" w:line="360"/>
        <w:ind w:firstLine="482" w:firstLineChars="200"/>
        <w:rPr>
          <w:rFonts w:ascii="宋体" w:hAnsi="宋体"/>
          <w:b/>
          <w:sz w:val="24"/>
        </w:rPr>
      </w:pPr>
      <w:r>
        <w:rPr>
          <w:rFonts w:ascii="宋体" w:hAnsi="宋体"/>
          <w:b/>
          <w:sz w:val="24"/>
        </w:rPr>
        <w:t>3.</w:t>
      </w:r>
      <w:bookmarkEnd w:id="95"/>
      <w:bookmarkEnd w:id="96"/>
      <w:r>
        <w:rPr>
          <w:rFonts w:ascii="宋体" w:hAnsi="宋体" w:hint="eastAsia"/>
          <w:b/>
          <w:sz w:val="24"/>
        </w:rPr>
        <w:t>投标人的资格要求</w:t>
      </w:r>
    </w:p>
    <w:p>
      <w:pPr>
        <w:pStyle w:val="style0"/>
        <w:spacing w:lineRule="auto" w:line="360"/>
        <w:ind w:firstLine="420" w:firstLineChars="200"/>
        <w:rPr>
          <w:rFonts w:ascii="宋体" w:hAnsi="宋体"/>
          <w:szCs w:val="21"/>
        </w:rPr>
      </w:pPr>
      <w:r>
        <w:rPr>
          <w:rFonts w:ascii="宋体" w:hAnsi="宋体" w:hint="eastAsia"/>
          <w:szCs w:val="21"/>
        </w:rPr>
        <w:t>投标人的资格要求详见“招标公告”。</w:t>
      </w:r>
    </w:p>
    <w:bookmarkStart w:id="97" w:name="_Toc254970530"/>
    <w:bookmarkStart w:id="98" w:name="_Toc254970671"/>
    <w:p>
      <w:pPr>
        <w:pStyle w:val="style0"/>
        <w:spacing w:lineRule="auto" w:line="360"/>
        <w:ind w:firstLine="482" w:firstLineChars="200"/>
        <w:rPr>
          <w:rFonts w:ascii="宋体" w:hAnsi="宋体"/>
          <w:b/>
          <w:sz w:val="24"/>
        </w:rPr>
      </w:pPr>
      <w:r>
        <w:rPr>
          <w:rFonts w:ascii="宋体" w:hAnsi="宋体"/>
          <w:b/>
          <w:sz w:val="24"/>
        </w:rPr>
        <w:t>4.投标委托</w:t>
      </w:r>
      <w:bookmarkEnd w:id="97"/>
      <w:bookmarkEnd w:id="98"/>
    </w:p>
    <w:p>
      <w:pPr>
        <w:pStyle w:val="style0"/>
        <w:spacing w:lineRule="auto" w:line="360"/>
        <w:ind w:firstLine="420" w:firstLineChars="200"/>
        <w:rPr>
          <w:rFonts w:ascii="宋体" w:hAnsi="宋体"/>
          <w:szCs w:val="21"/>
        </w:rPr>
      </w:pPr>
      <w:r>
        <w:rPr>
          <w:rFonts w:ascii="宋体" w:hAnsi="宋体" w:hint="eastAsia"/>
          <w:szCs w:val="21"/>
        </w:rPr>
        <w:t>投标人代表参加投标活动过程中必须携带个人有效身份证件。如投标人代表不是法定代表人，须持有法定代表人授权委托书（正本用原件，副本用复印件，按第六章要求格式填写）。</w:t>
      </w:r>
    </w:p>
    <w:bookmarkStart w:id="99" w:name="_5.投标费用"/>
    <w:bookmarkStart w:id="100" w:name="_Toc254970531"/>
    <w:bookmarkStart w:id="101" w:name="_Toc254970672"/>
    <w:bookmarkEnd w:id="99"/>
    <w:p>
      <w:pPr>
        <w:pStyle w:val="style0"/>
        <w:spacing w:lineRule="auto" w:line="360"/>
        <w:ind w:firstLine="482" w:firstLineChars="200"/>
        <w:rPr>
          <w:rFonts w:ascii="宋体" w:hAnsi="宋体"/>
          <w:b/>
          <w:sz w:val="24"/>
        </w:rPr>
      </w:pPr>
      <w:r>
        <w:rPr>
          <w:rFonts w:ascii="宋体" w:hAnsi="宋体"/>
          <w:b/>
          <w:sz w:val="24"/>
        </w:rPr>
        <w:t>5.投标费用</w:t>
      </w:r>
      <w:bookmarkEnd w:id="100"/>
      <w:bookmarkEnd w:id="101"/>
    </w:p>
    <w:p>
      <w:pPr>
        <w:pStyle w:val="style0"/>
        <w:spacing w:lineRule="auto" w:line="360"/>
        <w:ind w:firstLine="420" w:firstLineChars="200"/>
        <w:rPr>
          <w:rFonts w:ascii="宋体" w:hAnsi="宋体"/>
          <w:szCs w:val="21"/>
        </w:rPr>
      </w:pPr>
      <w:r>
        <w:rPr>
          <w:rFonts w:ascii="宋体" w:cs="宋体" w:hAnsi="宋体" w:hint="eastAsia"/>
          <w:szCs w:val="21"/>
        </w:rPr>
        <w:t>投标费用：投标人应承担参与本次采购活动有关的所有费用，包括但不限于踏勘现场、编制投标文件、参加澄清说明、签订合同等，不论投标结果如何，均应自行承担。</w:t>
      </w:r>
    </w:p>
    <w:p>
      <w:pPr>
        <w:pStyle w:val="style0"/>
        <w:spacing w:lineRule="auto" w:line="360"/>
        <w:ind w:firstLine="482" w:firstLineChars="200"/>
        <w:rPr>
          <w:rFonts w:ascii="宋体" w:hAnsi="宋体"/>
          <w:b/>
          <w:sz w:val="24"/>
        </w:rPr>
      </w:pPr>
      <w:r>
        <w:rPr>
          <w:rFonts w:ascii="宋体" w:hAnsi="宋体"/>
          <w:b/>
          <w:sz w:val="24"/>
        </w:rPr>
        <w:t>6.联合体投标</w:t>
      </w:r>
    </w:p>
    <w:p>
      <w:pPr>
        <w:pStyle w:val="style0"/>
        <w:spacing w:lineRule="auto" w:line="360"/>
        <w:ind w:firstLine="420" w:firstLineChars="200"/>
        <w:rPr>
          <w:rFonts w:ascii="宋体" w:hAnsi="宋体"/>
          <w:szCs w:val="21"/>
        </w:rPr>
      </w:pPr>
      <w:r>
        <w:rPr>
          <w:rFonts w:ascii="宋体" w:hAnsi="宋体"/>
          <w:szCs w:val="21"/>
        </w:rPr>
        <w:t>6.1本项目是否接受联合体投标，详见“投标人须知前附表”。</w:t>
      </w:r>
    </w:p>
    <w:p>
      <w:pPr>
        <w:pStyle w:val="style0"/>
        <w:spacing w:lineRule="auto" w:line="360"/>
        <w:ind w:firstLine="420" w:firstLineChars="200"/>
        <w:rPr>
          <w:rFonts w:ascii="宋体" w:hAnsi="宋体"/>
          <w:bCs/>
          <w:szCs w:val="21"/>
        </w:rPr>
      </w:pPr>
      <w:r>
        <w:rPr>
          <w:rFonts w:ascii="宋体" w:hAnsi="宋体"/>
          <w:bCs/>
          <w:szCs w:val="21"/>
        </w:rPr>
        <w:t>6.2如接受联合体投标，联合体投标要求详见“投标人须知前附表”。</w:t>
      </w:r>
    </w:p>
    <w:p>
      <w:pPr>
        <w:pStyle w:val="style0"/>
        <w:spacing w:lineRule="auto" w:line="360"/>
        <w:ind w:firstLine="420" w:firstLineChars="200"/>
        <w:rPr>
          <w:rFonts w:ascii="宋体" w:hAnsi="宋体"/>
          <w:sz w:val="24"/>
          <w:shd w:val="clear" w:color="auto" w:fill="ffffff"/>
        </w:rPr>
      </w:pPr>
      <w:r>
        <w:rPr>
          <w:rFonts w:ascii="宋体" w:hAnsi="宋体"/>
          <w:bCs/>
          <w:szCs w:val="21"/>
        </w:rPr>
        <w:t>6.3根据《政府采购促进中小企业发展管理办法》（财库[2020]46号）第九条</w:t>
      </w:r>
      <w:r>
        <w:rPr>
          <w:rFonts w:ascii="宋体" w:hAnsi="宋体" w:hint="eastAsia"/>
          <w:bCs/>
          <w:szCs w:val="21"/>
        </w:rPr>
        <w:t>规定，</w:t>
      </w:r>
      <w:r>
        <w:rPr>
          <w:rFonts w:ascii="宋体" w:hAnsi="宋体"/>
          <w:bCs/>
          <w:szCs w:val="21"/>
        </w:rPr>
        <w:t>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pStyle w:val="style0"/>
        <w:spacing w:lineRule="auto" w:line="360"/>
        <w:ind w:firstLine="482" w:firstLineChars="200"/>
        <w:rPr>
          <w:rFonts w:ascii="宋体" w:hAnsi="宋体"/>
          <w:b/>
          <w:sz w:val="24"/>
        </w:rPr>
      </w:pPr>
      <w:r>
        <w:rPr>
          <w:rFonts w:ascii="宋体" w:hAnsi="宋体"/>
          <w:b/>
          <w:sz w:val="24"/>
        </w:rPr>
        <w:t xml:space="preserve">7.转包与分包             </w:t>
      </w:r>
    </w:p>
    <w:p>
      <w:pPr>
        <w:pStyle w:val="style0"/>
        <w:spacing w:lineRule="auto" w:line="360"/>
        <w:ind w:firstLine="422" w:firstLineChars="200"/>
        <w:rPr>
          <w:rFonts w:ascii="宋体" w:hAnsi="宋体"/>
          <w:b/>
          <w:szCs w:val="21"/>
        </w:rPr>
      </w:pPr>
      <w:r>
        <w:rPr>
          <w:rFonts w:ascii="宋体" w:hAnsi="宋体"/>
          <w:b/>
          <w:szCs w:val="21"/>
        </w:rPr>
        <w:t>7.1</w:t>
      </w:r>
      <w:r>
        <w:rPr>
          <w:rFonts w:ascii="宋体" w:hAnsi="宋体" w:hint="eastAsia"/>
          <w:b/>
          <w:szCs w:val="21"/>
        </w:rPr>
        <w:t>本项目是否允许分包详见“投标人须知前附表”，本项目不允许违法分包。投标人根据招标文件</w:t>
      </w:r>
      <w:r>
        <w:rPr>
          <w:rFonts w:ascii="宋体" w:hAnsi="宋体" w:hint="eastAsia"/>
          <w:b/>
          <w:szCs w:val="21"/>
        </w:rPr>
        <w:t>的规定和采购项目的实际情况，拟在中标后将中标项目的非主体、非关键性工作分包的，应当在投标文件中载明分包承担主体，分包承担主体应当具备相应资质条件且不得再次分包。</w:t>
      </w:r>
    </w:p>
    <w:p>
      <w:pPr>
        <w:pStyle w:val="style0"/>
        <w:spacing w:lineRule="auto" w:line="360"/>
        <w:ind w:firstLine="420" w:firstLineChars="200"/>
        <w:rPr>
          <w:rFonts w:ascii="宋体" w:hAnsi="宋体"/>
          <w:bCs/>
          <w:szCs w:val="21"/>
        </w:rPr>
      </w:pPr>
      <w:r>
        <w:rPr>
          <w:rFonts w:ascii="宋体" w:hAnsi="宋体"/>
          <w:bCs/>
          <w:szCs w:val="21"/>
        </w:rPr>
        <w:t>7.2</w:t>
      </w:r>
      <w:r>
        <w:rPr>
          <w:rFonts w:ascii="宋体" w:hAnsi="宋体" w:hint="eastAsia"/>
          <w:bCs/>
          <w:szCs w:val="21"/>
        </w:rPr>
        <w:t>根据《政府采购促进中小企业发展管理办法》（财库</w:t>
      </w:r>
      <w:r>
        <w:rPr>
          <w:rFonts w:ascii="宋体" w:hAnsi="宋体"/>
          <w:bCs/>
          <w:szCs w:val="21"/>
        </w:rPr>
        <w:t>[2020]46号）第九条</w:t>
      </w:r>
      <w:r>
        <w:rPr>
          <w:rFonts w:ascii="宋体" w:hAnsi="宋体" w:hint="eastAsia"/>
          <w:bCs/>
          <w:szCs w:val="21"/>
        </w:rPr>
        <w:t>规定，</w:t>
      </w:r>
      <w:r>
        <w:rPr>
          <w:rFonts w:ascii="宋体" w:hAnsi="宋体"/>
          <w:bCs/>
          <w:szCs w:val="21"/>
        </w:rPr>
        <w:t>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bookmarkStart w:id="102" w:name="_Toc254970532"/>
    <w:bookmarkStart w:id="103" w:name="_Toc254970673"/>
    <w:p>
      <w:pPr>
        <w:pStyle w:val="style0"/>
        <w:spacing w:lineRule="auto" w:line="360"/>
        <w:ind w:firstLine="482" w:firstLineChars="200"/>
        <w:rPr>
          <w:rFonts w:ascii="宋体" w:hAnsi="宋体"/>
          <w:sz w:val="24"/>
        </w:rPr>
      </w:pPr>
      <w:r>
        <w:rPr>
          <w:rFonts w:ascii="宋体" w:hAnsi="宋体"/>
          <w:b/>
          <w:sz w:val="24"/>
        </w:rPr>
        <w:t>8.特别说明</w:t>
      </w:r>
      <w:r>
        <w:rPr>
          <w:rFonts w:ascii="宋体" w:hAnsi="宋体" w:hint="eastAsia"/>
          <w:sz w:val="24"/>
        </w:rPr>
        <w:t>：</w:t>
      </w:r>
      <w:bookmarkStart w:id="104" w:name="_8.1提供相同品牌产品且通过资格审查、符合性审查的不同投标人参加同一合"/>
      <w:bookmarkEnd w:id="102"/>
      <w:bookmarkEnd w:id="103"/>
      <w:bookmarkEnd w:id="104"/>
    </w:p>
    <w:p>
      <w:pPr>
        <w:pStyle w:val="style0"/>
        <w:spacing w:lineRule="auto" w:line="360"/>
        <w:ind w:firstLine="420" w:firstLineChars="200"/>
        <w:rPr>
          <w:rFonts w:ascii="宋体" w:hAnsi="宋体"/>
          <w:szCs w:val="21"/>
        </w:rPr>
      </w:pPr>
      <w:r>
        <w:rPr>
          <w:rFonts w:ascii="宋体" w:hAnsi="宋体"/>
          <w:szCs w:val="21"/>
        </w:rPr>
        <w:t>8.1</w:t>
      </w:r>
      <w:r>
        <w:rPr>
          <w:rFonts w:ascii="宋体" w:hAnsi="宋体" w:hint="eastAsia"/>
          <w:szCs w:val="21"/>
        </w:rPr>
        <w:t>如果本招标文件要求投标人提供资格、信誉、荣誉、业绩与企业认证等材料的，则投标人所提供的以上材料必须为投标人所拥有。</w:t>
      </w:r>
    </w:p>
    <w:p>
      <w:pPr>
        <w:pStyle w:val="style0"/>
        <w:spacing w:lineRule="auto" w:line="360"/>
        <w:ind w:firstLine="420" w:firstLineChars="200"/>
        <w:rPr>
          <w:rFonts w:ascii="宋体" w:hAnsi="宋体"/>
          <w:szCs w:val="21"/>
        </w:rPr>
      </w:pPr>
      <w:r>
        <w:rPr>
          <w:rFonts w:ascii="宋体" w:hAnsi="宋体"/>
          <w:szCs w:val="21"/>
        </w:rPr>
        <w:t>8.2</w:t>
      </w:r>
      <w:r>
        <w:rPr>
          <w:rFonts w:ascii="宋体" w:hAnsi="宋体" w:hint="eastAsia"/>
          <w:szCs w:val="21"/>
        </w:rPr>
        <w:t>投标人应仔细阅读招标文件的所有内容，按照招标文件的要求提交投标文件，并对所提供的全部资料的真实性承担法律责任。</w:t>
      </w:r>
    </w:p>
    <w:p>
      <w:pPr>
        <w:pStyle w:val="style0"/>
        <w:spacing w:lineRule="auto" w:line="360"/>
        <w:ind w:firstLine="420" w:firstLineChars="200"/>
        <w:rPr>
          <w:rFonts w:ascii="宋体" w:hAnsi="宋体"/>
          <w:szCs w:val="21"/>
        </w:rPr>
      </w:pPr>
      <w:r>
        <w:rPr>
          <w:rFonts w:ascii="宋体" w:hAnsi="宋体"/>
          <w:szCs w:val="21"/>
        </w:rPr>
        <w:t>8.3</w:t>
      </w:r>
      <w:r>
        <w:rPr>
          <w:rFonts w:ascii="宋体" w:hAnsi="宋体" w:hint="eastAsia"/>
          <w:szCs w:val="21"/>
        </w:rPr>
        <w:t>投标人在投标活动中提供任何虚假材料，将报监管部门查处；中标后发现的，中标人须依照《中华人民共和国民法典》规定赔偿采购人，且民事赔偿并不免除违法投标人的行政与刑事责任。</w:t>
      </w:r>
    </w:p>
    <w:p>
      <w:pPr>
        <w:pStyle w:val="style0"/>
        <w:spacing w:lineRule="auto" w:line="360"/>
        <w:ind w:firstLine="482" w:firstLineChars="200"/>
        <w:rPr>
          <w:rFonts w:ascii="宋体" w:hAnsi="宋体"/>
          <w:b/>
          <w:sz w:val="24"/>
        </w:rPr>
      </w:pPr>
      <w:r>
        <w:rPr>
          <w:rFonts w:ascii="宋体" w:hAnsi="宋体"/>
          <w:b/>
          <w:sz w:val="24"/>
        </w:rPr>
        <w:t>9.</w:t>
      </w:r>
      <w:r>
        <w:rPr>
          <w:rFonts w:ascii="宋体" w:hAnsi="宋体" w:hint="eastAsia"/>
          <w:b/>
          <w:sz w:val="24"/>
        </w:rPr>
        <w:t>回避与串通投标</w:t>
      </w:r>
    </w:p>
    <w:p>
      <w:pPr>
        <w:pStyle w:val="style0"/>
        <w:spacing w:lineRule="auto" w:line="360"/>
        <w:ind w:firstLine="422" w:firstLineChars="200"/>
        <w:rPr>
          <w:rFonts w:ascii="宋体" w:hAnsi="宋体"/>
          <w:b/>
          <w:szCs w:val="21"/>
        </w:rPr>
      </w:pPr>
      <w:r>
        <w:rPr>
          <w:rFonts w:ascii="宋体" w:hAnsi="宋体"/>
          <w:b/>
          <w:szCs w:val="21"/>
        </w:rPr>
        <w:t>9.1在政府采购活动中，采购人员及相关人员与</w:t>
      </w:r>
      <w:r>
        <w:rPr>
          <w:rFonts w:ascii="宋体" w:hAnsi="宋体" w:hint="eastAsia"/>
          <w:b/>
          <w:szCs w:val="21"/>
        </w:rPr>
        <w:t>供应商</w:t>
      </w:r>
      <w:r>
        <w:rPr>
          <w:rFonts w:ascii="宋体" w:hAnsi="宋体"/>
          <w:b/>
          <w:szCs w:val="21"/>
        </w:rPr>
        <w:t>有下列利害关系之一的，应当回避：</w:t>
      </w:r>
    </w:p>
    <w:p>
      <w:pPr>
        <w:pStyle w:val="style0"/>
        <w:spacing w:lineRule="auto" w:line="360"/>
        <w:ind w:firstLine="420" w:firstLineChars="200"/>
        <w:rPr>
          <w:rFonts w:ascii="宋体" w:hAnsi="宋体"/>
        </w:rPr>
      </w:pPr>
      <w:r>
        <w:rPr>
          <w:rFonts w:ascii="宋体" w:hAnsi="宋体"/>
        </w:rPr>
        <w:t>（1）参加采购活动前3年内与</w:t>
      </w:r>
      <w:r>
        <w:rPr>
          <w:rFonts w:ascii="宋体" w:hAnsi="宋体" w:hint="eastAsia"/>
        </w:rPr>
        <w:t>供应商</w:t>
      </w:r>
      <w:r>
        <w:rPr>
          <w:rFonts w:ascii="宋体" w:hAnsi="宋体"/>
        </w:rPr>
        <w:t>存在劳动关系；</w:t>
      </w:r>
    </w:p>
    <w:p>
      <w:pPr>
        <w:pStyle w:val="style0"/>
        <w:spacing w:lineRule="auto" w:line="360"/>
        <w:ind w:firstLine="420" w:firstLineChars="200"/>
        <w:rPr>
          <w:rFonts w:ascii="宋体" w:hAnsi="宋体"/>
        </w:rPr>
      </w:pPr>
      <w:r>
        <w:rPr>
          <w:rFonts w:ascii="宋体" w:hAnsi="宋体"/>
        </w:rPr>
        <w:t>（2）参加采购活动前3年内担任</w:t>
      </w:r>
      <w:r>
        <w:rPr>
          <w:rFonts w:ascii="宋体" w:hAnsi="宋体" w:hint="eastAsia"/>
        </w:rPr>
        <w:t>供应商</w:t>
      </w:r>
      <w:r>
        <w:rPr>
          <w:rFonts w:ascii="宋体" w:hAnsi="宋体"/>
        </w:rPr>
        <w:t>的董事、监事；</w:t>
      </w:r>
    </w:p>
    <w:p>
      <w:pPr>
        <w:pStyle w:val="style0"/>
        <w:spacing w:lineRule="auto" w:line="360"/>
        <w:ind w:firstLine="420" w:firstLineChars="200"/>
        <w:rPr>
          <w:rFonts w:ascii="宋体" w:hAnsi="宋体"/>
        </w:rPr>
      </w:pPr>
      <w:r>
        <w:rPr>
          <w:rFonts w:ascii="宋体" w:hAnsi="宋体"/>
        </w:rPr>
        <w:t>（3）参加采购活动前3年内是</w:t>
      </w:r>
      <w:r>
        <w:rPr>
          <w:rFonts w:ascii="宋体" w:hAnsi="宋体" w:hint="eastAsia"/>
        </w:rPr>
        <w:t>供应商</w:t>
      </w:r>
      <w:r>
        <w:rPr>
          <w:rFonts w:ascii="宋体" w:hAnsi="宋体"/>
        </w:rPr>
        <w:t>的控股股东或者实际控制人；</w:t>
      </w:r>
    </w:p>
    <w:p>
      <w:pPr>
        <w:pStyle w:val="style0"/>
        <w:spacing w:lineRule="auto" w:line="360"/>
        <w:ind w:firstLine="420" w:firstLineChars="200"/>
        <w:rPr>
          <w:rFonts w:ascii="宋体" w:hAnsi="宋体"/>
        </w:rPr>
      </w:pPr>
      <w:r>
        <w:rPr>
          <w:rFonts w:ascii="宋体" w:hAnsi="宋体"/>
        </w:rPr>
        <w:t>（4）与</w:t>
      </w:r>
      <w:r>
        <w:rPr>
          <w:rFonts w:ascii="宋体" w:hAnsi="宋体" w:hint="eastAsia"/>
        </w:rPr>
        <w:t>供应商</w:t>
      </w:r>
      <w:r>
        <w:rPr>
          <w:rFonts w:ascii="宋体" w:hAnsi="宋体"/>
        </w:rPr>
        <w:t>的法定代表人或者负责人有夫妻、直系血亲、三代以内旁系血亲或者近姻亲关系；</w:t>
      </w:r>
    </w:p>
    <w:p>
      <w:pPr>
        <w:pStyle w:val="style0"/>
        <w:spacing w:lineRule="auto" w:line="360"/>
        <w:ind w:firstLine="420" w:firstLineChars="200"/>
        <w:rPr>
          <w:rFonts w:ascii="宋体" w:hAnsi="宋体"/>
        </w:rPr>
      </w:pPr>
      <w:r>
        <w:rPr>
          <w:rFonts w:ascii="宋体" w:hAnsi="宋体"/>
        </w:rPr>
        <w:t>（5）与</w:t>
      </w:r>
      <w:r>
        <w:rPr>
          <w:rFonts w:ascii="宋体" w:hAnsi="宋体" w:hint="eastAsia"/>
        </w:rPr>
        <w:t>供应商</w:t>
      </w:r>
      <w:r>
        <w:rPr>
          <w:rFonts w:ascii="宋体" w:hAnsi="宋体"/>
        </w:rPr>
        <w:t>有其他可能影响政府采购活动公平、公正进行的关系。</w:t>
      </w:r>
    </w:p>
    <w:p>
      <w:pPr>
        <w:pStyle w:val="style0"/>
        <w:spacing w:lineRule="auto" w:line="360"/>
        <w:ind w:firstLine="420" w:firstLineChars="200"/>
        <w:rPr>
          <w:rFonts w:ascii="宋体" w:hAnsi="宋体"/>
        </w:rPr>
      </w:pPr>
      <w:r>
        <w:rPr>
          <w:rFonts w:ascii="宋体" w:hAnsi="宋体" w:hint="eastAsia"/>
        </w:rPr>
        <w:t>供应商</w:t>
      </w:r>
      <w:r>
        <w:rPr>
          <w:rFonts w:ascii="宋体" w:hAnsi="宋体"/>
        </w:rPr>
        <w:t>认为采购人员及相关人员与其他</w:t>
      </w:r>
      <w:r>
        <w:rPr>
          <w:rFonts w:ascii="宋体" w:hAnsi="宋体" w:hint="eastAsia"/>
        </w:rPr>
        <w:t>供应商</w:t>
      </w:r>
      <w:r>
        <w:rPr>
          <w:rFonts w:ascii="宋体" w:hAnsi="宋体"/>
        </w:rPr>
        <w:t>有利害关系的，可以向采购人或者采购代理机构书面提出回避申请，并说明理由。采购人或者采购代理机构应当及时询问被申请回避人员，有利害关系的被申请回避人员应当回避。</w:t>
      </w:r>
    </w:p>
    <w:p>
      <w:pPr>
        <w:pStyle w:val="style0"/>
        <w:spacing w:lineRule="auto" w:line="360"/>
        <w:ind w:firstLine="420" w:firstLineChars="200"/>
        <w:rPr>
          <w:rFonts w:ascii="宋体" w:hAnsi="宋体"/>
          <w:szCs w:val="21"/>
        </w:rPr>
      </w:pPr>
      <w:r>
        <w:rPr>
          <w:rFonts w:ascii="宋体" w:hAnsi="宋体"/>
          <w:szCs w:val="21"/>
        </w:rPr>
        <w:t>9.2</w:t>
      </w:r>
      <w:r>
        <w:rPr>
          <w:rFonts w:ascii="宋体" w:hAnsi="宋体" w:hint="eastAsia"/>
          <w:szCs w:val="21"/>
        </w:rPr>
        <w:t>有下列情形之一的视为投标人相互串通投标，投标文件将被视为无效：</w:t>
      </w:r>
    </w:p>
    <w:p>
      <w:pPr>
        <w:pStyle w:val="style0"/>
        <w:spacing w:lineRule="auto" w:line="360"/>
        <w:ind w:firstLine="420" w:firstLineChars="200"/>
        <w:rPr>
          <w:rFonts w:ascii="宋体" w:hAnsi="宋体"/>
        </w:rPr>
      </w:pPr>
      <w:r>
        <w:rPr>
          <w:rFonts w:ascii="宋体" w:hAnsi="宋体" w:hint="eastAsia"/>
        </w:rPr>
        <w:t>（</w:t>
      </w:r>
      <w:r>
        <w:rPr>
          <w:rFonts w:ascii="宋体" w:hAnsi="宋体"/>
        </w:rPr>
        <w:t>1）不同投标人的投标文件由同一单位或者个人编制；或者不同投标人报名的IP地址一致的；</w:t>
      </w:r>
    </w:p>
    <w:p>
      <w:pPr>
        <w:pStyle w:val="style0"/>
        <w:spacing w:lineRule="auto" w:line="360"/>
        <w:ind w:firstLine="420" w:firstLineChars="200"/>
        <w:rPr>
          <w:rFonts w:ascii="宋体" w:hAnsi="宋体"/>
        </w:rPr>
      </w:pPr>
      <w:r>
        <w:rPr>
          <w:rFonts w:ascii="宋体" w:hAnsi="宋体" w:hint="eastAsia"/>
        </w:rPr>
        <w:t>（</w:t>
      </w:r>
      <w:r>
        <w:rPr>
          <w:rFonts w:ascii="宋体" w:hAnsi="宋体"/>
        </w:rPr>
        <w:t>2）不同投标人委托同一单位或者个人办理投标事宜；</w:t>
      </w:r>
    </w:p>
    <w:p>
      <w:pPr>
        <w:pStyle w:val="style0"/>
        <w:spacing w:lineRule="auto" w:line="360"/>
        <w:ind w:firstLine="420" w:firstLineChars="200"/>
        <w:rPr>
          <w:rFonts w:ascii="宋体" w:hAnsi="宋体"/>
        </w:rPr>
      </w:pPr>
      <w:r>
        <w:rPr>
          <w:rFonts w:ascii="宋体" w:hAnsi="宋体" w:hint="eastAsia"/>
        </w:rPr>
        <w:t>（</w:t>
      </w:r>
      <w:r>
        <w:rPr>
          <w:rFonts w:ascii="宋体" w:hAnsi="宋体"/>
        </w:rPr>
        <w:t>3）不同的投标人的投标文件载明的项目管理员为同一个人；</w:t>
      </w:r>
    </w:p>
    <w:p>
      <w:pPr>
        <w:pStyle w:val="style0"/>
        <w:spacing w:lineRule="auto" w:line="360"/>
        <w:ind w:firstLine="420" w:firstLineChars="200"/>
        <w:rPr>
          <w:rFonts w:ascii="宋体" w:hAnsi="宋体"/>
        </w:rPr>
      </w:pPr>
      <w:r>
        <w:rPr>
          <w:rFonts w:ascii="宋体" w:hAnsi="宋体" w:hint="eastAsia"/>
        </w:rPr>
        <w:t>（</w:t>
      </w:r>
      <w:r>
        <w:rPr>
          <w:rFonts w:ascii="宋体" w:hAnsi="宋体"/>
        </w:rPr>
        <w:t>4）不同投标人的电子或纸质投标文件异常一致或者投标报价呈规律性差异；</w:t>
      </w:r>
    </w:p>
    <w:p>
      <w:pPr>
        <w:pStyle w:val="style0"/>
        <w:spacing w:lineRule="auto" w:line="360"/>
        <w:ind w:firstLine="420" w:firstLineChars="200"/>
        <w:rPr>
          <w:rFonts w:ascii="宋体" w:hAnsi="宋体"/>
        </w:rPr>
      </w:pPr>
      <w:r>
        <w:rPr>
          <w:rFonts w:ascii="宋体" w:hAnsi="宋体" w:hint="eastAsia"/>
        </w:rPr>
        <w:t>（</w:t>
      </w:r>
      <w:r>
        <w:rPr>
          <w:rFonts w:ascii="宋体" w:hAnsi="宋体"/>
        </w:rPr>
        <w:t>5）不同投标人的纸质投标文件相互混装；</w:t>
      </w:r>
    </w:p>
    <w:p>
      <w:pPr>
        <w:pStyle w:val="style0"/>
        <w:spacing w:lineRule="auto" w:line="360"/>
        <w:ind w:firstLine="420" w:firstLineChars="200"/>
        <w:rPr>
          <w:rFonts w:ascii="宋体" w:hAnsi="宋体"/>
          <w:szCs w:val="21"/>
        </w:rPr>
      </w:pPr>
      <w:r>
        <w:rPr>
          <w:rFonts w:ascii="宋体" w:hAnsi="宋体"/>
          <w:szCs w:val="21"/>
        </w:rPr>
        <w:t>9.3</w:t>
      </w:r>
      <w:r>
        <w:rPr>
          <w:rFonts w:ascii="宋体" w:hAnsi="宋体" w:hint="eastAsia"/>
          <w:szCs w:val="21"/>
        </w:rPr>
        <w:t>供应商有下列情形之一的，属于恶意串通行为，将报同级监督管理部门：</w:t>
      </w:r>
    </w:p>
    <w:p>
      <w:pPr>
        <w:pStyle w:val="style0"/>
        <w:spacing w:lineRule="auto" w:line="360"/>
        <w:ind w:firstLine="420" w:firstLineChars="200"/>
        <w:rPr>
          <w:rFonts w:ascii="宋体" w:hAnsi="宋体"/>
        </w:rPr>
      </w:pPr>
      <w:r>
        <w:rPr>
          <w:rFonts w:ascii="宋体" w:hAnsi="宋体" w:hint="eastAsia"/>
        </w:rPr>
        <w:t>（</w:t>
      </w:r>
      <w:r>
        <w:rPr>
          <w:rFonts w:ascii="宋体" w:hAnsi="宋体"/>
        </w:rPr>
        <w:t>1）供应商直接或者间接从采购人或者采购代理机构处获得其他供应商的相关信息并修改其投标文件或者投标文件；</w:t>
      </w:r>
    </w:p>
    <w:p>
      <w:pPr>
        <w:pStyle w:val="style0"/>
        <w:spacing w:lineRule="auto" w:line="360"/>
        <w:ind w:firstLine="420" w:firstLineChars="200"/>
        <w:rPr>
          <w:rFonts w:ascii="宋体" w:hAnsi="宋体"/>
        </w:rPr>
      </w:pPr>
      <w:r>
        <w:rPr>
          <w:rFonts w:ascii="宋体" w:hAnsi="宋体" w:hint="eastAsia"/>
        </w:rPr>
        <w:t>（</w:t>
      </w:r>
      <w:r>
        <w:rPr>
          <w:rFonts w:ascii="宋体" w:hAnsi="宋体"/>
        </w:rPr>
        <w:t>2）供应商按照采购人或者采购代理机构的授意撤换、修改投标文件或者投标文件；</w:t>
      </w:r>
    </w:p>
    <w:p>
      <w:pPr>
        <w:pStyle w:val="style0"/>
        <w:spacing w:lineRule="auto" w:line="360"/>
        <w:ind w:firstLine="420" w:firstLineChars="200"/>
        <w:rPr>
          <w:rFonts w:ascii="宋体" w:hAnsi="宋体"/>
        </w:rPr>
      </w:pPr>
      <w:r>
        <w:rPr>
          <w:rFonts w:ascii="宋体" w:hAnsi="宋体" w:hint="eastAsia"/>
        </w:rPr>
        <w:t>（</w:t>
      </w:r>
      <w:r>
        <w:rPr>
          <w:rFonts w:ascii="宋体" w:hAnsi="宋体"/>
        </w:rPr>
        <w:t>3）供应商之间协商报价、技术方案等投标文件或者投标文件的实质性内容；</w:t>
      </w:r>
    </w:p>
    <w:p>
      <w:pPr>
        <w:pStyle w:val="style0"/>
        <w:spacing w:lineRule="auto" w:line="360"/>
        <w:ind w:firstLine="420" w:firstLineChars="200"/>
        <w:rPr>
          <w:rFonts w:ascii="宋体" w:hAnsi="宋体"/>
        </w:rPr>
      </w:pPr>
      <w:r>
        <w:rPr>
          <w:rFonts w:ascii="宋体" w:hAnsi="宋体" w:hint="eastAsia"/>
        </w:rPr>
        <w:t>（</w:t>
      </w:r>
      <w:r>
        <w:rPr>
          <w:rFonts w:ascii="宋体" w:hAnsi="宋体"/>
        </w:rPr>
        <w:t>4）属于同一集团、协会、商会等组织成员的供应商按照该组织要求协同参加政府采购活动；</w:t>
      </w:r>
    </w:p>
    <w:p>
      <w:pPr>
        <w:pStyle w:val="style0"/>
        <w:spacing w:lineRule="auto" w:line="360"/>
        <w:ind w:firstLine="420" w:firstLineChars="200"/>
        <w:rPr>
          <w:rFonts w:ascii="宋体" w:hAnsi="宋体"/>
        </w:rPr>
      </w:pPr>
      <w:r>
        <w:rPr>
          <w:rFonts w:ascii="宋体" w:hAnsi="宋体" w:hint="eastAsia"/>
        </w:rPr>
        <w:t>（</w:t>
      </w:r>
      <w:r>
        <w:rPr>
          <w:rFonts w:ascii="宋体" w:hAnsi="宋体"/>
        </w:rPr>
        <w:t>5）供应商之间事先约定一致抬高或者压低投标报价，或者在招标项目中事先约定轮流以高价位或者低价位中标，或者事先约定由某一特定供应商中标，然后再参加投标；</w:t>
      </w:r>
    </w:p>
    <w:p>
      <w:pPr>
        <w:pStyle w:val="style0"/>
        <w:spacing w:lineRule="auto" w:line="360"/>
        <w:ind w:firstLine="420" w:firstLineChars="200"/>
        <w:rPr>
          <w:rFonts w:ascii="宋体" w:hAnsi="宋体"/>
        </w:rPr>
      </w:pPr>
      <w:r>
        <w:rPr>
          <w:rFonts w:ascii="宋体" w:hAnsi="宋体" w:hint="eastAsia"/>
        </w:rPr>
        <w:t>（</w:t>
      </w:r>
      <w:r>
        <w:rPr>
          <w:rFonts w:ascii="宋体" w:hAnsi="宋体"/>
        </w:rPr>
        <w:t>6）供应商之间商定部分供应商放弃参加政府采购活动或者放弃中标；</w:t>
      </w:r>
    </w:p>
    <w:p>
      <w:pPr>
        <w:pStyle w:val="style0"/>
        <w:spacing w:lineRule="auto" w:line="360"/>
        <w:ind w:firstLine="420" w:firstLineChars="200"/>
        <w:rPr>
          <w:rFonts w:ascii="宋体" w:hAnsi="宋体"/>
        </w:rPr>
      </w:pPr>
      <w:r>
        <w:rPr>
          <w:rFonts w:ascii="宋体" w:hAnsi="宋体" w:hint="eastAsia"/>
        </w:rPr>
        <w:t>（</w:t>
      </w:r>
      <w:r>
        <w:rPr>
          <w:rFonts w:ascii="宋体" w:hAnsi="宋体"/>
        </w:rPr>
        <w:t>7）供应商与采购人或者采购代理机构之间、供应商相互之间，为谋求特定供应商中标或者排斥其他供应商的其他串通行为。</w:t>
      </w:r>
    </w:p>
    <w:p>
      <w:pPr>
        <w:pStyle w:val="style90"/>
        <w:snapToGrid w:val="false"/>
        <w:spacing w:lineRule="auto" w:line="360"/>
        <w:ind w:left="2" w:leftChars="1" w:firstLine="422" w:firstLineChars="200"/>
        <w:rPr>
          <w:rFonts w:hAnsi="宋体"/>
          <w:b/>
        </w:rPr>
      </w:pPr>
    </w:p>
    <w:p>
      <w:pPr>
        <w:pStyle w:val="style90"/>
        <w:snapToGrid w:val="false"/>
        <w:spacing w:lineRule="auto" w:line="360"/>
        <w:ind w:left="2" w:leftChars="1" w:firstLine="422" w:firstLineChars="200"/>
        <w:rPr>
          <w:rFonts w:hAnsi="宋体"/>
          <w:b/>
        </w:rPr>
      </w:pPr>
    </w:p>
    <w:bookmarkStart w:id="105" w:name="_Toc254970534"/>
    <w:bookmarkStart w:id="106" w:name="_Toc254970675"/>
    <w:bookmarkStart w:id="107" w:name="_Toc119359486"/>
    <w:bookmarkStart w:id="108" w:name="_Toc30369"/>
    <w:p>
      <w:pPr>
        <w:pStyle w:val="style3"/>
        <w:keepNext w:val="false"/>
        <w:keepLines w:val="false"/>
        <w:spacing w:lineRule="exact" w:line="400"/>
        <w:ind w:firstLine="602"/>
        <w:jc w:val="center"/>
        <w:rPr>
          <w:rFonts w:ascii="宋体" w:hAnsi="宋体"/>
          <w:sz w:val="30"/>
          <w:szCs w:val="30"/>
        </w:rPr>
      </w:pPr>
      <w:r>
        <w:rPr>
          <w:rFonts w:ascii="宋体" w:hAnsi="宋体" w:hint="eastAsia"/>
          <w:sz w:val="30"/>
          <w:szCs w:val="30"/>
        </w:rPr>
        <w:t>二、招标文件</w:t>
      </w:r>
      <w:bookmarkEnd w:id="105"/>
      <w:bookmarkEnd w:id="106"/>
      <w:bookmarkEnd w:id="107"/>
      <w:bookmarkEnd w:id="108"/>
    </w:p>
    <w:p>
      <w:pPr>
        <w:pStyle w:val="style0"/>
        <w:spacing w:lineRule="auto" w:line="360"/>
        <w:ind w:firstLine="482" w:firstLineChars="200"/>
        <w:rPr>
          <w:rFonts w:ascii="宋体" w:hAnsi="宋体"/>
          <w:b/>
          <w:sz w:val="24"/>
        </w:rPr>
      </w:pPr>
      <w:r>
        <w:rPr>
          <w:rFonts w:ascii="宋体" w:hAnsi="宋体"/>
          <w:b/>
          <w:sz w:val="24"/>
        </w:rPr>
        <w:t>10.招标文件的组成</w:t>
      </w:r>
    </w:p>
    <w:p>
      <w:pPr>
        <w:pStyle w:val="style0"/>
        <w:spacing w:lineRule="auto" w:line="360"/>
        <w:ind w:firstLine="420" w:firstLineChars="200"/>
        <w:rPr>
          <w:rFonts w:ascii="宋体" w:hAnsi="宋体"/>
          <w:szCs w:val="21"/>
        </w:rPr>
      </w:pPr>
      <w:r>
        <w:rPr>
          <w:rFonts w:ascii="宋体" w:hAnsi="宋体" w:hint="eastAsia"/>
          <w:szCs w:val="21"/>
        </w:rPr>
        <w:t>第一章招标公告；</w:t>
      </w:r>
    </w:p>
    <w:p>
      <w:pPr>
        <w:pStyle w:val="style0"/>
        <w:spacing w:lineRule="auto" w:line="360"/>
        <w:ind w:firstLine="420" w:firstLineChars="200"/>
        <w:rPr>
          <w:rFonts w:ascii="宋体" w:hAnsi="宋体"/>
          <w:szCs w:val="21"/>
        </w:rPr>
      </w:pPr>
      <w:r>
        <w:rPr>
          <w:rFonts w:ascii="宋体" w:hAnsi="宋体" w:hint="eastAsia"/>
          <w:szCs w:val="21"/>
        </w:rPr>
        <w:t>第二章</w:t>
      </w:r>
      <w:r>
        <w:rPr>
          <w:rFonts w:ascii="宋体" w:hAnsi="宋体"/>
          <w:szCs w:val="21"/>
        </w:rPr>
        <w:t xml:space="preserve"> 采购需求； </w:t>
      </w:r>
    </w:p>
    <w:p>
      <w:pPr>
        <w:pStyle w:val="style0"/>
        <w:spacing w:lineRule="auto" w:line="360"/>
        <w:ind w:firstLine="420" w:firstLineChars="200"/>
        <w:rPr>
          <w:rFonts w:ascii="宋体" w:hAnsi="宋体"/>
          <w:szCs w:val="21"/>
        </w:rPr>
      </w:pPr>
      <w:r>
        <w:rPr>
          <w:rFonts w:ascii="宋体" w:hAnsi="宋体" w:hint="eastAsia"/>
          <w:szCs w:val="21"/>
        </w:rPr>
        <w:t>第三章投标人须知；</w:t>
      </w:r>
    </w:p>
    <w:p>
      <w:pPr>
        <w:pStyle w:val="style0"/>
        <w:spacing w:lineRule="auto" w:line="360"/>
        <w:ind w:firstLine="420" w:firstLineChars="200"/>
        <w:rPr>
          <w:rFonts w:ascii="宋体" w:hAnsi="宋体"/>
          <w:szCs w:val="21"/>
        </w:rPr>
      </w:pPr>
      <w:r>
        <w:rPr>
          <w:rFonts w:ascii="宋体" w:hAnsi="宋体" w:hint="eastAsia"/>
          <w:szCs w:val="21"/>
        </w:rPr>
        <w:t>第四章评标方法及评标标准；</w:t>
      </w:r>
    </w:p>
    <w:p>
      <w:pPr>
        <w:pStyle w:val="style0"/>
        <w:spacing w:lineRule="auto" w:line="360"/>
        <w:ind w:firstLine="420" w:firstLineChars="200"/>
        <w:rPr>
          <w:rFonts w:ascii="宋体" w:hAnsi="宋体"/>
          <w:szCs w:val="21"/>
        </w:rPr>
      </w:pPr>
      <w:r>
        <w:rPr>
          <w:rFonts w:ascii="宋体" w:hAnsi="宋体" w:hint="eastAsia"/>
          <w:szCs w:val="21"/>
        </w:rPr>
        <w:t>第五章拟签订的合同文本；</w:t>
      </w:r>
    </w:p>
    <w:p>
      <w:pPr>
        <w:pStyle w:val="style0"/>
        <w:spacing w:lineRule="auto" w:line="360"/>
        <w:ind w:firstLine="420" w:firstLineChars="200"/>
        <w:rPr>
          <w:rFonts w:ascii="宋体" w:hAnsi="宋体"/>
          <w:szCs w:val="21"/>
        </w:rPr>
      </w:pPr>
      <w:r>
        <w:rPr>
          <w:rFonts w:ascii="宋体" w:hAnsi="宋体" w:hint="eastAsia"/>
          <w:szCs w:val="21"/>
        </w:rPr>
        <w:t>第六章投标文件格式；</w:t>
      </w:r>
    </w:p>
    <w:p>
      <w:pPr>
        <w:pStyle w:val="style0"/>
        <w:spacing w:lineRule="auto" w:line="360"/>
        <w:ind w:firstLine="420" w:firstLineChars="200"/>
        <w:rPr>
          <w:rFonts w:ascii="宋体" w:hAnsi="宋体"/>
          <w:szCs w:val="21"/>
        </w:rPr>
      </w:pPr>
      <w:r>
        <w:rPr>
          <w:rFonts w:ascii="宋体" w:hAnsi="宋体" w:hint="eastAsia"/>
          <w:szCs w:val="21"/>
        </w:rPr>
        <w:t>第七章质疑、投诉材料格式</w:t>
      </w:r>
    </w:p>
    <w:p>
      <w:pPr>
        <w:pStyle w:val="style0"/>
        <w:spacing w:lineRule="auto" w:line="360"/>
        <w:ind w:firstLine="420" w:firstLineChars="200"/>
        <w:rPr>
          <w:rFonts w:ascii="宋体" w:hAnsi="宋体"/>
        </w:rPr>
      </w:pPr>
      <w:r>
        <w:rPr>
          <w:rFonts w:ascii="宋体" w:hAnsi="宋体" w:hint="eastAsia"/>
        </w:rPr>
        <w:t>根据本章第</w:t>
      </w:r>
      <w:r>
        <w:rPr>
          <w:rFonts w:ascii="宋体" w:hAnsi="宋体"/>
        </w:rPr>
        <w:t>11.1项的规定对公开招标文件所做的澄清、修改，构成招标文件的组成部分。当公开招标文件与招标文件的澄清和修改就同一内容的表述不一致时，以最后澄清或修改公告为准。</w:t>
      </w:r>
    </w:p>
    <w:p>
      <w:pPr>
        <w:pStyle w:val="style0"/>
        <w:spacing w:lineRule="auto" w:line="360"/>
        <w:ind w:firstLine="482" w:firstLineChars="200"/>
        <w:rPr>
          <w:rFonts w:ascii="宋体" w:hAnsi="宋体"/>
          <w:b/>
          <w:sz w:val="24"/>
        </w:rPr>
      </w:pPr>
      <w:r>
        <w:rPr>
          <w:rFonts w:ascii="宋体" w:hAnsi="宋体"/>
          <w:b/>
          <w:sz w:val="24"/>
        </w:rPr>
        <w:t xml:space="preserve">11.招标文件的澄清、修改 </w:t>
      </w:r>
      <w:r>
        <w:rPr>
          <w:rFonts w:ascii="宋体" w:hAnsi="宋体" w:hint="eastAsia"/>
          <w:b/>
          <w:sz w:val="24"/>
        </w:rPr>
        <w:t>、现场考察和答疑会</w:t>
      </w:r>
    </w:p>
    <w:p>
      <w:pPr>
        <w:pStyle w:val="style0"/>
        <w:spacing w:lineRule="auto" w:line="360"/>
        <w:ind w:firstLine="422" w:firstLineChars="200"/>
        <w:rPr>
          <w:rFonts w:ascii="宋体" w:hAnsi="宋体"/>
          <w:b/>
          <w:szCs w:val="21"/>
        </w:rPr>
      </w:pPr>
      <w:r>
        <w:rPr>
          <w:rFonts w:ascii="宋体" w:hAnsi="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style0"/>
        <w:spacing w:lineRule="auto" w:line="360"/>
        <w:ind w:firstLine="420" w:firstLineChars="200"/>
        <w:rPr>
          <w:rFonts w:ascii="宋体" w:hAnsi="宋体"/>
        </w:rPr>
      </w:pPr>
      <w:r>
        <w:rPr>
          <w:rFonts w:ascii="宋体" w:hAnsi="宋体"/>
        </w:rPr>
        <w:t xml:space="preserve">11.2 </w:t>
      </w:r>
      <w:r>
        <w:rPr>
          <w:rFonts w:ascii="宋体" w:hAnsi="宋体" w:hint="eastAsia"/>
        </w:rPr>
        <w:t>投标人应认真审阅本公开招标文件，如有疑问，或发现其中有误或有要求不合理的，应在投标人须知前附表规定的</w:t>
      </w:r>
      <w:r>
        <w:rPr>
          <w:rFonts w:ascii="宋体" w:cs="宋体" w:hAnsi="宋体" w:hint="eastAsia"/>
          <w:kern w:val="0"/>
          <w:szCs w:val="21"/>
        </w:rPr>
        <w:t>投标截止时间</w:t>
      </w:r>
      <w:r>
        <w:rPr>
          <w:rFonts w:ascii="宋体" w:hAnsi="宋体" w:hint="eastAsia"/>
        </w:rPr>
        <w:t>前以书面形式要求采购人或采购代理机构对招标文件予以澄清；否则，</w:t>
      </w:r>
      <w:r>
        <w:rPr>
          <w:rFonts w:ascii="宋体" w:hAnsi="宋体" w:hint="eastAsia"/>
        </w:rPr>
        <w:t>由此产生的后果由投标人自行负责。</w:t>
      </w:r>
    </w:p>
    <w:p>
      <w:pPr>
        <w:pStyle w:val="style0"/>
        <w:spacing w:lineRule="auto" w:line="360"/>
        <w:ind w:firstLine="420" w:firstLineChars="200"/>
        <w:rPr>
          <w:rFonts w:ascii="宋体" w:hAnsi="宋体"/>
        </w:rPr>
      </w:pPr>
      <w:r>
        <w:rPr>
          <w:rFonts w:ascii="宋体" w:hAnsi="宋体"/>
        </w:rPr>
        <w:t xml:space="preserve">11.3 </w:t>
      </w:r>
      <w:r>
        <w:rPr>
          <w:rFonts w:ascii="宋体" w:hAnsi="宋体" w:hint="eastAsia"/>
        </w:rPr>
        <w:t>采购人或者采购代理机构可以对已发出的招标文件进行必要的澄清或者修改。澄清或者修改的内容可能影响投标文件编制的，采购人或者采购代理机构应当在投标截止时间至少</w:t>
      </w:r>
      <w:r>
        <w:rPr>
          <w:rFonts w:ascii="宋体" w:hAnsi="宋体"/>
        </w:rPr>
        <w:t>15日前，以书面形式通知(在“</w:t>
      </w:r>
      <w:r>
        <w:rPr>
          <w:rFonts w:ascii="宋体" w:hAnsi="宋体"/>
          <w:szCs w:val="21"/>
        </w:rPr>
        <w:t>投标人须知前附表”</w:t>
      </w:r>
      <w:r>
        <w:rPr>
          <w:rFonts w:ascii="宋体" w:hAnsi="宋体" w:hint="eastAsia"/>
        </w:rPr>
        <w:t>规定的政府采购信息发布媒体上发布更正公告及平台短信通知</w:t>
      </w:r>
      <w:r>
        <w:rPr>
          <w:rFonts w:ascii="宋体" w:hAnsi="宋体"/>
        </w:rPr>
        <w:t>)所有获取招标文件的潜在投标人；不足15日的，采购人或者采购代理机构应当顺延提交投标文件的截止时间。发出的澄清或者修改不影响投标文件编制的也应在截标前3日发出。</w:t>
      </w:r>
    </w:p>
    <w:p>
      <w:pPr>
        <w:pStyle w:val="style0"/>
        <w:spacing w:lineRule="auto" w:line="360"/>
        <w:ind w:firstLine="420" w:firstLineChars="200"/>
        <w:rPr>
          <w:rFonts w:ascii="宋体" w:hAnsi="宋体"/>
        </w:rPr>
      </w:pPr>
      <w:r>
        <w:rPr>
          <w:rFonts w:ascii="宋体" w:hAnsi="宋体"/>
        </w:rPr>
        <w:t xml:space="preserve">11.4 </w:t>
      </w:r>
      <w:r>
        <w:rPr>
          <w:rFonts w:ascii="宋体" w:hAnsi="宋体" w:hint="eastAsia"/>
        </w:rPr>
        <w:t>采购人和采购代理机构可以视采购具体情况，变更投标截止时间和开标时间，将变更时间将在“</w:t>
      </w:r>
      <w:r>
        <w:rPr>
          <w:rFonts w:ascii="宋体" w:hAnsi="宋体"/>
          <w:szCs w:val="21"/>
        </w:rPr>
        <w:t>投标人须知前附表”</w:t>
      </w:r>
      <w:r>
        <w:rPr>
          <w:rFonts w:ascii="宋体" w:cs="宋体" w:hAnsi="宋体" w:hint="eastAsia"/>
          <w:kern w:val="0"/>
          <w:szCs w:val="21"/>
        </w:rPr>
        <w:t>规定的政府采购信息发布媒体上</w:t>
      </w:r>
      <w:r>
        <w:rPr>
          <w:rFonts w:ascii="宋体" w:hAnsi="宋体" w:hint="eastAsia"/>
        </w:rPr>
        <w:t>发布更正公告。</w:t>
      </w:r>
    </w:p>
    <w:p>
      <w:pPr>
        <w:pStyle w:val="style0"/>
        <w:spacing w:lineRule="auto" w:line="360"/>
        <w:ind w:firstLine="420" w:firstLineChars="200"/>
        <w:rPr>
          <w:rFonts w:ascii="宋体" w:hAnsi="宋体"/>
        </w:rPr>
      </w:pPr>
      <w:r>
        <w:rPr>
          <w:rFonts w:ascii="宋体" w:hAnsi="宋体"/>
        </w:rPr>
        <w:t>11.</w:t>
      </w:r>
      <w:bookmarkStart w:id="109" w:name="_Hlk53134511"/>
      <w:r>
        <w:rPr>
          <w:rFonts w:ascii="宋体" w:hAnsi="宋体"/>
        </w:rPr>
        <w:t>5采购人或者采购代理机构可以在招标文件提供期限截止后，组织已获取招标文件的潜在投标人现场考察或者召开开标前答疑会，具体详见“投标人须知前附表”。</w:t>
      </w:r>
    </w:p>
    <w:p>
      <w:pPr>
        <w:pStyle w:val="style32"/>
        <w:rPr/>
      </w:pPr>
    </w:p>
    <w:bookmarkStart w:id="110" w:name="_Toc119359487"/>
    <w:bookmarkStart w:id="111" w:name="_Toc254970535"/>
    <w:bookmarkStart w:id="112" w:name="_Toc254970676"/>
    <w:bookmarkStart w:id="113" w:name="_Toc14388"/>
    <w:bookmarkEnd w:id="109"/>
    <w:p>
      <w:pPr>
        <w:pStyle w:val="style3"/>
        <w:keepNext w:val="false"/>
        <w:keepLines w:val="false"/>
        <w:spacing w:lineRule="exact" w:line="400"/>
        <w:ind w:firstLine="602"/>
        <w:jc w:val="center"/>
        <w:rPr>
          <w:rFonts w:ascii="宋体" w:hAnsi="宋体"/>
          <w:sz w:val="30"/>
          <w:szCs w:val="30"/>
        </w:rPr>
      </w:pPr>
      <w:r>
        <w:rPr>
          <w:rFonts w:ascii="宋体" w:hAnsi="宋体" w:hint="eastAsia"/>
          <w:sz w:val="30"/>
          <w:szCs w:val="30"/>
        </w:rPr>
        <w:t>三、投标文件的编制</w:t>
      </w:r>
      <w:bookmarkEnd w:id="110"/>
      <w:bookmarkEnd w:id="111"/>
      <w:bookmarkEnd w:id="112"/>
      <w:bookmarkEnd w:id="113"/>
    </w:p>
    <w:bookmarkStart w:id="114" w:name="_Toc254970536"/>
    <w:bookmarkStart w:id="115" w:name="_Toc254970677"/>
    <w:p>
      <w:pPr>
        <w:pStyle w:val="style0"/>
        <w:spacing w:lineRule="auto" w:line="360"/>
        <w:ind w:firstLine="482" w:firstLineChars="200"/>
        <w:rPr>
          <w:rFonts w:ascii="宋体" w:hAnsi="宋体"/>
          <w:b/>
          <w:sz w:val="24"/>
        </w:rPr>
      </w:pPr>
      <w:r>
        <w:rPr>
          <w:rFonts w:ascii="宋体" w:hAnsi="宋体"/>
          <w:b/>
          <w:sz w:val="24"/>
        </w:rPr>
        <w:t>12.投标文件的编制原则</w:t>
      </w:r>
    </w:p>
    <w:p>
      <w:pPr>
        <w:pStyle w:val="style0"/>
        <w:spacing w:lineRule="auto" w:line="360"/>
        <w:ind w:firstLine="420" w:firstLineChars="200"/>
        <w:rPr>
          <w:rFonts w:ascii="宋体" w:hAnsi="宋体"/>
          <w:szCs w:val="21"/>
        </w:rPr>
      </w:pPr>
      <w:r>
        <w:rPr>
          <w:rFonts w:ascii="宋体" w:hAnsi="宋体"/>
          <w:szCs w:val="21"/>
        </w:rPr>
        <w:t>12.1投标人必须按照招标文件的要求编制投标文件。投标文件必须对招标文件提出的要求和条件作出明确响应。</w:t>
      </w:r>
    </w:p>
    <w:p>
      <w:pPr>
        <w:pStyle w:val="style0"/>
        <w:spacing w:lineRule="auto" w:line="360"/>
        <w:ind w:firstLine="420" w:firstLineChars="200"/>
        <w:rPr>
          <w:rFonts w:ascii="宋体" w:hAnsi="宋体"/>
          <w:szCs w:val="21"/>
        </w:rPr>
      </w:pPr>
      <w:r>
        <w:rPr>
          <w:rFonts w:ascii="宋体" w:hAnsi="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pStyle w:val="style0"/>
        <w:spacing w:lineRule="auto" w:line="360"/>
        <w:ind w:firstLine="482" w:firstLineChars="200"/>
        <w:rPr>
          <w:rFonts w:ascii="宋体" w:hAnsi="宋体"/>
          <w:b/>
          <w:sz w:val="24"/>
        </w:rPr>
      </w:pPr>
      <w:r>
        <w:rPr>
          <w:rFonts w:ascii="宋体" w:hAnsi="宋体"/>
          <w:b/>
          <w:sz w:val="24"/>
        </w:rPr>
        <w:t>13.投标文件的组成</w:t>
      </w:r>
      <w:bookmarkEnd w:id="114"/>
      <w:bookmarkEnd w:id="115"/>
    </w:p>
    <w:p>
      <w:pPr>
        <w:pStyle w:val="style0"/>
        <w:spacing w:lineRule="auto" w:line="360"/>
        <w:ind w:firstLine="420" w:firstLineChars="200"/>
        <w:rPr>
          <w:rFonts w:ascii="宋体" w:hAnsi="宋体"/>
          <w:szCs w:val="21"/>
        </w:rPr>
      </w:pPr>
      <w:r>
        <w:rPr>
          <w:rFonts w:ascii="宋体" w:hAnsi="宋体"/>
          <w:szCs w:val="21"/>
        </w:rPr>
        <w:t>13.1</w:t>
      </w:r>
      <w:r>
        <w:rPr>
          <w:rFonts w:ascii="宋体" w:hAnsi="宋体" w:hint="eastAsia"/>
          <w:szCs w:val="21"/>
        </w:rPr>
        <w:t>投标文件由报价文件、资格证明文件、商务文件、技术文件四部分组成。</w:t>
      </w:r>
    </w:p>
    <w:bookmarkStart w:id="116" w:name="_13.1报价文件:_具体材料见“投标人须知前附表”。"/>
    <w:bookmarkStart w:id="117" w:name="_13.2资格证明文件：具体材料见“投标人须知前附表”。"/>
    <w:bookmarkEnd w:id="116"/>
    <w:bookmarkEnd w:id="117"/>
    <w:p>
      <w:pPr>
        <w:pStyle w:val="style0"/>
        <w:spacing w:lineRule="auto" w:line="360"/>
        <w:ind w:firstLine="420" w:firstLineChars="200"/>
        <w:rPr>
          <w:rFonts w:ascii="宋体" w:hAnsi="宋体"/>
          <w:bCs/>
          <w:szCs w:val="21"/>
        </w:rPr>
      </w:pPr>
      <w:r>
        <w:rPr>
          <w:rFonts w:ascii="宋体" w:hAnsi="宋体" w:hint="eastAsia"/>
          <w:bCs/>
          <w:szCs w:val="21"/>
        </w:rPr>
        <w:t>（</w:t>
      </w:r>
      <w:r>
        <w:rPr>
          <w:rFonts w:ascii="宋体" w:hAnsi="宋体"/>
          <w:bCs/>
          <w:szCs w:val="21"/>
        </w:rPr>
        <w:t>1）资格证明文件：具体材料见“投标人须知前附表”</w:t>
      </w:r>
      <w:r>
        <w:rPr>
          <w:rFonts w:ascii="宋体" w:hAnsi="宋体" w:hint="eastAsia"/>
          <w:bCs/>
          <w:szCs w:val="21"/>
        </w:rPr>
        <w:t>。</w:t>
      </w:r>
    </w:p>
    <w:bookmarkStart w:id="118" w:name="_13.3商务文件:_具体材料见“投标人须知前附表”。"/>
    <w:bookmarkEnd w:id="118"/>
    <w:p>
      <w:pPr>
        <w:pStyle w:val="style0"/>
        <w:spacing w:lineRule="auto" w:line="360"/>
        <w:ind w:firstLine="420" w:firstLineChars="200"/>
        <w:rPr>
          <w:rFonts w:ascii="宋体" w:hAnsi="宋体"/>
          <w:bCs/>
          <w:szCs w:val="21"/>
        </w:rPr>
      </w:pPr>
      <w:r>
        <w:rPr>
          <w:rFonts w:ascii="宋体" w:hAnsi="宋体" w:hint="eastAsia"/>
          <w:bCs/>
          <w:szCs w:val="21"/>
        </w:rPr>
        <w:t>（</w:t>
      </w:r>
      <w:r>
        <w:rPr>
          <w:rFonts w:ascii="宋体" w:hAnsi="宋体"/>
          <w:bCs/>
          <w:szCs w:val="21"/>
        </w:rPr>
        <w:t>2）商务文件：具体材料见“投标人须知前附表”</w:t>
      </w:r>
      <w:r>
        <w:rPr>
          <w:rFonts w:ascii="宋体" w:hAnsi="宋体" w:hint="eastAsia"/>
          <w:bCs/>
          <w:szCs w:val="21"/>
        </w:rPr>
        <w:t>。</w:t>
      </w:r>
    </w:p>
    <w:bookmarkStart w:id="119" w:name="_13.4技术文件：具体材料见“投标人须知前附表”。"/>
    <w:bookmarkEnd w:id="119"/>
    <w:p>
      <w:pPr>
        <w:pStyle w:val="style0"/>
        <w:spacing w:lineRule="auto" w:line="360"/>
        <w:ind w:firstLine="420" w:firstLineChars="200"/>
        <w:rPr>
          <w:rFonts w:ascii="宋体" w:hAnsi="宋体"/>
          <w:bCs/>
          <w:szCs w:val="21"/>
        </w:rPr>
      </w:pPr>
      <w:r>
        <w:rPr>
          <w:rFonts w:ascii="宋体" w:hAnsi="宋体" w:hint="eastAsia"/>
          <w:bCs/>
          <w:szCs w:val="21"/>
        </w:rPr>
        <w:t>（</w:t>
      </w:r>
      <w:r>
        <w:rPr>
          <w:rFonts w:ascii="宋体" w:hAnsi="宋体"/>
          <w:bCs/>
          <w:szCs w:val="21"/>
        </w:rPr>
        <w:t>3）技术文件：具体材料见“投标人须知前附表”</w:t>
      </w:r>
      <w:r>
        <w:rPr>
          <w:rFonts w:ascii="宋体" w:hAnsi="宋体" w:hint="eastAsia"/>
          <w:bCs/>
          <w:szCs w:val="21"/>
        </w:rPr>
        <w:t>。</w:t>
      </w:r>
    </w:p>
    <w:p>
      <w:pPr>
        <w:pStyle w:val="style0"/>
        <w:spacing w:lineRule="auto" w:line="360"/>
        <w:ind w:firstLine="420" w:firstLineChars="200"/>
        <w:rPr>
          <w:rFonts w:ascii="宋体" w:hAnsi="宋体"/>
          <w:bCs/>
          <w:szCs w:val="21"/>
        </w:rPr>
      </w:pPr>
      <w:r>
        <w:rPr>
          <w:rFonts w:ascii="宋体" w:hAnsi="宋体" w:hint="eastAsia"/>
          <w:bCs/>
          <w:szCs w:val="21"/>
        </w:rPr>
        <w:t>（</w:t>
      </w:r>
      <w:r>
        <w:rPr>
          <w:rFonts w:ascii="宋体" w:hAnsi="宋体"/>
          <w:bCs/>
          <w:szCs w:val="21"/>
        </w:rPr>
        <w:t>4）报价文件： 具体材料见“投标人须知前附表”</w:t>
      </w:r>
      <w:r>
        <w:rPr>
          <w:rFonts w:ascii="宋体" w:hAnsi="宋体" w:hint="eastAsia"/>
          <w:bCs/>
          <w:szCs w:val="21"/>
        </w:rPr>
        <w:t>。</w:t>
      </w:r>
    </w:p>
    <w:bookmarkStart w:id="120" w:name="_13.5投标文件电子版：具体材料见“投标人须知前附表”。"/>
    <w:bookmarkEnd w:id="120"/>
    <w:p>
      <w:pPr>
        <w:pStyle w:val="style0"/>
        <w:spacing w:lineRule="auto" w:line="360"/>
        <w:ind w:firstLine="420" w:firstLineChars="200"/>
        <w:rPr>
          <w:rFonts w:ascii="宋体" w:hAnsi="宋体"/>
          <w:bCs/>
          <w:szCs w:val="21"/>
        </w:rPr>
      </w:pPr>
      <w:r>
        <w:rPr>
          <w:rFonts w:ascii="宋体" w:hAnsi="宋体"/>
          <w:bCs/>
          <w:szCs w:val="21"/>
        </w:rPr>
        <w:t>13.2</w:t>
      </w:r>
      <w:r>
        <w:rPr>
          <w:rFonts w:ascii="宋体" w:hAnsi="宋体" w:hint="eastAsia"/>
          <w:bCs/>
          <w:szCs w:val="21"/>
        </w:rPr>
        <w:t>投标文件电子版：</w:t>
      </w:r>
      <w:r>
        <w:rPr>
          <w:rFonts w:ascii="宋体" w:hAnsi="宋体"/>
          <w:bCs/>
          <w:szCs w:val="21"/>
        </w:rPr>
        <w:t>具体</w:t>
      </w:r>
      <w:r>
        <w:rPr>
          <w:rFonts w:ascii="宋体" w:hAnsi="宋体" w:hint="eastAsia"/>
          <w:bCs/>
          <w:szCs w:val="21"/>
        </w:rPr>
        <w:t>要求</w:t>
      </w:r>
      <w:r>
        <w:rPr>
          <w:rFonts w:ascii="宋体" w:hAnsi="宋体"/>
          <w:bCs/>
          <w:szCs w:val="21"/>
        </w:rPr>
        <w:t>见</w:t>
      </w:r>
      <w:r>
        <w:rPr>
          <w:rFonts w:ascii="宋体" w:hAnsi="宋体" w:hint="eastAsia"/>
          <w:bCs/>
          <w:szCs w:val="21"/>
        </w:rPr>
        <w:t>本节</w:t>
      </w:r>
      <w:r>
        <w:rPr>
          <w:rFonts w:ascii="宋体" w:hAnsi="宋体"/>
          <w:bCs/>
          <w:szCs w:val="21"/>
        </w:rPr>
        <w:t>19.投标文件编制。</w:t>
      </w:r>
    </w:p>
    <w:bookmarkStart w:id="121" w:name="_Toc254970678"/>
    <w:bookmarkStart w:id="122" w:name="_Toc254970537"/>
    <w:p>
      <w:pPr>
        <w:pStyle w:val="style0"/>
        <w:spacing w:lineRule="auto" w:line="360"/>
        <w:ind w:firstLine="482" w:firstLineChars="200"/>
        <w:rPr>
          <w:rFonts w:ascii="宋体" w:hAnsi="宋体"/>
          <w:b/>
          <w:sz w:val="24"/>
        </w:rPr>
      </w:pPr>
      <w:r>
        <w:rPr>
          <w:rFonts w:ascii="宋体" w:hAnsi="宋体"/>
          <w:b/>
          <w:sz w:val="24"/>
        </w:rPr>
        <w:t>14.投标文件的语言及计量</w:t>
      </w:r>
      <w:bookmarkEnd w:id="121"/>
      <w:bookmarkEnd w:id="122"/>
    </w:p>
    <w:p>
      <w:pPr>
        <w:pStyle w:val="style0"/>
        <w:spacing w:lineRule="auto" w:line="360"/>
        <w:ind w:firstLine="420" w:firstLineChars="200"/>
        <w:rPr>
          <w:rFonts w:ascii="宋体" w:hAnsi="宋体"/>
          <w:bCs/>
          <w:szCs w:val="21"/>
        </w:rPr>
      </w:pPr>
      <w:r>
        <w:rPr>
          <w:rFonts w:ascii="宋体" w:hAnsi="宋体"/>
          <w:bCs/>
          <w:szCs w:val="21"/>
        </w:rPr>
        <w:t>14.1语言文字</w:t>
      </w:r>
    </w:p>
    <w:p>
      <w:pPr>
        <w:pStyle w:val="style0"/>
        <w:spacing w:lineRule="auto" w:line="360"/>
        <w:ind w:firstLine="420" w:firstLineChars="200"/>
        <w:rPr>
          <w:rFonts w:ascii="宋体" w:hAnsi="宋体"/>
          <w:bCs/>
          <w:szCs w:val="21"/>
        </w:rPr>
      </w:pPr>
      <w:r>
        <w:rPr>
          <w:rFonts w:ascii="宋体" w:hAnsi="宋体" w:hint="eastAsia"/>
          <w:bCs/>
          <w:szCs w:val="21"/>
        </w:rPr>
        <w:t>投标文件以及投标人与采购人就有关投标事宜的所有来往函电，均应以中文书写（除专用术语外，与招标投标有关的语言均使用中文。必要时专用术语应附有中文注释）。投标人提交的支持文件和印刷的文</w:t>
      </w:r>
      <w:r>
        <w:rPr>
          <w:rFonts w:ascii="宋体" w:hAnsi="宋体" w:hint="eastAsia"/>
          <w:bCs/>
          <w:szCs w:val="21"/>
        </w:rPr>
        <w:t>献可以使用别的语言，但其相应内容应同时附中文翻译文本，在解释投标文件时以中文翻译文本为准。对不同文字文本投标文件的解释发生异议的，以中文文本为准。</w:t>
      </w:r>
    </w:p>
    <w:p>
      <w:pPr>
        <w:pStyle w:val="style0"/>
        <w:spacing w:lineRule="auto" w:line="360"/>
        <w:ind w:firstLine="420" w:firstLineChars="200"/>
        <w:rPr>
          <w:rFonts w:ascii="宋体" w:hAnsi="宋体"/>
          <w:bCs/>
          <w:szCs w:val="21"/>
        </w:rPr>
      </w:pPr>
      <w:r>
        <w:rPr>
          <w:rFonts w:ascii="宋体" w:hAnsi="宋体"/>
          <w:bCs/>
          <w:szCs w:val="21"/>
        </w:rPr>
        <w:t>14.2投标计量单位</w:t>
      </w:r>
    </w:p>
    <w:p>
      <w:pPr>
        <w:pStyle w:val="style0"/>
        <w:spacing w:lineRule="auto" w:line="360"/>
        <w:ind w:firstLine="420" w:firstLineChars="200"/>
        <w:rPr>
          <w:rFonts w:ascii="宋体" w:hAnsi="宋体"/>
          <w:bCs/>
          <w:szCs w:val="21"/>
        </w:rPr>
      </w:pPr>
      <w:r>
        <w:rPr>
          <w:rFonts w:ascii="宋体" w:hAnsi="宋体" w:hint="eastAsia"/>
          <w:bCs/>
          <w:szCs w:val="21"/>
        </w:rPr>
        <w:t>招标文件已有明确规定的，使用招标文件规定的计量单位；招标文件没有规定的，应采用中华人民共和国法定计量单位，货币种类为人民币，否则视同未响应。</w:t>
      </w:r>
    </w:p>
    <w:p>
      <w:pPr>
        <w:pStyle w:val="style0"/>
        <w:spacing w:lineRule="auto" w:line="360"/>
        <w:ind w:firstLine="482" w:firstLineChars="200"/>
        <w:rPr>
          <w:rFonts w:ascii="宋体" w:hAnsi="宋体"/>
          <w:b/>
          <w:sz w:val="24"/>
        </w:rPr>
      </w:pPr>
      <w:r>
        <w:rPr>
          <w:rFonts w:ascii="宋体" w:hAnsi="宋体"/>
          <w:b/>
          <w:sz w:val="24"/>
        </w:rPr>
        <w:t>15.投标的风险</w:t>
      </w:r>
    </w:p>
    <w:p>
      <w:pPr>
        <w:pStyle w:val="style0"/>
        <w:spacing w:lineRule="auto" w:line="360"/>
        <w:ind w:firstLine="420" w:firstLineChars="200"/>
        <w:rPr>
          <w:rFonts w:ascii="宋体" w:hAnsi="宋体"/>
          <w:b/>
          <w:bCs/>
        </w:rPr>
      </w:pPr>
      <w:r>
        <w:rPr>
          <w:rFonts w:ascii="宋体" w:hAnsi="宋体" w:hint="eastAsia"/>
        </w:rPr>
        <w:t>投标文件分为资格文件、商务和技术文件、报价文件三部分。各投标人在编制投标文件时请按照招标文件规定的格式进行，混乱的编排导致投标文件被误读或评标委员会查找不到有效文件是投标人的风险。▲</w:t>
      </w:r>
      <w:r>
        <w:rPr>
          <w:rFonts w:ascii="宋体" w:hAnsi="宋体" w:hint="eastAsia"/>
          <w:b/>
          <w:bCs/>
        </w:rPr>
        <w:t>投标文件未按规定的格式编制的、没有按照招标文件要求提供全部资料、没有对招标文件作出实质性响应，投标无效；</w:t>
      </w:r>
    </w:p>
    <w:bookmarkStart w:id="123" w:name="_Toc254970538"/>
    <w:bookmarkStart w:id="124" w:name="_Toc254970679"/>
    <w:p>
      <w:pPr>
        <w:pStyle w:val="style0"/>
        <w:spacing w:lineRule="auto" w:line="360"/>
        <w:ind w:firstLine="482" w:firstLineChars="200"/>
        <w:rPr>
          <w:rFonts w:ascii="宋体" w:hAnsi="宋体"/>
          <w:b/>
          <w:sz w:val="24"/>
        </w:rPr>
      </w:pPr>
      <w:r>
        <w:rPr>
          <w:rFonts w:ascii="宋体" w:hAnsi="宋体"/>
          <w:b/>
          <w:sz w:val="24"/>
        </w:rPr>
        <w:t>16.投标报价</w:t>
      </w:r>
      <w:bookmarkEnd w:id="123"/>
      <w:bookmarkEnd w:id="124"/>
    </w:p>
    <w:p>
      <w:pPr>
        <w:pStyle w:val="style0"/>
        <w:spacing w:lineRule="auto" w:line="360"/>
        <w:ind w:firstLine="420" w:firstLineChars="200"/>
        <w:rPr>
          <w:rFonts w:ascii="宋体" w:hAnsi="宋体"/>
          <w:bCs/>
          <w:szCs w:val="21"/>
        </w:rPr>
      </w:pPr>
      <w:r>
        <w:rPr>
          <w:rFonts w:ascii="宋体" w:hAnsi="宋体"/>
          <w:bCs/>
          <w:szCs w:val="21"/>
        </w:rPr>
        <w:t>16.1投标报价应</w:t>
      </w:r>
      <w:r>
        <w:rPr>
          <w:rFonts w:ascii="宋体" w:hAnsi="宋体" w:hint="eastAsia"/>
          <w:bCs/>
          <w:szCs w:val="20"/>
        </w:rPr>
        <w:t>按“第六章　投标文件格式”中“开标一览表”格式填写。</w:t>
      </w:r>
    </w:p>
    <w:bookmarkStart w:id="125" w:name="_16.2投标报价具体定义见投标人须知前附表。"/>
    <w:bookmarkEnd w:id="125"/>
    <w:p>
      <w:pPr>
        <w:pStyle w:val="style0"/>
        <w:spacing w:lineRule="auto" w:line="360"/>
        <w:ind w:firstLine="420" w:firstLineChars="200"/>
        <w:rPr>
          <w:rFonts w:ascii="宋体" w:hAnsi="宋体"/>
          <w:bCs/>
          <w:szCs w:val="21"/>
        </w:rPr>
      </w:pPr>
      <w:r>
        <w:rPr>
          <w:rFonts w:ascii="宋体" w:hAnsi="宋体"/>
          <w:bCs/>
          <w:szCs w:val="21"/>
        </w:rPr>
        <w:t>16.2投标报价具体包括内容详见“投标人须知前附表”。</w:t>
      </w:r>
    </w:p>
    <w:p>
      <w:pPr>
        <w:pStyle w:val="style0"/>
        <w:spacing w:lineRule="auto" w:line="360"/>
        <w:ind w:firstLine="420" w:firstLineChars="200"/>
        <w:rPr>
          <w:rFonts w:ascii="宋体" w:hAnsi="宋体"/>
          <w:bCs/>
          <w:szCs w:val="21"/>
        </w:rPr>
      </w:pPr>
      <w:r>
        <w:rPr>
          <w:rFonts w:ascii="宋体" w:hAnsi="宋体"/>
          <w:bCs/>
          <w:szCs w:val="21"/>
        </w:rPr>
        <w:t>16.3投标人必须就所投每个分标的全部内容分别作完整唯一总价报价，不得存在漏项报价；投标人必须就所投标项的单项内容作唯一报价。</w:t>
      </w:r>
    </w:p>
    <w:p>
      <w:pPr>
        <w:pStyle w:val="style0"/>
        <w:spacing w:lineRule="auto" w:line="360"/>
        <w:ind w:firstLine="482" w:firstLineChars="200"/>
        <w:rPr>
          <w:rFonts w:ascii="宋体" w:hAnsi="宋体"/>
          <w:b/>
          <w:sz w:val="24"/>
        </w:rPr>
      </w:pPr>
      <w:r>
        <w:rPr>
          <w:rFonts w:ascii="宋体" w:hAnsi="宋体"/>
          <w:b/>
          <w:sz w:val="24"/>
        </w:rPr>
        <w:t>17.投标有效期</w:t>
      </w:r>
    </w:p>
    <w:bookmarkStart w:id="126" w:name="_17.1投标有效期应按“投标人须知中的前附表”规定的期限。"/>
    <w:bookmarkEnd w:id="126"/>
    <w:p>
      <w:pPr>
        <w:pStyle w:val="style0"/>
        <w:spacing w:lineRule="auto" w:line="360"/>
        <w:ind w:firstLine="420" w:firstLineChars="200"/>
        <w:rPr>
          <w:rFonts w:ascii="宋体" w:hAnsi="宋体"/>
          <w:bCs/>
          <w:szCs w:val="21"/>
        </w:rPr>
      </w:pPr>
      <w:r>
        <w:rPr>
          <w:rFonts w:ascii="宋体" w:hAnsi="宋体"/>
          <w:bCs/>
          <w:szCs w:val="21"/>
        </w:rPr>
        <w:t>17.1投标有效期是指为保证采购人有足够的时间在开标后完成评标、定标、合同签订等工作而要求投标人提交的投标文件在一定时间内保持有效的期限。</w:t>
      </w:r>
    </w:p>
    <w:p>
      <w:pPr>
        <w:pStyle w:val="style0"/>
        <w:spacing w:lineRule="auto" w:line="360"/>
        <w:ind w:firstLine="420" w:firstLineChars="200"/>
        <w:rPr>
          <w:rFonts w:ascii="宋体" w:hAnsi="宋体"/>
          <w:bCs/>
          <w:szCs w:val="21"/>
        </w:rPr>
      </w:pPr>
      <w:r>
        <w:rPr>
          <w:rFonts w:ascii="宋体" w:hAnsi="宋体"/>
          <w:bCs/>
          <w:szCs w:val="21"/>
        </w:rPr>
        <w:t>17.2</w:t>
      </w:r>
      <w:bookmarkStart w:id="127" w:name="_Toc254970540"/>
      <w:bookmarkStart w:id="128" w:name="_Toc254970681"/>
      <w:r>
        <w:rPr>
          <w:rFonts w:ascii="宋体" w:hAnsi="宋体"/>
          <w:bCs/>
          <w:szCs w:val="21"/>
        </w:rPr>
        <w:t xml:space="preserve"> 投标有效期应按规定的期限作出承诺，具体详见“投标人须知前附表”。</w:t>
      </w:r>
    </w:p>
    <w:p>
      <w:pPr>
        <w:pStyle w:val="style0"/>
        <w:spacing w:lineRule="auto" w:line="360"/>
        <w:ind w:firstLine="420" w:firstLineChars="200"/>
        <w:rPr>
          <w:rFonts w:ascii="宋体" w:hAnsi="宋体"/>
          <w:bCs/>
          <w:szCs w:val="21"/>
        </w:rPr>
      </w:pPr>
      <w:r>
        <w:rPr>
          <w:rFonts w:ascii="宋体" w:hAnsi="宋体"/>
          <w:bCs/>
          <w:szCs w:val="21"/>
        </w:rPr>
        <w:t>17.3投标人的投标文件在投标有效期内均保持有效。</w:t>
      </w:r>
      <w:bookmarkEnd w:id="127"/>
      <w:bookmarkEnd w:id="128"/>
    </w:p>
    <w:bookmarkStart w:id="129" w:name="_18.投标保证金"/>
    <w:bookmarkStart w:id="130" w:name="_Toc254970541"/>
    <w:bookmarkStart w:id="131" w:name="_Toc254970682"/>
    <w:bookmarkEnd w:id="129"/>
    <w:p>
      <w:pPr>
        <w:pStyle w:val="style0"/>
        <w:spacing w:lineRule="auto" w:line="360"/>
        <w:ind w:firstLine="482" w:firstLineChars="200"/>
        <w:rPr>
          <w:rFonts w:ascii="宋体" w:hAnsi="宋体"/>
          <w:b/>
          <w:sz w:val="24"/>
        </w:rPr>
      </w:pPr>
      <w:r>
        <w:rPr>
          <w:rFonts w:ascii="宋体" w:hAnsi="宋体"/>
          <w:b/>
          <w:sz w:val="24"/>
        </w:rPr>
        <w:t>18.投标保证金</w:t>
      </w:r>
      <w:bookmarkEnd w:id="130"/>
      <w:bookmarkEnd w:id="131"/>
    </w:p>
    <w:bookmarkStart w:id="132" w:name="_Toc254970542"/>
    <w:bookmarkStart w:id="133" w:name="_Toc254970683"/>
    <w:p>
      <w:pPr>
        <w:pStyle w:val="style0"/>
        <w:spacing w:lineRule="auto" w:line="360"/>
        <w:ind w:firstLine="420" w:firstLineChars="200"/>
        <w:rPr>
          <w:rFonts w:ascii="宋体" w:hAnsi="宋体"/>
          <w:bCs/>
          <w:szCs w:val="21"/>
        </w:rPr>
      </w:pPr>
      <w:r>
        <w:rPr>
          <w:rFonts w:ascii="宋体" w:hAnsi="宋体" w:hint="eastAsia"/>
          <w:bCs/>
          <w:szCs w:val="21"/>
        </w:rPr>
        <w:t>见“投标人须知前附表”。</w:t>
      </w:r>
    </w:p>
    <w:p>
      <w:pPr>
        <w:pStyle w:val="style0"/>
        <w:spacing w:lineRule="auto" w:line="360"/>
        <w:ind w:firstLine="482" w:firstLineChars="200"/>
        <w:rPr>
          <w:rFonts w:ascii="宋体" w:hAnsi="宋体"/>
          <w:b/>
          <w:sz w:val="24"/>
        </w:rPr>
      </w:pPr>
      <w:r>
        <w:rPr>
          <w:rFonts w:ascii="宋体" w:hAnsi="宋体"/>
          <w:b/>
          <w:sz w:val="24"/>
        </w:rPr>
        <w:t>19.投标文件的</w:t>
      </w:r>
      <w:bookmarkEnd w:id="132"/>
      <w:bookmarkEnd w:id="133"/>
      <w:r>
        <w:rPr>
          <w:rFonts w:ascii="宋体" w:hAnsi="宋体" w:hint="eastAsia"/>
          <w:b/>
          <w:sz w:val="24"/>
        </w:rPr>
        <w:t>编制</w:t>
      </w:r>
    </w:p>
    <w:p>
      <w:pPr>
        <w:pStyle w:val="style0"/>
        <w:spacing w:lineRule="auto" w:line="360"/>
        <w:ind w:firstLine="420" w:firstLineChars="200"/>
        <w:rPr>
          <w:rFonts w:ascii="宋体" w:hAnsi="宋体"/>
          <w:szCs w:val="21"/>
        </w:rPr>
      </w:pPr>
      <w:r>
        <w:rPr>
          <w:rFonts w:ascii="宋体" w:hAnsi="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34" w:name="_19.2投标文件应按报价文件、资格证明文件、商务文件、技术文件分别编制"/>
      <w:bookmarkEnd w:id="134"/>
    </w:p>
    <w:p>
      <w:pPr>
        <w:pStyle w:val="style4111"/>
        <w:snapToGrid w:val="false"/>
        <w:spacing w:before="0"/>
        <w:ind w:firstLine="420"/>
        <w:rPr>
          <w:rFonts w:ascii="宋体" w:hAnsi="宋体"/>
          <w:sz w:val="21"/>
          <w:szCs w:val="21"/>
        </w:rPr>
      </w:pPr>
      <w:r>
        <w:rPr>
          <w:rFonts w:ascii="宋体" w:hAnsi="宋体"/>
          <w:sz w:val="21"/>
          <w:szCs w:val="21"/>
        </w:rPr>
        <w:t>19.2投标文件按照招标文件第六章格式要求在规定位置进行签署、盖章。投标人的投标文件未按照招标文件要求签署、盖章的，</w:t>
      </w:r>
      <w:r>
        <w:rPr>
          <w:rFonts w:ascii="宋体" w:hAnsi="宋体"/>
          <w:b/>
          <w:sz w:val="21"/>
          <w:szCs w:val="21"/>
        </w:rPr>
        <w:t>其投标无效。</w:t>
      </w:r>
      <w:r>
        <w:rPr>
          <w:rFonts w:ascii="宋体" w:hAnsi="宋体"/>
          <w:sz w:val="21"/>
          <w:szCs w:val="21"/>
        </w:rPr>
        <w:t>骑缝盖公章不视为在规定位置盖章。</w:t>
      </w:r>
    </w:p>
    <w:p>
      <w:pPr>
        <w:pStyle w:val="style4111"/>
        <w:snapToGrid w:val="false"/>
        <w:spacing w:before="0"/>
        <w:ind w:firstLine="420"/>
        <w:rPr>
          <w:rFonts w:ascii="宋体" w:hAnsi="宋体"/>
          <w:sz w:val="21"/>
          <w:szCs w:val="21"/>
        </w:rPr>
      </w:pPr>
      <w:r>
        <w:rPr>
          <w:rFonts w:ascii="宋体" w:hAnsi="宋体"/>
          <w:sz w:val="21"/>
          <w:szCs w:val="21"/>
        </w:rPr>
        <w:t xml:space="preserve">19.3 </w:t>
      </w:r>
      <w:r>
        <w:rPr>
          <w:rFonts w:ascii="宋体" w:hAnsi="宋体" w:hint="eastAsia"/>
          <w:sz w:val="21"/>
          <w:szCs w:val="21"/>
        </w:rPr>
        <w:t>供应商以联合体形式参与投标的，电子签章部分仅需加盖牵头单位电子签章即可，其他联合体成员需要加盖公章的部分，可由其他联合体成员打印纸质材料加盖公章后扫描上传投标客户端，需签字部</w:t>
      </w:r>
      <w:r>
        <w:rPr>
          <w:rFonts w:ascii="宋体" w:hAnsi="宋体" w:hint="eastAsia"/>
          <w:sz w:val="21"/>
          <w:szCs w:val="21"/>
        </w:rPr>
        <w:t>分同理。也可由全部联合体组成单位均盖电子签章。</w:t>
      </w:r>
    </w:p>
    <w:p>
      <w:pPr>
        <w:pStyle w:val="style4111"/>
        <w:snapToGrid w:val="false"/>
        <w:spacing w:before="0"/>
        <w:ind w:firstLine="420"/>
        <w:rPr>
          <w:rFonts w:ascii="宋体" w:hAnsi="宋体"/>
          <w:sz w:val="21"/>
          <w:szCs w:val="21"/>
        </w:rPr>
      </w:pPr>
      <w:r>
        <w:rPr>
          <w:rFonts w:ascii="宋体" w:hAnsi="宋体"/>
          <w:sz w:val="21"/>
          <w:szCs w:val="21"/>
        </w:rPr>
        <w:t>19.4为确保网上操作合法、有效和安全，投标人应当在投标截止时间前完成在“广西政府采购云平台”的身份认证，确保在电子投标过程中能够对相关数据电文进行加密和使用电子签名。</w:t>
      </w:r>
    </w:p>
    <w:p>
      <w:pPr>
        <w:pStyle w:val="style0"/>
        <w:spacing w:lineRule="auto" w:line="360"/>
        <w:ind w:firstLine="422" w:firstLineChars="200"/>
        <w:rPr>
          <w:rFonts w:ascii="宋体" w:hAnsi="宋体"/>
          <w:b/>
          <w:szCs w:val="21"/>
        </w:rPr>
      </w:pPr>
      <w:r>
        <w:rPr>
          <w:rFonts w:ascii="宋体" w:hAnsi="宋体"/>
          <w:b/>
          <w:szCs w:val="21"/>
        </w:rPr>
        <w:t>19.5投标文件中标注的投标人名称应与主体资格证明（如营业执照、事业单位法人证书、执业许可证、自然人身份证等）及公章一致，</w:t>
      </w:r>
      <w:r>
        <w:rPr>
          <w:rFonts w:ascii="宋体" w:hAnsi="宋体"/>
          <w:szCs w:val="21"/>
        </w:rPr>
        <w:t>否则作无效投标处理</w:t>
      </w:r>
      <w:r>
        <w:rPr>
          <w:rFonts w:ascii="宋体" w:hAnsi="宋体"/>
          <w:b/>
          <w:szCs w:val="21"/>
        </w:rPr>
        <w:t>。</w:t>
      </w:r>
    </w:p>
    <w:p>
      <w:pPr>
        <w:pStyle w:val="style0"/>
        <w:spacing w:lineRule="auto" w:line="360"/>
        <w:ind w:firstLine="420" w:firstLineChars="200"/>
        <w:rPr>
          <w:rFonts w:ascii="宋体" w:hAnsi="宋体"/>
          <w:b/>
          <w:szCs w:val="21"/>
        </w:rPr>
      </w:pPr>
      <w:r>
        <w:rPr>
          <w:rFonts w:ascii="宋体" w:hAnsi="宋体"/>
          <w:szCs w:val="21"/>
        </w:rPr>
        <w:t xml:space="preserve"> 19.6投标文件应避免涂改、行间插字或者删除，</w:t>
      </w:r>
      <w:r>
        <w:rPr>
          <w:rFonts w:ascii="宋体" w:hAnsi="宋体"/>
          <w:b/>
          <w:szCs w:val="21"/>
        </w:rPr>
        <w:t>否则其投标无效。</w:t>
      </w:r>
    </w:p>
    <w:p>
      <w:pPr>
        <w:pStyle w:val="style0"/>
        <w:spacing w:lineRule="auto" w:line="360"/>
        <w:ind w:firstLine="521" w:firstLineChars="248"/>
        <w:rPr>
          <w:rFonts w:ascii="宋体" w:hAnsi="宋体"/>
        </w:rPr>
      </w:pPr>
      <w:r>
        <w:rPr>
          <w:rFonts w:ascii="宋体" w:hAnsi="宋体"/>
        </w:rPr>
        <w:t>19.7 对招标文件的实质性要求和条件作出响应是指投标人必须对招标文件中标注为实质性要求和条件的</w:t>
      </w:r>
      <w:r>
        <w:rPr>
          <w:rFonts w:ascii="宋体" w:hAnsi="宋体"/>
          <w:szCs w:val="21"/>
        </w:rPr>
        <w:t>服务内容及要求</w:t>
      </w:r>
      <w:r>
        <w:rPr>
          <w:rFonts w:ascii="宋体" w:hAnsi="宋体"/>
        </w:rPr>
        <w:t>、商务条款及其它内容</w:t>
      </w:r>
      <w:r>
        <w:rPr>
          <w:rFonts w:ascii="宋体" w:hAnsi="宋体"/>
          <w:b/>
        </w:rPr>
        <w:t>作出满足或者优于原要求和条件的承诺</w:t>
      </w:r>
      <w:r>
        <w:rPr>
          <w:rFonts w:ascii="宋体" w:hAnsi="宋体"/>
        </w:rPr>
        <w:t>。</w:t>
      </w:r>
    </w:p>
    <w:p>
      <w:pPr>
        <w:pStyle w:val="style0"/>
        <w:spacing w:lineRule="auto" w:line="360"/>
        <w:ind w:firstLine="523" w:firstLineChars="248"/>
        <w:rPr>
          <w:rFonts w:ascii="宋体" w:hAnsi="宋体"/>
          <w:b/>
          <w:szCs w:val="21"/>
          <w:u w:val="single"/>
        </w:rPr>
      </w:pPr>
      <w:r>
        <w:rPr>
          <w:rFonts w:ascii="宋体" w:hAnsi="宋体"/>
          <w:b/>
          <w:szCs w:val="21"/>
          <w:u w:val="single"/>
        </w:rPr>
        <w:t>19.8本项目为全流程电子化项目，异常情况见“第二节 投标人须知正文”中“四、24.2开标程序。</w:t>
      </w:r>
    </w:p>
    <w:p>
      <w:pPr>
        <w:pStyle w:val="style0"/>
        <w:spacing w:lineRule="auto" w:line="360"/>
        <w:ind w:firstLine="482" w:firstLineChars="200"/>
        <w:rPr>
          <w:rFonts w:ascii="宋体" w:hAnsi="宋体"/>
          <w:b/>
          <w:sz w:val="24"/>
        </w:rPr>
      </w:pPr>
      <w:r>
        <w:rPr>
          <w:rFonts w:ascii="宋体" w:hAnsi="宋体"/>
          <w:b/>
          <w:sz w:val="24"/>
        </w:rPr>
        <w:t>20.备份投标文件</w:t>
      </w:r>
    </w:p>
    <w:p>
      <w:pPr>
        <w:pStyle w:val="style0"/>
        <w:spacing w:lineRule="auto" w:line="360"/>
        <w:ind w:firstLine="420" w:firstLineChars="200"/>
        <w:rPr>
          <w:rFonts w:ascii="宋体" w:hAnsi="宋体"/>
          <w:sz w:val="24"/>
        </w:rPr>
      </w:pPr>
      <w:r>
        <w:rPr>
          <w:rFonts w:ascii="宋体" w:hAnsi="宋体" w:hint="eastAsia"/>
          <w:bCs/>
          <w:szCs w:val="21"/>
        </w:rPr>
        <w:t>详见在“投标人须知前附表”。</w:t>
      </w:r>
    </w:p>
    <w:p>
      <w:pPr>
        <w:pStyle w:val="style0"/>
        <w:spacing w:lineRule="auto" w:line="360"/>
        <w:ind w:firstLine="482" w:firstLineChars="200"/>
        <w:rPr>
          <w:rFonts w:ascii="宋体" w:hAnsi="宋体"/>
          <w:b/>
          <w:sz w:val="24"/>
        </w:rPr>
      </w:pPr>
      <w:r>
        <w:rPr>
          <w:rFonts w:ascii="宋体" w:hAnsi="宋体"/>
          <w:b/>
          <w:sz w:val="24"/>
        </w:rPr>
        <w:t>21.投标文件的提交</w:t>
      </w:r>
    </w:p>
    <w:bookmarkStart w:id="135" w:name="_21.1投标人必须在“投标人须知中的前附表”规定的投标文件接收时间和投"/>
    <w:bookmarkEnd w:id="135"/>
    <w:p>
      <w:pPr>
        <w:pStyle w:val="style0"/>
        <w:spacing w:lineRule="auto" w:line="360"/>
        <w:ind w:firstLine="420" w:firstLineChars="200"/>
        <w:rPr>
          <w:rFonts w:ascii="宋体" w:hAnsi="宋体"/>
          <w:b/>
        </w:rPr>
      </w:pPr>
      <w:r>
        <w:rPr>
          <w:rFonts w:ascii="宋体" w:hAnsi="宋体"/>
          <w:bCs/>
          <w:szCs w:val="21"/>
        </w:rPr>
        <w:t>21.1投标人必须在“投标人须知前附表”规定的投标文件接收时间和投标地点提交电子版投标文件。电子投标文件应在制作完成后，在投标截止时间前</w:t>
      </w:r>
      <w:r>
        <w:rPr>
          <w:rFonts w:ascii="宋体" w:hAnsi="宋体" w:hint="eastAsia"/>
          <w:bCs/>
          <w:szCs w:val="21"/>
        </w:rPr>
        <w:t>通过有效数字证书（</w:t>
      </w:r>
      <w:r>
        <w:rPr>
          <w:rFonts w:ascii="宋体" w:hAnsi="宋体"/>
          <w:bCs/>
          <w:szCs w:val="21"/>
        </w:rPr>
        <w:t xml:space="preserve">CA认证锁）进行电子签章、加密，然后通过网络将加密的电子投标文件递交至“广西政府采购云平台平台”。 </w:t>
      </w:r>
    </w:p>
    <w:p>
      <w:pPr>
        <w:pStyle w:val="style0"/>
        <w:spacing w:lineRule="auto" w:line="360"/>
        <w:ind w:firstLine="422" w:firstLineChars="200"/>
        <w:rPr>
          <w:rFonts w:ascii="宋体" w:hAnsi="宋体"/>
          <w:b/>
          <w:szCs w:val="20"/>
        </w:rPr>
      </w:pPr>
      <w:r>
        <w:rPr>
          <w:rFonts w:ascii="宋体" w:hAnsi="宋体"/>
          <w:b/>
          <w:szCs w:val="21"/>
        </w:rPr>
        <w:t>21.2</w:t>
      </w:r>
      <w:r>
        <w:rPr>
          <w:rFonts w:ascii="宋体" w:hAnsi="宋体" w:hint="eastAsia"/>
          <w:b/>
          <w:szCs w:val="21"/>
        </w:rPr>
        <w:t>未在规定时间内提交或者未按照招标文件要求密封或者标记的电子投标文件，“广西政府采购云平台”将拒收。</w:t>
      </w:r>
    </w:p>
    <w:p>
      <w:pPr>
        <w:pStyle w:val="style0"/>
        <w:spacing w:lineRule="auto" w:line="360"/>
        <w:ind w:firstLine="420" w:firstLineChars="200"/>
        <w:rPr>
          <w:rFonts w:ascii="宋体" w:hAnsi="宋体"/>
          <w:szCs w:val="21"/>
        </w:rPr>
      </w:pPr>
      <w:r>
        <w:rPr>
          <w:rFonts w:ascii="宋体" w:hAnsi="宋体"/>
          <w:szCs w:val="21"/>
        </w:rPr>
        <w:t>21.3</w:t>
      </w:r>
      <w:r>
        <w:rPr>
          <w:rFonts w:ascii="宋体" w:hAnsi="宋体" w:hint="eastAsia"/>
          <w:szCs w:val="21"/>
        </w:rPr>
        <w:t>电子版投标文件提交方式见“招标公告”中“四、提交投标文件截止时间、开标时间和地点”</w:t>
      </w:r>
      <w:r>
        <w:rPr>
          <w:rFonts w:ascii="宋体" w:hAnsi="宋体"/>
          <w:b/>
          <w:szCs w:val="21"/>
        </w:rPr>
        <w:t xml:space="preserve"> 。</w:t>
      </w:r>
    </w:p>
    <w:p>
      <w:pPr>
        <w:pStyle w:val="style0"/>
        <w:spacing w:lineRule="auto" w:line="360"/>
        <w:ind w:firstLine="482" w:firstLineChars="200"/>
        <w:rPr>
          <w:rFonts w:ascii="宋体" w:hAnsi="宋体"/>
          <w:b/>
          <w:sz w:val="24"/>
        </w:rPr>
      </w:pPr>
      <w:r>
        <w:rPr>
          <w:rFonts w:ascii="宋体" w:hAnsi="宋体"/>
          <w:b/>
          <w:sz w:val="24"/>
        </w:rPr>
        <w:t xml:space="preserve">22. </w:t>
      </w:r>
      <w:r>
        <w:rPr>
          <w:rFonts w:ascii="宋体" w:hAnsi="宋体" w:hint="eastAsia"/>
          <w:b/>
          <w:sz w:val="24"/>
        </w:rPr>
        <w:t>投标文件的补充、修改、撤回与退回</w:t>
      </w:r>
      <w:bookmarkStart w:id="136" w:name="_Toc254970543"/>
      <w:bookmarkStart w:id="137" w:name="_Toc254970684"/>
    </w:p>
    <w:p>
      <w:pPr>
        <w:pStyle w:val="style0"/>
        <w:spacing w:lineRule="auto" w:line="360"/>
        <w:ind w:firstLine="420" w:firstLineChars="200"/>
        <w:rPr>
          <w:rFonts w:ascii="宋体" w:hAnsi="宋体"/>
          <w:sz w:val="24"/>
        </w:rPr>
      </w:pPr>
      <w:r>
        <w:rPr>
          <w:rFonts w:ascii="宋体" w:cs="宋体" w:hAnsi="宋体"/>
          <w:szCs w:val="21"/>
        </w:rPr>
        <w:t xml:space="preserve">22.1 </w:t>
      </w:r>
      <w:r>
        <w:rPr>
          <w:rFonts w:ascii="宋体" w:cs="宋体" w:hAnsi="宋体"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pPr>
        <w:pStyle w:val="style4111"/>
        <w:spacing w:before="0"/>
        <w:ind w:firstLine="420"/>
        <w:rPr>
          <w:rFonts w:ascii="宋体" w:cs="宋体" w:hAnsi="宋体"/>
          <w:sz w:val="21"/>
          <w:szCs w:val="21"/>
        </w:rPr>
      </w:pPr>
      <w:r>
        <w:rPr>
          <w:rFonts w:ascii="宋体" w:cs="宋体" w:hAnsi="宋体"/>
          <w:sz w:val="21"/>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136"/>
    <w:bookmarkEnd w:id="137"/>
    <w:p>
      <w:pPr>
        <w:pStyle w:val="style0"/>
        <w:spacing w:lineRule="auto" w:line="360"/>
        <w:ind w:firstLine="420" w:firstLineChars="200"/>
        <w:rPr>
          <w:rFonts w:ascii="宋体" w:cs="宋体" w:hAnsi="宋体"/>
          <w:szCs w:val="21"/>
        </w:rPr>
      </w:pPr>
      <w:r>
        <w:rPr>
          <w:rFonts w:ascii="宋体" w:cs="宋体" w:hAnsi="宋体"/>
          <w:szCs w:val="21"/>
        </w:rPr>
        <w:t>22.3</w:t>
      </w:r>
      <w:r>
        <w:rPr>
          <w:rFonts w:ascii="宋体" w:cs="宋体" w:hAnsi="宋体" w:hint="eastAsia"/>
          <w:szCs w:val="21"/>
        </w:rPr>
        <w:t>在投标截止时间止提交电子版投标文件的投标人不足</w:t>
      </w:r>
      <w:r>
        <w:rPr>
          <w:rFonts w:ascii="宋体" w:cs="宋体" w:hAnsi="宋体"/>
          <w:szCs w:val="21"/>
        </w:rPr>
        <w:t>3家时，电子版投标文件由代理机构在“广西政府采购云平台”操作退回，除此之外采购人和采购代理机构对已提交的投标文件概不退回。</w:t>
      </w:r>
    </w:p>
    <w:p>
      <w:pPr>
        <w:pStyle w:val="style67"/>
        <w:snapToGrid w:val="false"/>
        <w:spacing w:lineRule="exact" w:line="400"/>
        <w:ind w:firstLine="739"/>
        <w:rPr>
          <w:rFonts w:hAnsi="宋体"/>
          <w:snapToGrid w:val="false"/>
          <w:sz w:val="21"/>
          <w:szCs w:val="21"/>
        </w:rPr>
      </w:pPr>
    </w:p>
    <w:bookmarkStart w:id="138" w:name="_Toc254970544"/>
    <w:bookmarkStart w:id="139" w:name="_Toc119359488"/>
    <w:bookmarkStart w:id="140" w:name="_Toc23818"/>
    <w:bookmarkStart w:id="141" w:name="_Toc254970685"/>
    <w:p>
      <w:pPr>
        <w:pStyle w:val="style3"/>
        <w:keepNext w:val="false"/>
        <w:keepLines w:val="false"/>
        <w:spacing w:lineRule="exact" w:line="400"/>
        <w:ind w:firstLine="602"/>
        <w:jc w:val="center"/>
        <w:rPr>
          <w:rFonts w:ascii="宋体" w:hAnsi="宋体"/>
          <w:sz w:val="30"/>
          <w:szCs w:val="30"/>
        </w:rPr>
      </w:pPr>
      <w:r>
        <w:rPr>
          <w:rFonts w:ascii="宋体" w:hAnsi="宋体" w:hint="eastAsia"/>
          <w:sz w:val="30"/>
          <w:szCs w:val="30"/>
        </w:rPr>
        <w:t>四、开标</w:t>
      </w:r>
      <w:bookmarkEnd w:id="138"/>
      <w:bookmarkEnd w:id="139"/>
      <w:bookmarkEnd w:id="140"/>
      <w:bookmarkEnd w:id="141"/>
    </w:p>
    <w:bookmarkStart w:id="142" w:name="_23.开标时间和地点"/>
    <w:bookmarkEnd w:id="142"/>
    <w:p>
      <w:pPr>
        <w:pStyle w:val="style0"/>
        <w:spacing w:lineRule="auto" w:line="360"/>
        <w:ind w:firstLine="482" w:firstLineChars="200"/>
        <w:rPr>
          <w:rFonts w:ascii="宋体" w:hAnsi="宋体"/>
          <w:b/>
          <w:sz w:val="24"/>
        </w:rPr>
      </w:pPr>
      <w:r>
        <w:rPr>
          <w:rFonts w:ascii="宋体" w:hAnsi="宋体"/>
          <w:b/>
          <w:sz w:val="24"/>
        </w:rPr>
        <w:t>23.开标时间和地点</w:t>
      </w:r>
    </w:p>
    <w:p>
      <w:pPr>
        <w:pStyle w:val="style0"/>
        <w:spacing w:lineRule="auto" w:line="360"/>
        <w:ind w:firstLine="420" w:firstLineChars="200"/>
        <w:rPr>
          <w:rFonts w:ascii="宋体" w:hAnsi="宋体"/>
          <w:bCs/>
        </w:rPr>
      </w:pPr>
      <w:r>
        <w:rPr>
          <w:rFonts w:ascii="宋体" w:hAnsi="宋体"/>
          <w:bCs/>
        </w:rPr>
        <w:t>23.1开标时间及地点详见“投标人须知前附表”</w:t>
      </w:r>
    </w:p>
    <w:p>
      <w:pPr>
        <w:pStyle w:val="style0"/>
        <w:spacing w:lineRule="auto" w:line="360"/>
        <w:ind w:firstLine="420" w:firstLineChars="200"/>
        <w:rPr>
          <w:rFonts w:ascii="宋体" w:hAnsi="宋体"/>
        </w:rPr>
      </w:pPr>
      <w:r>
        <w:rPr>
          <w:rFonts w:ascii="宋体" w:hAnsi="宋体"/>
        </w:rPr>
        <w:t>23.2如</w:t>
      </w:r>
      <w:r>
        <w:rPr>
          <w:rFonts w:ascii="宋体" w:hAnsi="宋体" w:hint="eastAsia"/>
          <w:bCs/>
        </w:rPr>
        <w:t>投标人成功解密投标文件，但未在“广西政府采购云平台”电子开标大厅参加开标的，视同认可开标过程和结果，</w:t>
      </w:r>
      <w:r>
        <w:rPr>
          <w:rFonts w:ascii="宋体" w:hAnsi="宋体" w:hint="eastAsia"/>
        </w:rPr>
        <w:t>由此产生的后果由投标人自行负责。投标人不足</w:t>
      </w:r>
      <w:r>
        <w:rPr>
          <w:rFonts w:ascii="宋体" w:hAnsi="宋体"/>
        </w:rPr>
        <w:t>3家的，不得开标。</w:t>
      </w:r>
    </w:p>
    <w:p>
      <w:pPr>
        <w:pStyle w:val="style0"/>
        <w:spacing w:lineRule="auto" w:line="360"/>
        <w:ind w:firstLine="482" w:firstLineChars="200"/>
        <w:rPr>
          <w:rFonts w:ascii="宋体" w:hAnsi="宋体"/>
          <w:b/>
          <w:sz w:val="24"/>
        </w:rPr>
      </w:pPr>
      <w:r>
        <w:rPr>
          <w:rFonts w:ascii="宋体" w:hAnsi="宋体"/>
          <w:b/>
          <w:sz w:val="24"/>
        </w:rPr>
        <w:t>24.开标程序</w:t>
      </w:r>
    </w:p>
    <w:p>
      <w:pPr>
        <w:pStyle w:val="style0"/>
        <w:autoSpaceDE w:val="false"/>
        <w:autoSpaceDN w:val="false"/>
        <w:adjustRightInd w:val="false"/>
        <w:spacing w:lineRule="exact" w:line="440"/>
        <w:ind w:firstLine="420" w:firstLineChars="200"/>
        <w:rPr>
          <w:rFonts w:ascii="宋体" w:hAnsi="宋体"/>
          <w:kern w:val="0"/>
          <w:szCs w:val="21"/>
        </w:rPr>
      </w:pPr>
      <w:r>
        <w:rPr>
          <w:rFonts w:ascii="宋体" w:hAnsi="宋体"/>
          <w:bCs/>
          <w:szCs w:val="21"/>
        </w:rPr>
        <w:t>24.1</w:t>
      </w:r>
      <w:r>
        <w:rPr>
          <w:rFonts w:ascii="宋体" w:hAnsi="宋体" w:hint="eastAsia"/>
          <w:kern w:val="0"/>
          <w:szCs w:val="21"/>
        </w:rPr>
        <w:t>开标形式：</w:t>
      </w:r>
    </w:p>
    <w:p>
      <w:pPr>
        <w:pStyle w:val="style0"/>
        <w:autoSpaceDE w:val="false"/>
        <w:autoSpaceDN w:val="false"/>
        <w:adjustRightInd w:val="false"/>
        <w:spacing w:lineRule="exact" w:line="440"/>
        <w:ind w:firstLine="420" w:firstLineChars="200"/>
        <w:rPr>
          <w:rFonts w:ascii="宋体" w:hAnsi="宋体"/>
          <w:bCs/>
          <w:szCs w:val="21"/>
        </w:rPr>
      </w:pPr>
      <w:r>
        <w:rPr>
          <w:rFonts w:ascii="宋体" w:hAnsi="宋体" w:hint="eastAsia"/>
          <w:szCs w:val="21"/>
        </w:rPr>
        <w:t>（</w:t>
      </w:r>
      <w:r>
        <w:rPr>
          <w:rFonts w:ascii="宋体" w:hAnsi="宋体"/>
          <w:szCs w:val="21"/>
        </w:rPr>
        <w:t>1）</w:t>
      </w:r>
      <w:r>
        <w:rPr>
          <w:rFonts w:ascii="宋体" w:hAnsi="宋体" w:hint="eastAsia"/>
          <w:bCs/>
          <w:szCs w:val="21"/>
        </w:rPr>
        <w:t>开标的准备工作由采购代理机构负责落实，采购代理机构必须基于“广西政府采购云平台”选取评审专家，如采购代理机构未按规定选取专家的，视为本次开评标无效，应当重新采购；</w:t>
      </w:r>
    </w:p>
    <w:p>
      <w:pPr>
        <w:pStyle w:val="style0"/>
        <w:autoSpaceDE w:val="false"/>
        <w:autoSpaceDN w:val="false"/>
        <w:adjustRightInd w:val="false"/>
        <w:spacing w:lineRule="exact" w:line="440"/>
        <w:ind w:firstLine="420" w:firstLineChars="200"/>
        <w:rPr>
          <w:rFonts w:ascii="宋体" w:hAnsi="宋体"/>
          <w:bCs/>
          <w:szCs w:val="21"/>
        </w:rPr>
      </w:pPr>
      <w:r>
        <w:rPr>
          <w:rFonts w:ascii="宋体" w:hAnsi="宋体" w:hint="eastAsia"/>
          <w:bCs/>
          <w:szCs w:val="21"/>
        </w:rPr>
        <w:t>（</w:t>
      </w:r>
      <w:r>
        <w:rPr>
          <w:rFonts w:ascii="宋体" w:hAnsi="宋体"/>
          <w:bCs/>
          <w:szCs w:val="21"/>
        </w:rPr>
        <w:t>2）采购代理机构将按照招标文件规定的时间通过“广西政府采购云平台”组织线上开标活动、开启投标文件，所有供应商均应当准时在线参加。投标人如不</w:t>
      </w:r>
      <w:r>
        <w:rPr>
          <w:rFonts w:ascii="宋体" w:hAnsi="宋体" w:hint="eastAsia"/>
          <w:bCs/>
          <w:szCs w:val="21"/>
        </w:rPr>
        <w:t>参加</w:t>
      </w:r>
      <w:r>
        <w:rPr>
          <w:rFonts w:ascii="宋体" w:hAnsi="宋体"/>
          <w:bCs/>
          <w:szCs w:val="21"/>
        </w:rPr>
        <w:t>开标大会的，</w:t>
      </w:r>
      <w:r>
        <w:rPr>
          <w:rFonts w:ascii="宋体" w:hAnsi="宋体" w:hint="eastAsia"/>
          <w:bCs/>
          <w:szCs w:val="21"/>
        </w:rPr>
        <w:t>视同认可开标结果，</w:t>
      </w:r>
      <w:r>
        <w:rPr>
          <w:rFonts w:ascii="宋体" w:hAnsi="宋体"/>
          <w:bCs/>
          <w:szCs w:val="21"/>
        </w:rPr>
        <w:t>事后不得对采购相关人员、开标过程和开标结果提出异议</w:t>
      </w:r>
      <w:r>
        <w:rPr>
          <w:rFonts w:ascii="宋体" w:hAnsi="宋体" w:hint="eastAsia"/>
          <w:bCs/>
          <w:szCs w:val="21"/>
        </w:rPr>
        <w:t>，同时投标人因未在线参加开标而导致投标文件无法按时解密等一切后果由投标人自己承担。</w:t>
      </w:r>
    </w:p>
    <w:p>
      <w:pPr>
        <w:pStyle w:val="style0"/>
        <w:autoSpaceDE w:val="false"/>
        <w:autoSpaceDN w:val="false"/>
        <w:adjustRightInd w:val="false"/>
        <w:spacing w:lineRule="exact" w:line="440"/>
        <w:ind w:firstLine="420" w:firstLineChars="200"/>
        <w:rPr>
          <w:rFonts w:ascii="宋体" w:hAnsi="宋体"/>
          <w:bCs/>
          <w:szCs w:val="21"/>
        </w:rPr>
      </w:pPr>
      <w:r>
        <w:rPr>
          <w:rFonts w:ascii="宋体" w:hAnsi="宋体"/>
          <w:bCs/>
          <w:szCs w:val="21"/>
        </w:rPr>
        <w:t>24.2开</w:t>
      </w:r>
      <w:r>
        <w:rPr>
          <w:rFonts w:ascii="宋体" w:hAnsi="宋体" w:hint="eastAsia"/>
          <w:bCs/>
          <w:szCs w:val="21"/>
        </w:rPr>
        <w:t>标</w:t>
      </w:r>
      <w:r>
        <w:rPr>
          <w:rFonts w:ascii="宋体" w:hAnsi="宋体"/>
          <w:bCs/>
          <w:szCs w:val="21"/>
        </w:rPr>
        <w:t>程序：</w:t>
      </w:r>
    </w:p>
    <w:p>
      <w:pPr>
        <w:pStyle w:val="style90"/>
        <w:snapToGrid w:val="false"/>
        <w:spacing w:lineRule="exact" w:line="440"/>
        <w:ind w:firstLine="422" w:firstLineChars="200"/>
        <w:rPr>
          <w:rFonts w:hAnsi="宋体"/>
          <w:szCs w:val="21"/>
        </w:rPr>
      </w:pPr>
      <w:r>
        <w:rPr>
          <w:rFonts w:hAnsi="宋体" w:hint="eastAsia"/>
          <w:b/>
          <w:szCs w:val="21"/>
        </w:rPr>
        <w:t>（</w:t>
      </w:r>
      <w:r>
        <w:rPr>
          <w:rFonts w:hAnsi="宋体"/>
          <w:b/>
          <w:szCs w:val="21"/>
        </w:rPr>
        <w:t>1）解密电子投标文件。</w:t>
      </w:r>
      <w:r>
        <w:rPr>
          <w:rFonts w:cs="仿宋_GB2312" w:hAnsi="宋体" w:hint="eastAsia"/>
          <w:b/>
          <w:szCs w:val="21"/>
        </w:rPr>
        <w:t>“</w:t>
      </w:r>
      <w:r>
        <w:rPr>
          <w:rFonts w:cs="仿宋_GB2312" w:hAnsi="宋体" w:hint="eastAsia"/>
          <w:szCs w:val="21"/>
        </w:rPr>
        <w:t>广西政府采购云平台”按开标时间自动提取所有投标文件。采购代理机构依托“广西政府采购云平台”</w:t>
      </w:r>
      <w:r>
        <w:rPr>
          <w:rFonts w:hAnsi="宋体" w:hint="eastAsia"/>
          <w:szCs w:val="21"/>
        </w:rPr>
        <w:t>向各投标人发出电子加密投标文件【开始解密】通知，由投标人按招标文件规定的时间内自行进行投标文件解密。投标人的法定代表人或其委托代理人</w:t>
      </w:r>
      <w:r>
        <w:rPr>
          <w:rFonts w:hAnsi="宋体" w:hint="eastAsia"/>
          <w:b/>
          <w:szCs w:val="21"/>
        </w:rPr>
        <w:t>须携带加密时所用的</w:t>
      </w:r>
      <w:r>
        <w:rPr>
          <w:rFonts w:hAnsi="宋体"/>
          <w:b/>
          <w:szCs w:val="21"/>
        </w:rPr>
        <w:t>CA锁准时登录到“广西政府采购云平台”电子开标大厅签到并对电子投标文件解密</w:t>
      </w:r>
      <w:r>
        <w:rPr>
          <w:rFonts w:hAnsi="宋体" w:hint="eastAsia"/>
          <w:szCs w:val="21"/>
        </w:rPr>
        <w:t>。开标后</w:t>
      </w:r>
      <w:r>
        <w:rPr>
          <w:rFonts w:hAnsi="宋体"/>
          <w:szCs w:val="21"/>
        </w:rPr>
        <w:t>5分钟投标人还未进行解密的，代理机构要通知投标人。通知后，</w:t>
      </w:r>
      <w:r>
        <w:rPr>
          <w:rFonts w:cs="仿宋_GB2312" w:hAnsi="宋体" w:hint="eastAsia"/>
          <w:szCs w:val="21"/>
        </w:rPr>
        <w:t>投标文件仍未按时解密，</w:t>
      </w:r>
      <w:r>
        <w:rPr>
          <w:rFonts w:hAnsi="宋体" w:hint="eastAsia"/>
          <w:szCs w:val="21"/>
        </w:rPr>
        <w:t>或者投标人没预留联系方式或预留联系方式无效，导致代理机构无法联系到投标人进行解密的，</w:t>
      </w:r>
      <w:r>
        <w:rPr>
          <w:rFonts w:hAnsi="宋体" w:hint="eastAsia"/>
          <w:b/>
          <w:szCs w:val="21"/>
        </w:rPr>
        <w:t>均视为无效投标。</w:t>
      </w:r>
    </w:p>
    <w:p>
      <w:pPr>
        <w:pStyle w:val="style90"/>
        <w:snapToGrid w:val="false"/>
        <w:spacing w:lineRule="exact" w:line="440"/>
        <w:ind w:firstLine="420" w:firstLineChars="200"/>
        <w:rPr>
          <w:rFonts w:hAnsi="宋体"/>
          <w:szCs w:val="21"/>
        </w:rPr>
      </w:pPr>
      <w:r>
        <w:rPr>
          <w:rFonts w:hAnsi="宋体" w:hint="eastAsia"/>
          <w:szCs w:val="21"/>
        </w:rPr>
        <w:t>（解密</w:t>
      </w:r>
      <w:r>
        <w:rPr>
          <w:rFonts w:hAnsi="宋体" w:hint="eastAsia"/>
          <w:bCs/>
          <w:szCs w:val="21"/>
        </w:rPr>
        <w:t>异常情况处理：详见本章</w:t>
      </w:r>
      <w:r>
        <w:rPr>
          <w:rFonts w:hAnsi="宋体"/>
        </w:rPr>
        <w:t xml:space="preserve">29.3 </w:t>
      </w:r>
      <w:r>
        <w:rPr>
          <w:rFonts w:hAnsi="宋体" w:hint="eastAsia"/>
        </w:rPr>
        <w:t>电子交易活动的中止。</w:t>
      </w:r>
      <w:r>
        <w:rPr>
          <w:rFonts w:hAnsi="宋体" w:hint="eastAsia"/>
          <w:szCs w:val="21"/>
        </w:rPr>
        <w:t>）</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2）</w:t>
      </w:r>
      <w:r>
        <w:rPr>
          <w:rFonts w:ascii="宋体" w:hAnsi="宋体" w:hint="eastAsia"/>
          <w:b/>
          <w:szCs w:val="21"/>
        </w:rPr>
        <w:t>电子唱标。</w:t>
      </w:r>
      <w:r>
        <w:rPr>
          <w:rFonts w:ascii="宋体" w:hAnsi="宋体" w:hint="eastAsia"/>
          <w:szCs w:val="21"/>
        </w:rPr>
        <w:t>投标文件解密结束，各投标供应商报价均在“广西政府采购云平台”远程不见面开标大厅展示；</w:t>
      </w:r>
    </w:p>
    <w:p>
      <w:pPr>
        <w:pStyle w:val="style0"/>
        <w:spacing w:lineRule="auto" w:line="360"/>
        <w:ind w:firstLine="420" w:firstLineChars="200"/>
        <w:rPr>
          <w:rFonts w:ascii="宋体" w:hAnsi="宋体"/>
          <w:bCs/>
          <w:szCs w:val="21"/>
        </w:rPr>
      </w:pPr>
      <w:r>
        <w:rPr>
          <w:rFonts w:ascii="宋体" w:hAnsi="宋体" w:hint="eastAsia"/>
          <w:bCs/>
          <w:szCs w:val="21"/>
        </w:rPr>
        <w:t>（</w:t>
      </w:r>
      <w:r>
        <w:rPr>
          <w:rFonts w:ascii="宋体" w:hAnsi="宋体"/>
          <w:bCs/>
          <w:szCs w:val="21"/>
        </w:rPr>
        <w:t>3）开标过程由采购代理机构如实记录，并电子留痕，由参加电子开标的各投标人代表对电子开标记录在开标记录公布后15分钟内进行当场校核及勘误，并线上确认，未确认的视同认可开标结果。</w:t>
      </w:r>
    </w:p>
    <w:p>
      <w:pPr>
        <w:pStyle w:val="style0"/>
        <w:spacing w:lineRule="auto" w:line="360"/>
        <w:ind w:firstLine="420" w:firstLineChars="200"/>
        <w:rPr>
          <w:rFonts w:ascii="宋体" w:hAnsi="宋体"/>
          <w:bCs/>
          <w:szCs w:val="21"/>
        </w:rPr>
      </w:pPr>
      <w:r>
        <w:rPr>
          <w:rFonts w:ascii="宋体" w:hAnsi="宋体" w:hint="eastAsia"/>
          <w:bCs/>
          <w:szCs w:val="21"/>
        </w:rPr>
        <w:t>（</w:t>
      </w:r>
      <w:r>
        <w:rPr>
          <w:rFonts w:ascii="宋体" w:hAnsi="宋体"/>
          <w:bCs/>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style0"/>
        <w:spacing w:lineRule="auto" w:line="360"/>
        <w:ind w:firstLine="420" w:firstLineChars="200"/>
        <w:rPr>
          <w:rFonts w:ascii="宋体" w:hAnsi="宋体"/>
          <w:bCs/>
          <w:szCs w:val="21"/>
        </w:rPr>
      </w:pPr>
      <w:r>
        <w:rPr>
          <w:rFonts w:ascii="宋体" w:hAnsi="宋体" w:hint="eastAsia"/>
          <w:bCs/>
          <w:szCs w:val="21"/>
        </w:rPr>
        <w:t>（</w:t>
      </w:r>
      <w:r>
        <w:rPr>
          <w:rFonts w:ascii="宋体" w:hAnsi="宋体"/>
          <w:bCs/>
          <w:szCs w:val="21"/>
        </w:rPr>
        <w:t>5）开标结束。</w:t>
      </w:r>
    </w:p>
    <w:p>
      <w:pPr>
        <w:pStyle w:val="style90"/>
        <w:snapToGrid w:val="false"/>
        <w:spacing w:lineRule="exact" w:line="440"/>
        <w:ind w:firstLine="422" w:firstLineChars="200"/>
        <w:rPr>
          <w:rFonts w:hAnsi="宋体"/>
          <w:szCs w:val="21"/>
        </w:rPr>
      </w:pPr>
      <w:r>
        <w:rPr>
          <w:rFonts w:hAnsi="宋体" w:hint="eastAsia"/>
          <w:b/>
          <w:bCs/>
          <w:szCs w:val="21"/>
        </w:rPr>
        <w:t>特别说明：</w:t>
      </w:r>
      <w:r>
        <w:rPr>
          <w:rFonts w:hAnsi="宋体" w:hint="eastAsia"/>
          <w:szCs w:val="21"/>
        </w:rPr>
        <w:t>如遇“广西政府采购云平台”电子化开标或评审程序调整的，按调整后执行。</w:t>
      </w:r>
    </w:p>
    <w:p>
      <w:pPr>
        <w:pStyle w:val="style90"/>
        <w:snapToGrid w:val="false"/>
        <w:spacing w:lineRule="exact" w:line="400"/>
        <w:ind w:left="689" w:leftChars="228" w:hanging="210" w:hangingChars="100"/>
        <w:rPr>
          <w:rFonts w:hAnsi="宋体"/>
        </w:rPr>
      </w:pPr>
    </w:p>
    <w:bookmarkStart w:id="143" w:name="_Toc119359489"/>
    <w:bookmarkStart w:id="144" w:name="_Toc12425"/>
    <w:p>
      <w:pPr>
        <w:pStyle w:val="style3"/>
        <w:keepNext w:val="false"/>
        <w:keepLines w:val="false"/>
        <w:spacing w:lineRule="exact" w:line="400"/>
        <w:ind w:firstLine="602"/>
        <w:jc w:val="center"/>
        <w:rPr>
          <w:rFonts w:ascii="宋体" w:hAnsi="宋体"/>
          <w:sz w:val="30"/>
          <w:szCs w:val="30"/>
        </w:rPr>
      </w:pPr>
      <w:r>
        <w:rPr>
          <w:rFonts w:ascii="宋体" w:hAnsi="宋体" w:hint="eastAsia"/>
          <w:sz w:val="30"/>
          <w:szCs w:val="30"/>
        </w:rPr>
        <w:t>五、资格审查</w:t>
      </w:r>
      <w:bookmarkEnd w:id="143"/>
      <w:bookmarkEnd w:id="144"/>
    </w:p>
    <w:p>
      <w:pPr>
        <w:pStyle w:val="style5"/>
        <w:keepNext w:val="false"/>
        <w:keepLines w:val="false"/>
        <w:spacing w:before="0" w:after="0" w:lineRule="auto" w:line="360"/>
        <w:ind w:firstLine="482" w:firstLineChars="200"/>
        <w:rPr>
          <w:rFonts w:ascii="宋体" w:hAnsi="宋体"/>
          <w:sz w:val="24"/>
        </w:rPr>
      </w:pPr>
      <w:r>
        <w:rPr>
          <w:rFonts w:ascii="宋体" w:hAnsi="宋体"/>
          <w:sz w:val="24"/>
        </w:rPr>
        <w:t>25.资格审查</w:t>
      </w:r>
    </w:p>
    <w:p>
      <w:pPr>
        <w:pStyle w:val="style0"/>
        <w:spacing w:lineRule="auto" w:line="360"/>
        <w:ind w:firstLine="422" w:firstLineChars="200"/>
        <w:rPr>
          <w:rFonts w:ascii="宋体" w:hAnsi="宋体"/>
          <w:b/>
          <w:bCs/>
          <w:szCs w:val="20"/>
        </w:rPr>
      </w:pPr>
      <w:r>
        <w:rPr>
          <w:rFonts w:ascii="宋体" w:hAnsi="宋体"/>
          <w:b/>
          <w:bCs/>
          <w:szCs w:val="20"/>
        </w:rPr>
        <w:t xml:space="preserve"> 25.1开标结束后，</w:t>
      </w:r>
      <w:r>
        <w:rPr>
          <w:rFonts w:ascii="宋体" w:hAnsi="宋体" w:hint="eastAsia"/>
          <w:b/>
          <w:bCs/>
          <w:szCs w:val="20"/>
        </w:rPr>
        <w:t>采购人或采购机构</w:t>
      </w:r>
      <w:r>
        <w:rPr>
          <w:rFonts w:ascii="宋体" w:hAnsi="宋体"/>
          <w:b/>
          <w:bCs/>
          <w:szCs w:val="20"/>
        </w:rPr>
        <w:t>依法</w:t>
      </w:r>
      <w:r>
        <w:rPr>
          <w:rFonts w:ascii="宋体" w:hAnsi="宋体" w:hint="eastAsia"/>
          <w:b/>
          <w:bCs/>
          <w:szCs w:val="20"/>
        </w:rPr>
        <w:t>通过电子投标文件</w:t>
      </w:r>
      <w:r>
        <w:rPr>
          <w:rFonts w:ascii="宋体" w:hAnsi="宋体"/>
          <w:b/>
          <w:bCs/>
          <w:szCs w:val="20"/>
        </w:rPr>
        <w:t>对投标人的资格进行</w:t>
      </w:r>
      <w:r>
        <w:rPr>
          <w:rFonts w:ascii="宋体" w:hAnsi="宋体" w:hint="eastAsia"/>
          <w:b/>
          <w:bCs/>
          <w:szCs w:val="20"/>
        </w:rPr>
        <w:t>线上</w:t>
      </w:r>
      <w:r>
        <w:rPr>
          <w:rFonts w:ascii="宋体" w:hAnsi="宋体"/>
          <w:b/>
          <w:bCs/>
          <w:szCs w:val="20"/>
        </w:rPr>
        <w:t>审查。</w:t>
      </w:r>
    </w:p>
    <w:p>
      <w:pPr>
        <w:pStyle w:val="style0"/>
        <w:spacing w:lineRule="auto" w:line="360"/>
        <w:ind w:firstLine="422" w:firstLineChars="200"/>
        <w:rPr>
          <w:rFonts w:ascii="宋体" w:hAnsi="宋体"/>
          <w:b/>
          <w:bCs/>
          <w:szCs w:val="20"/>
        </w:rPr>
      </w:pPr>
      <w:r>
        <w:rPr>
          <w:rFonts w:ascii="宋体" w:hAnsi="宋体"/>
          <w:b/>
          <w:bCs/>
          <w:szCs w:val="20"/>
        </w:rPr>
        <w:t xml:space="preserve"> 25.2采购人或采购机构依据法律法规和招标文件的规定，对投标人的基本资格条件、特定资格条件进行审查。</w:t>
      </w:r>
    </w:p>
    <w:p>
      <w:pPr>
        <w:pStyle w:val="style0"/>
        <w:spacing w:lineRule="auto" w:line="360"/>
        <w:ind w:firstLine="420" w:firstLineChars="200"/>
        <w:rPr>
          <w:rFonts w:ascii="宋体" w:hAnsi="宋体"/>
        </w:rPr>
      </w:pPr>
      <w:r>
        <w:rPr>
          <w:rFonts w:ascii="宋体" w:hAnsi="宋体"/>
        </w:rPr>
        <w:t>25.3资格审查标准为本“招标文件”中“投标人须知前附表”13.1点载明对投标人资格要求的条件。本项目资格审查采用合格制，凡符合招标文件规定的投标人资格要求的投标人均通过资格审查。</w:t>
      </w:r>
    </w:p>
    <w:bookmarkStart w:id="145" w:name="_25.3_投标人有下列情形之一的，资格审查不通过而导致其投标无效："/>
    <w:bookmarkEnd w:id="145"/>
    <w:p>
      <w:pPr>
        <w:pStyle w:val="style0"/>
        <w:spacing w:lineRule="auto" w:line="360"/>
        <w:ind w:firstLine="422" w:firstLineChars="200"/>
        <w:rPr>
          <w:rFonts w:ascii="宋体" w:hAnsi="宋体"/>
          <w:b/>
          <w:bCs/>
          <w:szCs w:val="20"/>
        </w:rPr>
      </w:pPr>
      <w:r>
        <w:rPr>
          <w:rFonts w:ascii="宋体" w:hAnsi="宋体"/>
          <w:b/>
          <w:bCs/>
          <w:szCs w:val="20"/>
        </w:rPr>
        <w:t>25.4投标人有下列情形之一的，资格审查不通过，作无效投标处理：</w:t>
      </w:r>
    </w:p>
    <w:p>
      <w:pPr>
        <w:pStyle w:val="style0"/>
        <w:spacing w:lineRule="auto" w:line="360"/>
        <w:ind w:firstLine="420" w:firstLineChars="200"/>
        <w:rPr>
          <w:rFonts w:ascii="宋体" w:hAnsi="宋体"/>
        </w:rPr>
      </w:pPr>
      <w:r>
        <w:rPr>
          <w:rFonts w:ascii="宋体" w:hAnsi="宋体" w:hint="eastAsia"/>
        </w:rPr>
        <w:t>（</w:t>
      </w:r>
      <w:r>
        <w:rPr>
          <w:rFonts w:ascii="宋体" w:hAnsi="宋体"/>
        </w:rPr>
        <w:t>1）不具备招标文件中规定的资格要求的；（注：其中信用查询规则见“投标人须知前附表”，“广西政府采购云平台”已与“信用中国”平台做接口，审查专家可直接在线查询）</w:t>
      </w:r>
    </w:p>
    <w:p>
      <w:pPr>
        <w:pStyle w:val="style0"/>
        <w:spacing w:lineRule="auto" w:line="360"/>
        <w:ind w:firstLine="420" w:firstLineChars="200"/>
        <w:rPr>
          <w:rFonts w:ascii="宋体" w:hAnsi="宋体"/>
        </w:rPr>
      </w:pPr>
      <w:r>
        <w:rPr>
          <w:rFonts w:ascii="宋体" w:hAnsi="宋体" w:hint="eastAsia"/>
        </w:rPr>
        <w:t>（</w:t>
      </w:r>
      <w:r>
        <w:rPr>
          <w:rFonts w:ascii="宋体" w:hAnsi="宋体"/>
        </w:rPr>
        <w:t>2）投标文件未提供任一项“投标人须知前附表”资格证明文件规定的“必须提供”的文件资料的；</w:t>
      </w:r>
    </w:p>
    <w:p>
      <w:pPr>
        <w:pStyle w:val="style0"/>
        <w:spacing w:lineRule="auto" w:line="360"/>
        <w:ind w:firstLine="420" w:firstLineChars="200"/>
        <w:rPr>
          <w:rFonts w:ascii="宋体" w:hAnsi="宋体"/>
        </w:rPr>
      </w:pPr>
      <w:r>
        <w:rPr>
          <w:rFonts w:ascii="宋体" w:hAnsi="宋体" w:hint="eastAsia"/>
        </w:rPr>
        <w:t>（</w:t>
      </w:r>
      <w:r>
        <w:rPr>
          <w:rFonts w:ascii="宋体" w:hAnsi="宋体"/>
        </w:rPr>
        <w:t>3）投标文件提供的资格证明文件出现任一项不符合“投标人须知前附表”资格证明文件规定的“必须提供”的文件资料要求或者无效的。</w:t>
      </w:r>
    </w:p>
    <w:p>
      <w:pPr>
        <w:pStyle w:val="style5"/>
        <w:keepNext w:val="false"/>
        <w:keepLines w:val="false"/>
        <w:spacing w:before="0" w:after="0" w:lineRule="auto" w:line="360"/>
        <w:ind w:firstLine="420" w:firstLineChars="200"/>
        <w:rPr>
          <w:rFonts w:ascii="宋体" w:hAnsi="宋体"/>
          <w:b w:val="false"/>
          <w:bCs w:val="false"/>
          <w:sz w:val="21"/>
          <w:szCs w:val="20"/>
        </w:rPr>
      </w:pPr>
      <w:r>
        <w:rPr>
          <w:rFonts w:ascii="宋体" w:hAnsi="宋体"/>
          <w:b w:val="false"/>
          <w:bCs w:val="false"/>
          <w:sz w:val="21"/>
          <w:szCs w:val="20"/>
        </w:rPr>
        <w:t>25.5资格审查的合格投标人不足3家的，不得评标。</w:t>
      </w:r>
    </w:p>
    <w:bookmarkStart w:id="146" w:name="_Toc119359490"/>
    <w:bookmarkStart w:id="147" w:name="_Toc13307"/>
    <w:p>
      <w:pPr>
        <w:pStyle w:val="style3"/>
        <w:keepNext w:val="false"/>
        <w:keepLines w:val="false"/>
        <w:spacing w:lineRule="auto" w:line="360"/>
        <w:ind w:firstLine="602"/>
        <w:jc w:val="center"/>
        <w:rPr>
          <w:rFonts w:ascii="宋体" w:hAnsi="宋体"/>
          <w:sz w:val="30"/>
          <w:szCs w:val="30"/>
        </w:rPr>
      </w:pPr>
      <w:r>
        <w:rPr>
          <w:rFonts w:ascii="宋体" w:hAnsi="宋体" w:hint="eastAsia"/>
          <w:sz w:val="30"/>
          <w:szCs w:val="30"/>
        </w:rPr>
        <w:t>六、评标</w:t>
      </w:r>
      <w:bookmarkEnd w:id="146"/>
      <w:bookmarkEnd w:id="147"/>
    </w:p>
    <w:bookmarkStart w:id="148" w:name="_26.组建评标委员会"/>
    <w:bookmarkEnd w:id="148"/>
    <w:p>
      <w:pPr>
        <w:pStyle w:val="style0"/>
        <w:spacing w:lineRule="auto" w:line="360"/>
        <w:ind w:firstLine="482" w:firstLineChars="200"/>
        <w:rPr>
          <w:rFonts w:ascii="宋体" w:hAnsi="宋体"/>
          <w:b/>
          <w:sz w:val="24"/>
        </w:rPr>
      </w:pPr>
      <w:r>
        <w:rPr>
          <w:rFonts w:ascii="宋体" w:hAnsi="宋体"/>
          <w:b/>
          <w:sz w:val="24"/>
        </w:rPr>
        <w:t>26.组建评标委员会</w:t>
      </w:r>
    </w:p>
    <w:p>
      <w:pPr>
        <w:pStyle w:val="style0"/>
        <w:spacing w:lineRule="auto" w:line="360"/>
        <w:ind w:firstLine="420" w:firstLineChars="200"/>
        <w:rPr>
          <w:rFonts w:ascii="宋体" w:hAnsi="宋体"/>
        </w:rPr>
      </w:pPr>
      <w:r>
        <w:rPr>
          <w:rFonts w:ascii="宋体" w:hAnsi="宋体" w:hint="eastAsia"/>
        </w:rPr>
        <w:t>评标委员会由采购人代表和评审专家组成，人数为</w:t>
      </w:r>
      <w:r>
        <w:rPr>
          <w:rFonts w:ascii="宋体" w:hAnsi="宋体"/>
        </w:rPr>
        <w:t>5人以上单数，其中评审专家不得少于成员总数的三分之二。</w:t>
      </w:r>
    </w:p>
    <w:p>
      <w:pPr>
        <w:pStyle w:val="style0"/>
        <w:spacing w:lineRule="auto" w:line="360"/>
        <w:ind w:firstLine="420" w:firstLineChars="200"/>
        <w:rPr>
          <w:rFonts w:ascii="宋体" w:hAnsi="宋体"/>
        </w:rPr>
      </w:pPr>
      <w:r>
        <w:rPr>
          <w:rFonts w:ascii="宋体" w:hAnsi="宋体" w:hint="eastAsia"/>
        </w:rPr>
        <w:t>参加过采购项目前期咨询论证的专家，不得参加该采购项目的评审活动。</w:t>
      </w:r>
    </w:p>
    <w:p>
      <w:pPr>
        <w:pStyle w:val="style0"/>
        <w:spacing w:lineRule="auto" w:line="360"/>
        <w:ind w:firstLine="482" w:firstLineChars="200"/>
        <w:rPr>
          <w:rFonts w:ascii="宋体" w:hAnsi="宋体"/>
          <w:b/>
          <w:sz w:val="24"/>
        </w:rPr>
      </w:pPr>
      <w:r>
        <w:rPr>
          <w:rFonts w:ascii="宋体" w:hAnsi="宋体"/>
          <w:b/>
          <w:sz w:val="24"/>
        </w:rPr>
        <w:t>27.评标的依据</w:t>
      </w:r>
    </w:p>
    <w:p>
      <w:pPr>
        <w:pStyle w:val="style0"/>
        <w:spacing w:lineRule="auto" w:line="360"/>
        <w:ind w:firstLine="420" w:firstLineChars="200"/>
        <w:rPr>
          <w:rFonts w:ascii="宋体" w:hAnsi="宋体"/>
        </w:rPr>
      </w:pPr>
      <w:r>
        <w:rPr>
          <w:rFonts w:ascii="宋体" w:hAnsi="宋体" w:hint="eastAsia"/>
        </w:rPr>
        <w:t>评标委员会以招标文件为依据对投标文件进行评审，</w:t>
      </w:r>
      <w:r>
        <w:rPr>
          <w:rFonts w:ascii="宋体" w:cs="宋体" w:hAnsi="宋体" w:hint="eastAsia"/>
        </w:rPr>
        <w:t>“第四章评标方法和评标标准”</w:t>
      </w:r>
      <w:r>
        <w:rPr>
          <w:rFonts w:ascii="宋体" w:hAnsi="宋体"/>
        </w:rPr>
        <w:t>没有规定的方法、评审因素和标准，不作为评标依据。</w:t>
      </w:r>
    </w:p>
    <w:p>
      <w:pPr>
        <w:pStyle w:val="style0"/>
        <w:spacing w:lineRule="auto" w:line="360"/>
        <w:ind w:firstLine="482" w:firstLineChars="200"/>
        <w:rPr>
          <w:rFonts w:ascii="宋体" w:hAnsi="宋体"/>
          <w:b/>
          <w:sz w:val="24"/>
        </w:rPr>
      </w:pPr>
      <w:r>
        <w:rPr>
          <w:rFonts w:ascii="宋体" w:hAnsi="宋体"/>
          <w:b/>
          <w:sz w:val="24"/>
        </w:rPr>
        <w:t>28.评标原则</w:t>
      </w:r>
    </w:p>
    <w:p>
      <w:pPr>
        <w:pStyle w:val="style0"/>
        <w:spacing w:lineRule="auto" w:line="360"/>
        <w:ind w:firstLine="420" w:firstLineChars="200"/>
        <w:rPr>
          <w:rFonts w:ascii="宋体" w:hAnsi="宋体"/>
        </w:rPr>
      </w:pPr>
      <w:r>
        <w:rPr>
          <w:rFonts w:ascii="宋体" w:hAnsi="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style0"/>
        <w:spacing w:lineRule="auto" w:line="360"/>
        <w:ind w:firstLine="420" w:firstLineChars="200"/>
        <w:rPr>
          <w:rFonts w:ascii="宋体" w:hAnsi="宋体"/>
        </w:rPr>
      </w:pPr>
      <w:r>
        <w:rPr>
          <w:rFonts w:ascii="宋体" w:hAnsi="宋体"/>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49" w:name="_28.3评标方法。本项目将按须知前附表规定的评标办法进行评标，具体评标"/>
      <w:bookmarkEnd w:id="149"/>
    </w:p>
    <w:p>
      <w:pPr>
        <w:pStyle w:val="style0"/>
        <w:spacing w:lineRule="auto" w:line="360"/>
        <w:ind w:firstLine="420" w:firstLineChars="200"/>
        <w:rPr>
          <w:rFonts w:ascii="宋体" w:hAnsi="宋体"/>
        </w:rPr>
      </w:pPr>
      <w:r>
        <w:rPr>
          <w:rFonts w:ascii="宋体" w:hAnsi="宋体"/>
        </w:rPr>
        <w:t>28.3</w:t>
      </w:r>
      <w:r>
        <w:rPr>
          <w:rFonts w:ascii="宋体" w:hAnsi="宋体" w:hint="eastAsia"/>
        </w:rPr>
        <w:t>评标的保密。采购人、采购代理机构应当采取必要措施，保证评标在严格保密（封闭式评标）的情况下进行。除采购人代表、评标现场组织人员外，采购人的其他工作人员以及与评标工作无关的人员不</w:t>
      </w:r>
      <w:r>
        <w:rPr>
          <w:rFonts w:ascii="宋体" w:hAnsi="宋体" w:hint="eastAsia"/>
        </w:rPr>
        <w:t>得进入评标现场。有关人员对评标情况以及在评标过程中获悉的国家秘密、商业秘密负有保密责任。</w:t>
      </w:r>
    </w:p>
    <w:p>
      <w:pPr>
        <w:pStyle w:val="style0"/>
        <w:spacing w:lineRule="auto" w:line="360"/>
        <w:ind w:firstLine="420" w:firstLineChars="200"/>
        <w:rPr>
          <w:rFonts w:ascii="宋体" w:hAnsi="宋体"/>
        </w:rPr>
      </w:pPr>
      <w:r>
        <w:rPr>
          <w:rFonts w:ascii="宋体" w:hAnsi="宋体"/>
        </w:rPr>
        <w:t>28.4</w:t>
      </w:r>
      <w:r>
        <w:rPr>
          <w:rFonts w:ascii="宋体" w:hAnsi="宋体" w:hint="eastAsia"/>
        </w:rPr>
        <w:t>评标过程的监控。本项目电子评标过程实行网上留痕、全程录音、录像监控，投标人在评标过程中所进行的试图影响评标结果的不公正活动，可能导致其投标按无效处理。</w:t>
      </w:r>
    </w:p>
    <w:p>
      <w:pPr>
        <w:pStyle w:val="style0"/>
        <w:spacing w:lineRule="auto" w:line="360"/>
        <w:ind w:firstLine="482" w:firstLineChars="200"/>
        <w:rPr>
          <w:rFonts w:ascii="宋体" w:hAnsi="宋体"/>
          <w:b/>
          <w:sz w:val="24"/>
        </w:rPr>
      </w:pPr>
      <w:r>
        <w:rPr>
          <w:rFonts w:ascii="宋体" w:hAnsi="宋体"/>
          <w:b/>
          <w:sz w:val="24"/>
        </w:rPr>
        <w:t>29.评标方法及评标标准</w:t>
      </w:r>
    </w:p>
    <w:p>
      <w:pPr>
        <w:pStyle w:val="style0"/>
        <w:spacing w:lineRule="auto" w:line="360"/>
        <w:ind w:firstLine="420" w:firstLineChars="200"/>
        <w:rPr>
          <w:rFonts w:ascii="宋体" w:hAnsi="宋体"/>
        </w:rPr>
      </w:pPr>
      <w:r>
        <w:rPr>
          <w:rFonts w:ascii="宋体" w:hAnsi="宋体"/>
        </w:rPr>
        <w:t>29.1</w:t>
      </w:r>
      <w:r>
        <w:rPr>
          <w:rFonts w:ascii="宋体" w:hAnsi="宋体" w:hint="eastAsia"/>
        </w:rPr>
        <w:t>本项目的评标方法详见“投标人须知前附表”。</w:t>
      </w:r>
    </w:p>
    <w:p>
      <w:pPr>
        <w:pStyle w:val="style0"/>
        <w:spacing w:lineRule="auto" w:line="360"/>
        <w:ind w:firstLine="420" w:firstLineChars="200"/>
        <w:rPr>
          <w:rFonts w:ascii="宋体" w:hAnsi="宋体"/>
        </w:rPr>
      </w:pPr>
      <w:r>
        <w:rPr>
          <w:rFonts w:ascii="宋体" w:hAnsi="宋体"/>
        </w:rPr>
        <w:t>29.2评标委员会按照</w:t>
      </w:r>
      <w:r>
        <w:rPr>
          <w:rFonts w:ascii="宋体" w:cs="宋体" w:hAnsi="宋体" w:hint="eastAsia"/>
          <w:b/>
        </w:rPr>
        <w:t>“第四章评标方法和评标标准”</w:t>
      </w:r>
      <w:r>
        <w:rPr>
          <w:rFonts w:ascii="宋体" w:hAnsi="宋体"/>
        </w:rPr>
        <w:t>规定的方法、评审因素、标准和程序对投标文件进行评审。</w:t>
      </w:r>
    </w:p>
    <w:p>
      <w:pPr>
        <w:pStyle w:val="style0"/>
        <w:spacing w:lineRule="auto" w:line="360"/>
        <w:ind w:firstLine="420" w:firstLineChars="200"/>
        <w:rPr>
          <w:rFonts w:ascii="宋体" w:hAnsi="宋体"/>
        </w:rPr>
      </w:pPr>
      <w:r>
        <w:rPr>
          <w:rFonts w:ascii="宋体" w:hAnsi="宋体"/>
        </w:rPr>
        <w:t xml:space="preserve">29.3 </w:t>
      </w:r>
      <w:r>
        <w:rPr>
          <w:rFonts w:ascii="宋体" w:hAnsi="宋体" w:hint="eastAsia"/>
        </w:rPr>
        <w:t>电子交易活动的中止。采购过程中出现以下情形，导致电子交易平台无法正常运行，或者无法保证电子交易的公平、公正和安全时，采购机构可中止电子交易活动：</w:t>
      </w:r>
    </w:p>
    <w:p>
      <w:pPr>
        <w:pStyle w:val="style0"/>
        <w:spacing w:lineRule="auto" w:line="360"/>
        <w:ind w:firstLine="420" w:firstLineChars="200"/>
        <w:rPr>
          <w:rFonts w:ascii="宋体" w:hAnsi="宋体"/>
        </w:rPr>
      </w:pPr>
      <w:r>
        <w:rPr>
          <w:rFonts w:ascii="宋体" w:hAnsi="宋体" w:hint="eastAsia"/>
        </w:rPr>
        <w:t>（</w:t>
      </w:r>
      <w:r>
        <w:rPr>
          <w:rFonts w:ascii="宋体" w:hAnsi="宋体"/>
        </w:rPr>
        <w:t xml:space="preserve">1）电子交易平台发生故障而无法登录访问的； </w:t>
      </w:r>
    </w:p>
    <w:p>
      <w:pPr>
        <w:pStyle w:val="style0"/>
        <w:spacing w:lineRule="auto" w:line="360"/>
        <w:ind w:firstLine="420" w:firstLineChars="200"/>
        <w:rPr>
          <w:rFonts w:ascii="宋体" w:hAnsi="宋体"/>
        </w:rPr>
      </w:pPr>
      <w:r>
        <w:rPr>
          <w:rFonts w:ascii="宋体" w:hAnsi="宋体" w:hint="eastAsia"/>
        </w:rPr>
        <w:t>（</w:t>
      </w:r>
      <w:r>
        <w:rPr>
          <w:rFonts w:ascii="宋体" w:hAnsi="宋体"/>
        </w:rPr>
        <w:t>2）电子交易平台应用或数据库出现错误，不能进行正常操作的；</w:t>
      </w:r>
    </w:p>
    <w:p>
      <w:pPr>
        <w:pStyle w:val="style0"/>
        <w:spacing w:lineRule="auto" w:line="360"/>
        <w:ind w:firstLine="420" w:firstLineChars="200"/>
        <w:rPr>
          <w:rFonts w:ascii="宋体" w:hAnsi="宋体"/>
        </w:rPr>
      </w:pPr>
      <w:r>
        <w:rPr>
          <w:rFonts w:ascii="宋体" w:hAnsi="宋体" w:hint="eastAsia"/>
        </w:rPr>
        <w:t>（</w:t>
      </w:r>
      <w:r>
        <w:rPr>
          <w:rFonts w:ascii="宋体" w:hAnsi="宋体"/>
        </w:rPr>
        <w:t>3）电子交易平台发现严重安全漏洞，有潜在泄密危险的；</w:t>
      </w:r>
    </w:p>
    <w:p>
      <w:pPr>
        <w:pStyle w:val="style0"/>
        <w:spacing w:lineRule="auto" w:line="360"/>
        <w:ind w:firstLine="420" w:firstLineChars="200"/>
        <w:rPr>
          <w:rFonts w:ascii="宋体" w:hAnsi="宋体"/>
        </w:rPr>
      </w:pPr>
      <w:r>
        <w:rPr>
          <w:rFonts w:ascii="宋体" w:hAnsi="宋体" w:hint="eastAsia"/>
        </w:rPr>
        <w:t>（</w:t>
      </w:r>
      <w:r>
        <w:rPr>
          <w:rFonts w:ascii="宋体" w:hAnsi="宋体"/>
        </w:rPr>
        <w:t xml:space="preserve">4）病毒发作导致不能进行正常操作的； </w:t>
      </w:r>
    </w:p>
    <w:p>
      <w:pPr>
        <w:pStyle w:val="style0"/>
        <w:spacing w:lineRule="auto" w:line="360"/>
        <w:ind w:firstLine="420" w:firstLineChars="200"/>
        <w:rPr>
          <w:rFonts w:ascii="宋体" w:hAnsi="宋体"/>
        </w:rPr>
      </w:pPr>
      <w:r>
        <w:rPr>
          <w:rFonts w:ascii="宋体" w:hAnsi="宋体" w:hint="eastAsia"/>
        </w:rPr>
        <w:t>（</w:t>
      </w:r>
      <w:r>
        <w:rPr>
          <w:rFonts w:ascii="宋体" w:hAnsi="宋体"/>
        </w:rPr>
        <w:t>4）其他无法保证电子交易的公平、公正和安全的情况。</w:t>
      </w:r>
    </w:p>
    <w:p>
      <w:pPr>
        <w:pStyle w:val="style0"/>
        <w:spacing w:lineRule="auto" w:line="360"/>
        <w:ind w:firstLine="420" w:firstLineChars="200"/>
        <w:rPr>
          <w:rFonts w:ascii="宋体" w:hAnsi="宋体"/>
        </w:rPr>
      </w:pPr>
      <w:r>
        <w:rPr>
          <w:rFonts w:ascii="宋体" w:hAnsi="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style90"/>
        <w:snapToGrid w:val="false"/>
        <w:spacing w:lineRule="exact" w:line="400"/>
        <w:ind w:firstLine="420" w:firstLineChars="200"/>
        <w:rPr>
          <w:rFonts w:hAnsi="宋体"/>
        </w:rPr>
      </w:pPr>
    </w:p>
    <w:bookmarkStart w:id="150" w:name="_Toc254970546"/>
    <w:bookmarkStart w:id="151" w:name="_Toc254970687"/>
    <w:bookmarkStart w:id="152" w:name="_Toc9224"/>
    <w:bookmarkStart w:id="153" w:name="_Toc119359491"/>
    <w:p>
      <w:pPr>
        <w:pStyle w:val="style3"/>
        <w:keepNext w:val="false"/>
        <w:keepLines w:val="false"/>
        <w:spacing w:lineRule="exact" w:line="400"/>
        <w:ind w:firstLine="602"/>
        <w:jc w:val="center"/>
        <w:rPr>
          <w:rFonts w:ascii="宋体" w:hAnsi="宋体"/>
          <w:sz w:val="30"/>
          <w:szCs w:val="30"/>
        </w:rPr>
      </w:pPr>
      <w:r>
        <w:rPr>
          <w:rFonts w:ascii="宋体" w:hAnsi="宋体" w:hint="eastAsia"/>
          <w:sz w:val="30"/>
          <w:szCs w:val="30"/>
        </w:rPr>
        <w:t>七、</w:t>
      </w:r>
      <w:bookmarkEnd w:id="150"/>
      <w:bookmarkEnd w:id="151"/>
      <w:r>
        <w:rPr>
          <w:rFonts w:ascii="宋体" w:hAnsi="宋体" w:hint="eastAsia"/>
          <w:sz w:val="30"/>
          <w:szCs w:val="30"/>
        </w:rPr>
        <w:t>中标和合同</w:t>
      </w:r>
      <w:bookmarkEnd w:id="152"/>
      <w:bookmarkEnd w:id="153"/>
    </w:p>
    <w:p>
      <w:pPr>
        <w:pStyle w:val="style0"/>
        <w:spacing w:lineRule="auto" w:line="360"/>
        <w:ind w:firstLine="482" w:firstLineChars="200"/>
        <w:rPr>
          <w:rFonts w:ascii="宋体" w:hAnsi="宋体"/>
          <w:b/>
          <w:sz w:val="24"/>
        </w:rPr>
      </w:pPr>
      <w:r>
        <w:rPr>
          <w:rFonts w:ascii="宋体" w:hAnsi="宋体"/>
          <w:b/>
          <w:sz w:val="24"/>
        </w:rPr>
        <w:t>30.确定中标人</w:t>
      </w:r>
    </w:p>
    <w:p>
      <w:pPr>
        <w:pStyle w:val="style0"/>
        <w:spacing w:lineRule="auto" w:line="360"/>
        <w:ind w:firstLine="422" w:firstLineChars="200"/>
        <w:rPr>
          <w:rFonts w:ascii="宋体" w:cs="Courier New" w:hAnsi="宋体"/>
          <w:b/>
          <w:bCs/>
          <w:szCs w:val="21"/>
        </w:rPr>
      </w:pPr>
      <w:r>
        <w:rPr>
          <w:rFonts w:ascii="宋体" w:cs="Courier New" w:hAnsi="宋体"/>
          <w:b/>
          <w:bCs/>
          <w:szCs w:val="21"/>
        </w:rPr>
        <w:t>30.1</w:t>
      </w:r>
      <w:r>
        <w:rPr>
          <w:rFonts w:ascii="宋体" w:cs="Courier New" w:hAnsi="宋体" w:hint="eastAsia"/>
          <w:b/>
          <w:bCs/>
          <w:szCs w:val="21"/>
        </w:rPr>
        <w:t>本项目授权评标委员会直接按第四章“评标方法及标准”的规定排列中标候选人顺序，并依照次序确定中标人。</w:t>
      </w:r>
    </w:p>
    <w:p>
      <w:pPr>
        <w:pStyle w:val="style0"/>
        <w:spacing w:lineRule="auto" w:line="360"/>
        <w:ind w:firstLine="420" w:firstLineChars="200"/>
        <w:rPr>
          <w:rFonts w:ascii="宋体" w:cs="Courier New" w:hAnsi="宋体"/>
          <w:szCs w:val="21"/>
        </w:rPr>
      </w:pPr>
      <w:r>
        <w:rPr>
          <w:rFonts w:ascii="宋体" w:cs="Courier New" w:hAnsi="宋体"/>
          <w:szCs w:val="21"/>
        </w:rPr>
        <w:t>30.2</w:t>
      </w:r>
      <w:r>
        <w:rPr>
          <w:rFonts w:ascii="宋体" w:cs="Courier New" w:hAnsi="宋体"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pStyle w:val="style0"/>
        <w:spacing w:lineRule="auto" w:line="360"/>
        <w:ind w:firstLine="420" w:firstLineChars="200"/>
        <w:rPr>
          <w:rFonts w:ascii="宋体" w:cs="Courier New" w:hAnsi="宋体"/>
          <w:szCs w:val="21"/>
        </w:rPr>
      </w:pPr>
      <w:r>
        <w:rPr>
          <w:rFonts w:ascii="宋体" w:cs="Courier New" w:hAnsi="宋体"/>
          <w:szCs w:val="21"/>
        </w:rPr>
        <w:t>30.3</w:t>
      </w:r>
      <w:r>
        <w:rPr>
          <w:rFonts w:ascii="宋体" w:cs="Courier New" w:hAnsi="宋体" w:hint="eastAsia"/>
          <w:szCs w:val="21"/>
        </w:rPr>
        <w:t>中标人无正当理由拒签合同的，根据《中华人民共和国政府采购法》第七十七条第一款规定处理。</w:t>
      </w:r>
    </w:p>
    <w:p>
      <w:pPr>
        <w:pStyle w:val="style0"/>
        <w:spacing w:lineRule="auto" w:line="360"/>
        <w:ind w:firstLine="420" w:firstLineChars="200"/>
        <w:rPr>
          <w:rFonts w:ascii="宋体" w:cs="Courier New" w:hAnsi="宋体"/>
          <w:szCs w:val="21"/>
        </w:rPr>
      </w:pPr>
      <w:r>
        <w:rPr>
          <w:rFonts w:ascii="宋体" w:cs="Courier New" w:hAnsi="宋体"/>
          <w:szCs w:val="21"/>
        </w:rPr>
        <w:t>30.4根据《中华人民共和国民法典》</w:t>
      </w:r>
      <w:r>
        <w:rPr>
          <w:rFonts w:ascii="宋体" w:hAnsi="宋体"/>
          <w:sz w:val="19"/>
          <w:szCs w:val="19"/>
        </w:rPr>
        <w:t>第五百六十三条</w:t>
      </w:r>
      <w:r>
        <w:rPr>
          <w:rFonts w:ascii="宋体" w:cs="Courier New" w:hAnsi="宋体" w:hint="eastAsia"/>
          <w:szCs w:val="21"/>
        </w:rPr>
        <w:t>，因不可抗力致使不能实现合同目的的，当事人可以解除合同。</w:t>
      </w:r>
    </w:p>
    <w:p>
      <w:pPr>
        <w:pStyle w:val="style0"/>
        <w:spacing w:lineRule="auto" w:line="360"/>
        <w:ind w:firstLine="482" w:firstLineChars="200"/>
        <w:rPr>
          <w:rFonts w:ascii="宋体" w:hAnsi="宋体"/>
          <w:b/>
          <w:sz w:val="24"/>
        </w:rPr>
      </w:pPr>
      <w:r>
        <w:rPr>
          <w:rFonts w:ascii="宋体" w:hAnsi="宋体"/>
          <w:b/>
          <w:sz w:val="24"/>
        </w:rPr>
        <w:t xml:space="preserve">31. </w:t>
      </w:r>
      <w:r>
        <w:rPr>
          <w:rFonts w:ascii="宋体" w:hAnsi="宋体" w:hint="eastAsia"/>
          <w:b/>
          <w:sz w:val="24"/>
        </w:rPr>
        <w:t>结果公告</w:t>
      </w:r>
    </w:p>
    <w:p>
      <w:pPr>
        <w:pStyle w:val="style0"/>
        <w:spacing w:lineRule="auto" w:line="360"/>
        <w:ind w:firstLine="420" w:firstLineChars="200"/>
        <w:rPr>
          <w:rFonts w:ascii="宋体" w:cs="宋体" w:hAnsi="宋体"/>
        </w:rPr>
      </w:pPr>
      <w:r>
        <w:rPr>
          <w:rFonts w:ascii="宋体" w:hAnsi="宋体"/>
          <w:szCs w:val="21"/>
        </w:rPr>
        <w:t>31.1</w:t>
      </w:r>
      <w:r>
        <w:rPr>
          <w:rFonts w:ascii="宋体" w:cs="宋体" w:hAnsi="宋体" w:hint="eastAsia"/>
        </w:rPr>
        <w:t>在中标人</w:t>
      </w:r>
      <w:r>
        <w:rPr>
          <w:rFonts w:ascii="宋体" w:cs="Arial" w:hAnsi="宋体" w:hint="eastAsia"/>
        </w:rPr>
        <w:t>确定之日起</w:t>
      </w:r>
      <w:r>
        <w:rPr>
          <w:rFonts w:ascii="宋体" w:cs="宋体" w:hAnsi="宋体"/>
        </w:rPr>
        <w:t>2个工作日内，由采购代理机构</w:t>
      </w:r>
      <w:r>
        <w:rPr>
          <w:rFonts w:ascii="宋体" w:hAnsi="宋体" w:hint="eastAsia"/>
          <w:b/>
          <w:szCs w:val="21"/>
        </w:rPr>
        <w:t>在招标公告发布媒体上</w:t>
      </w:r>
      <w:r>
        <w:rPr>
          <w:rFonts w:ascii="宋体" w:cs="宋体" w:hAnsi="宋体" w:hint="eastAsia"/>
        </w:rPr>
        <w:t>发布中标结果公告，中标结果公告期限为</w:t>
      </w:r>
      <w:r>
        <w:rPr>
          <w:rFonts w:ascii="宋体" w:cs="宋体" w:hAnsi="宋体"/>
        </w:rPr>
        <w:t>1个工作日，发布中标结果公告的同时向中标人发出中标通知书。</w:t>
      </w:r>
      <w:r>
        <w:rPr>
          <w:rFonts w:ascii="宋体" w:hAnsi="宋体" w:hint="eastAsia"/>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ascii="宋体" w:hAnsi="宋体" w:hint="eastAsia"/>
          <w:szCs w:val="21"/>
        </w:rPr>
        <w:t>排名第二的中标候选人因前款规定的同样原因被取消中标资格的，</w:t>
      </w:r>
      <w:r>
        <w:rPr>
          <w:rFonts w:ascii="宋体" w:cs="Courier New" w:hAnsi="宋体" w:hint="eastAsia"/>
          <w:szCs w:val="21"/>
        </w:rPr>
        <w:t>授权的评标委员会</w:t>
      </w:r>
      <w:r>
        <w:rPr>
          <w:rFonts w:ascii="宋体" w:hAnsi="宋体" w:hint="eastAsia"/>
          <w:szCs w:val="21"/>
        </w:rPr>
        <w:t>可以确定排名第三的中标候选人为中标人，以此类推。</w:t>
      </w:r>
    </w:p>
    <w:p>
      <w:pPr>
        <w:pStyle w:val="style0"/>
        <w:spacing w:lineRule="auto" w:line="360"/>
        <w:ind w:firstLine="420" w:firstLineChars="200"/>
        <w:rPr>
          <w:rFonts w:ascii="宋体" w:hAnsi="宋体"/>
          <w:szCs w:val="21"/>
        </w:rPr>
      </w:pPr>
      <w:r>
        <w:rPr>
          <w:rFonts w:ascii="宋体" w:hAnsi="宋体" w:hint="eastAsia"/>
          <w:szCs w:val="21"/>
        </w:rPr>
        <w:t>以上信息查询记录及相关证据与采购文件一并保存。</w:t>
      </w:r>
    </w:p>
    <w:p>
      <w:pPr>
        <w:pStyle w:val="style0"/>
        <w:spacing w:lineRule="auto" w:line="360"/>
        <w:ind w:firstLine="420" w:firstLineChars="200"/>
        <w:rPr>
          <w:rFonts w:ascii="宋体" w:cs="Courier New" w:hAnsi="宋体"/>
          <w:szCs w:val="21"/>
        </w:rPr>
      </w:pPr>
      <w:r>
        <w:rPr>
          <w:rFonts w:ascii="宋体" w:cs="Courier New" w:hAnsi="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pStyle w:val="style0"/>
        <w:spacing w:lineRule="auto" w:line="360"/>
        <w:ind w:firstLine="482" w:firstLineChars="200"/>
        <w:rPr>
          <w:rFonts w:ascii="宋体" w:hAnsi="宋体"/>
          <w:b/>
          <w:sz w:val="24"/>
        </w:rPr>
      </w:pPr>
      <w:r>
        <w:rPr>
          <w:rFonts w:ascii="宋体" w:hAnsi="宋体"/>
          <w:b/>
          <w:sz w:val="24"/>
        </w:rPr>
        <w:t>32.发出中标通知书</w:t>
      </w:r>
    </w:p>
    <w:p>
      <w:pPr>
        <w:pStyle w:val="style0"/>
        <w:spacing w:lineRule="auto" w:line="360"/>
        <w:ind w:firstLine="422" w:firstLineChars="200"/>
        <w:rPr>
          <w:rFonts w:ascii="宋体" w:hAnsi="宋体"/>
          <w:b/>
          <w:szCs w:val="21"/>
        </w:rPr>
      </w:pPr>
      <w:r>
        <w:rPr>
          <w:rFonts w:ascii="宋体" w:hAnsi="宋体"/>
          <w:b/>
          <w:szCs w:val="21"/>
        </w:rPr>
        <w:t>32.1在发布中标公告的同时，采购代理机构向中标人通过“广西政府采购云平台”发出电子中标通知书。</w:t>
      </w:r>
    </w:p>
    <w:p>
      <w:pPr>
        <w:pStyle w:val="style0"/>
        <w:spacing w:lineRule="auto" w:line="360"/>
        <w:ind w:firstLine="422" w:firstLineChars="200"/>
        <w:rPr>
          <w:rFonts w:ascii="宋体" w:hAnsi="宋体"/>
          <w:b/>
          <w:szCs w:val="21"/>
        </w:rPr>
      </w:pPr>
      <w:r>
        <w:rPr>
          <w:rFonts w:ascii="宋体" w:hAnsi="宋体"/>
          <w:b/>
          <w:szCs w:val="21"/>
        </w:rPr>
        <w:t>32.2对未通过资格审查的投标人，采购人或采购机构应当告知其未通过的原因；采用综合评分办法评审的，采购人或采购机构还应当告知未中标人本人的评审得分与排序。</w:t>
      </w:r>
    </w:p>
    <w:p>
      <w:pPr>
        <w:pStyle w:val="style0"/>
        <w:spacing w:lineRule="auto" w:line="360"/>
        <w:ind w:firstLine="482" w:firstLineChars="200"/>
        <w:rPr>
          <w:rFonts w:ascii="宋体" w:hAnsi="宋体"/>
          <w:b/>
          <w:sz w:val="24"/>
        </w:rPr>
      </w:pPr>
      <w:r>
        <w:rPr>
          <w:rFonts w:ascii="宋体" w:hAnsi="宋体"/>
          <w:b/>
          <w:sz w:val="24"/>
        </w:rPr>
        <w:t xml:space="preserve">33. </w:t>
      </w:r>
      <w:r>
        <w:rPr>
          <w:rFonts w:ascii="宋体" w:hAnsi="宋体" w:hint="eastAsia"/>
          <w:b/>
          <w:sz w:val="24"/>
        </w:rPr>
        <w:t>无义务解释未中标原因</w:t>
      </w:r>
    </w:p>
    <w:p>
      <w:pPr>
        <w:pStyle w:val="style0"/>
        <w:spacing w:lineRule="auto" w:line="360"/>
        <w:ind w:firstLine="422" w:firstLineChars="200"/>
        <w:rPr>
          <w:rFonts w:ascii="宋体" w:hAnsi="宋体"/>
          <w:b/>
          <w:szCs w:val="21"/>
        </w:rPr>
      </w:pPr>
      <w:r>
        <w:rPr>
          <w:rFonts w:ascii="宋体" w:hAnsi="宋体" w:hint="eastAsia"/>
          <w:b/>
          <w:szCs w:val="21"/>
        </w:rPr>
        <w:t>采购代理机构无义务向未中标的投标人解释未中标原因和退还投标文件。</w:t>
      </w:r>
    </w:p>
    <w:p>
      <w:pPr>
        <w:pStyle w:val="style0"/>
        <w:spacing w:lineRule="auto" w:line="360"/>
        <w:ind w:firstLine="482" w:firstLineChars="200"/>
        <w:rPr>
          <w:rFonts w:ascii="宋体" w:hAnsi="宋体"/>
          <w:b/>
          <w:sz w:val="24"/>
        </w:rPr>
      </w:pPr>
      <w:r>
        <w:rPr>
          <w:rFonts w:ascii="宋体" w:hAnsi="宋体"/>
          <w:b/>
          <w:sz w:val="24"/>
        </w:rPr>
        <w:t>34.合同授予标准</w:t>
      </w:r>
    </w:p>
    <w:p>
      <w:pPr>
        <w:pStyle w:val="style0"/>
        <w:spacing w:lineRule="auto" w:line="360"/>
        <w:ind w:firstLine="420" w:firstLineChars="200"/>
        <w:rPr>
          <w:rFonts w:ascii="宋体" w:hAnsi="宋体"/>
          <w:szCs w:val="21"/>
        </w:rPr>
      </w:pPr>
      <w:r>
        <w:rPr>
          <w:rFonts w:ascii="宋体" w:cs="Courier New" w:hAnsi="宋体" w:hint="eastAsia"/>
          <w:szCs w:val="21"/>
        </w:rPr>
        <w:t>合同将授予被确定实质上响应招标文件要求，具备履行合同能力的中标人（招标文件另有约定多名中标人的除外）。</w:t>
      </w:r>
    </w:p>
    <w:p>
      <w:pPr>
        <w:pStyle w:val="style0"/>
        <w:spacing w:lineRule="auto" w:line="360"/>
        <w:ind w:firstLine="482" w:firstLineChars="200"/>
        <w:rPr>
          <w:rFonts w:ascii="宋体" w:hAnsi="宋体"/>
          <w:b/>
          <w:sz w:val="24"/>
        </w:rPr>
      </w:pPr>
      <w:r>
        <w:rPr>
          <w:rFonts w:ascii="宋体" w:hAnsi="宋体"/>
          <w:b/>
          <w:sz w:val="24"/>
        </w:rPr>
        <w:t>36.签订合同</w:t>
      </w:r>
    </w:p>
    <w:bookmarkStart w:id="154" w:name="_40.1投标人接到中标通知书后，按须知前附表规定向采购人出示相关资格证"/>
    <w:bookmarkEnd w:id="154"/>
    <w:p>
      <w:pPr>
        <w:pStyle w:val="style0"/>
        <w:spacing w:lineRule="auto" w:line="360"/>
        <w:ind w:firstLine="420" w:firstLineChars="200"/>
        <w:rPr>
          <w:rFonts w:ascii="宋体" w:hAnsi="宋体"/>
          <w:szCs w:val="21"/>
        </w:rPr>
      </w:pPr>
      <w:r>
        <w:rPr>
          <w:rFonts w:ascii="宋体" w:hAnsi="宋体"/>
          <w:szCs w:val="21"/>
        </w:rPr>
        <w:t xml:space="preserve"> 36.1</w:t>
      </w:r>
      <w:r>
        <w:rPr>
          <w:rFonts w:ascii="宋体" w:hAnsi="宋体" w:hint="eastAsia"/>
          <w:b/>
          <w:szCs w:val="21"/>
        </w:rPr>
        <w:t>中标人领取中标通知书后</w:t>
      </w:r>
      <w:r>
        <w:rPr>
          <w:rFonts w:ascii="宋体" w:hAnsi="宋体" w:hint="eastAsia"/>
          <w:szCs w:val="21"/>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pStyle w:val="style0"/>
        <w:spacing w:lineRule="auto" w:line="360"/>
        <w:ind w:firstLine="420" w:firstLineChars="200"/>
        <w:rPr>
          <w:rFonts w:ascii="宋体" w:hAnsi="宋体"/>
          <w:szCs w:val="21"/>
        </w:rPr>
      </w:pPr>
      <w:r>
        <w:rPr>
          <w:rFonts w:ascii="宋体" w:hAnsi="宋体"/>
          <w:szCs w:val="21"/>
        </w:rPr>
        <w:t>36.2采购合同由采购人与中标人根据</w:t>
      </w:r>
      <w:r>
        <w:rPr>
          <w:rFonts w:ascii="宋体" w:hAnsi="宋体" w:hint="eastAsia"/>
          <w:szCs w:val="21"/>
        </w:rPr>
        <w:t>招标文件、投标文件等内容通过政府采购电子交易平台在线签订，自动备案。</w:t>
      </w:r>
    </w:p>
    <w:p>
      <w:pPr>
        <w:pStyle w:val="style0"/>
        <w:spacing w:lineRule="auto" w:line="360"/>
        <w:ind w:firstLine="420" w:firstLineChars="200"/>
        <w:rPr>
          <w:rFonts w:ascii="宋体" w:hAnsi="宋体"/>
          <w:szCs w:val="21"/>
        </w:rPr>
      </w:pPr>
      <w:r>
        <w:rPr>
          <w:rFonts w:ascii="宋体" w:hAnsi="宋体"/>
          <w:szCs w:val="21"/>
        </w:rPr>
        <w:t>36.3签订合同时间：按中标通知书规定的时间与采购人签订合同。</w:t>
      </w:r>
    </w:p>
    <w:p>
      <w:pPr>
        <w:pStyle w:val="style0"/>
        <w:spacing w:lineRule="auto" w:line="360"/>
        <w:ind w:firstLine="420" w:firstLineChars="200"/>
        <w:rPr>
          <w:rFonts w:ascii="宋体" w:hAnsi="宋体"/>
          <w:szCs w:val="21"/>
        </w:rPr>
      </w:pPr>
      <w:r>
        <w:rPr>
          <w:rFonts w:ascii="宋体" w:hAnsi="宋体"/>
          <w:szCs w:val="21"/>
        </w:rPr>
        <w:t>36.4中标人拒绝与采购人签订合同的，采购人可以按照评审报告推荐的中标候选人名单排序，确定下一候选人为中标人，也可以重新开展政府采购活动。如采购人无正当理由拒签合同的，给中标人造成损失</w:t>
      </w:r>
      <w:r>
        <w:rPr>
          <w:rFonts w:ascii="宋体" w:hAnsi="宋体"/>
          <w:szCs w:val="21"/>
        </w:rPr>
        <w:t>的，中标人可追究采购人承担相应的法律责任。</w:t>
      </w:r>
    </w:p>
    <w:p>
      <w:pPr>
        <w:pStyle w:val="style0"/>
        <w:spacing w:lineRule="auto" w:line="360"/>
        <w:ind w:firstLine="420" w:firstLineChars="200"/>
        <w:rPr>
          <w:rFonts w:ascii="宋体" w:hAnsi="宋体"/>
          <w:szCs w:val="21"/>
        </w:rPr>
      </w:pPr>
      <w:r>
        <w:rPr>
          <w:rFonts w:ascii="宋体" w:hAnsi="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style0"/>
        <w:spacing w:lineRule="auto" w:line="360"/>
        <w:ind w:firstLine="420" w:firstLineChars="200"/>
        <w:rPr>
          <w:rFonts w:ascii="宋体" w:hAnsi="宋体"/>
          <w:szCs w:val="21"/>
        </w:rPr>
      </w:pPr>
      <w:r>
        <w:rPr>
          <w:rFonts w:ascii="宋体" w:hAnsi="宋体"/>
          <w:szCs w:val="21"/>
        </w:rPr>
        <w:t>36.6采购人或中标人不得单方面向合同另一方提出任何招标文件没有约定的条件或不合理的要求，作为签订合同的条件；也不得协商另行订立背离招标文件和合同实质性内容的协议。</w:t>
      </w:r>
    </w:p>
    <w:p>
      <w:pPr>
        <w:pStyle w:val="style0"/>
        <w:spacing w:lineRule="auto" w:line="360"/>
        <w:ind w:firstLine="420" w:firstLineChars="200"/>
        <w:rPr>
          <w:rFonts w:ascii="宋体" w:hAnsi="宋体"/>
          <w:szCs w:val="21"/>
        </w:rPr>
      </w:pPr>
      <w:r>
        <w:rPr>
          <w:rFonts w:ascii="宋体" w:hAnsi="宋体"/>
          <w:szCs w:val="21"/>
        </w:rPr>
        <w:t>36.7</w:t>
      </w:r>
      <w:r>
        <w:rPr>
          <w:rFonts w:ascii="宋体" w:cs="仿宋_GB2312" w:hAnsi="宋体" w:hint="eastAsia"/>
          <w:szCs w:val="21"/>
        </w:rPr>
        <w:t>如签订合同并生效后，供应商无故拒绝或延期，除按照合同条款处理外，将承担相应的法律责任。</w:t>
      </w:r>
    </w:p>
    <w:p>
      <w:pPr>
        <w:pStyle w:val="style0"/>
        <w:spacing w:lineRule="auto" w:line="360"/>
        <w:ind w:firstLine="422" w:firstLineChars="200"/>
        <w:rPr>
          <w:rFonts w:ascii="宋体" w:hAnsi="宋体"/>
          <w:b/>
          <w:szCs w:val="21"/>
        </w:rPr>
      </w:pPr>
      <w:r>
        <w:rPr>
          <w:rFonts w:ascii="宋体" w:hAnsi="宋体"/>
          <w:b/>
          <w:szCs w:val="21"/>
        </w:rPr>
        <w:t xml:space="preserve">36.8采购人需追加与合同标的相同的货物或者服务的，在不改变原合同条款且已报财政部门批准落实资金的前提下，可从原中标人处添购， </w:t>
      </w:r>
      <w:r>
        <w:rPr>
          <w:rFonts w:ascii="宋体" w:hAnsi="宋体" w:hint="eastAsia"/>
          <w:b/>
          <w:szCs w:val="21"/>
        </w:rPr>
        <w:t>所签订的补充添置合同的采购资金总额不超过原采购合同金额的</w:t>
      </w:r>
      <w:r>
        <w:rPr>
          <w:rFonts w:ascii="宋体" w:hAnsi="宋体"/>
          <w:b/>
          <w:szCs w:val="21"/>
        </w:rPr>
        <w:t>10%。</w:t>
      </w:r>
    </w:p>
    <w:bookmarkStart w:id="155" w:name="_41.政府采购合同公告"/>
    <w:bookmarkEnd w:id="155"/>
    <w:p>
      <w:pPr>
        <w:pStyle w:val="style0"/>
        <w:spacing w:lineRule="auto" w:line="360"/>
        <w:ind w:firstLine="482" w:firstLineChars="200"/>
        <w:rPr>
          <w:rFonts w:ascii="宋体" w:hAnsi="宋体"/>
          <w:b/>
          <w:sz w:val="24"/>
        </w:rPr>
      </w:pPr>
      <w:r>
        <w:rPr>
          <w:rFonts w:ascii="宋体" w:hAnsi="宋体"/>
          <w:b/>
          <w:sz w:val="24"/>
        </w:rPr>
        <w:t>37.政府采购合同公告</w:t>
      </w:r>
    </w:p>
    <w:p>
      <w:pPr>
        <w:pStyle w:val="style0"/>
        <w:spacing w:lineRule="auto" w:line="360"/>
        <w:ind w:firstLine="420" w:firstLineChars="200"/>
        <w:rPr>
          <w:rFonts w:ascii="宋体" w:hAnsi="宋体"/>
        </w:rPr>
      </w:pPr>
      <w:r>
        <w:rPr>
          <w:rFonts w:ascii="宋体" w:hAnsi="宋体" w:hint="eastAsia"/>
        </w:rPr>
        <w:t>采购人或者受托采购代理机构应当自政府采购合同签订之日起</w:t>
      </w:r>
      <w:r>
        <w:rPr>
          <w:rFonts w:ascii="宋体" w:hAnsi="宋体"/>
        </w:rPr>
        <w:t>2个工作日内，将政府采购合同</w:t>
      </w:r>
      <w:r>
        <w:rPr>
          <w:rFonts w:ascii="宋体" w:hAnsi="宋体" w:hint="eastAsia"/>
          <w:bCs/>
        </w:rPr>
        <w:t>在以下媒体上发布</w:t>
      </w:r>
      <w:r>
        <w:rPr>
          <w:rFonts w:ascii="宋体" w:cs="宋体" w:hAnsi="宋体"/>
          <w:kern w:val="0"/>
          <w:szCs w:val="21"/>
        </w:rPr>
        <w:t xml:space="preserve"> “广西政府采购网”（http://zfcg.gxzf.gov.cn）</w:t>
      </w:r>
      <w:r>
        <w:rPr>
          <w:rFonts w:ascii="宋体" w:hAnsi="宋体" w:hint="eastAsia"/>
        </w:rPr>
        <w:t>上公告，</w:t>
      </w:r>
      <w:r>
        <w:rPr>
          <w:rFonts w:ascii="宋体" w:hAnsi="宋体"/>
        </w:rPr>
        <w:t>但政府采购合同中涉及国家秘密、商业秘密的内容除外。</w:t>
      </w:r>
    </w:p>
    <w:p>
      <w:pPr>
        <w:pStyle w:val="style0"/>
        <w:spacing w:lineRule="auto" w:line="360"/>
        <w:ind w:firstLine="482" w:firstLineChars="200"/>
        <w:rPr>
          <w:rFonts w:ascii="宋体" w:hAnsi="宋体"/>
          <w:b/>
          <w:sz w:val="24"/>
        </w:rPr>
      </w:pPr>
      <w:r>
        <w:rPr>
          <w:rFonts w:ascii="宋体" w:hAnsi="宋体"/>
          <w:b/>
          <w:sz w:val="24"/>
        </w:rPr>
        <w:t>38. 询问、质疑和投诉</w:t>
      </w:r>
    </w:p>
    <w:p>
      <w:pPr>
        <w:pStyle w:val="style0"/>
        <w:spacing w:lineRule="auto" w:line="360"/>
        <w:ind w:firstLine="422" w:firstLineChars="200"/>
        <w:rPr>
          <w:rFonts w:ascii="宋体" w:hAnsi="宋体"/>
          <w:b/>
          <w:szCs w:val="21"/>
        </w:rPr>
      </w:pPr>
      <w:r>
        <w:rPr>
          <w:rFonts w:ascii="宋体" w:hAnsi="宋体"/>
          <w:b/>
          <w:szCs w:val="21"/>
        </w:rPr>
        <w:t>38.1</w:t>
      </w:r>
      <w:r>
        <w:rPr>
          <w:rFonts w:ascii="宋体" w:hAnsi="宋体" w:hint="eastAsia"/>
          <w:b/>
          <w:szCs w:val="21"/>
        </w:rPr>
        <w:t>询问</w:t>
      </w:r>
    </w:p>
    <w:p>
      <w:pPr>
        <w:pStyle w:val="style0"/>
        <w:spacing w:lineRule="auto" w:line="360"/>
        <w:ind w:firstLine="420" w:firstLineChars="200"/>
        <w:rPr>
          <w:rFonts w:ascii="宋体" w:hAnsi="宋体"/>
          <w:bCs/>
          <w:szCs w:val="21"/>
        </w:rPr>
      </w:pPr>
      <w:r>
        <w:rPr>
          <w:rFonts w:ascii="宋体" w:hAnsi="宋体"/>
          <w:bCs/>
          <w:szCs w:val="21"/>
        </w:rPr>
        <w:t>38.1.1供应商在开标前对政府采购活动事项有疑问的，可以向采购人或采购代理机构项目负责人提出询问。</w:t>
      </w:r>
    </w:p>
    <w:p>
      <w:pPr>
        <w:pStyle w:val="style0"/>
        <w:spacing w:lineRule="auto" w:line="360"/>
        <w:ind w:firstLine="420" w:firstLineChars="200"/>
        <w:rPr>
          <w:rFonts w:ascii="宋体" w:hAnsi="宋体"/>
          <w:bCs/>
          <w:szCs w:val="21"/>
        </w:rPr>
      </w:pPr>
      <w:r>
        <w:rPr>
          <w:rFonts w:ascii="宋体" w:hAnsi="宋体"/>
          <w:bCs/>
          <w:szCs w:val="21"/>
        </w:rPr>
        <w:t>38.1.2采购人或采购人委托的采购代理机构自受理询问之日起3个工作日内对供应商依法提出的询问作出答复，</w:t>
      </w:r>
      <w:r>
        <w:rPr>
          <w:rFonts w:ascii="宋体" w:hAnsi="宋体" w:hint="eastAsia"/>
        </w:rPr>
        <w:t>但答复内容不得涉及商业秘密</w:t>
      </w:r>
      <w:r>
        <w:rPr>
          <w:rFonts w:ascii="宋体" w:hAnsi="宋体" w:hint="eastAsia"/>
          <w:bCs/>
          <w:szCs w:val="21"/>
        </w:rPr>
        <w:t>。</w:t>
      </w:r>
    </w:p>
    <w:p>
      <w:pPr>
        <w:pStyle w:val="style0"/>
        <w:spacing w:lineRule="auto" w:line="360"/>
        <w:ind w:firstLine="420" w:firstLineChars="200"/>
        <w:rPr>
          <w:rFonts w:ascii="宋体" w:hAnsi="宋体"/>
          <w:bCs/>
          <w:szCs w:val="21"/>
        </w:rPr>
      </w:pPr>
      <w:r>
        <w:rPr>
          <w:rFonts w:ascii="宋体" w:hAnsi="宋体"/>
          <w:bCs/>
          <w:szCs w:val="21"/>
        </w:rPr>
        <w:t xml:space="preserve">38.1.3 </w:t>
      </w:r>
      <w:r>
        <w:rPr>
          <w:rFonts w:ascii="宋体" w:hAnsi="宋体" w:hint="eastAsia"/>
          <w:bCs/>
          <w:szCs w:val="21"/>
        </w:rPr>
        <w:t>询问事项可能影响中标、成交结果的，采购人应当暂停签订合同，已经签订合同的，应当中止履行合同。</w:t>
      </w:r>
    </w:p>
    <w:p>
      <w:pPr>
        <w:pStyle w:val="style0"/>
        <w:spacing w:lineRule="auto" w:line="360"/>
        <w:ind w:firstLine="422" w:firstLineChars="200"/>
        <w:rPr>
          <w:rFonts w:ascii="宋体" w:hAnsi="宋体"/>
          <w:b/>
          <w:szCs w:val="21"/>
        </w:rPr>
      </w:pPr>
      <w:r>
        <w:rPr>
          <w:rFonts w:ascii="宋体" w:hAnsi="宋体"/>
          <w:b/>
          <w:szCs w:val="21"/>
        </w:rPr>
        <w:t>38.2</w:t>
      </w:r>
      <w:r>
        <w:rPr>
          <w:rFonts w:ascii="宋体" w:hAnsi="宋体" w:hint="eastAsia"/>
          <w:b/>
          <w:szCs w:val="21"/>
        </w:rPr>
        <w:t>质疑</w:t>
      </w:r>
    </w:p>
    <w:p>
      <w:pPr>
        <w:pStyle w:val="style0"/>
        <w:spacing w:lineRule="auto" w:line="360"/>
        <w:ind w:firstLine="420" w:firstLineChars="200"/>
        <w:rPr>
          <w:rFonts w:ascii="宋体" w:hAnsi="宋体"/>
          <w:b/>
          <w:szCs w:val="21"/>
        </w:rPr>
      </w:pPr>
      <w:r>
        <w:rPr>
          <w:rFonts w:ascii="宋体" w:hAnsi="宋体"/>
          <w:szCs w:val="21"/>
        </w:rPr>
        <w:t>38.2.1</w:t>
      </w:r>
      <w:r>
        <w:rPr>
          <w:rFonts w:ascii="宋体" w:hAnsi="宋体" w:hint="eastAsia"/>
          <w:b/>
          <w:szCs w:val="21"/>
        </w:rPr>
        <w:t>供应商认为招标文件、采购过程或者中标结果使自己的合法权益受到损害的，必须在知道或者应知其权益受到损害之日起</w:t>
      </w:r>
      <w:r>
        <w:rPr>
          <w:rFonts w:ascii="宋体" w:hAnsi="宋体"/>
          <w:b/>
          <w:szCs w:val="21"/>
        </w:rPr>
        <w:t xml:space="preserve">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pStyle w:val="style0"/>
        <w:spacing w:lineRule="auto" w:line="360"/>
        <w:ind w:firstLine="420" w:firstLineChars="200"/>
        <w:rPr>
          <w:rFonts w:ascii="宋体" w:hAnsi="宋体"/>
          <w:bCs/>
        </w:rPr>
      </w:pPr>
      <w:r>
        <w:rPr>
          <w:rFonts w:ascii="宋体" w:hAnsi="宋体" w:hint="eastAsia"/>
          <w:bCs/>
        </w:rPr>
        <w:t>（</w:t>
      </w:r>
      <w:r>
        <w:rPr>
          <w:rFonts w:ascii="宋体" w:hAnsi="宋体"/>
          <w:bCs/>
        </w:rPr>
        <w:t>1）潜在供应商依法获取公开招标文件后，认为采购文件使自己的权益受到损害的，应当在公开招</w:t>
      </w:r>
      <w:r>
        <w:rPr>
          <w:rFonts w:ascii="宋体" w:hAnsi="宋体"/>
          <w:bCs/>
        </w:rPr>
        <w:t>标文件公告期限届满之日起7个工作日内提出质疑。</w:t>
      </w:r>
      <w:r>
        <w:rPr>
          <w:rFonts w:ascii="宋体" w:hAnsi="宋体" w:hint="eastAsia"/>
        </w:rPr>
        <w:t>委托代理协议无特殊约定的，</w:t>
      </w:r>
      <w:r>
        <w:rPr>
          <w:rFonts w:ascii="宋体" w:hAnsi="宋体" w:hint="eastAsia"/>
          <w:bCs/>
        </w:rPr>
        <w:t>对公开招标文件中采购需求（含资格要求、采购预算和评分办法）的质疑由采购人受理并负责答复；对公开招标文件中的采购执行程序的质疑由采购代理机构受理并负责答复。</w:t>
      </w:r>
    </w:p>
    <w:p>
      <w:pPr>
        <w:pStyle w:val="style0"/>
        <w:spacing w:lineRule="auto" w:line="360"/>
        <w:ind w:firstLine="420" w:firstLineChars="200"/>
        <w:rPr>
          <w:rFonts w:ascii="宋体" w:hAnsi="宋体"/>
          <w:bCs/>
        </w:rPr>
      </w:pPr>
      <w:r>
        <w:rPr>
          <w:rFonts w:ascii="宋体" w:hAnsi="宋体" w:hint="eastAsia"/>
          <w:bCs/>
        </w:rPr>
        <w:t>（</w:t>
      </w:r>
      <w:r>
        <w:rPr>
          <w:rFonts w:ascii="宋体" w:hAnsi="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pStyle w:val="style0"/>
        <w:spacing w:lineRule="auto" w:line="360"/>
        <w:ind w:firstLine="420" w:firstLineChars="200"/>
        <w:rPr>
          <w:rFonts w:ascii="宋体" w:hAnsi="宋体"/>
          <w:bCs/>
        </w:rPr>
      </w:pPr>
      <w:r>
        <w:rPr>
          <w:rFonts w:ascii="宋体" w:hAnsi="宋体" w:hint="eastAsia"/>
          <w:bCs/>
        </w:rPr>
        <w:t>（</w:t>
      </w:r>
      <w:r>
        <w:rPr>
          <w:rFonts w:ascii="宋体" w:hAnsi="宋体"/>
          <w:bCs/>
        </w:rPr>
        <w:t>3）供应商认为中标或者成交结果使自己的权益受到损害的，应当在中标或者成交结果公告期限届满之日起7个工作日内提出质疑，由采购人受理并负责答复。</w:t>
      </w:r>
    </w:p>
    <w:p>
      <w:pPr>
        <w:pStyle w:val="style0"/>
        <w:spacing w:lineRule="auto" w:line="360"/>
        <w:ind w:firstLine="422" w:firstLineChars="200"/>
        <w:rPr>
          <w:rFonts w:ascii="宋体" w:hAnsi="宋体"/>
          <w:bCs/>
          <w:szCs w:val="21"/>
        </w:rPr>
      </w:pPr>
      <w:r>
        <w:rPr>
          <w:rFonts w:ascii="宋体" w:hAnsi="宋体"/>
          <w:b/>
          <w:bCs/>
          <w:szCs w:val="21"/>
        </w:rPr>
        <w:t>38.2.2</w:t>
      </w:r>
      <w:r>
        <w:rPr>
          <w:rFonts w:ascii="宋体" w:hAnsi="宋体" w:hint="eastAsia"/>
          <w:bCs/>
          <w:szCs w:val="21"/>
        </w:rPr>
        <w:t>供应商质疑实行实名制，其质疑应当有具体的质疑事项及事实根据，质疑应当坚持依法依规、诚实信用原则，不得进行虚假、恶意质疑。</w:t>
      </w:r>
    </w:p>
    <w:p>
      <w:pPr>
        <w:pStyle w:val="style0"/>
        <w:spacing w:lineRule="auto" w:line="360"/>
        <w:ind w:firstLine="422" w:firstLineChars="200"/>
        <w:rPr>
          <w:rFonts w:ascii="宋体" w:hAnsi="宋体"/>
          <w:bCs/>
        </w:rPr>
      </w:pPr>
      <w:r>
        <w:rPr>
          <w:rFonts w:ascii="宋体" w:hAnsi="宋体"/>
          <w:b/>
          <w:bCs/>
        </w:rPr>
        <w:t>38.2.3</w:t>
      </w:r>
      <w:r>
        <w:rPr>
          <w:rFonts w:ascii="宋体" w:hAnsi="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ascii="宋体" w:hAnsi="宋体" w:hint="eastAsia"/>
        </w:rPr>
        <w:t>。</w:t>
      </w:r>
    </w:p>
    <w:p>
      <w:pPr>
        <w:pStyle w:val="style0"/>
        <w:spacing w:lineRule="auto" w:line="360"/>
        <w:ind w:firstLine="422" w:firstLineChars="200"/>
        <w:rPr>
          <w:rFonts w:ascii="宋体" w:hAnsi="宋体"/>
          <w:b/>
          <w:bCs/>
        </w:rPr>
      </w:pPr>
      <w:r>
        <w:rPr>
          <w:rFonts w:ascii="宋体" w:hAnsi="宋体"/>
          <w:b/>
          <w:bCs/>
        </w:rPr>
        <w:t xml:space="preserve">38.2.4 </w:t>
      </w:r>
      <w:r>
        <w:rPr>
          <w:rFonts w:ascii="宋体" w:hAnsi="宋体" w:hint="eastAsia"/>
          <w:b/>
          <w:bCs/>
        </w:rPr>
        <w:t>质疑供应商提起质疑应当符合下列条件：</w:t>
      </w:r>
    </w:p>
    <w:p>
      <w:pPr>
        <w:pStyle w:val="style0"/>
        <w:spacing w:lineRule="auto" w:line="360"/>
        <w:ind w:firstLine="420" w:firstLineChars="200"/>
        <w:rPr>
          <w:rFonts w:ascii="宋体" w:hAnsi="宋体"/>
          <w:bCs/>
        </w:rPr>
      </w:pPr>
      <w:r>
        <w:rPr>
          <w:rFonts w:ascii="宋体" w:hAnsi="宋体" w:hint="eastAsia"/>
          <w:bCs/>
        </w:rPr>
        <w:t>（</w:t>
      </w:r>
      <w:r>
        <w:rPr>
          <w:rFonts w:ascii="宋体" w:hAnsi="宋体"/>
          <w:bCs/>
        </w:rPr>
        <w:t>1）质疑供应商是参与所质疑</w:t>
      </w:r>
      <w:r>
        <w:rPr>
          <w:rFonts w:ascii="宋体" w:hAnsi="宋体" w:hint="eastAsia"/>
          <w:bCs/>
          <w:szCs w:val="21"/>
        </w:rPr>
        <w:t>项目</w:t>
      </w:r>
      <w:r>
        <w:rPr>
          <w:rFonts w:ascii="宋体" w:hAnsi="宋体" w:hint="eastAsia"/>
          <w:bCs/>
        </w:rPr>
        <w:t>采购活动的供应商（潜在供应商已依法获取可质疑的采购文件的，可以对该采购文件质疑）；</w:t>
      </w:r>
    </w:p>
    <w:p>
      <w:pPr>
        <w:pStyle w:val="style0"/>
        <w:spacing w:lineRule="auto" w:line="360"/>
        <w:ind w:firstLine="420" w:firstLineChars="200"/>
        <w:rPr>
          <w:rFonts w:ascii="宋体" w:hAnsi="宋体"/>
          <w:bCs/>
        </w:rPr>
      </w:pPr>
      <w:r>
        <w:rPr>
          <w:rFonts w:ascii="宋体" w:hAnsi="宋体" w:hint="eastAsia"/>
          <w:bCs/>
        </w:rPr>
        <w:t>（</w:t>
      </w:r>
      <w:r>
        <w:rPr>
          <w:rFonts w:ascii="宋体" w:hAnsi="宋体"/>
          <w:bCs/>
        </w:rPr>
        <w:t>2）质疑函内容符合本章第38.2.5项的规定；</w:t>
      </w:r>
    </w:p>
    <w:p>
      <w:pPr>
        <w:pStyle w:val="style0"/>
        <w:spacing w:lineRule="auto" w:line="360"/>
        <w:ind w:firstLine="420" w:firstLineChars="200"/>
        <w:rPr>
          <w:rFonts w:ascii="宋体" w:hAnsi="宋体"/>
          <w:bCs/>
        </w:rPr>
      </w:pPr>
      <w:r>
        <w:rPr>
          <w:rFonts w:ascii="宋体" w:hAnsi="宋体" w:hint="eastAsia"/>
          <w:bCs/>
        </w:rPr>
        <w:t>（</w:t>
      </w:r>
      <w:r>
        <w:rPr>
          <w:rFonts w:ascii="宋体" w:hAnsi="宋体"/>
          <w:bCs/>
        </w:rPr>
        <w:t>3）在质疑有效期限内提起质疑；</w:t>
      </w:r>
    </w:p>
    <w:p>
      <w:pPr>
        <w:pStyle w:val="style0"/>
        <w:spacing w:lineRule="auto" w:line="360"/>
        <w:ind w:firstLine="420" w:firstLineChars="200"/>
        <w:rPr>
          <w:rFonts w:ascii="宋体" w:hAnsi="宋体"/>
          <w:bCs/>
        </w:rPr>
      </w:pPr>
      <w:r>
        <w:rPr>
          <w:rFonts w:ascii="宋体" w:hAnsi="宋体" w:hint="eastAsia"/>
          <w:bCs/>
        </w:rPr>
        <w:t>（</w:t>
      </w:r>
      <w:r>
        <w:rPr>
          <w:rFonts w:ascii="宋体" w:hAnsi="宋体"/>
          <w:bCs/>
        </w:rPr>
        <w:t>4）属于所质疑的采购人或采购人委托的采购代理机构组织的采购活动；</w:t>
      </w:r>
    </w:p>
    <w:p>
      <w:pPr>
        <w:pStyle w:val="style0"/>
        <w:spacing w:lineRule="auto" w:line="360"/>
        <w:ind w:firstLine="420" w:firstLineChars="200"/>
        <w:rPr>
          <w:rFonts w:ascii="宋体" w:hAnsi="宋体"/>
          <w:bCs/>
        </w:rPr>
      </w:pPr>
      <w:r>
        <w:rPr>
          <w:rFonts w:ascii="宋体" w:hAnsi="宋体" w:hint="eastAsia"/>
          <w:bCs/>
        </w:rPr>
        <w:t>（</w:t>
      </w:r>
      <w:r>
        <w:rPr>
          <w:rFonts w:ascii="宋体" w:hAnsi="宋体"/>
          <w:bCs/>
        </w:rPr>
        <w:t xml:space="preserve">5）同一质疑事项未经采购人或采购人委托的采购代理机构质疑处理； </w:t>
      </w:r>
    </w:p>
    <w:p>
      <w:pPr>
        <w:pStyle w:val="style0"/>
        <w:spacing w:lineRule="auto" w:line="360"/>
        <w:ind w:firstLine="420" w:firstLineChars="200"/>
        <w:rPr>
          <w:rFonts w:ascii="宋体" w:hAnsi="宋体"/>
          <w:bCs/>
        </w:rPr>
      </w:pPr>
      <w:r>
        <w:rPr>
          <w:rFonts w:ascii="宋体" w:hAnsi="宋体" w:hint="eastAsia"/>
          <w:bCs/>
        </w:rPr>
        <w:t>（</w:t>
      </w:r>
      <w:r>
        <w:rPr>
          <w:rFonts w:ascii="宋体" w:hAnsi="宋体"/>
          <w:bCs/>
        </w:rPr>
        <w:t>6）供应商对同一采购程序环节的质疑应当在质疑有效期内一次性提出；</w:t>
      </w:r>
    </w:p>
    <w:p>
      <w:pPr>
        <w:pStyle w:val="style0"/>
        <w:spacing w:lineRule="auto" w:line="360"/>
        <w:ind w:firstLine="420" w:firstLineChars="200"/>
        <w:rPr>
          <w:rFonts w:ascii="宋体" w:hAnsi="宋体"/>
          <w:bCs/>
        </w:rPr>
      </w:pPr>
      <w:r>
        <w:rPr>
          <w:rFonts w:ascii="宋体" w:hAnsi="宋体" w:hint="eastAsia"/>
          <w:bCs/>
        </w:rPr>
        <w:t>（</w:t>
      </w:r>
      <w:r>
        <w:rPr>
          <w:rFonts w:ascii="宋体" w:hAnsi="宋体"/>
          <w:bCs/>
        </w:rPr>
        <w:t>7）供应商提交质疑应当提交必要的证明材料，证明材料应以合法手段取得；</w:t>
      </w:r>
    </w:p>
    <w:p>
      <w:pPr>
        <w:pStyle w:val="style0"/>
        <w:spacing w:lineRule="auto" w:line="360"/>
        <w:ind w:firstLine="420" w:firstLineChars="200"/>
        <w:rPr>
          <w:rFonts w:ascii="宋体" w:hAnsi="宋体"/>
        </w:rPr>
      </w:pPr>
      <w:r>
        <w:rPr>
          <w:rFonts w:ascii="宋体" w:hAnsi="宋体" w:hint="eastAsia"/>
          <w:bCs/>
        </w:rPr>
        <w:t>（</w:t>
      </w:r>
      <w:r>
        <w:rPr>
          <w:rFonts w:ascii="宋体" w:hAnsi="宋体"/>
          <w:bCs/>
        </w:rPr>
        <w:t>8）财政部门规定的其他条件。</w:t>
      </w:r>
    </w:p>
    <w:bookmarkStart w:id="156" w:name="_9.2质疑、投诉应当采用书面形式，质疑函、投诉书均应明确阐述招标文件、"/>
    <w:bookmarkEnd w:id="156"/>
    <w:p>
      <w:pPr>
        <w:pStyle w:val="style0"/>
        <w:spacing w:lineRule="auto" w:line="360"/>
        <w:ind w:firstLine="420" w:firstLineChars="200"/>
        <w:rPr>
          <w:rFonts w:ascii="宋体" w:hAnsi="宋体"/>
          <w:b/>
          <w:szCs w:val="21"/>
        </w:rPr>
      </w:pPr>
      <w:r>
        <w:rPr>
          <w:rFonts w:ascii="宋体" w:hAnsi="宋体"/>
          <w:szCs w:val="21"/>
        </w:rPr>
        <w:t xml:space="preserve">38.2.5 </w:t>
      </w:r>
      <w:r>
        <w:rPr>
          <w:rFonts w:ascii="宋体" w:hAnsi="宋体"/>
          <w:bCs/>
        </w:rPr>
        <w:t>供应商提出质疑应当提交质疑函和必要的证明材料</w:t>
      </w:r>
      <w:r>
        <w:rPr>
          <w:rFonts w:ascii="宋体" w:hAnsi="宋体" w:hint="eastAsia"/>
          <w:bCs/>
        </w:rPr>
        <w:t>，</w:t>
      </w:r>
      <w:r>
        <w:rPr>
          <w:rFonts w:ascii="宋体" w:hAnsi="宋体"/>
          <w:bCs/>
        </w:rPr>
        <w:t>针对同一采购程序环节的质疑</w:t>
      </w:r>
      <w:r>
        <w:rPr>
          <w:rFonts w:ascii="宋体" w:hAnsi="宋体" w:hint="eastAsia"/>
          <w:bCs/>
        </w:rPr>
        <w:t>必须</w:t>
      </w:r>
      <w:r>
        <w:rPr>
          <w:rFonts w:ascii="宋体" w:hAnsi="宋体"/>
          <w:bCs/>
        </w:rPr>
        <w:t>在法定质疑期内一次性提出。质疑函应当包括下列内容</w:t>
      </w:r>
      <w:r>
        <w:rPr>
          <w:rFonts w:ascii="宋体" w:hAnsi="宋体" w:hint="eastAsia"/>
          <w:bCs/>
        </w:rPr>
        <w:t>（质疑函格式后附）</w:t>
      </w:r>
      <w:r>
        <w:rPr>
          <w:rFonts w:ascii="宋体" w:hAnsi="宋体"/>
          <w:bCs/>
        </w:rPr>
        <w:t>：</w:t>
      </w:r>
    </w:p>
    <w:p>
      <w:pPr>
        <w:pStyle w:val="style0"/>
        <w:spacing w:lineRule="auto" w:line="360"/>
        <w:ind w:firstLine="420" w:firstLineChars="200"/>
        <w:rPr>
          <w:rFonts w:ascii="宋体" w:hAnsi="宋体"/>
          <w:bCs/>
        </w:rPr>
      </w:pPr>
      <w:r>
        <w:rPr>
          <w:rFonts w:ascii="宋体" w:hAnsi="宋体"/>
          <w:bCs/>
        </w:rPr>
        <w:t>（1）供应商的姓名或者名称、地址、邮编、联系人及联系电话；</w:t>
      </w:r>
    </w:p>
    <w:p>
      <w:pPr>
        <w:pStyle w:val="style0"/>
        <w:spacing w:lineRule="auto" w:line="360"/>
        <w:ind w:firstLine="420" w:firstLineChars="200"/>
        <w:rPr>
          <w:rFonts w:ascii="宋体" w:hAnsi="宋体"/>
          <w:bCs/>
        </w:rPr>
      </w:pPr>
      <w:r>
        <w:rPr>
          <w:rFonts w:ascii="宋体" w:hAnsi="宋体"/>
          <w:bCs/>
        </w:rPr>
        <w:t>（2）质疑项目的名称、编号；</w:t>
      </w:r>
    </w:p>
    <w:p>
      <w:pPr>
        <w:pStyle w:val="style0"/>
        <w:spacing w:lineRule="auto" w:line="360"/>
        <w:ind w:firstLine="420" w:firstLineChars="200"/>
        <w:rPr>
          <w:rFonts w:ascii="宋体" w:hAnsi="宋体"/>
          <w:bCs/>
        </w:rPr>
      </w:pPr>
      <w:r>
        <w:rPr>
          <w:rFonts w:ascii="宋体" w:hAnsi="宋体"/>
          <w:bCs/>
        </w:rPr>
        <w:t>（3）具体、明确的质疑事项和与质疑事项相关的请求；</w:t>
      </w:r>
    </w:p>
    <w:p>
      <w:pPr>
        <w:pStyle w:val="style0"/>
        <w:spacing w:lineRule="auto" w:line="360"/>
        <w:ind w:firstLine="420" w:firstLineChars="200"/>
        <w:rPr>
          <w:rFonts w:ascii="宋体" w:hAnsi="宋体"/>
          <w:bCs/>
        </w:rPr>
      </w:pPr>
      <w:r>
        <w:rPr>
          <w:rFonts w:ascii="宋体" w:hAnsi="宋体"/>
          <w:bCs/>
        </w:rPr>
        <w:t>（4）事实依据</w:t>
      </w:r>
      <w:r>
        <w:rPr>
          <w:rFonts w:ascii="宋体" w:hAnsi="宋体" w:hint="eastAsia"/>
          <w:bCs/>
        </w:rPr>
        <w:t>（列明权益受到损害的事实和理由）</w:t>
      </w:r>
      <w:r>
        <w:rPr>
          <w:rFonts w:ascii="宋体" w:hAnsi="宋体"/>
          <w:bCs/>
        </w:rPr>
        <w:t>；</w:t>
      </w:r>
    </w:p>
    <w:p>
      <w:pPr>
        <w:pStyle w:val="style0"/>
        <w:spacing w:lineRule="auto" w:line="360"/>
        <w:ind w:firstLine="420" w:firstLineChars="200"/>
        <w:rPr>
          <w:rFonts w:ascii="宋体" w:hAnsi="宋体"/>
          <w:bCs/>
        </w:rPr>
      </w:pPr>
      <w:r>
        <w:rPr>
          <w:rFonts w:ascii="宋体" w:hAnsi="宋体"/>
          <w:bCs/>
        </w:rPr>
        <w:t>（5）必要的法律依据；</w:t>
      </w:r>
    </w:p>
    <w:p>
      <w:pPr>
        <w:pStyle w:val="style0"/>
        <w:spacing w:lineRule="auto" w:line="360"/>
        <w:ind w:firstLine="420" w:firstLineChars="200"/>
        <w:rPr>
          <w:rFonts w:ascii="宋体" w:hAnsi="宋体"/>
          <w:bCs/>
        </w:rPr>
      </w:pPr>
      <w:r>
        <w:rPr>
          <w:rFonts w:ascii="宋体" w:hAnsi="宋体"/>
          <w:bCs/>
        </w:rPr>
        <w:t>（6）提出质疑的日期。</w:t>
      </w:r>
    </w:p>
    <w:p>
      <w:pPr>
        <w:pStyle w:val="style0"/>
        <w:spacing w:lineRule="auto" w:line="360"/>
        <w:ind w:firstLine="420" w:firstLineChars="200"/>
        <w:rPr>
          <w:rFonts w:ascii="宋体" w:hAnsi="宋体"/>
          <w:bCs/>
        </w:rPr>
      </w:pPr>
      <w:r>
        <w:rPr>
          <w:rFonts w:ascii="宋体" w:hAnsi="宋体"/>
          <w:bCs/>
        </w:rPr>
        <w:t>供应商为自然人的，应当由本人签字；供应商为法人或者其他组织的，应当由法定代表人、主要负责人，或者其委托代理人签字或者盖章，并加盖公章</w:t>
      </w:r>
      <w:r>
        <w:rPr>
          <w:rFonts w:ascii="宋体" w:hAnsi="宋体" w:hint="eastAsia"/>
          <w:bCs/>
        </w:rPr>
        <w:t>。</w:t>
      </w:r>
    </w:p>
    <w:p>
      <w:pPr>
        <w:pStyle w:val="style0"/>
        <w:spacing w:lineRule="auto" w:line="360"/>
        <w:ind w:firstLine="422" w:firstLineChars="200"/>
        <w:rPr>
          <w:rFonts w:ascii="宋体" w:hAnsi="宋体"/>
          <w:b/>
          <w:szCs w:val="20"/>
        </w:rPr>
      </w:pPr>
      <w:r>
        <w:rPr>
          <w:rFonts w:ascii="宋体" w:hAnsi="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pStyle w:val="style0"/>
        <w:spacing w:lineRule="auto" w:line="360"/>
        <w:ind w:firstLine="420" w:firstLineChars="200"/>
        <w:rPr>
          <w:rFonts w:ascii="宋体" w:hAnsi="宋体"/>
          <w:bCs/>
          <w:szCs w:val="21"/>
        </w:rPr>
      </w:pPr>
      <w:r>
        <w:rPr>
          <w:rFonts w:ascii="宋体" w:hAnsi="宋体"/>
          <w:szCs w:val="21"/>
        </w:rPr>
        <w:t>3</w:t>
      </w:r>
      <w:r>
        <w:rPr>
          <w:rFonts w:ascii="宋体" w:hAnsi="宋体"/>
          <w:bCs/>
          <w:szCs w:val="21"/>
        </w:rPr>
        <w:t>8.2.7采购人、采购代理机构认为供应商质疑不成立，或者成立但未对中标结果构成影响的，继续开展采购活动；认为供应商质疑成立且影响或者可能影响中标结果的，按照下列情况处理：</w:t>
      </w:r>
    </w:p>
    <w:p>
      <w:pPr>
        <w:pStyle w:val="style0"/>
        <w:spacing w:lineRule="auto" w:line="360"/>
        <w:ind w:firstLine="420" w:firstLineChars="200"/>
        <w:rPr>
          <w:rFonts w:ascii="宋体" w:hAnsi="宋体"/>
          <w:bCs/>
        </w:rPr>
      </w:pPr>
      <w:r>
        <w:rPr>
          <w:rFonts w:ascii="宋体" w:hAnsi="宋体" w:hint="eastAsia"/>
          <w:bCs/>
        </w:rPr>
        <w:t>（一）对招标文件提出的质疑，依法通过澄清或者修改可以继续开展采购活动的，澄清或者修改招标文件后继续开展采购活动；否则应当修改招标文件后重新开展采购活动。</w:t>
      </w:r>
    </w:p>
    <w:p>
      <w:pPr>
        <w:pStyle w:val="style0"/>
        <w:spacing w:lineRule="auto" w:line="360"/>
        <w:ind w:firstLine="420" w:firstLineChars="200"/>
        <w:rPr>
          <w:rFonts w:ascii="宋体" w:hAnsi="宋体"/>
          <w:bCs/>
        </w:rPr>
      </w:pPr>
      <w:r>
        <w:rPr>
          <w:rFonts w:ascii="宋体" w:hAnsi="宋体" w:hint="eastAsia"/>
          <w:bCs/>
        </w:rPr>
        <w:t>（二）对采购过程、中标结果提出的质疑，合格供应商符合法定数量时，可以从合格的中标候选人中另行确定中标人的，应当依法另行确定中标人；否则应当重新开展采购活动。</w:t>
      </w:r>
    </w:p>
    <w:p>
      <w:pPr>
        <w:pStyle w:val="style0"/>
        <w:spacing w:lineRule="auto" w:line="360"/>
        <w:ind w:firstLine="420" w:firstLineChars="200"/>
        <w:rPr>
          <w:rFonts w:ascii="宋体" w:hAnsi="宋体"/>
          <w:bCs/>
        </w:rPr>
      </w:pPr>
      <w:r>
        <w:rPr>
          <w:rFonts w:ascii="宋体" w:hAnsi="宋体" w:hint="eastAsia"/>
          <w:bCs/>
        </w:rPr>
        <w:t>质疑答复导致中标结果改变的，采购人或者采购代理机构应当将有关情况书面报告本级财政部门。</w:t>
      </w:r>
    </w:p>
    <w:p>
      <w:pPr>
        <w:pStyle w:val="style0"/>
        <w:spacing w:lineRule="auto" w:line="360"/>
        <w:ind w:firstLine="422" w:firstLineChars="200"/>
        <w:rPr>
          <w:rFonts w:ascii="宋体" w:hAnsi="宋体"/>
          <w:b/>
        </w:rPr>
      </w:pPr>
      <w:r>
        <w:rPr>
          <w:rFonts w:ascii="宋体" w:hAnsi="宋体"/>
          <w:b/>
        </w:rPr>
        <w:t>38.3投诉</w:t>
      </w:r>
    </w:p>
    <w:p>
      <w:pPr>
        <w:pStyle w:val="style0"/>
        <w:spacing w:lineRule="auto" w:line="360"/>
        <w:ind w:firstLine="422" w:firstLineChars="200"/>
        <w:rPr>
          <w:rFonts w:ascii="宋体" w:hAnsi="宋体"/>
          <w:bCs/>
        </w:rPr>
      </w:pPr>
      <w:r>
        <w:rPr>
          <w:rFonts w:ascii="宋体" w:hAnsi="宋体"/>
          <w:b/>
        </w:rPr>
        <w:t>38.3</w:t>
      </w:r>
      <w:r>
        <w:rPr>
          <w:rFonts w:ascii="宋体" w:hAnsi="宋体"/>
          <w:bCs/>
        </w:rPr>
        <w:t>.</w:t>
      </w:r>
      <w:r>
        <w:rPr>
          <w:rFonts w:ascii="宋体" w:hAnsi="宋体"/>
          <w:b/>
          <w:bCs/>
        </w:rPr>
        <w:t xml:space="preserve">1 </w:t>
      </w:r>
      <w:r>
        <w:rPr>
          <w:rFonts w:ascii="宋体" w:hAnsi="宋体"/>
          <w:bCs/>
        </w:rPr>
        <w:t xml:space="preserve"> 供应商认为采购文件、采购过程、中标和成交结果使自己的合法权益受到损害的，应当首先依法向采购人或采购人委托的</w:t>
      </w:r>
      <w:r>
        <w:rPr>
          <w:rFonts w:ascii="宋体" w:hAnsi="宋体" w:hint="eastAsia"/>
        </w:rPr>
        <w:t>采购代理机构</w:t>
      </w:r>
      <w:r>
        <w:rPr>
          <w:rFonts w:ascii="宋体" w:hAnsi="宋体" w:hint="eastAsia"/>
          <w:bCs/>
        </w:rPr>
        <w:t>提出质疑。对采购人、</w:t>
      </w:r>
      <w:r>
        <w:rPr>
          <w:rFonts w:ascii="宋体" w:hAnsi="宋体" w:hint="eastAsia"/>
        </w:rPr>
        <w:t>采购代理机构</w:t>
      </w:r>
      <w:r>
        <w:rPr>
          <w:rFonts w:ascii="宋体" w:hAnsi="宋体" w:hint="eastAsia"/>
          <w:bCs/>
        </w:rPr>
        <w:t>的答复不满意，或者采购人、</w:t>
      </w:r>
      <w:r>
        <w:rPr>
          <w:rFonts w:ascii="宋体" w:hAnsi="宋体" w:hint="eastAsia"/>
        </w:rPr>
        <w:t>采购代理机构</w:t>
      </w:r>
      <w:r>
        <w:rPr>
          <w:rFonts w:ascii="宋体" w:hAnsi="宋体" w:hint="eastAsia"/>
          <w:bCs/>
        </w:rPr>
        <w:t>未在规定期限内做出答复的，供应商可以在答复期满后</w:t>
      </w:r>
      <w:r>
        <w:rPr>
          <w:rFonts w:ascii="宋体" w:hAnsi="宋体"/>
          <w:bCs/>
        </w:rPr>
        <w:t>15个工作日内向广西壮族自治区本级政府采购监督管理部门提起投诉。</w:t>
      </w:r>
    </w:p>
    <w:p>
      <w:pPr>
        <w:pStyle w:val="style0"/>
        <w:spacing w:lineRule="auto" w:line="360"/>
        <w:ind w:firstLine="422" w:firstLineChars="200"/>
        <w:rPr>
          <w:rFonts w:ascii="宋体" w:hAnsi="宋体"/>
          <w:bCs/>
        </w:rPr>
      </w:pPr>
      <w:r>
        <w:rPr>
          <w:rFonts w:ascii="宋体" w:hAnsi="宋体"/>
          <w:b/>
        </w:rPr>
        <w:t xml:space="preserve">38.3.2 </w:t>
      </w:r>
      <w:r>
        <w:rPr>
          <w:rFonts w:ascii="宋体" w:hAnsi="宋体"/>
        </w:rPr>
        <w:t xml:space="preserve"> 投诉人投诉时，应当提交投诉书，并按照被投诉采购人、采购代理机构和与投诉事项有关的供应商数量提供投诉书的副本。投诉书</w:t>
      </w:r>
      <w:r>
        <w:rPr>
          <w:rFonts w:ascii="宋体" w:hAnsi="宋体" w:hint="eastAsia"/>
          <w:szCs w:val="21"/>
        </w:rPr>
        <w:t>应当包括下列主要内容</w:t>
      </w:r>
      <w:r>
        <w:rPr>
          <w:rFonts w:ascii="宋体" w:hAnsi="宋体" w:hint="eastAsia"/>
        </w:rPr>
        <w:t>（如材料中有外文资料应同时附上对应的中文译本）</w:t>
      </w:r>
      <w:r>
        <w:rPr>
          <w:rFonts w:ascii="宋体" w:hAnsi="宋体" w:hint="eastAsia"/>
          <w:bCs/>
        </w:rPr>
        <w:t>（投诉书格式后附）</w:t>
      </w:r>
      <w:r>
        <w:rPr>
          <w:rFonts w:ascii="宋体" w:hAnsi="宋体" w:hint="eastAsia"/>
          <w:szCs w:val="21"/>
        </w:rPr>
        <w:t>：</w:t>
      </w:r>
    </w:p>
    <w:p>
      <w:pPr>
        <w:pStyle w:val="style0"/>
        <w:spacing w:lineRule="auto" w:line="360"/>
        <w:ind w:firstLine="420" w:firstLineChars="200"/>
        <w:rPr>
          <w:rFonts w:ascii="宋体" w:hAnsi="宋体"/>
        </w:rPr>
      </w:pPr>
      <w:r>
        <w:rPr>
          <w:rFonts w:ascii="宋体" w:hAnsi="宋体" w:hint="eastAsia"/>
        </w:rPr>
        <w:t>（</w:t>
      </w:r>
      <w:r>
        <w:rPr>
          <w:rFonts w:ascii="宋体" w:hAnsi="宋体"/>
        </w:rPr>
        <w:t xml:space="preserve">1）投诉人和被投诉人的名称、地址、邮编、联系人及联系电话等； </w:t>
      </w:r>
    </w:p>
    <w:p>
      <w:pPr>
        <w:pStyle w:val="style0"/>
        <w:spacing w:lineRule="auto" w:line="360"/>
        <w:ind w:firstLine="420" w:firstLineChars="200"/>
        <w:rPr>
          <w:rFonts w:ascii="宋体" w:hAnsi="宋体"/>
        </w:rPr>
      </w:pPr>
      <w:r>
        <w:rPr>
          <w:rFonts w:ascii="宋体" w:hAnsi="宋体" w:hint="eastAsia"/>
        </w:rPr>
        <w:t>（</w:t>
      </w:r>
      <w:r>
        <w:rPr>
          <w:rFonts w:ascii="宋体" w:hAnsi="宋体"/>
        </w:rPr>
        <w:t xml:space="preserve">2）质疑和质疑答复情况及相关证明材料； </w:t>
      </w:r>
    </w:p>
    <w:p>
      <w:pPr>
        <w:pStyle w:val="style0"/>
        <w:spacing w:lineRule="auto" w:line="360"/>
        <w:ind w:firstLine="420" w:firstLineChars="200"/>
        <w:rPr>
          <w:rFonts w:ascii="宋体" w:hAnsi="宋体"/>
        </w:rPr>
      </w:pPr>
      <w:r>
        <w:rPr>
          <w:rFonts w:ascii="宋体" w:hAnsi="宋体" w:hint="eastAsia"/>
        </w:rPr>
        <w:t>（</w:t>
      </w:r>
      <w:r>
        <w:rPr>
          <w:rFonts w:ascii="宋体" w:hAnsi="宋体"/>
        </w:rPr>
        <w:t>3）具体、明确的投诉事项和与投诉事项相关的投诉请求；</w:t>
      </w:r>
    </w:p>
    <w:p>
      <w:pPr>
        <w:pStyle w:val="style0"/>
        <w:spacing w:lineRule="auto" w:line="360"/>
        <w:ind w:firstLine="420" w:firstLineChars="200"/>
        <w:rPr>
          <w:rFonts w:ascii="宋体" w:hAnsi="宋体"/>
        </w:rPr>
      </w:pPr>
      <w:r>
        <w:rPr>
          <w:rFonts w:ascii="宋体" w:hAnsi="宋体" w:hint="eastAsia"/>
        </w:rPr>
        <w:t>（</w:t>
      </w:r>
      <w:r>
        <w:rPr>
          <w:rFonts w:ascii="宋体" w:hAnsi="宋体"/>
        </w:rPr>
        <w:t>4）事实依据；</w:t>
      </w:r>
    </w:p>
    <w:p>
      <w:pPr>
        <w:pStyle w:val="style0"/>
        <w:spacing w:lineRule="auto" w:line="360"/>
        <w:ind w:firstLine="420" w:firstLineChars="200"/>
        <w:rPr>
          <w:rFonts w:ascii="宋体" w:hAnsi="宋体"/>
        </w:rPr>
      </w:pPr>
      <w:r>
        <w:rPr>
          <w:rFonts w:ascii="宋体" w:hAnsi="宋体" w:hint="eastAsia"/>
        </w:rPr>
        <w:t>（</w:t>
      </w:r>
      <w:r>
        <w:rPr>
          <w:rFonts w:ascii="宋体" w:hAnsi="宋体"/>
        </w:rPr>
        <w:t>5）法律依据；</w:t>
      </w:r>
    </w:p>
    <w:p>
      <w:pPr>
        <w:pStyle w:val="style0"/>
        <w:spacing w:lineRule="auto" w:line="360"/>
        <w:ind w:firstLine="420" w:firstLineChars="200"/>
        <w:rPr>
          <w:rFonts w:ascii="宋体" w:hAnsi="宋体"/>
        </w:rPr>
      </w:pPr>
      <w:r>
        <w:rPr>
          <w:rFonts w:ascii="宋体" w:hAnsi="宋体" w:hint="eastAsia"/>
        </w:rPr>
        <w:t>（</w:t>
      </w:r>
      <w:r>
        <w:rPr>
          <w:rFonts w:ascii="宋体" w:hAnsi="宋体"/>
        </w:rPr>
        <w:t>6）提起投诉的日期。</w:t>
      </w:r>
    </w:p>
    <w:p>
      <w:pPr>
        <w:pStyle w:val="style0"/>
        <w:spacing w:lineRule="auto" w:line="360"/>
        <w:ind w:firstLine="420" w:firstLineChars="200"/>
        <w:rPr>
          <w:rFonts w:ascii="宋体" w:hAnsi="宋体"/>
        </w:rPr>
      </w:pPr>
      <w:r>
        <w:rPr>
          <w:rFonts w:ascii="宋体" w:hAnsi="宋体" w:hint="eastAsia"/>
        </w:rPr>
        <w:t>（</w:t>
      </w:r>
      <w:r>
        <w:rPr>
          <w:rFonts w:ascii="宋体" w:hAnsi="宋体"/>
        </w:rPr>
        <w:t>7）附件材料：营业执照副本内页复印件（要求证件有效并清晰反映企业法人经营范围；近期</w:t>
      </w:r>
      <w:r>
        <w:rPr>
          <w:rFonts w:ascii="宋体" w:hAnsi="宋体" w:hint="eastAsia"/>
        </w:rPr>
        <w:t>一</w:t>
      </w:r>
      <w:r>
        <w:rPr>
          <w:rFonts w:ascii="宋体" w:hAnsi="宋体"/>
        </w:rPr>
        <w:t>个月依法缴纳税收和在职职工社会保障资金证明材料（复印件）。</w:t>
      </w:r>
      <w:r>
        <w:rPr>
          <w:rFonts w:ascii="宋体" w:hAnsi="宋体"/>
        </w:rPr>
        <w:tab/>
      </w:r>
    </w:p>
    <w:p>
      <w:pPr>
        <w:pStyle w:val="style0"/>
        <w:spacing w:lineRule="auto" w:line="360"/>
        <w:ind w:firstLine="422" w:firstLineChars="200"/>
        <w:rPr>
          <w:rFonts w:ascii="宋体" w:hAnsi="宋体"/>
          <w:bCs/>
        </w:rPr>
      </w:pPr>
      <w:r>
        <w:rPr>
          <w:rFonts w:ascii="宋体" w:hAnsi="宋体"/>
          <w:b/>
        </w:rPr>
        <w:t xml:space="preserve">38.3.3  </w:t>
      </w:r>
      <w:r>
        <w:rPr>
          <w:rFonts w:ascii="宋体" w:hAnsi="宋体" w:hint="eastAsia"/>
        </w:rPr>
        <w:t>投诉人可以委托代理人办理投诉事务。</w:t>
      </w:r>
      <w:r>
        <w:rPr>
          <w:rFonts w:ascii="宋体" w:hAnsi="宋体" w:hint="eastAsia"/>
          <w:bCs/>
        </w:rPr>
        <w:t>委托代理人应熟悉相关业务情况。</w:t>
      </w:r>
      <w:r>
        <w:rPr>
          <w:rFonts w:ascii="宋体" w:hAnsi="宋体" w:hint="eastAsia"/>
        </w:rPr>
        <w:t>代理人办理投诉事务时，除提交投诉书外，还应当提交投诉人的授权委托书和委托代理人身份证明复印件。</w:t>
      </w:r>
    </w:p>
    <w:p>
      <w:pPr>
        <w:pStyle w:val="style0"/>
        <w:spacing w:lineRule="auto" w:line="360"/>
        <w:ind w:firstLine="422" w:firstLineChars="200"/>
        <w:rPr>
          <w:rFonts w:ascii="宋体" w:hAnsi="宋体"/>
        </w:rPr>
      </w:pPr>
      <w:r>
        <w:rPr>
          <w:rFonts w:ascii="宋体" w:hAnsi="宋体"/>
          <w:b/>
        </w:rPr>
        <w:t>38.3.4</w:t>
      </w:r>
      <w:r>
        <w:rPr>
          <w:rFonts w:ascii="宋体" w:hAnsi="宋体"/>
        </w:rPr>
        <w:t xml:space="preserve">  投诉人提起投诉应当符合下列条件：</w:t>
      </w:r>
    </w:p>
    <w:p>
      <w:pPr>
        <w:pStyle w:val="style0"/>
        <w:spacing w:lineRule="auto" w:line="360"/>
        <w:ind w:firstLine="420" w:firstLineChars="200"/>
        <w:rPr>
          <w:rFonts w:ascii="宋体" w:hAnsi="宋体"/>
        </w:rPr>
      </w:pPr>
      <w:r>
        <w:rPr>
          <w:rFonts w:ascii="宋体" w:hAnsi="宋体" w:hint="eastAsia"/>
        </w:rPr>
        <w:t>（</w:t>
      </w:r>
      <w:r>
        <w:rPr>
          <w:rFonts w:ascii="宋体" w:hAnsi="宋体"/>
        </w:rPr>
        <w:t>1）投诉人是参与所投诉政府采购活动的供应商；</w:t>
      </w:r>
    </w:p>
    <w:p>
      <w:pPr>
        <w:pStyle w:val="style0"/>
        <w:spacing w:lineRule="auto" w:line="360"/>
        <w:ind w:firstLine="420" w:firstLineChars="200"/>
        <w:rPr>
          <w:rFonts w:ascii="宋体" w:hAnsi="宋体"/>
        </w:rPr>
      </w:pPr>
      <w:r>
        <w:rPr>
          <w:rFonts w:ascii="宋体" w:hAnsi="宋体" w:hint="eastAsia"/>
        </w:rPr>
        <w:t>（</w:t>
      </w:r>
      <w:r>
        <w:rPr>
          <w:rFonts w:ascii="宋体" w:hAnsi="宋体"/>
        </w:rPr>
        <w:t>2）提起投诉前已依法进行质疑；</w:t>
      </w:r>
    </w:p>
    <w:p>
      <w:pPr>
        <w:pStyle w:val="style0"/>
        <w:spacing w:lineRule="auto" w:line="360"/>
        <w:ind w:firstLine="420" w:firstLineChars="200"/>
        <w:rPr>
          <w:rFonts w:ascii="宋体" w:hAnsi="宋体"/>
        </w:rPr>
      </w:pPr>
      <w:r>
        <w:rPr>
          <w:rFonts w:ascii="宋体" w:hAnsi="宋体" w:hint="eastAsia"/>
        </w:rPr>
        <w:t>（</w:t>
      </w:r>
      <w:r>
        <w:rPr>
          <w:rFonts w:ascii="宋体" w:hAnsi="宋体"/>
        </w:rPr>
        <w:t>3）投诉书内容符合本章第38.3.2项的规定；</w:t>
      </w:r>
    </w:p>
    <w:p>
      <w:pPr>
        <w:pStyle w:val="style0"/>
        <w:spacing w:lineRule="auto" w:line="360"/>
        <w:ind w:firstLine="420" w:firstLineChars="200"/>
        <w:rPr>
          <w:rFonts w:ascii="宋体" w:hAnsi="宋体"/>
        </w:rPr>
      </w:pPr>
      <w:r>
        <w:rPr>
          <w:rFonts w:ascii="宋体" w:hAnsi="宋体" w:hint="eastAsia"/>
        </w:rPr>
        <w:t>（</w:t>
      </w:r>
      <w:r>
        <w:rPr>
          <w:rFonts w:ascii="宋体" w:hAnsi="宋体"/>
        </w:rPr>
        <w:t>4）在投诉有效期限内提起投诉；</w:t>
      </w:r>
    </w:p>
    <w:p>
      <w:pPr>
        <w:pStyle w:val="style0"/>
        <w:spacing w:lineRule="auto" w:line="360"/>
        <w:ind w:firstLine="420" w:firstLineChars="200"/>
        <w:rPr>
          <w:rFonts w:ascii="宋体" w:hAnsi="宋体"/>
        </w:rPr>
      </w:pPr>
      <w:r>
        <w:rPr>
          <w:rFonts w:ascii="宋体" w:hAnsi="宋体" w:hint="eastAsia"/>
        </w:rPr>
        <w:t>（</w:t>
      </w:r>
      <w:r>
        <w:rPr>
          <w:rFonts w:ascii="宋体" w:hAnsi="宋体"/>
        </w:rPr>
        <w:t>5）属于广西壮族自治区本级政府采购监督管理部门管辖；</w:t>
      </w:r>
    </w:p>
    <w:p>
      <w:pPr>
        <w:pStyle w:val="style0"/>
        <w:spacing w:lineRule="auto" w:line="360"/>
        <w:ind w:firstLine="420" w:firstLineChars="200"/>
        <w:rPr>
          <w:rFonts w:ascii="宋体" w:hAnsi="宋体"/>
        </w:rPr>
      </w:pPr>
      <w:r>
        <w:rPr>
          <w:rFonts w:ascii="宋体" w:hAnsi="宋体" w:hint="eastAsia"/>
        </w:rPr>
        <w:t>（</w:t>
      </w:r>
      <w:r>
        <w:rPr>
          <w:rFonts w:ascii="宋体" w:hAnsi="宋体"/>
        </w:rPr>
        <w:t>6）同一投诉事项未经广西壮族自治区本级</w:t>
      </w:r>
      <w:r>
        <w:rPr>
          <w:rFonts w:ascii="宋体" w:hAnsi="宋体" w:hint="eastAsia"/>
          <w:bCs/>
        </w:rPr>
        <w:t>政府采购监督管理部门</w:t>
      </w:r>
      <w:r>
        <w:rPr>
          <w:rFonts w:ascii="宋体" w:hAnsi="宋体" w:hint="eastAsia"/>
        </w:rPr>
        <w:t>投诉处理；</w:t>
      </w:r>
    </w:p>
    <w:p>
      <w:pPr>
        <w:pStyle w:val="style0"/>
        <w:spacing w:lineRule="auto" w:line="360"/>
        <w:ind w:firstLine="420" w:firstLineChars="200"/>
        <w:rPr>
          <w:rFonts w:ascii="宋体" w:hAnsi="宋体"/>
        </w:rPr>
      </w:pPr>
      <w:r>
        <w:rPr>
          <w:rFonts w:ascii="宋体" w:hAnsi="宋体" w:hint="eastAsia"/>
        </w:rPr>
        <w:t>（</w:t>
      </w:r>
      <w:r>
        <w:rPr>
          <w:rFonts w:ascii="宋体" w:hAnsi="宋体"/>
        </w:rPr>
        <w:t>7）国务院财政部门规定的其他条件。</w:t>
      </w:r>
    </w:p>
    <w:p>
      <w:pPr>
        <w:pStyle w:val="style0"/>
        <w:spacing w:lineRule="auto" w:line="360"/>
        <w:ind w:firstLine="422" w:firstLineChars="200"/>
        <w:rPr>
          <w:rFonts w:ascii="宋体" w:hAnsi="宋体"/>
        </w:rPr>
      </w:pPr>
      <w:r>
        <w:rPr>
          <w:rFonts w:ascii="宋体" w:hAnsi="宋体"/>
          <w:b/>
        </w:rPr>
        <w:t>38.3.5</w:t>
      </w:r>
      <w:r>
        <w:rPr>
          <w:rFonts w:ascii="宋体" w:hAnsi="宋体"/>
        </w:rPr>
        <w:t xml:space="preserve">  政府采购监督管理部门自受理投诉之日起30</w:t>
      </w:r>
      <w:r>
        <w:rPr>
          <w:rFonts w:ascii="宋体" w:hAnsi="宋体" w:hint="eastAsia"/>
        </w:rPr>
        <w:t>个工作日内，对投诉事项作出处理决定，并以书面形式通知投诉人、被投诉人及其他与投诉处理结果有利害关系的政府采购当事人。并将投诉结果在</w:t>
      </w:r>
      <w:r>
        <w:rPr>
          <w:rFonts w:ascii="宋体" w:hAnsi="宋体"/>
        </w:rPr>
        <w:t>http://zfcg.gxzf.gov.cn (广西壮族自治区政府采购网)发布。</w:t>
      </w:r>
    </w:p>
    <w:p>
      <w:pPr>
        <w:pStyle w:val="style0"/>
        <w:spacing w:lineRule="auto" w:line="360"/>
        <w:ind w:firstLine="422" w:firstLineChars="200"/>
        <w:rPr>
          <w:rFonts w:ascii="宋体" w:hAnsi="宋体"/>
        </w:rPr>
      </w:pPr>
      <w:r>
        <w:rPr>
          <w:rFonts w:ascii="宋体" w:hAnsi="宋体"/>
          <w:b/>
        </w:rPr>
        <w:t>38.3.6</w:t>
      </w:r>
      <w:r>
        <w:rPr>
          <w:rFonts w:ascii="宋体" w:hAnsi="宋体"/>
        </w:rPr>
        <w:t xml:space="preserve">  政府采购监督管理部门在处理投诉事项期间，可以视具体情况暂停采购活动。</w:t>
      </w:r>
    </w:p>
    <w:p>
      <w:pPr>
        <w:pStyle w:val="style32"/>
        <w:rPr/>
      </w:pPr>
    </w:p>
    <w:bookmarkStart w:id="157" w:name="_Toc119359492"/>
    <w:bookmarkStart w:id="158" w:name="_Toc18474"/>
    <w:p>
      <w:pPr>
        <w:pStyle w:val="style3"/>
        <w:keepNext w:val="false"/>
        <w:keepLines w:val="false"/>
        <w:spacing w:lineRule="auto" w:line="360"/>
        <w:ind w:firstLine="602"/>
        <w:jc w:val="center"/>
        <w:rPr>
          <w:rFonts w:ascii="宋体" w:hAnsi="宋体"/>
          <w:sz w:val="30"/>
          <w:szCs w:val="30"/>
        </w:rPr>
      </w:pPr>
      <w:r>
        <w:rPr>
          <w:rFonts w:ascii="宋体" w:hAnsi="宋体" w:hint="eastAsia"/>
          <w:sz w:val="30"/>
          <w:szCs w:val="30"/>
        </w:rPr>
        <w:t>八、验收</w:t>
      </w:r>
      <w:bookmarkEnd w:id="157"/>
      <w:bookmarkEnd w:id="158"/>
    </w:p>
    <w:p>
      <w:pPr>
        <w:pStyle w:val="style0"/>
        <w:spacing w:lineRule="auto" w:line="360"/>
        <w:ind w:firstLine="482" w:firstLineChars="200"/>
        <w:rPr>
          <w:rFonts w:ascii="宋体" w:hAnsi="宋体"/>
          <w:b/>
          <w:sz w:val="24"/>
        </w:rPr>
      </w:pPr>
      <w:r>
        <w:rPr>
          <w:rFonts w:ascii="宋体" w:hAnsi="宋体"/>
          <w:b/>
          <w:sz w:val="24"/>
        </w:rPr>
        <w:t>39.验收</w:t>
      </w:r>
    </w:p>
    <w:p>
      <w:pPr>
        <w:pStyle w:val="style0"/>
        <w:tabs>
          <w:tab w:val="left" w:leader="none" w:pos="0"/>
        </w:tabs>
        <w:spacing w:lineRule="auto" w:line="360"/>
        <w:ind w:firstLine="480"/>
        <w:rPr>
          <w:rFonts w:ascii="宋体" w:hAnsi="宋体"/>
        </w:rPr>
      </w:pPr>
      <w:r>
        <w:rPr>
          <w:rFonts w:ascii="宋体" w:hAnsi="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style0"/>
        <w:tabs>
          <w:tab w:val="left" w:leader="none" w:pos="0"/>
        </w:tabs>
        <w:spacing w:lineRule="auto" w:line="360"/>
        <w:ind w:firstLine="480"/>
        <w:rPr>
          <w:rFonts w:ascii="宋体" w:hAnsi="宋体"/>
        </w:rPr>
      </w:pPr>
      <w:r>
        <w:rPr>
          <w:rFonts w:ascii="宋体" w:hAnsi="宋体"/>
        </w:rPr>
        <w:t>39.2采购人可以邀请参加本项目的其他投标人或者第三方机构参与验收。参与验收的投标人或者第三方机构的意见作为验收书的参考资料一并存档。</w:t>
      </w:r>
    </w:p>
    <w:p>
      <w:pPr>
        <w:pStyle w:val="style0"/>
        <w:tabs>
          <w:tab w:val="left" w:leader="none" w:pos="0"/>
        </w:tabs>
        <w:spacing w:lineRule="auto" w:line="360"/>
        <w:ind w:firstLine="480"/>
        <w:rPr>
          <w:rFonts w:ascii="宋体" w:hAnsi="宋体"/>
        </w:rPr>
      </w:pPr>
      <w:r>
        <w:rPr>
          <w:rFonts w:ascii="宋体" w:hAnsi="宋体"/>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pStyle w:val="style0"/>
        <w:tabs>
          <w:tab w:val="left" w:leader="none" w:pos="0"/>
        </w:tabs>
        <w:spacing w:lineRule="auto" w:line="360"/>
        <w:ind w:firstLine="480"/>
        <w:rPr>
          <w:rFonts w:ascii="宋体" w:hAnsi="宋体"/>
        </w:rPr>
      </w:pPr>
      <w:r>
        <w:rPr>
          <w:rFonts w:ascii="宋体" w:hAnsi="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r>
        <w:rPr>
          <w:rFonts w:ascii="宋体" w:hAnsi="宋体"/>
        </w:rPr>
        <w:t>门。</w:t>
      </w:r>
    </w:p>
    <w:p>
      <w:pPr>
        <w:pStyle w:val="style90"/>
        <w:snapToGrid w:val="false"/>
        <w:spacing w:lineRule="exact" w:line="400"/>
        <w:rPr>
          <w:rFonts w:hAnsi="宋体"/>
        </w:rPr>
      </w:pPr>
    </w:p>
    <w:bookmarkStart w:id="159" w:name="_八、其他事项"/>
    <w:bookmarkStart w:id="160" w:name="_Toc119359493"/>
    <w:bookmarkStart w:id="161" w:name="_Toc5271"/>
    <w:bookmarkEnd w:id="159"/>
    <w:p>
      <w:pPr>
        <w:pStyle w:val="style3"/>
        <w:keepNext w:val="false"/>
        <w:keepLines w:val="false"/>
        <w:spacing w:lineRule="auto" w:line="360"/>
        <w:ind w:firstLine="602"/>
        <w:jc w:val="center"/>
        <w:rPr>
          <w:rFonts w:ascii="宋体" w:hAnsi="宋体"/>
          <w:sz w:val="30"/>
          <w:szCs w:val="30"/>
        </w:rPr>
      </w:pPr>
      <w:r>
        <w:rPr>
          <w:rFonts w:ascii="宋体" w:hAnsi="宋体" w:hint="eastAsia"/>
          <w:sz w:val="30"/>
          <w:szCs w:val="30"/>
        </w:rPr>
        <w:t>九、其他事项</w:t>
      </w:r>
      <w:bookmarkEnd w:id="160"/>
      <w:bookmarkEnd w:id="161"/>
    </w:p>
    <w:bookmarkStart w:id="162" w:name="_42.代理服务费"/>
    <w:bookmarkEnd w:id="162"/>
    <w:p>
      <w:pPr>
        <w:pStyle w:val="style0"/>
        <w:spacing w:lineRule="auto" w:line="360"/>
        <w:ind w:firstLine="482" w:firstLineChars="200"/>
        <w:rPr>
          <w:rFonts w:ascii="宋体" w:hAnsi="宋体"/>
          <w:b/>
          <w:sz w:val="24"/>
        </w:rPr>
      </w:pPr>
      <w:r>
        <w:rPr>
          <w:rFonts w:ascii="宋体" w:hAnsi="宋体"/>
          <w:b/>
          <w:sz w:val="24"/>
        </w:rPr>
        <w:t>40.代理服务费</w:t>
      </w:r>
    </w:p>
    <w:p>
      <w:pPr>
        <w:pStyle w:val="style0"/>
        <w:spacing w:lineRule="auto" w:line="360"/>
        <w:ind w:firstLine="420" w:firstLineChars="200"/>
        <w:rPr>
          <w:rFonts w:ascii="宋体" w:hAnsi="宋体"/>
          <w:szCs w:val="21"/>
        </w:rPr>
      </w:pPr>
      <w:r>
        <w:rPr>
          <w:rFonts w:ascii="宋体" w:hAnsi="宋体"/>
          <w:szCs w:val="21"/>
        </w:rPr>
        <w:t>40.1代理服务收费标准详见“投标人须知前附表”，投标人为联合体的，可以由联合体中的一方或者多方共同交纳代理服务费。</w:t>
      </w:r>
    </w:p>
    <w:p>
      <w:pPr>
        <w:pStyle w:val="style0"/>
        <w:spacing w:lineRule="auto" w:line="360"/>
        <w:ind w:firstLine="420" w:firstLineChars="200"/>
        <w:rPr>
          <w:rFonts w:ascii="宋体" w:hAnsi="宋体"/>
          <w:szCs w:val="21"/>
        </w:rPr>
      </w:pPr>
      <w:r>
        <w:rPr>
          <w:rFonts w:ascii="宋体" w:hAnsi="宋体"/>
          <w:szCs w:val="21"/>
        </w:rPr>
        <w:t>40.2</w:t>
      </w:r>
      <w:r>
        <w:rPr>
          <w:rFonts w:ascii="宋体" w:hAnsi="宋体" w:hint="eastAsia"/>
          <w:szCs w:val="21"/>
        </w:rPr>
        <w:t>收费基准价格：按《广西壮族自治区物价局转发国家发展改革委关于降低部分建设项目收费标准规范收费行为等有关问题的通知（桂价费〔</w:t>
      </w:r>
      <w:r>
        <w:rPr>
          <w:rFonts w:ascii="宋体" w:hAnsi="宋体"/>
          <w:szCs w:val="21"/>
        </w:rPr>
        <w:t>2011〕55号）》执行</w:t>
      </w:r>
    </w:p>
    <w:p>
      <w:pPr>
        <w:pStyle w:val="style0"/>
        <w:spacing w:lineRule="auto" w:line="360"/>
        <w:ind w:firstLine="420" w:firstLineChars="200"/>
        <w:rPr>
          <w:rFonts w:ascii="宋体" w:hAnsi="宋体"/>
          <w:szCs w:val="21"/>
        </w:rPr>
      </w:pPr>
      <w:r>
        <w:rPr>
          <w:rFonts w:ascii="宋体" w:hAnsi="宋体" w:hint="eastAsia"/>
          <w:szCs w:val="21"/>
        </w:rPr>
        <w:t>40.3代理服务费收款账户信息</w:t>
      </w:r>
    </w:p>
    <w:p>
      <w:pPr>
        <w:pStyle w:val="style0"/>
        <w:spacing w:lineRule="auto" w:line="360"/>
        <w:ind w:firstLine="420" w:firstLineChars="200"/>
        <w:rPr>
          <w:rFonts w:ascii="宋体" w:hAnsi="宋体"/>
          <w:szCs w:val="21"/>
        </w:rPr>
      </w:pPr>
      <w:r>
        <w:rPr>
          <w:rFonts w:ascii="宋体" w:hAnsi="宋体" w:hint="eastAsia"/>
          <w:szCs w:val="21"/>
        </w:rPr>
        <w:t>账户名称：广西国盛招标有限公司</w:t>
      </w:r>
    </w:p>
    <w:p>
      <w:pPr>
        <w:pStyle w:val="style0"/>
        <w:spacing w:lineRule="auto" w:line="360"/>
        <w:ind w:firstLine="420" w:firstLineChars="200"/>
        <w:rPr>
          <w:rFonts w:ascii="宋体" w:hAnsi="宋体"/>
          <w:szCs w:val="21"/>
        </w:rPr>
      </w:pPr>
      <w:r>
        <w:rPr>
          <w:rFonts w:ascii="宋体" w:hAnsi="宋体" w:hint="eastAsia"/>
          <w:szCs w:val="21"/>
        </w:rPr>
        <w:t>开户银行：广西北部湾银行南宁财富国际支行</w:t>
      </w:r>
    </w:p>
    <w:p>
      <w:pPr>
        <w:pStyle w:val="style0"/>
        <w:spacing w:lineRule="auto" w:line="360"/>
        <w:ind w:firstLine="420" w:firstLineChars="200"/>
        <w:rPr>
          <w:rFonts w:ascii="宋体" w:hAnsi="宋体"/>
          <w:szCs w:val="21"/>
        </w:rPr>
      </w:pPr>
      <w:r>
        <w:rPr>
          <w:rFonts w:ascii="宋体" w:hAnsi="宋体" w:hint="eastAsia"/>
          <w:szCs w:val="21"/>
        </w:rPr>
        <w:t xml:space="preserve">银行账号：800072095766668 </w:t>
      </w:r>
    </w:p>
    <w:p>
      <w:pPr>
        <w:pStyle w:val="style0"/>
        <w:spacing w:lineRule="auto" w:line="360"/>
        <w:ind w:firstLine="482" w:firstLineChars="200"/>
        <w:rPr>
          <w:rFonts w:ascii="宋体" w:hAnsi="宋体"/>
          <w:b/>
          <w:sz w:val="24"/>
        </w:rPr>
      </w:pPr>
      <w:r>
        <w:rPr>
          <w:rFonts w:ascii="宋体" w:hAnsi="宋体"/>
          <w:b/>
          <w:sz w:val="24"/>
        </w:rPr>
        <w:t>41. 需要补充的其他内容</w:t>
      </w:r>
    </w:p>
    <w:p>
      <w:pPr>
        <w:pStyle w:val="style0"/>
        <w:spacing w:lineRule="auto" w:line="360"/>
        <w:ind w:firstLine="420" w:firstLineChars="200"/>
        <w:rPr>
          <w:rFonts w:ascii="宋体" w:hAnsi="宋体"/>
        </w:rPr>
      </w:pPr>
      <w:r>
        <w:rPr>
          <w:rFonts w:ascii="宋体" w:hAnsi="宋体"/>
        </w:rPr>
        <w:t>41.1</w:t>
      </w:r>
      <w:r>
        <w:rPr>
          <w:rFonts w:ascii="宋体" w:cs="宋体" w:hAnsi="宋体" w:hint="eastAsia"/>
        </w:rPr>
        <w:t>本招标文件解释规则详见</w:t>
      </w:r>
      <w:r>
        <w:rPr>
          <w:rFonts w:ascii="宋体" w:hAnsi="宋体" w:hint="eastAsia"/>
        </w:rPr>
        <w:t>“投标人须知前附表”。</w:t>
      </w:r>
    </w:p>
    <w:p>
      <w:pPr>
        <w:pStyle w:val="style0"/>
        <w:spacing w:lineRule="auto" w:line="360"/>
        <w:ind w:firstLine="420" w:firstLineChars="200"/>
        <w:rPr>
          <w:rFonts w:ascii="宋体" w:hAnsi="宋体"/>
        </w:rPr>
      </w:pPr>
      <w:r>
        <w:rPr>
          <w:rFonts w:ascii="宋体" w:cs="宋体" w:hAnsi="宋体"/>
        </w:rPr>
        <w:t>41.2</w:t>
      </w:r>
      <w:r>
        <w:rPr>
          <w:rFonts w:ascii="宋体" w:hAnsi="宋体" w:hint="eastAsia"/>
        </w:rPr>
        <w:t>其他事项详见“投标人须知前附表”。</w:t>
      </w:r>
    </w:p>
    <w:p>
      <w:pPr>
        <w:pStyle w:val="style90"/>
        <w:spacing w:lineRule="auto" w:line="360"/>
        <w:ind w:firstLine="420" w:firstLineChars="200"/>
        <w:contextualSpacing/>
        <w:rPr>
          <w:rFonts w:hAnsi="宋体"/>
        </w:rPr>
      </w:pPr>
      <w:r>
        <w:rPr>
          <w:rFonts w:hAnsi="宋体"/>
        </w:rPr>
        <w:t>41.3</w:t>
      </w:r>
      <w:bookmarkStart w:id="163" w:name="_Hlk65857140"/>
      <w:r>
        <w:rPr>
          <w:rFonts w:hAnsi="宋体" w:hint="eastAsi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style90"/>
        <w:spacing w:before="120" w:after="120" w:lineRule="auto" w:line="360"/>
        <w:ind w:firstLine="420" w:firstLineChars="200"/>
        <w:contextualSpacing/>
        <w:rPr>
          <w:rFonts w:hAnsi="宋体"/>
        </w:rPr>
      </w:pPr>
      <w:r>
        <w:rPr>
          <w:rFonts w:hAnsi="宋体" w:hint="eastAsia"/>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style90"/>
        <w:spacing w:before="120" w:after="120" w:lineRule="auto" w:line="360"/>
        <w:ind w:firstLine="420" w:firstLineChars="200"/>
        <w:contextualSpacing/>
        <w:rPr>
          <w:rFonts w:hAnsi="宋体"/>
        </w:rPr>
      </w:pPr>
      <w:r>
        <w:rPr>
          <w:rFonts w:hAnsi="宋体" w:hint="eastAsia"/>
        </w:rPr>
        <w:t>依据本文件规定享受扶持政策获得政府采购合同的，小微企业不得将合同分包给大中型企业，中型企业不得将合同分包给大型企业。</w:t>
      </w:r>
      <w:bookmarkEnd w:id="163"/>
    </w:p>
    <w:p>
      <w:pPr>
        <w:pStyle w:val="style0"/>
        <w:spacing w:lineRule="auto" w:line="360"/>
        <w:ind w:firstLine="420" w:firstLineChars="200"/>
        <w:jc w:val="left"/>
        <w:rPr>
          <w:rFonts w:ascii="宋体" w:hAnsi="宋体"/>
        </w:rPr>
      </w:pPr>
      <w:r>
        <w:rPr>
          <w:rFonts w:ascii="宋体" w:hAnsi="宋体"/>
        </w:rPr>
        <w:br w:type="page"/>
      </w:r>
      <w:bookmarkStart w:id="164" w:name="_Toc532545043"/>
    </w:p>
    <w:bookmarkStart w:id="165" w:name="_Toc119359494"/>
    <w:bookmarkStart w:id="166" w:name="_Toc965"/>
    <w:p>
      <w:pPr>
        <w:pStyle w:val="style90"/>
        <w:jc w:val="center"/>
        <w:outlineLvl w:val="0"/>
        <w:rPr>
          <w:rFonts w:hAnsi="宋体"/>
          <w:b/>
          <w:sz w:val="36"/>
        </w:rPr>
      </w:pPr>
      <w:r>
        <w:rPr>
          <w:rFonts w:hAnsi="宋体" w:hint="eastAsia"/>
          <w:b/>
          <w:sz w:val="36"/>
        </w:rPr>
        <w:t>第四章评标方法</w:t>
      </w:r>
      <w:bookmarkEnd w:id="164"/>
      <w:r>
        <w:rPr>
          <w:rFonts w:hAnsi="宋体" w:hint="eastAsia"/>
          <w:b/>
          <w:sz w:val="36"/>
        </w:rPr>
        <w:t>及评分标准</w:t>
      </w:r>
      <w:bookmarkEnd w:id="165"/>
      <w:bookmarkEnd w:id="166"/>
    </w:p>
    <w:bookmarkStart w:id="167" w:name="_Toc119359495"/>
    <w:bookmarkStart w:id="168" w:name="_Toc31750"/>
    <w:p>
      <w:pPr>
        <w:pStyle w:val="style90"/>
        <w:jc w:val="center"/>
        <w:outlineLvl w:val="1"/>
        <w:rPr>
          <w:rFonts w:hAnsi="宋体"/>
          <w:b/>
          <w:bCs/>
          <w:sz w:val="32"/>
          <w:szCs w:val="32"/>
        </w:rPr>
      </w:pPr>
      <w:r>
        <w:rPr>
          <w:rFonts w:hAnsi="宋体" w:hint="eastAsia"/>
          <w:b/>
          <w:bCs/>
          <w:sz w:val="32"/>
          <w:szCs w:val="32"/>
        </w:rPr>
        <w:t>第一节评标方法</w:t>
      </w:r>
      <w:bookmarkEnd w:id="167"/>
      <w:bookmarkEnd w:id="168"/>
    </w:p>
    <w:p>
      <w:pPr>
        <w:pStyle w:val="style90"/>
        <w:tabs>
          <w:tab w:val="left" w:leader="none" w:pos="2472"/>
        </w:tabs>
        <w:spacing w:lineRule="exact" w:line="460"/>
        <w:ind w:firstLine="420" w:firstLineChars="200"/>
        <w:rPr>
          <w:rFonts w:hAnsi="宋体"/>
          <w:szCs w:val="21"/>
        </w:rPr>
      </w:pPr>
      <w:r>
        <w:rPr>
          <w:rFonts w:cs="宋体" w:hAnsi="宋体" w:hint="eastAsia"/>
          <w:szCs w:val="21"/>
        </w:rPr>
        <w:t>本项目采用</w:t>
      </w:r>
      <w:r>
        <w:rPr>
          <w:rFonts w:cs="宋体" w:hAnsi="宋体"/>
          <w:szCs w:val="21"/>
          <w:u w:val="single"/>
        </w:rPr>
        <w:t xml:space="preserve"> 以下勾选的方式</w:t>
      </w:r>
      <w:r>
        <w:rPr>
          <w:rFonts w:cs="宋体" w:hAnsi="宋体" w:hint="eastAsia"/>
          <w:szCs w:val="21"/>
        </w:rPr>
        <w:t>进行评审。</w:t>
      </w:r>
    </w:p>
    <w:p>
      <w:pPr>
        <w:pStyle w:val="style0"/>
        <w:autoSpaceDE w:val="false"/>
        <w:autoSpaceDN w:val="false"/>
        <w:adjustRightInd w:val="false"/>
        <w:spacing w:lineRule="exact" w:line="440"/>
        <w:ind w:firstLine="420" w:firstLineChars="200"/>
        <w:rPr>
          <w:rFonts w:ascii="宋体" w:hAnsi="宋体"/>
          <w:sz w:val="24"/>
        </w:rPr>
      </w:pPr>
      <w:r>
        <w:rPr>
          <w:rFonts w:ascii="MS Mincho" w:cs="MS Mincho" w:eastAsia="MS Mincho" w:hAnsi="MS Mincho"/>
        </w:rPr>
        <w:t>☑</w:t>
      </w:r>
      <w:r>
        <w:rPr>
          <w:rFonts w:ascii="宋体" w:cs="宋体" w:hAnsi="宋体" w:hint="eastAsia"/>
        </w:rPr>
        <w:t>综合评分法，</w:t>
      </w:r>
      <w:r>
        <w:rPr>
          <w:rFonts w:ascii="宋体" w:hAnsi="宋体" w:hint="eastAsia"/>
          <w:szCs w:val="20"/>
        </w:rPr>
        <w:t>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w:t>
      </w:r>
      <w:r>
        <w:rPr>
          <w:rFonts w:ascii="宋体" w:hAnsi="宋体"/>
          <w:szCs w:val="20"/>
        </w:rPr>
        <w:t>,按综合得分由高到低顺序排列。若综合得分相同的，按投标报价由低到高顺序排列。若综合得分且投标报价相同的，货物类采购项目以技术性能得分较高者为先。</w:t>
      </w:r>
    </w:p>
    <w:p>
      <w:pPr>
        <w:pStyle w:val="style90"/>
        <w:spacing w:lineRule="auto" w:line="360"/>
        <w:ind w:firstLine="420"/>
        <w:rPr>
          <w:rFonts w:hAnsi="宋体"/>
        </w:rPr>
      </w:pPr>
    </w:p>
    <w:bookmarkStart w:id="169" w:name="_Toc14418"/>
    <w:bookmarkStart w:id="170" w:name="_Toc119359496"/>
    <w:p>
      <w:pPr>
        <w:pStyle w:val="style90"/>
        <w:tabs>
          <w:tab w:val="left" w:leader="none" w:pos="2472"/>
        </w:tabs>
        <w:spacing w:lineRule="exact" w:line="460"/>
        <w:jc w:val="center"/>
        <w:outlineLvl w:val="1"/>
        <w:rPr>
          <w:rFonts w:hAnsi="宋体"/>
          <w:b/>
          <w:bCs/>
          <w:sz w:val="32"/>
          <w:szCs w:val="32"/>
        </w:rPr>
      </w:pPr>
      <w:r>
        <w:rPr>
          <w:rFonts w:hAnsi="宋体" w:hint="eastAsia"/>
          <w:b/>
          <w:bCs/>
          <w:sz w:val="32"/>
          <w:szCs w:val="32"/>
        </w:rPr>
        <w:t>第二节评标程序</w:t>
      </w:r>
      <w:bookmarkEnd w:id="169"/>
      <w:bookmarkEnd w:id="170"/>
    </w:p>
    <w:bookmarkStart w:id="171" w:name="_Toc28913"/>
    <w:p>
      <w:pPr>
        <w:pStyle w:val="style0"/>
        <w:spacing w:lineRule="auto" w:line="360"/>
        <w:ind w:firstLine="422" w:firstLineChars="200"/>
        <w:outlineLvl w:val="2"/>
        <w:rPr>
          <w:rFonts w:ascii="宋体" w:hAnsi="宋体"/>
          <w:b/>
          <w:szCs w:val="21"/>
        </w:rPr>
      </w:pPr>
      <w:r>
        <w:rPr>
          <w:rFonts w:ascii="宋体" w:hAnsi="宋体"/>
          <w:b/>
          <w:szCs w:val="21"/>
        </w:rPr>
        <w:t>1.符合性审查</w:t>
      </w:r>
      <w:bookmarkEnd w:id="171"/>
    </w:p>
    <w:p>
      <w:pPr>
        <w:pStyle w:val="style0"/>
        <w:spacing w:lineRule="auto" w:line="360"/>
        <w:ind w:firstLine="420" w:firstLineChars="200"/>
        <w:rPr>
          <w:rFonts w:ascii="宋体" w:hAnsi="宋体"/>
        </w:rPr>
      </w:pPr>
      <w:r>
        <w:rPr>
          <w:rFonts w:ascii="宋体" w:hAnsi="宋体" w:hint="eastAsia"/>
        </w:rPr>
        <w:t>评标委员会应当对符合资格的投标人的投标文件进行投标报价、商务、技术等实质性内容符合性审查，以确定其是否满足招标文件的实质性要求。</w:t>
      </w:r>
    </w:p>
    <w:bookmarkStart w:id="172" w:name="_Toc10367"/>
    <w:p>
      <w:pPr>
        <w:pStyle w:val="style0"/>
        <w:spacing w:lineRule="auto" w:line="360"/>
        <w:ind w:firstLine="422" w:firstLineChars="200"/>
        <w:outlineLvl w:val="2"/>
        <w:rPr>
          <w:rFonts w:ascii="宋体" w:hAnsi="宋体"/>
          <w:b/>
          <w:szCs w:val="21"/>
        </w:rPr>
      </w:pPr>
      <w:r>
        <w:rPr>
          <w:rFonts w:ascii="宋体" w:hAnsi="宋体"/>
          <w:b/>
          <w:szCs w:val="21"/>
        </w:rPr>
        <w:t>2.</w:t>
      </w:r>
      <w:r>
        <w:rPr>
          <w:rFonts w:ascii="宋体" w:hAnsi="宋体" w:hint="eastAsia"/>
          <w:b/>
          <w:szCs w:val="21"/>
        </w:rPr>
        <w:t>符合性审查不通过而导致投标无效的情形</w:t>
      </w:r>
      <w:bookmarkEnd w:id="172"/>
    </w:p>
    <w:p>
      <w:pPr>
        <w:pStyle w:val="style0"/>
        <w:spacing w:lineRule="auto" w:line="360"/>
        <w:ind w:firstLine="422" w:firstLineChars="200"/>
        <w:rPr>
          <w:rFonts w:ascii="宋体" w:hAnsi="宋体"/>
          <w:b/>
          <w:bCs/>
          <w:szCs w:val="21"/>
        </w:rPr>
      </w:pPr>
      <w:r>
        <w:rPr>
          <w:rFonts w:ascii="宋体" w:hAnsi="宋体" w:hint="eastAsia"/>
          <w:b/>
          <w:bCs/>
          <w:szCs w:val="21"/>
        </w:rPr>
        <w:t>投标人的投标文件中存在对招标文件的任何实质性要求和条件的负偏离，将被视为投标无效。</w:t>
      </w:r>
    </w:p>
    <w:p>
      <w:pPr>
        <w:pStyle w:val="style0"/>
        <w:spacing w:lineRule="auto" w:line="360"/>
        <w:ind w:firstLine="420" w:firstLineChars="200"/>
        <w:rPr>
          <w:rFonts w:ascii="宋体" w:hAnsi="宋体"/>
          <w:szCs w:val="21"/>
        </w:rPr>
      </w:pPr>
      <w:r>
        <w:rPr>
          <w:rFonts w:ascii="宋体" w:hAnsi="宋体"/>
          <w:szCs w:val="21"/>
        </w:rPr>
        <w:t>2.1在报价评审时，如发现下列情形之一的，将被视为投标无效：</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1）投标文件未提供“投标人须知前附表”第13.1条规定中“必须提供”的文件资料的;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2）未采用人民币报价或者未按照招标文件标明的币种报价的；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3）报价超出招标文件规定最高限价，或者超出采购预算金额（包括分项预算）的；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5）修正后的报价，投标人不确认的；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6）投标人属于本章第5</w:t>
      </w:r>
      <w:r>
        <w:rPr>
          <w:rFonts w:ascii="宋体" w:hAnsi="宋体" w:hint="eastAsia"/>
          <w:szCs w:val="21"/>
        </w:rPr>
        <w:t>条第（</w:t>
      </w:r>
      <w:r>
        <w:rPr>
          <w:rFonts w:ascii="宋体" w:hAnsi="宋体"/>
          <w:szCs w:val="21"/>
        </w:rPr>
        <w:t>2）项情形的。</w:t>
      </w:r>
    </w:p>
    <w:p>
      <w:pPr>
        <w:pStyle w:val="style0"/>
        <w:spacing w:lineRule="auto" w:line="360"/>
        <w:ind w:firstLine="420" w:firstLineChars="200"/>
        <w:rPr>
          <w:rFonts w:ascii="宋体" w:hAnsi="宋体"/>
          <w:szCs w:val="21"/>
        </w:rPr>
      </w:pPr>
      <w:r>
        <w:rPr>
          <w:rFonts w:ascii="宋体" w:hAnsi="宋体"/>
          <w:szCs w:val="21"/>
        </w:rPr>
        <w:t>2.2在商务评审时，如发现下列情形之一的，将被视为投标无效：</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1）投标文件未按招标文件要求签署、盖章的；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 xml:space="preserve">2）委托代理人未能出具有效身份证明或者出具的身份证明与授权委托书中的信息不符的； </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3）投标文件未提供“投标人须知前附表”第13.1</w:t>
      </w:r>
      <w:r>
        <w:rPr>
          <w:rFonts w:ascii="宋体" w:hAnsi="宋体" w:hint="eastAsia"/>
          <w:szCs w:val="21"/>
        </w:rPr>
        <w:t>条规定中“必须提供”或者“委托时必须提供”的文件资料的</w:t>
      </w:r>
      <w:r>
        <w:rPr>
          <w:rFonts w:ascii="宋体" w:hAnsi="宋体"/>
          <w:szCs w:val="21"/>
        </w:rPr>
        <w:t>;</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4）投标有效期、项目完成时间（交货时间、服务完成时间或者服务期等）、质保期、售后服务等招标文件中的商务条款发生负偏离的；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5）商务条款评审允许负偏离的条款数超过“投标人须知前附表”规定项数的。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6）投标文件的实质性内容未使用中文表述、使用计量单位不符合招标文件要求的；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7）投标文件中的文件资料因填写不齐全或者内容虚假或者出现其他情形而导致被评标委员会认定无效的；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8）投标文件含有采购人不能接受的附加条件的；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9）未响应招标文件实质性要求的；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10）属于投标人须知正文第9.2</w:t>
      </w:r>
      <w:r>
        <w:rPr>
          <w:rFonts w:ascii="宋体" w:hAnsi="宋体" w:hint="eastAsia"/>
          <w:szCs w:val="21"/>
        </w:rPr>
        <w:t>条情形的；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11）法律、法规和招标文件规定的其他无效情形。</w:t>
      </w:r>
    </w:p>
    <w:p>
      <w:pPr>
        <w:pStyle w:val="style0"/>
        <w:spacing w:lineRule="auto" w:line="360"/>
        <w:ind w:firstLine="420" w:firstLineChars="200"/>
        <w:rPr>
          <w:rFonts w:ascii="宋体" w:hAnsi="宋体"/>
          <w:szCs w:val="21"/>
        </w:rPr>
      </w:pPr>
      <w:r>
        <w:rPr>
          <w:rFonts w:ascii="宋体" w:hAnsi="宋体"/>
          <w:szCs w:val="21"/>
        </w:rPr>
        <w:t>2.3在技术评审时，如发现下列情形之一的，将被视为投标无效：</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1）不满足招标文件要求的货物内容、技术要求、安全、质量标准，或者与招标文件中的技术需求发生负偏离的；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2）技术需求评审允许负偏离的条款数超过“投标人须知前附表”规定项数的；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3）投标文件未提供“投标人须知前附表”第13.1</w:t>
      </w:r>
      <w:r>
        <w:rPr>
          <w:rFonts w:ascii="宋体" w:hAnsi="宋体" w:hint="eastAsia"/>
          <w:szCs w:val="21"/>
        </w:rPr>
        <w:t>条规定中“必须提供”的文件资料的</w:t>
      </w:r>
      <w:r>
        <w:rPr>
          <w:rFonts w:ascii="宋体" w:hAnsi="宋体"/>
          <w:szCs w:val="21"/>
        </w:rPr>
        <w:t>;</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4）虚假投标，或者出现其他情形而导致被评标委员会认定无效的；</w:t>
      </w:r>
    </w:p>
    <w:p>
      <w:pPr>
        <w:pStyle w:val="style0"/>
        <w:spacing w:lineRule="auto" w:line="360"/>
        <w:ind w:firstLine="420" w:firstLineChars="200"/>
        <w:rPr>
          <w:rFonts w:ascii="宋体" w:hAnsi="宋体"/>
          <w:szCs w:val="21"/>
        </w:rPr>
      </w:pPr>
      <w:r>
        <w:rPr>
          <w:rFonts w:ascii="宋体" w:hAnsi="宋体" w:hint="eastAsia"/>
          <w:szCs w:val="21"/>
        </w:rPr>
        <w:t>（</w:t>
      </w:r>
      <w:r>
        <w:rPr>
          <w:rFonts w:ascii="宋体" w:hAnsi="宋体"/>
          <w:szCs w:val="21"/>
        </w:rPr>
        <w:t>5）投标技术方案不明确，招标文件未允许但存在一个或者一个以上备选（替代）投标方案的。</w:t>
      </w:r>
    </w:p>
    <w:bookmarkStart w:id="173" w:name="_Toc8132"/>
    <w:p>
      <w:pPr>
        <w:pStyle w:val="style0"/>
        <w:spacing w:lineRule="auto" w:line="360"/>
        <w:ind w:firstLine="422" w:firstLineChars="200"/>
        <w:outlineLvl w:val="2"/>
        <w:rPr>
          <w:rFonts w:ascii="宋体" w:hAnsi="宋体"/>
          <w:b/>
          <w:szCs w:val="21"/>
        </w:rPr>
      </w:pPr>
      <w:r>
        <w:rPr>
          <w:rFonts w:ascii="宋体" w:hAnsi="宋体"/>
          <w:b/>
          <w:szCs w:val="21"/>
        </w:rPr>
        <w:t>3.</w:t>
      </w:r>
      <w:r>
        <w:rPr>
          <w:rFonts w:ascii="宋体" w:hAnsi="宋体" w:hint="eastAsia"/>
          <w:b/>
          <w:szCs w:val="21"/>
        </w:rPr>
        <w:t>澄清补正、说明或者补正</w:t>
      </w:r>
      <w:bookmarkEnd w:id="173"/>
    </w:p>
    <w:p>
      <w:pPr>
        <w:pStyle w:val="style0"/>
        <w:spacing w:lineRule="auto" w:line="360"/>
        <w:ind w:firstLine="420" w:firstLineChars="200"/>
        <w:rPr>
          <w:rFonts w:ascii="宋体" w:cs="Courier New" w:hAnsi="宋体"/>
          <w:szCs w:val="21"/>
        </w:rPr>
      </w:pPr>
      <w:r>
        <w:rPr>
          <w:rFonts w:ascii="宋体" w:cs="Courier New" w:hAnsi="宋体" w:hint="eastAsia"/>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w:t>
      </w:r>
      <w:r>
        <w:rPr>
          <w:rFonts w:ascii="宋体" w:cs="Courier New" w:hAnsi="宋体"/>
          <w:szCs w:val="21"/>
        </w:rPr>
        <w:t>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pStyle w:val="style0"/>
        <w:spacing w:lineRule="auto" w:line="360"/>
        <w:ind w:firstLine="420" w:firstLineChars="200"/>
        <w:rPr>
          <w:rFonts w:ascii="宋体" w:cs="Courier New" w:hAnsi="宋体"/>
          <w:szCs w:val="21"/>
        </w:rPr>
      </w:pPr>
      <w:r>
        <w:rPr>
          <w:rFonts w:ascii="宋体" w:cs="Courier New" w:hAnsi="宋体"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bookmarkStart w:id="174" w:name="_Toc22934"/>
    <w:p>
      <w:pPr>
        <w:pStyle w:val="style0"/>
        <w:spacing w:lineRule="auto" w:line="360"/>
        <w:ind w:firstLine="422" w:firstLineChars="200"/>
        <w:outlineLvl w:val="2"/>
        <w:rPr>
          <w:rFonts w:ascii="宋体" w:hAnsi="宋体"/>
          <w:b/>
          <w:szCs w:val="21"/>
        </w:rPr>
      </w:pPr>
      <w:r>
        <w:rPr>
          <w:rFonts w:ascii="宋体" w:hAnsi="宋体"/>
          <w:b/>
          <w:szCs w:val="21"/>
        </w:rPr>
        <w:t>4.</w:t>
      </w:r>
      <w:r>
        <w:rPr>
          <w:rFonts w:ascii="宋体" w:hAnsi="宋体" w:hint="eastAsia"/>
          <w:b/>
          <w:szCs w:val="21"/>
        </w:rPr>
        <w:t>投标文件修正</w:t>
      </w:r>
      <w:bookmarkEnd w:id="174"/>
    </w:p>
    <w:p>
      <w:pPr>
        <w:pStyle w:val="style0"/>
        <w:spacing w:lineRule="auto" w:line="360"/>
        <w:ind w:firstLine="420" w:firstLineChars="200"/>
        <w:rPr>
          <w:rFonts w:ascii="宋体" w:hAnsi="宋体"/>
          <w:szCs w:val="21"/>
        </w:rPr>
      </w:pPr>
      <w:r>
        <w:rPr>
          <w:rFonts w:ascii="宋体" w:hAnsi="宋体"/>
          <w:szCs w:val="21"/>
        </w:rPr>
        <w:t xml:space="preserve">4.1投标文件报价出现前后不一致的，按照下列规定修正： </w:t>
      </w:r>
    </w:p>
    <w:p>
      <w:pPr>
        <w:pStyle w:val="style0"/>
        <w:spacing w:lineRule="auto" w:line="360"/>
        <w:ind w:firstLine="420" w:firstLineChars="200"/>
        <w:rPr>
          <w:rFonts w:ascii="宋体" w:hAnsi="宋体"/>
        </w:rPr>
      </w:pPr>
      <w:r>
        <w:rPr>
          <w:rFonts w:ascii="宋体" w:hAnsi="宋体" w:hint="eastAsia"/>
        </w:rPr>
        <w:t>（</w:t>
      </w:r>
      <w:r>
        <w:rPr>
          <w:rFonts w:ascii="宋体" w:hAnsi="宋体"/>
        </w:rPr>
        <w:t>1）报价文件中“开标一览表”内容与投标文件中相应内容不一致的，以“开标一览表”为准；</w:t>
      </w:r>
    </w:p>
    <w:p>
      <w:pPr>
        <w:pStyle w:val="style0"/>
        <w:spacing w:lineRule="auto" w:line="360"/>
        <w:ind w:firstLine="420" w:firstLineChars="200"/>
        <w:rPr>
          <w:rFonts w:ascii="宋体" w:hAnsi="宋体"/>
        </w:rPr>
      </w:pPr>
      <w:r>
        <w:rPr>
          <w:rFonts w:ascii="宋体" w:hAnsi="宋体" w:hint="eastAsia"/>
        </w:rPr>
        <w:t>（</w:t>
      </w:r>
      <w:r>
        <w:rPr>
          <w:rFonts w:ascii="宋体" w:hAnsi="宋体"/>
        </w:rPr>
        <w:t>2）大写金额和小写金额不一致的，以大写金额为准；</w:t>
      </w:r>
    </w:p>
    <w:p>
      <w:pPr>
        <w:pStyle w:val="style0"/>
        <w:spacing w:lineRule="auto" w:line="360"/>
        <w:ind w:firstLine="420" w:firstLineChars="200"/>
        <w:rPr>
          <w:rFonts w:ascii="宋体" w:hAnsi="宋体"/>
        </w:rPr>
      </w:pPr>
      <w:r>
        <w:rPr>
          <w:rFonts w:ascii="宋体" w:hAnsi="宋体" w:hint="eastAsia"/>
        </w:rPr>
        <w:t>（</w:t>
      </w:r>
      <w:r>
        <w:rPr>
          <w:rFonts w:ascii="宋体" w:hAnsi="宋体"/>
        </w:rPr>
        <w:t>3）单价金额小数点或者百分比有明显错位的，以开标一览表的总价为准，并修改单价；</w:t>
      </w:r>
    </w:p>
    <w:p>
      <w:pPr>
        <w:pStyle w:val="style0"/>
        <w:spacing w:lineRule="auto" w:line="360"/>
        <w:ind w:firstLine="420" w:firstLineChars="200"/>
        <w:rPr>
          <w:rFonts w:ascii="宋体" w:hAnsi="宋体"/>
        </w:rPr>
      </w:pPr>
      <w:r>
        <w:rPr>
          <w:rFonts w:ascii="宋体" w:hAnsi="宋体" w:hint="eastAsia"/>
        </w:rPr>
        <w:t>（</w:t>
      </w:r>
      <w:r>
        <w:rPr>
          <w:rFonts w:ascii="宋体" w:hAnsi="宋体"/>
        </w:rPr>
        <w:t>4）总价金额与按单价汇总金额不一致的，以单价金额计算结果为准。</w:t>
      </w:r>
    </w:p>
    <w:p>
      <w:pPr>
        <w:pStyle w:val="style0"/>
        <w:spacing w:lineRule="auto" w:line="360"/>
        <w:ind w:firstLine="420" w:firstLineChars="200"/>
        <w:rPr>
          <w:rFonts w:ascii="宋体" w:hAnsi="宋体"/>
        </w:rPr>
      </w:pPr>
      <w:r>
        <w:rPr>
          <w:rFonts w:ascii="宋体" w:hAnsi="宋体" w:hint="eastAsia"/>
        </w:rPr>
        <w:t>同时出现两种以上不一致的，按照以上（</w:t>
      </w:r>
      <w:r>
        <w:rPr>
          <w:rFonts w:ascii="宋体" w:hAnsi="宋体"/>
        </w:rPr>
        <w:t>1）-（4）规定的顺序修正。修正后的报价经投标人确认后产生约束力，投标人不确认的，其投标无效。</w:t>
      </w:r>
    </w:p>
    <w:p>
      <w:pPr>
        <w:pStyle w:val="style0"/>
        <w:spacing w:lineRule="auto" w:line="360"/>
        <w:ind w:firstLine="420" w:firstLineChars="200"/>
        <w:rPr>
          <w:rFonts w:ascii="宋体" w:hAnsi="宋体"/>
          <w:szCs w:val="21"/>
        </w:rPr>
      </w:pPr>
      <w:r>
        <w:rPr>
          <w:rFonts w:ascii="宋体" w:hAnsi="宋体"/>
          <w:szCs w:val="21"/>
        </w:rPr>
        <w:t>4.2经投标人确认修正后的报价若超过采购预算金额或者最高限价，投标人的投标文件作无效投标处理。</w:t>
      </w:r>
    </w:p>
    <w:p>
      <w:pPr>
        <w:pStyle w:val="style0"/>
        <w:spacing w:lineRule="auto" w:line="360"/>
        <w:ind w:firstLine="420" w:firstLineChars="200"/>
        <w:rPr>
          <w:rFonts w:ascii="宋体" w:hAnsi="宋体"/>
          <w:szCs w:val="21"/>
        </w:rPr>
      </w:pPr>
      <w:r>
        <w:rPr>
          <w:rFonts w:ascii="宋体" w:hAnsi="宋体"/>
          <w:szCs w:val="21"/>
        </w:rPr>
        <w:t>4.3经投标人确认修正后的报价作为签订合同的依据，并以此报价计算价格分。</w:t>
      </w:r>
    </w:p>
    <w:bookmarkStart w:id="175" w:name="_Toc8430"/>
    <w:p>
      <w:pPr>
        <w:pStyle w:val="style0"/>
        <w:spacing w:lineRule="auto" w:line="360"/>
        <w:ind w:firstLine="420" w:firstLineChars="200"/>
        <w:outlineLvl w:val="2"/>
        <w:rPr>
          <w:rFonts w:ascii="宋体" w:hAnsi="宋体"/>
          <w:szCs w:val="21"/>
        </w:rPr>
      </w:pPr>
      <w:r>
        <w:rPr>
          <w:rFonts w:ascii="宋体" w:hAnsi="宋体"/>
          <w:szCs w:val="21"/>
        </w:rPr>
        <w:t>5.</w:t>
      </w:r>
      <w:r>
        <w:rPr>
          <w:rFonts w:ascii="宋体" w:hAnsi="宋体" w:hint="eastAsia"/>
          <w:szCs w:val="21"/>
        </w:rPr>
        <w:t>比较与评价</w:t>
      </w:r>
      <w:bookmarkEnd w:id="175"/>
    </w:p>
    <w:p>
      <w:pPr>
        <w:pStyle w:val="style0"/>
        <w:spacing w:lineRule="auto" w:line="360"/>
        <w:ind w:firstLine="420" w:firstLineChars="200"/>
        <w:rPr>
          <w:rFonts w:ascii="宋体" w:hAnsi="宋体"/>
        </w:rPr>
      </w:pPr>
      <w:r>
        <w:rPr>
          <w:rFonts w:ascii="宋体" w:hAnsi="宋体" w:hint="eastAsia"/>
        </w:rPr>
        <w:t>（</w:t>
      </w:r>
      <w:r>
        <w:rPr>
          <w:rFonts w:ascii="宋体" w:hAnsi="宋体"/>
        </w:rPr>
        <w:t>1）评标委员会按照招标文件中规定的评标方法和评标标准，对符合性审查合格的投标文件进行商务和技术评估，综合比较与评价。</w:t>
      </w:r>
    </w:p>
    <w:p>
      <w:pPr>
        <w:pStyle w:val="style0"/>
        <w:spacing w:lineRule="auto" w:line="360"/>
        <w:ind w:firstLine="420" w:firstLineChars="200"/>
        <w:rPr>
          <w:rFonts w:ascii="宋体" w:hAnsi="宋体"/>
        </w:rPr>
      </w:pPr>
      <w:r>
        <w:rPr>
          <w:rFonts w:ascii="宋体" w:hAnsi="宋体" w:hint="eastAsia"/>
        </w:rPr>
        <w:t>（</w:t>
      </w:r>
      <w:r>
        <w:rPr>
          <w:rFonts w:ascii="宋体" w:hAnsi="宋体"/>
        </w:rPr>
        <w:t>2）评标委员会独立对每个投标人的投标文件进行评价，并汇总每个投标人的得分。</w:t>
      </w:r>
    </w:p>
    <w:p>
      <w:pPr>
        <w:pStyle w:val="style0"/>
        <w:spacing w:lineRule="auto" w:line="360"/>
        <w:ind w:firstLine="420" w:firstLineChars="200"/>
        <w:rPr>
          <w:rFonts w:ascii="宋体" w:hAnsi="宋体"/>
        </w:rPr>
      </w:pPr>
      <w:r>
        <w:rPr>
          <w:rFonts w:ascii="宋体" w:hAnsi="宋体"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style0"/>
        <w:spacing w:lineRule="auto" w:line="360"/>
        <w:ind w:firstLine="420" w:firstLineChars="200"/>
        <w:rPr>
          <w:rFonts w:ascii="宋体" w:hAnsi="宋体"/>
        </w:rPr>
      </w:pPr>
      <w:r>
        <w:rPr>
          <w:rFonts w:ascii="宋体" w:hAnsi="宋体" w:hint="eastAsia"/>
        </w:rPr>
        <w:t>（</w:t>
      </w:r>
      <w:r>
        <w:rPr>
          <w:rFonts w:ascii="宋体" w:hAnsi="宋体"/>
        </w:rPr>
        <w:t>3）评标委员会按照招标文件中规定的评标方法和标准计算各投标人的报价得分。在计算过程中，不得去掉最高报价或者最低报价。</w:t>
      </w:r>
    </w:p>
    <w:p>
      <w:pPr>
        <w:pStyle w:val="style0"/>
        <w:spacing w:lineRule="auto" w:line="360"/>
        <w:ind w:firstLine="420" w:firstLineChars="200"/>
        <w:rPr>
          <w:rFonts w:ascii="宋体" w:hAnsi="宋体"/>
        </w:rPr>
      </w:pPr>
      <w:r>
        <w:rPr>
          <w:rFonts w:ascii="宋体" w:hAnsi="宋体" w:hint="eastAsia"/>
        </w:rPr>
        <w:t>（</w:t>
      </w:r>
      <w:r>
        <w:rPr>
          <w:rFonts w:ascii="宋体" w:hAnsi="宋体"/>
        </w:rPr>
        <w:t>4）各投标人的得分为所有评委的有效评分的算术平均数。</w:t>
      </w:r>
    </w:p>
    <w:p>
      <w:pPr>
        <w:pStyle w:val="style0"/>
        <w:spacing w:lineRule="auto" w:line="360"/>
        <w:ind w:firstLine="420" w:firstLineChars="200"/>
        <w:rPr>
          <w:rFonts w:ascii="宋体" w:hAnsi="宋体"/>
        </w:rPr>
      </w:pPr>
      <w:r>
        <w:rPr>
          <w:rFonts w:ascii="宋体" w:hAnsi="宋体" w:hint="eastAsia"/>
        </w:rPr>
        <w:t>（</w:t>
      </w:r>
      <w:r>
        <w:rPr>
          <w:rFonts w:ascii="宋体" w:hAnsi="宋体"/>
        </w:rPr>
        <w:t>5）评标委员会按照招标文件中的规定推荐中标候选人。</w:t>
      </w:r>
    </w:p>
    <w:p>
      <w:pPr>
        <w:pStyle w:val="style0"/>
        <w:spacing w:lineRule="auto" w:line="360"/>
        <w:ind w:firstLine="420" w:firstLineChars="200"/>
        <w:rPr>
          <w:rFonts w:ascii="宋体" w:hAnsi="宋体"/>
        </w:rPr>
      </w:pPr>
      <w:r>
        <w:rPr>
          <w:rFonts w:ascii="宋体" w:hAnsi="宋体" w:hint="eastAsia"/>
        </w:rPr>
        <w:t>（</w:t>
      </w:r>
      <w:r>
        <w:rPr>
          <w:rFonts w:ascii="宋体" w:hAnsi="宋体"/>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style0"/>
        <w:spacing w:lineRule="auto" w:line="360"/>
        <w:ind w:firstLine="420" w:firstLineChars="200"/>
        <w:rPr>
          <w:rFonts w:ascii="宋体" w:hAnsi="宋体"/>
        </w:rPr>
      </w:pPr>
      <w:r>
        <w:rPr>
          <w:rFonts w:ascii="宋体" w:hAnsi="宋体"/>
        </w:rPr>
        <w:br w:type="page"/>
      </w:r>
    </w:p>
    <w:bookmarkStart w:id="176" w:name="_Toc12656"/>
    <w:bookmarkStart w:id="177" w:name="_Toc119359497"/>
    <w:p>
      <w:pPr>
        <w:pStyle w:val="style2"/>
        <w:jc w:val="center"/>
        <w:rPr>
          <w:rFonts w:ascii="宋体" w:eastAsia="宋体" w:hAnsi="宋体"/>
          <w:b w:val="false"/>
          <w:sz w:val="30"/>
          <w:szCs w:val="30"/>
        </w:rPr>
      </w:pPr>
      <w:r>
        <w:rPr>
          <w:rFonts w:ascii="宋体" w:eastAsia="宋体" w:hAnsi="宋体" w:hint="eastAsia"/>
          <w:b w:val="false"/>
          <w:sz w:val="30"/>
          <w:szCs w:val="30"/>
        </w:rPr>
        <w:t>第三节评分标准</w:t>
      </w:r>
      <w:bookmarkEnd w:id="176"/>
      <w:bookmarkEnd w:id="177"/>
    </w:p>
    <w:bookmarkStart w:id="178" w:name="_Toc15738"/>
    <w:p>
      <w:pPr>
        <w:pStyle w:val="style90"/>
        <w:ind w:firstLine="602" w:firstLineChars="200"/>
        <w:jc w:val="center"/>
        <w:outlineLvl w:val="1"/>
        <w:rPr>
          <w:rFonts w:hAnsi="宋体"/>
          <w:b/>
          <w:sz w:val="30"/>
          <w:szCs w:val="30"/>
        </w:rPr>
      </w:pPr>
      <w:r>
        <w:rPr>
          <w:rFonts w:hAnsi="宋体" w:hint="eastAsia"/>
          <w:b/>
          <w:sz w:val="30"/>
          <w:szCs w:val="30"/>
        </w:rPr>
        <w:t>综合评分法</w:t>
      </w:r>
      <w:bookmarkEnd w:id="178"/>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320"/>
        <w:gridCol w:w="1518"/>
        <w:gridCol w:w="6087"/>
      </w:tblGrid>
      <w:tr>
        <w:trPr>
          <w:jc w:val="center"/>
        </w:trPr>
        <w:tc>
          <w:tcPr>
            <w:tcW w:w="1845" w:type="dxa"/>
            <w:gridSpan w:val="2"/>
            <w:tcBorders>
              <w:top w:val="single" w:sz="4" w:space="0" w:color="auto"/>
              <w:left w:val="single" w:sz="4" w:space="0" w:color="auto"/>
              <w:bottom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szCs w:val="21"/>
              </w:rPr>
            </w:pPr>
            <w:r>
              <w:rPr>
                <w:rFonts w:ascii="宋体" w:hAnsi="宋体" w:hint="eastAsia"/>
                <w:b/>
                <w:szCs w:val="21"/>
              </w:rPr>
              <w:t>序号</w:t>
            </w:r>
          </w:p>
        </w:tc>
        <w:tc>
          <w:tcPr>
            <w:tcW w:w="1518" w:type="dxa"/>
            <w:tcBorders>
              <w:top w:val="single" w:sz="4" w:space="0" w:color="auto"/>
              <w:left w:val="single" w:sz="4" w:space="0" w:color="auto"/>
              <w:bottom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szCs w:val="21"/>
              </w:rPr>
            </w:pPr>
            <w:r>
              <w:rPr>
                <w:rFonts w:ascii="宋体" w:hAnsi="宋体" w:hint="eastAsia"/>
                <w:b/>
                <w:szCs w:val="21"/>
              </w:rPr>
              <w:t>评审因素</w:t>
            </w:r>
          </w:p>
        </w:tc>
        <w:tc>
          <w:tcPr>
            <w:tcW w:w="6087" w:type="dxa"/>
            <w:tcBorders>
              <w:top w:val="single" w:sz="4" w:space="0" w:color="auto"/>
              <w:left w:val="single" w:sz="4" w:space="0" w:color="auto"/>
              <w:bottom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szCs w:val="21"/>
              </w:rPr>
            </w:pPr>
            <w:r>
              <w:rPr>
                <w:rFonts w:ascii="宋体" w:hAnsi="宋体" w:hint="eastAsia"/>
                <w:b/>
                <w:szCs w:val="21"/>
              </w:rPr>
              <w:t>评标标准</w:t>
            </w:r>
          </w:p>
        </w:tc>
      </w:tr>
      <w:tr>
        <w:tblPrEx/>
        <w:trPr>
          <w:jc w:val="center"/>
        </w:trPr>
        <w:tc>
          <w:tcPr>
            <w:tcW w:w="525" w:type="dxa"/>
            <w:tcBorders>
              <w:top w:val="single" w:sz="4" w:space="0" w:color="auto"/>
              <w:left w:val="single" w:sz="4" w:space="0" w:color="auto"/>
              <w:bottom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b/>
                <w:szCs w:val="21"/>
              </w:rPr>
            </w:pPr>
            <w:r>
              <w:rPr>
                <w:rFonts w:ascii="宋体" w:hAnsi="宋体"/>
                <w:b/>
                <w:szCs w:val="21"/>
              </w:rPr>
              <w:t>1</w:t>
            </w:r>
          </w:p>
        </w:tc>
        <w:tc>
          <w:tcPr>
            <w:tcW w:w="1320" w:type="dxa"/>
            <w:tcBorders>
              <w:top w:val="single" w:sz="4" w:space="0" w:color="auto"/>
              <w:left w:val="single" w:sz="4" w:space="0" w:color="auto"/>
              <w:bottom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b/>
                <w:szCs w:val="21"/>
              </w:rPr>
            </w:pPr>
            <w:r>
              <w:rPr>
                <w:rFonts w:ascii="宋体" w:hAnsi="宋体" w:hint="eastAsia"/>
                <w:b/>
                <w:szCs w:val="21"/>
              </w:rPr>
              <w:t>价格分</w:t>
            </w:r>
          </w:p>
          <w:p>
            <w:pPr>
              <w:pStyle w:val="style0"/>
              <w:adjustRightInd w:val="false"/>
              <w:spacing w:lineRule="exact" w:line="400"/>
              <w:jc w:val="center"/>
              <w:textAlignment w:val="baseline"/>
              <w:rPr>
                <w:rFonts w:ascii="宋体" w:hAnsi="宋体"/>
                <w:b/>
                <w:szCs w:val="21"/>
              </w:rPr>
            </w:pPr>
            <w:r>
              <w:rPr>
                <w:rFonts w:ascii="宋体" w:hAnsi="宋体" w:hint="eastAsia"/>
                <w:b/>
                <w:szCs w:val="21"/>
              </w:rPr>
              <w:t>（1</w:t>
            </w:r>
            <w:r>
              <w:rPr>
                <w:rFonts w:ascii="宋体" w:hAnsi="宋体"/>
                <w:b/>
                <w:szCs w:val="21"/>
              </w:rPr>
              <w:t>0分）</w:t>
            </w:r>
          </w:p>
        </w:tc>
        <w:tc>
          <w:tcPr>
            <w:tcW w:w="1518" w:type="dxa"/>
            <w:tcBorders>
              <w:top w:val="single" w:sz="4" w:space="0" w:color="auto"/>
              <w:left w:val="single" w:sz="4" w:space="0" w:color="auto"/>
              <w:bottom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b/>
                <w:szCs w:val="21"/>
              </w:rPr>
            </w:pPr>
            <w:r>
              <w:rPr>
                <w:rFonts w:ascii="宋体" w:hAnsi="宋体" w:hint="eastAsia"/>
                <w:b/>
                <w:szCs w:val="21"/>
              </w:rPr>
              <w:t>投标报价（满分1</w:t>
            </w:r>
            <w:r>
              <w:rPr>
                <w:rFonts w:ascii="宋体" w:hAnsi="宋体"/>
                <w:b/>
                <w:szCs w:val="21"/>
              </w:rPr>
              <w:t>0分）</w:t>
            </w:r>
          </w:p>
        </w:tc>
        <w:tc>
          <w:tcPr>
            <w:tcW w:w="6087" w:type="dxa"/>
            <w:tcBorders>
              <w:top w:val="single" w:sz="4" w:space="0" w:color="auto"/>
              <w:left w:val="single" w:sz="4" w:space="0" w:color="auto"/>
              <w:bottom w:val="single" w:sz="4" w:space="0" w:color="auto"/>
              <w:right w:val="single" w:sz="4" w:space="0" w:color="auto"/>
            </w:tcBorders>
            <w:vAlign w:val="center"/>
          </w:tcPr>
          <w:p>
            <w:pPr>
              <w:pStyle w:val="style0"/>
              <w:adjustRightInd w:val="false"/>
              <w:spacing w:lineRule="exact" w:line="400"/>
              <w:textAlignment w:val="baseline"/>
              <w:rPr>
                <w:rFonts w:ascii="宋体" w:hAnsi="宋体"/>
                <w:bCs/>
              </w:rPr>
            </w:pPr>
            <w:r>
              <w:rPr>
                <w:rFonts w:ascii="宋体" w:hAnsi="宋体" w:hint="eastAsia"/>
                <w:bCs/>
              </w:rPr>
              <w:t>（1）评标价为投标人的投标报价进行政策性扣除后的价格，评标价只是作为评标时使用。最终中标人的中标金额＝投标报价。</w:t>
            </w:r>
          </w:p>
          <w:p>
            <w:pPr>
              <w:pStyle w:val="style0"/>
              <w:adjustRightInd w:val="false"/>
              <w:spacing w:lineRule="exact" w:line="400"/>
              <w:textAlignment w:val="baseline"/>
              <w:rPr>
                <w:rFonts w:ascii="宋体" w:hAnsi="宋体"/>
                <w:bCs/>
              </w:rPr>
            </w:pPr>
            <w:r>
              <w:rPr>
                <w:rFonts w:ascii="宋体" w:hAnsi="宋体" w:hint="eastAsia"/>
                <w:bCs/>
              </w:rPr>
              <w:t>（2）按照《政府采购促进中小企业发展管理办法》（财库〔2020〕46号）、《广西壮族自治区财政厅关于持续优化政府采购营商环境推动高质量发展的通知》（桂财采〔2024〕55号）的规定，投标人在其投标文件中提供《中小企业声明函》，且其所投标产品全部为小型或者微型企业产品的，对其最后报价给予10%的扣除。</w:t>
            </w:r>
          </w:p>
          <w:p>
            <w:pPr>
              <w:pStyle w:val="style0"/>
              <w:adjustRightInd w:val="false"/>
              <w:spacing w:lineRule="exact" w:line="400"/>
              <w:textAlignment w:val="baseline"/>
              <w:rPr>
                <w:rFonts w:ascii="宋体" w:hAnsi="宋体"/>
                <w:bCs/>
              </w:rPr>
            </w:pPr>
            <w:r>
              <w:rPr>
                <w:rFonts w:ascii="宋体" w:hAnsi="宋体" w:hint="eastAsia"/>
                <w:bCs/>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style0"/>
              <w:adjustRightInd w:val="false"/>
              <w:spacing w:lineRule="exact" w:line="400"/>
              <w:textAlignment w:val="baseline"/>
              <w:rPr>
                <w:rFonts w:ascii="宋体" w:hAnsi="宋体"/>
                <w:bCs/>
              </w:rPr>
            </w:pPr>
            <w:r>
              <w:rPr>
                <w:rFonts w:ascii="宋体" w:hAnsi="宋体" w:hint="eastAsia"/>
                <w:bCs/>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style0"/>
              <w:adjustRightInd w:val="false"/>
              <w:spacing w:lineRule="exact" w:line="400"/>
              <w:textAlignment w:val="baseline"/>
              <w:rPr>
                <w:rFonts w:ascii="宋体" w:hAnsi="宋体"/>
                <w:bCs/>
              </w:rPr>
            </w:pPr>
            <w:r>
              <w:rPr>
                <w:rFonts w:ascii="宋体" w:hAnsi="宋体" w:hint="eastAsia"/>
                <w:bCs/>
              </w:rPr>
              <w:t>（5）政策性扣除计算方法。</w:t>
            </w:r>
          </w:p>
          <w:p>
            <w:pPr>
              <w:pStyle w:val="style0"/>
              <w:adjustRightInd w:val="false"/>
              <w:spacing w:lineRule="exact" w:line="400"/>
              <w:textAlignment w:val="baseline"/>
              <w:rPr>
                <w:rFonts w:ascii="宋体" w:hAnsi="宋体"/>
                <w:bCs/>
              </w:rPr>
            </w:pPr>
            <w:r>
              <w:rPr>
                <w:rFonts w:ascii="宋体" w:hAnsi="宋体" w:hint="eastAsia"/>
                <w:bCs/>
              </w:rPr>
              <w:t>在货物采购项目中，供应商所投标全部货物由小型或者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pPr>
              <w:pStyle w:val="style0"/>
              <w:adjustRightInd w:val="false"/>
              <w:spacing w:lineRule="exact" w:line="400"/>
              <w:textAlignment w:val="baseline"/>
              <w:rPr>
                <w:rFonts w:ascii="宋体" w:hAnsi="宋体"/>
                <w:bCs/>
              </w:rPr>
            </w:pPr>
            <w:r>
              <w:rPr>
                <w:rFonts w:ascii="宋体" w:hAnsi="宋体" w:hint="eastAsia"/>
                <w:bCs/>
              </w:rPr>
              <w:t>（6）以进入综合评分环节的最低的评标报价为基准价，基准价报价得分为10分。</w:t>
            </w:r>
          </w:p>
          <w:p>
            <w:pPr>
              <w:pStyle w:val="style0"/>
              <w:adjustRightInd w:val="false"/>
              <w:spacing w:lineRule="exact" w:line="400"/>
              <w:textAlignment w:val="baseline"/>
              <w:rPr>
                <w:rFonts w:ascii="宋体" w:hAnsi="宋体"/>
                <w:bCs/>
              </w:rPr>
            </w:pPr>
            <w:r>
              <w:rPr>
                <w:rFonts w:ascii="宋体" w:hAnsi="宋体" w:hint="eastAsia"/>
                <w:bCs/>
              </w:rPr>
              <w:t>（7）价格分计算公式：</w:t>
            </w:r>
          </w:p>
          <w:p>
            <w:pPr>
              <w:pStyle w:val="style0"/>
              <w:spacing w:lineRule="exact" w:line="400"/>
              <w:jc w:val="left"/>
              <w:rPr>
                <w:rFonts w:ascii="宋体" w:hAnsi="宋体"/>
                <w:bCs/>
              </w:rPr>
            </w:pPr>
            <w:r>
              <w:rPr>
                <w:rFonts w:ascii="宋体" w:hAnsi="宋体" w:hint="eastAsia"/>
                <w:bCs/>
              </w:rPr>
              <w:t>某投标人价格分=基准价/某投标人评标报价金额×10分</w:t>
            </w:r>
          </w:p>
        </w:tc>
      </w:tr>
      <w:tr>
        <w:tblPrEx/>
        <w:trPr>
          <w:jc w:val="center"/>
        </w:trPr>
        <w:tc>
          <w:tcPr>
            <w:tcW w:w="525" w:type="dxa"/>
            <w:vMerge w:val="restart"/>
            <w:tcBorders>
              <w:top w:val="single" w:sz="4" w:space="0" w:color="auto"/>
              <w:left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b/>
                <w:szCs w:val="21"/>
              </w:rPr>
            </w:pPr>
            <w:r>
              <w:rPr>
                <w:rFonts w:ascii="宋体" w:hAnsi="宋体"/>
                <w:b/>
                <w:szCs w:val="21"/>
              </w:rPr>
              <w:t>2</w:t>
            </w:r>
          </w:p>
        </w:tc>
        <w:tc>
          <w:tcPr>
            <w:tcW w:w="1320" w:type="dxa"/>
            <w:vMerge w:val="restart"/>
            <w:tcBorders>
              <w:top w:val="single" w:sz="4" w:space="0" w:color="auto"/>
              <w:left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b/>
                <w:szCs w:val="21"/>
              </w:rPr>
            </w:pPr>
            <w:r>
              <w:rPr>
                <w:rFonts w:ascii="宋体" w:hAnsi="宋体" w:hint="eastAsia"/>
                <w:b/>
                <w:szCs w:val="21"/>
              </w:rPr>
              <w:t>技术分（满分81</w:t>
            </w:r>
            <w:r>
              <w:rPr>
                <w:rFonts w:ascii="宋体" w:hAnsi="宋体"/>
                <w:b/>
                <w:szCs w:val="21"/>
              </w:rPr>
              <w:t>分）</w:t>
            </w:r>
          </w:p>
        </w:tc>
        <w:tc>
          <w:tcPr>
            <w:tcW w:w="1518" w:type="dxa"/>
            <w:tcBorders>
              <w:top w:val="single" w:sz="4" w:space="0" w:color="auto"/>
              <w:left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b/>
                <w:bCs/>
                <w:sz w:val="24"/>
              </w:rPr>
            </w:pPr>
            <w:r>
              <w:rPr>
                <w:rFonts w:ascii="宋体" w:hAnsi="宋体" w:hint="eastAsia"/>
                <w:b/>
                <w:szCs w:val="21"/>
              </w:rPr>
              <w:t>总体建设方案分（满分</w:t>
            </w:r>
            <w:r>
              <w:rPr>
                <w:rFonts w:ascii="宋体" w:hAnsi="宋体"/>
                <w:b/>
                <w:szCs w:val="21"/>
              </w:rPr>
              <w:t>2</w:t>
            </w:r>
            <w:r>
              <w:rPr>
                <w:rFonts w:ascii="宋体" w:hAnsi="宋体" w:hint="eastAsia"/>
                <w:b/>
                <w:szCs w:val="21"/>
              </w:rPr>
              <w:t>1</w:t>
            </w:r>
            <w:r>
              <w:rPr>
                <w:rFonts w:ascii="宋体" w:hAnsi="宋体"/>
                <w:b/>
                <w:szCs w:val="21"/>
              </w:rPr>
              <w:t>分）</w:t>
            </w:r>
          </w:p>
        </w:tc>
        <w:tc>
          <w:tcPr>
            <w:tcW w:w="6087" w:type="dxa"/>
            <w:tcBorders>
              <w:top w:val="single" w:sz="4" w:space="0" w:color="auto"/>
              <w:left w:val="single" w:sz="4" w:space="0" w:color="auto"/>
              <w:right w:val="single" w:sz="4" w:space="0" w:color="auto"/>
            </w:tcBorders>
            <w:vAlign w:val="center"/>
          </w:tcPr>
          <w:p>
            <w:pPr>
              <w:pStyle w:val="style0"/>
              <w:adjustRightInd w:val="false"/>
              <w:spacing w:lineRule="exact" w:line="400"/>
              <w:textAlignment w:val="baseline"/>
              <w:rPr>
                <w:rFonts w:ascii="宋体" w:hAnsi="宋体"/>
                <w:bCs/>
              </w:rPr>
            </w:pPr>
            <w:r>
              <w:rPr>
                <w:rFonts w:ascii="宋体" w:hAnsi="宋体" w:hint="eastAsia"/>
                <w:bCs/>
              </w:rPr>
              <w:t>一档</w:t>
            </w:r>
            <w:r>
              <w:rPr>
                <w:rFonts w:ascii="宋体" w:hAnsi="宋体"/>
                <w:bCs/>
              </w:rPr>
              <w:t>(10分)：</w:t>
            </w:r>
            <w:r>
              <w:rPr>
                <w:rFonts w:ascii="宋体" w:hAnsi="宋体" w:hint="eastAsia"/>
                <w:bCs/>
              </w:rPr>
              <w:t>总体设计方案不够合理可行，不能完全满足招标需求；</w:t>
            </w:r>
          </w:p>
          <w:p>
            <w:pPr>
              <w:pStyle w:val="style0"/>
              <w:adjustRightInd w:val="false"/>
              <w:spacing w:lineRule="exact" w:line="400"/>
              <w:textAlignment w:val="baseline"/>
              <w:rPr>
                <w:rFonts w:ascii="宋体" w:hAnsi="宋体"/>
                <w:bCs/>
              </w:rPr>
            </w:pPr>
            <w:r>
              <w:rPr>
                <w:rFonts w:ascii="宋体" w:hAnsi="宋体" w:hint="eastAsia"/>
                <w:bCs/>
              </w:rPr>
              <w:t>二档（1</w:t>
            </w:r>
            <w:r>
              <w:rPr>
                <w:rFonts w:ascii="宋体" w:hAnsi="宋体"/>
                <w:bCs/>
              </w:rPr>
              <w:t>5分）：</w:t>
            </w:r>
            <w:r>
              <w:rPr>
                <w:rFonts w:ascii="宋体" w:hAnsi="宋体" w:hint="eastAsia"/>
                <w:bCs/>
              </w:rPr>
              <w:t>对采购人现状、业务、技术需求、重难点有充分理解和分析，总体设计方案比较合理，可行性较高，完全满足招标需求；</w:t>
            </w:r>
          </w:p>
          <w:p>
            <w:pPr>
              <w:pStyle w:val="style0"/>
              <w:adjustRightInd w:val="false"/>
              <w:spacing w:lineRule="exact" w:line="400"/>
              <w:textAlignment w:val="baseline"/>
              <w:rPr>
                <w:rFonts w:ascii="宋体" w:hAnsi="宋体"/>
                <w:sz w:val="24"/>
                <w:szCs w:val="21"/>
              </w:rPr>
            </w:pPr>
            <w:r>
              <w:rPr>
                <w:rFonts w:ascii="宋体" w:hAnsi="宋体" w:hint="eastAsia"/>
                <w:bCs/>
              </w:rPr>
              <w:t>三档（</w:t>
            </w:r>
            <w:r>
              <w:rPr>
                <w:rFonts w:ascii="宋体" w:hAnsi="宋体"/>
                <w:bCs/>
              </w:rPr>
              <w:t>2</w:t>
            </w:r>
            <w:r>
              <w:rPr>
                <w:rFonts w:ascii="宋体" w:hAnsi="宋体" w:hint="eastAsia"/>
                <w:bCs/>
              </w:rPr>
              <w:t>1</w:t>
            </w:r>
            <w:r>
              <w:rPr>
                <w:rFonts w:ascii="宋体" w:hAnsi="宋体"/>
                <w:bCs/>
              </w:rPr>
              <w:t>分）：</w:t>
            </w:r>
            <w:r>
              <w:rPr>
                <w:rFonts w:ascii="宋体" w:hAnsi="宋体" w:hint="eastAsia"/>
                <w:bCs/>
              </w:rPr>
              <w:t>供应商对本项目总体设计从系统总体架构，总体技术架构，流程化设计，数据库设计，部署架构设计，系统性能设计，应用环境配置设计，界面风格设计，系统接口设计，业务和数据标准规范体系，系统安全设计进行详细总体建设方案设计。对采购人现状、业务、技术需求、重难点有充分理解和分析，总体设计方案合理、可行，完全满足并优于招标需求</w:t>
            </w:r>
            <w:r>
              <w:rPr>
                <w:rFonts w:ascii="宋体" w:hAnsi="宋体" w:hint="eastAsia"/>
                <w:bCs/>
              </w:rPr>
              <w:t>。</w:t>
            </w:r>
          </w:p>
        </w:tc>
      </w:tr>
      <w:tr>
        <w:tblPrEx/>
        <w:trPr>
          <w:jc w:val="center"/>
        </w:trPr>
        <w:tc>
          <w:tcPr>
            <w:tcW w:w="525" w:type="dxa"/>
            <w:vMerge w:val="continue"/>
            <w:tcBorders>
              <w:left w:val="single" w:sz="4" w:space="0" w:color="auto"/>
              <w:right w:val="single" w:sz="4" w:space="0" w:color="auto"/>
            </w:tcBorders>
            <w:vAlign w:val="center"/>
          </w:tcPr>
          <w:p>
            <w:pPr>
              <w:pStyle w:val="style0"/>
              <w:keepNext/>
              <w:keepLines/>
              <w:widowControl/>
              <w:spacing w:lineRule="exact" w:line="400"/>
              <w:ind w:firstLine="422" w:firstLineChars="200"/>
              <w:jc w:val="left"/>
              <w:outlineLvl w:val="2"/>
              <w:rPr>
                <w:rFonts w:ascii="宋体" w:hAnsi="宋体"/>
                <w:b/>
                <w:szCs w:val="21"/>
              </w:rPr>
            </w:pPr>
          </w:p>
        </w:tc>
        <w:tc>
          <w:tcPr>
            <w:tcW w:w="1320" w:type="dxa"/>
            <w:vMerge w:val="continue"/>
            <w:tcBorders>
              <w:left w:val="single" w:sz="4" w:space="0" w:color="auto"/>
              <w:right w:val="single" w:sz="4" w:space="0" w:color="auto"/>
            </w:tcBorders>
            <w:vAlign w:val="center"/>
          </w:tcPr>
          <w:p>
            <w:pPr>
              <w:pStyle w:val="style0"/>
              <w:keepNext/>
              <w:keepLines/>
              <w:adjustRightInd w:val="false"/>
              <w:spacing w:lineRule="exact" w:line="400"/>
              <w:ind w:firstLine="422" w:firstLineChars="200"/>
              <w:jc w:val="center"/>
              <w:textAlignment w:val="baseline"/>
              <w:outlineLvl w:val="2"/>
              <w:rPr>
                <w:rFonts w:ascii="宋体" w:hAnsi="宋体"/>
                <w:b/>
                <w:szCs w:val="21"/>
              </w:rPr>
            </w:pPr>
          </w:p>
        </w:tc>
        <w:tc>
          <w:tcPr>
            <w:tcW w:w="1518" w:type="dxa"/>
            <w:tcBorders>
              <w:top w:val="single" w:sz="4" w:space="0" w:color="auto"/>
              <w:left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b/>
              </w:rPr>
            </w:pPr>
            <w:r>
              <w:rPr>
                <w:rFonts w:ascii="宋体" w:hAnsi="宋体" w:hint="eastAsia"/>
                <w:b/>
              </w:rPr>
              <w:t>实施方案分（满分24分）</w:t>
            </w:r>
          </w:p>
        </w:tc>
        <w:tc>
          <w:tcPr>
            <w:tcW w:w="6087" w:type="dxa"/>
            <w:tcBorders>
              <w:top w:val="single" w:sz="4" w:space="0" w:color="auto"/>
              <w:left w:val="single" w:sz="4" w:space="0" w:color="auto"/>
              <w:right w:val="single" w:sz="4" w:space="0" w:color="auto"/>
            </w:tcBorders>
            <w:vAlign w:val="center"/>
          </w:tcPr>
          <w:p>
            <w:pPr>
              <w:pStyle w:val="style0"/>
              <w:adjustRightInd w:val="false"/>
              <w:spacing w:lineRule="exact" w:line="396"/>
              <w:textAlignment w:val="baseline"/>
              <w:rPr>
                <w:lang w:val="zh-CN"/>
              </w:rPr>
            </w:pPr>
            <w:r>
              <w:rPr>
                <w:rFonts w:hint="eastAsia"/>
                <w:lang w:val="zh-CN"/>
              </w:rPr>
              <w:t>1</w:t>
            </w:r>
            <w:r>
              <w:rPr>
                <w:rFonts w:hint="eastAsia"/>
                <w:lang w:val="zh-CN"/>
              </w:rPr>
              <w:t>、实施方案（满分</w:t>
            </w:r>
            <w:r>
              <w:rPr>
                <w:rFonts w:hint="eastAsia"/>
                <w:lang w:val="zh-CN"/>
              </w:rPr>
              <w:t>16</w:t>
            </w:r>
            <w:r>
              <w:rPr>
                <w:rFonts w:hint="eastAsia"/>
                <w:lang w:val="zh-CN"/>
              </w:rPr>
              <w:t>分）</w:t>
            </w:r>
          </w:p>
          <w:p>
            <w:pPr>
              <w:pStyle w:val="style0"/>
              <w:adjustRightInd w:val="false"/>
              <w:spacing w:lineRule="exact" w:line="396"/>
              <w:textAlignment w:val="baseline"/>
              <w:rPr>
                <w:lang w:val="zh-CN"/>
              </w:rPr>
            </w:pPr>
            <w:r>
              <w:rPr>
                <w:rFonts w:hint="eastAsia"/>
                <w:lang w:val="zh-CN"/>
              </w:rPr>
              <w:t>根据各投标人投标文件所提供实施方案中项目进度计划及保证措施，并提出实施策略、项目管理方案、实施进度、实施范围、项目验收方案、系统测试方案、系统发生故障时的应急预案、技术支持及培训方案、实施部署方案等方面内容，由评委独立评分。</w:t>
            </w:r>
          </w:p>
          <w:p>
            <w:pPr>
              <w:pStyle w:val="style0"/>
              <w:adjustRightInd w:val="false"/>
              <w:spacing w:lineRule="exact" w:line="396"/>
              <w:textAlignment w:val="baseline"/>
              <w:rPr>
                <w:lang w:val="zh-CN"/>
              </w:rPr>
            </w:pPr>
            <w:r>
              <w:rPr>
                <w:rFonts w:hint="eastAsia"/>
                <w:lang w:val="zh-CN"/>
              </w:rPr>
              <w:t>一档（</w:t>
            </w:r>
            <w:r>
              <w:rPr>
                <w:rFonts w:hint="eastAsia"/>
                <w:lang w:val="zh-CN"/>
              </w:rPr>
              <w:t>5</w:t>
            </w:r>
            <w:r>
              <w:rPr>
                <w:rFonts w:hint="eastAsia"/>
                <w:lang w:val="zh-CN"/>
              </w:rPr>
              <w:t>分）：项目实施方案对以上内容表述不完整，内容符合的在</w:t>
            </w:r>
            <w:r>
              <w:rPr>
                <w:rFonts w:hint="eastAsia"/>
                <w:lang w:val="zh-CN"/>
              </w:rPr>
              <w:t>8</w:t>
            </w:r>
            <w:r>
              <w:rPr>
                <w:rFonts w:hint="eastAsia"/>
                <w:lang w:val="zh-CN"/>
              </w:rPr>
              <w:t>项以下，或实施方案不具有针对性或可行性的；</w:t>
            </w:r>
          </w:p>
          <w:p>
            <w:pPr>
              <w:pStyle w:val="style0"/>
              <w:adjustRightInd w:val="false"/>
              <w:spacing w:lineRule="exact" w:line="396"/>
              <w:textAlignment w:val="baseline"/>
              <w:rPr>
                <w:lang w:val="zh-CN"/>
              </w:rPr>
            </w:pPr>
            <w:r>
              <w:rPr>
                <w:rFonts w:hint="eastAsia"/>
                <w:lang w:val="zh-CN"/>
              </w:rPr>
              <w:t>二档（</w:t>
            </w:r>
            <w:r>
              <w:rPr>
                <w:rFonts w:hint="eastAsia"/>
                <w:lang w:val="zh-CN"/>
              </w:rPr>
              <w:t>10</w:t>
            </w:r>
            <w:r>
              <w:rPr>
                <w:rFonts w:hint="eastAsia"/>
                <w:lang w:val="zh-CN"/>
              </w:rPr>
              <w:t>分）：项目实施方案内容表述基本完整，内容符合的达到</w:t>
            </w:r>
            <w:r>
              <w:rPr>
                <w:rFonts w:hint="eastAsia"/>
                <w:lang w:val="zh-CN"/>
              </w:rPr>
              <w:t>8</w:t>
            </w:r>
            <w:r>
              <w:rPr>
                <w:rFonts w:hint="eastAsia"/>
                <w:lang w:val="zh-CN"/>
              </w:rPr>
              <w:t>项及以上，工作程序和步骤、实施小组成员的管理机制、考核制度和考核方法等工作进度计划安排基本可行，设置有项目管理组织机构，基本符合项目要求；方案体现对人员安排计划、模式、推进进度、涉及部门间的协调有详细的描述。</w:t>
            </w:r>
          </w:p>
          <w:p>
            <w:pPr>
              <w:pStyle w:val="style0"/>
              <w:adjustRightInd w:val="false"/>
              <w:spacing w:lineRule="exact" w:line="396"/>
              <w:textAlignment w:val="baseline"/>
              <w:rPr>
                <w:lang w:val="zh-CN"/>
              </w:rPr>
            </w:pPr>
            <w:r>
              <w:rPr>
                <w:rFonts w:hint="eastAsia"/>
                <w:lang w:val="zh-CN"/>
              </w:rPr>
              <w:t>三档（</w:t>
            </w:r>
            <w:r>
              <w:rPr>
                <w:rFonts w:hint="eastAsia"/>
                <w:lang w:val="zh-CN"/>
              </w:rPr>
              <w:t>16</w:t>
            </w:r>
            <w:r>
              <w:rPr>
                <w:rFonts w:hint="eastAsia"/>
                <w:lang w:val="zh-CN"/>
              </w:rPr>
              <w:t>分）：项目实施方案内容完整，对工作程序和步骤、实施小组成员的管理机制、考核制度和考核方法等有详细的描述，能详细说明各个阶段工作安排，提供实施安全保障措施、项目进度图并有赶工措施、质量保证措施、项目风险管理措施、文明施工管理措施等科学合理，具有可行性。方案体现人员安排计划、模式、推进进度、涉及部门间的协调有详细的描述。设置的项目管理组织机构职能完全满足项目要求，对服务质量保证措施均完整具体。</w:t>
            </w:r>
          </w:p>
          <w:p>
            <w:pPr>
              <w:pStyle w:val="style0"/>
              <w:adjustRightInd w:val="false"/>
              <w:spacing w:lineRule="exact" w:line="396"/>
              <w:textAlignment w:val="baseline"/>
              <w:rPr>
                <w:lang w:val="zh-CN"/>
              </w:rPr>
            </w:pPr>
            <w:r>
              <w:rPr>
                <w:rFonts w:hint="eastAsia"/>
                <w:lang w:val="zh-CN"/>
              </w:rPr>
              <w:t>2</w:t>
            </w:r>
            <w:r>
              <w:rPr>
                <w:rFonts w:hint="eastAsia"/>
                <w:lang w:val="zh-CN"/>
              </w:rPr>
              <w:t>、项目实施人员（满分</w:t>
            </w:r>
            <w:r>
              <w:rPr>
                <w:rFonts w:hint="eastAsia"/>
              </w:rPr>
              <w:t>8</w:t>
            </w:r>
            <w:r>
              <w:rPr>
                <w:rFonts w:hint="eastAsia"/>
                <w:lang w:val="zh-CN"/>
              </w:rPr>
              <w:t>分）</w:t>
            </w:r>
          </w:p>
          <w:p>
            <w:pPr>
              <w:pStyle w:val="style0"/>
              <w:adjustRightInd w:val="false"/>
              <w:spacing w:lineRule="exact" w:line="396"/>
              <w:textAlignment w:val="baseline"/>
              <w:rPr>
                <w:lang w:val="zh-CN"/>
              </w:rPr>
            </w:pPr>
            <w:r>
              <w:rPr>
                <w:rFonts w:hint="eastAsia"/>
                <w:lang w:val="zh-CN"/>
              </w:rPr>
              <w:t>（</w:t>
            </w:r>
            <w:r>
              <w:rPr>
                <w:rFonts w:hint="eastAsia"/>
                <w:lang w:val="zh-CN"/>
              </w:rPr>
              <w:t>1</w:t>
            </w:r>
            <w:r>
              <w:rPr>
                <w:rFonts w:hint="eastAsia"/>
                <w:lang w:val="zh-CN"/>
              </w:rPr>
              <w:t>）投标人拟投入本项目的项目负责人具备计算机技术与软件专业技术资格高级信息系统项目管理师的得</w:t>
            </w:r>
            <w:r>
              <w:rPr>
                <w:rFonts w:hint="eastAsia"/>
              </w:rPr>
              <w:t>2</w:t>
            </w:r>
            <w:r>
              <w:rPr>
                <w:rFonts w:hint="eastAsia"/>
                <w:lang w:val="zh-CN"/>
              </w:rPr>
              <w:t>分，满分</w:t>
            </w:r>
            <w:r>
              <w:rPr>
                <w:rFonts w:hint="eastAsia"/>
              </w:rPr>
              <w:t>2</w:t>
            </w:r>
            <w:r>
              <w:rPr>
                <w:rFonts w:hint="eastAsia"/>
                <w:lang w:val="zh-CN"/>
              </w:rPr>
              <w:t>分。</w:t>
            </w:r>
          </w:p>
          <w:p>
            <w:pPr>
              <w:pStyle w:val="style0"/>
              <w:adjustRightInd w:val="false"/>
              <w:spacing w:lineRule="exact" w:line="396"/>
              <w:textAlignment w:val="baseline"/>
              <w:rPr>
                <w:lang w:val="zh-CN"/>
              </w:rPr>
            </w:pPr>
            <w:r>
              <w:rPr>
                <w:rFonts w:hint="eastAsia"/>
                <w:lang w:val="zh-CN"/>
              </w:rPr>
              <w:t>（</w:t>
            </w:r>
            <w:r>
              <w:rPr>
                <w:rFonts w:hint="eastAsia"/>
                <w:lang w:val="zh-CN"/>
              </w:rPr>
              <w:t>2</w:t>
            </w:r>
            <w:r>
              <w:rPr>
                <w:rFonts w:hint="eastAsia"/>
                <w:lang w:val="zh-CN"/>
              </w:rPr>
              <w:t>）投标人拟投入本项目的相关专业技术人员有高级软件工程师的每人得</w:t>
            </w:r>
            <w:r>
              <w:rPr>
                <w:rFonts w:hint="eastAsia"/>
                <w:lang w:val="zh-CN"/>
              </w:rPr>
              <w:t>1</w:t>
            </w:r>
            <w:r>
              <w:rPr>
                <w:rFonts w:hint="eastAsia"/>
                <w:lang w:val="zh-CN"/>
              </w:rPr>
              <w:t>分，满分</w:t>
            </w:r>
            <w:r>
              <w:rPr>
                <w:rFonts w:hint="eastAsia"/>
                <w:lang w:val="zh-CN"/>
              </w:rPr>
              <w:t>2</w:t>
            </w:r>
            <w:r>
              <w:rPr>
                <w:rFonts w:hint="eastAsia"/>
                <w:lang w:val="zh-CN"/>
              </w:rPr>
              <w:t>分。</w:t>
            </w:r>
          </w:p>
          <w:p>
            <w:pPr>
              <w:pStyle w:val="style0"/>
              <w:adjustRightInd w:val="false"/>
              <w:spacing w:lineRule="exact" w:line="396"/>
              <w:textAlignment w:val="baseline"/>
              <w:rPr>
                <w:lang w:val="zh-CN"/>
              </w:rPr>
            </w:pPr>
            <w:r>
              <w:rPr>
                <w:rFonts w:hint="eastAsia"/>
                <w:lang w:val="zh-CN"/>
              </w:rPr>
              <w:t>（</w:t>
            </w:r>
            <w:r>
              <w:rPr>
                <w:rFonts w:hint="eastAsia"/>
                <w:lang w:val="zh-CN"/>
              </w:rPr>
              <w:t>3</w:t>
            </w:r>
            <w:r>
              <w:rPr>
                <w:rFonts w:hint="eastAsia"/>
                <w:lang w:val="zh-CN"/>
              </w:rPr>
              <w:t>）投标人拟投入本项目的相关专业技术人员有计算机专业高级工程师的每人得</w:t>
            </w:r>
            <w:r>
              <w:rPr>
                <w:rFonts w:hint="eastAsia"/>
                <w:lang w:val="zh-CN"/>
              </w:rPr>
              <w:t>1</w:t>
            </w:r>
            <w:r>
              <w:rPr>
                <w:rFonts w:hint="eastAsia"/>
                <w:lang w:val="zh-CN"/>
              </w:rPr>
              <w:t>分，满分</w:t>
            </w:r>
            <w:r>
              <w:rPr>
                <w:rFonts w:hint="eastAsia"/>
                <w:lang w:val="zh-CN"/>
              </w:rPr>
              <w:t>2</w:t>
            </w:r>
            <w:r>
              <w:rPr>
                <w:rFonts w:hint="eastAsia"/>
                <w:lang w:val="zh-CN"/>
              </w:rPr>
              <w:t>分。</w:t>
            </w:r>
          </w:p>
          <w:p>
            <w:pPr>
              <w:pStyle w:val="style0"/>
              <w:adjustRightInd w:val="false"/>
              <w:spacing w:lineRule="exact" w:line="396"/>
              <w:textAlignment w:val="baseline"/>
              <w:rPr>
                <w:lang w:val="zh-CN"/>
              </w:rPr>
            </w:pPr>
            <w:r>
              <w:rPr>
                <w:rFonts w:hint="eastAsia"/>
                <w:lang w:val="zh-CN"/>
              </w:rPr>
              <w:t>（</w:t>
            </w:r>
            <w:r>
              <w:rPr>
                <w:rFonts w:hint="eastAsia"/>
                <w:lang w:val="zh-CN"/>
              </w:rPr>
              <w:t>4</w:t>
            </w:r>
            <w:r>
              <w:rPr>
                <w:rFonts w:hint="eastAsia"/>
                <w:lang w:val="zh-CN"/>
              </w:rPr>
              <w:t>）投标人拟投入本项目的相关专业技术人员有通信工程专业高级工程师的每人得</w:t>
            </w:r>
            <w:r>
              <w:rPr>
                <w:rFonts w:hint="eastAsia"/>
                <w:lang w:val="zh-CN"/>
              </w:rPr>
              <w:t>1</w:t>
            </w:r>
            <w:r>
              <w:rPr>
                <w:rFonts w:hint="eastAsia"/>
                <w:lang w:val="zh-CN"/>
              </w:rPr>
              <w:t>分，满分</w:t>
            </w:r>
            <w:r>
              <w:rPr>
                <w:rFonts w:hint="eastAsia"/>
              </w:rPr>
              <w:t>2</w:t>
            </w:r>
            <w:r>
              <w:rPr>
                <w:rFonts w:hint="eastAsia"/>
                <w:lang w:val="zh-CN"/>
              </w:rPr>
              <w:t>分。</w:t>
            </w:r>
          </w:p>
          <w:p>
            <w:pPr>
              <w:pStyle w:val="style0"/>
              <w:adjustRightInd w:val="false"/>
              <w:spacing w:lineRule="exact" w:line="396"/>
              <w:textAlignment w:val="baseline"/>
              <w:rPr>
                <w:lang w:val="zh-CN"/>
              </w:rPr>
            </w:pPr>
            <w:r>
              <w:rPr>
                <w:rFonts w:hint="eastAsia"/>
                <w:lang w:val="zh-CN"/>
              </w:rPr>
              <w:t>注：拟投入实施的服务人员须提供供应商为其缴纳社保的证明材料（投标文件递交截止之日前一个月的缴纳社保费用证明，如：专用收据、社会保险缴纳清单或者社保部门的证明复印件；如为新成立企业或有其他免缴情形的，提供相关佐证材料）以及相关的资格证书复印件，原件备查；同一人员同时具有多项证书的，只能选一项加分，不得累计加分；</w:t>
            </w:r>
          </w:p>
          <w:p>
            <w:pPr>
              <w:pStyle w:val="style32"/>
              <w:rPr>
                <w:rFonts w:ascii="宋体" w:cs="宋体" w:hAnsi="宋体"/>
                <w:b/>
                <w:bCs/>
                <w:kern w:val="0"/>
                <w:szCs w:val="21"/>
                <w:lang w:val="zh-CN" w:bidi="zh-CN"/>
              </w:rPr>
            </w:pPr>
          </w:p>
          <w:p>
            <w:pPr>
              <w:pStyle w:val="style32"/>
              <w:rPr>
                <w:rFonts w:ascii="宋体" w:cs="宋体" w:hAnsi="宋体"/>
                <w:b/>
                <w:bCs/>
                <w:kern w:val="0"/>
                <w:szCs w:val="21"/>
                <w:lang w:val="zh-CN" w:bidi="zh-CN"/>
              </w:rPr>
            </w:pPr>
          </w:p>
        </w:tc>
      </w:tr>
      <w:tr>
        <w:tblPrEx/>
        <w:trPr>
          <w:jc w:val="center"/>
        </w:trPr>
        <w:tc>
          <w:tcPr>
            <w:tcW w:w="525" w:type="dxa"/>
            <w:vMerge w:val="continue"/>
            <w:tcBorders>
              <w:left w:val="single" w:sz="4" w:space="0" w:color="auto"/>
              <w:right w:val="single" w:sz="4" w:space="0" w:color="auto"/>
            </w:tcBorders>
            <w:vAlign w:val="center"/>
          </w:tcPr>
          <w:p>
            <w:pPr>
              <w:pStyle w:val="style0"/>
              <w:keepNext/>
              <w:keepLines/>
              <w:widowControl/>
              <w:spacing w:lineRule="exact" w:line="400"/>
              <w:ind w:firstLine="422" w:firstLineChars="200"/>
              <w:jc w:val="left"/>
              <w:outlineLvl w:val="2"/>
              <w:rPr>
                <w:rFonts w:ascii="宋体" w:hAnsi="宋体"/>
                <w:b/>
                <w:szCs w:val="21"/>
              </w:rPr>
            </w:pPr>
          </w:p>
        </w:tc>
        <w:tc>
          <w:tcPr>
            <w:tcW w:w="1320" w:type="dxa"/>
            <w:vMerge w:val="continue"/>
            <w:tcBorders>
              <w:left w:val="single" w:sz="4" w:space="0" w:color="auto"/>
              <w:right w:val="single" w:sz="4" w:space="0" w:color="auto"/>
            </w:tcBorders>
            <w:vAlign w:val="center"/>
          </w:tcPr>
          <w:p>
            <w:pPr>
              <w:pStyle w:val="style0"/>
              <w:keepNext/>
              <w:keepLines/>
              <w:adjustRightInd w:val="false"/>
              <w:spacing w:lineRule="exact" w:line="400"/>
              <w:ind w:firstLine="422" w:firstLineChars="200"/>
              <w:jc w:val="center"/>
              <w:textAlignment w:val="baseline"/>
              <w:outlineLvl w:val="2"/>
              <w:rPr>
                <w:rFonts w:ascii="宋体" w:hAnsi="宋体"/>
                <w:b/>
                <w:szCs w:val="21"/>
              </w:rPr>
            </w:pPr>
          </w:p>
        </w:tc>
        <w:tc>
          <w:tcPr>
            <w:tcW w:w="1518" w:type="dxa"/>
            <w:tcBorders>
              <w:top w:val="single" w:sz="4" w:space="0" w:color="auto"/>
              <w:left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b/>
              </w:rPr>
            </w:pPr>
            <w:r>
              <w:rPr>
                <w:rFonts w:ascii="宋体" w:hAnsi="宋体" w:hint="eastAsia"/>
                <w:b/>
              </w:rPr>
              <w:t>系统演示分（满分18分）</w:t>
            </w:r>
          </w:p>
        </w:tc>
        <w:tc>
          <w:tcPr>
            <w:tcW w:w="6087" w:type="dxa"/>
            <w:tcBorders>
              <w:top w:val="single" w:sz="4" w:space="0" w:color="auto"/>
              <w:left w:val="single" w:sz="4" w:space="0" w:color="auto"/>
              <w:right w:val="single" w:sz="4" w:space="0" w:color="auto"/>
            </w:tcBorders>
            <w:vAlign w:val="center"/>
          </w:tcPr>
          <w:p>
            <w:pPr>
              <w:pStyle w:val="style0"/>
              <w:spacing w:lineRule="exact" w:line="400"/>
              <w:jc w:val="left"/>
              <w:rPr>
                <w:rFonts w:ascii="宋体" w:hAnsi="宋体"/>
              </w:rPr>
            </w:pPr>
            <w:r>
              <w:rPr>
                <w:rFonts w:ascii="宋体" w:hAnsi="宋体"/>
              </w:rPr>
              <w:t>投标人需对</w:t>
            </w:r>
            <w:r>
              <w:rPr>
                <w:rFonts w:ascii="宋体" w:hAnsi="宋体" w:hint="eastAsia"/>
              </w:rPr>
              <w:t>“第二章采购需求”技术要求中的</w:t>
            </w:r>
            <w:r>
              <w:rPr>
                <w:rFonts w:ascii="宋体" w:hAnsi="宋体" w:hint="eastAsia"/>
                <w:b/>
                <w:kern w:val="0"/>
                <w:szCs w:val="21"/>
              </w:rPr>
              <w:t>9</w:t>
            </w:r>
            <w:r>
              <w:rPr>
                <w:rFonts w:ascii="宋体" w:hAnsi="宋体"/>
                <w:b/>
                <w:kern w:val="0"/>
                <w:szCs w:val="21"/>
              </w:rPr>
              <w:t>个</w:t>
            </w:r>
            <w:r>
              <w:rPr>
                <w:rFonts w:ascii="宋体" w:hAnsi="宋体" w:hint="eastAsia"/>
                <w:b/>
                <w:kern w:val="0"/>
                <w:szCs w:val="21"/>
              </w:rPr>
              <w:t>核心</w:t>
            </w:r>
            <w:r>
              <w:rPr>
                <w:rFonts w:ascii="宋体" w:hAnsi="宋体"/>
                <w:b/>
                <w:kern w:val="0"/>
                <w:szCs w:val="21"/>
              </w:rPr>
              <w:t>模块</w:t>
            </w:r>
            <w:r>
              <w:rPr>
                <w:rFonts w:ascii="宋体" w:hAnsi="宋体" w:hint="eastAsia"/>
                <w:b/>
                <w:kern w:val="0"/>
                <w:szCs w:val="21"/>
              </w:rPr>
              <w:t>（</w:t>
            </w:r>
            <w:r>
              <w:rPr>
                <w:rFonts w:ascii="宋体" w:hAnsi="宋体" w:hint="eastAsia"/>
                <w:b/>
                <w:szCs w:val="21"/>
              </w:rPr>
              <w:t>数字安保驾驶舱、风险要素应用、预警研判应用、防范管控应用、事件处置应用、督办考评应用、活动管理应用、线路安保应用、大型活动现场管理应用</w:t>
            </w:r>
            <w:r>
              <w:rPr>
                <w:rFonts w:ascii="宋体" w:hAnsi="宋体" w:hint="eastAsia"/>
                <w:b/>
                <w:kern w:val="0"/>
                <w:szCs w:val="21"/>
              </w:rPr>
              <w:t>）</w:t>
            </w:r>
            <w:r>
              <w:rPr>
                <w:rFonts w:ascii="宋体" w:hAnsi="宋体"/>
              </w:rPr>
              <w:t>内容进行逐点</w:t>
            </w:r>
            <w:r>
              <w:rPr>
                <w:rFonts w:ascii="宋体" w:hAnsi="宋体" w:hint="eastAsia"/>
              </w:rPr>
              <w:t>演示</w:t>
            </w:r>
            <w:r>
              <w:rPr>
                <w:rFonts w:ascii="宋体" w:hAnsi="宋体"/>
              </w:rPr>
              <w:t>，演示时间严格控制在</w:t>
            </w:r>
            <w:r>
              <w:rPr>
                <w:rFonts w:ascii="宋体" w:hAnsi="宋体" w:hint="eastAsia"/>
              </w:rPr>
              <w:t>30</w:t>
            </w:r>
            <w:r>
              <w:rPr>
                <w:rFonts w:ascii="宋体" w:hAnsi="宋体"/>
              </w:rPr>
              <w:t>分钟内</w:t>
            </w:r>
            <w:r>
              <w:rPr>
                <w:rFonts w:ascii="宋体" w:hAnsi="宋体" w:hint="eastAsia"/>
              </w:rPr>
              <w:t>（包括评委提问时间）。</w:t>
            </w:r>
            <w:r>
              <w:rPr>
                <w:rFonts w:ascii="宋体" w:hAnsi="宋体"/>
              </w:rPr>
              <w:t>评委根据演示效果和答疑情况进行打分。</w:t>
            </w:r>
            <w:r>
              <w:rPr>
                <w:rFonts w:ascii="宋体" w:hAnsi="宋体"/>
                <w:b/>
              </w:rPr>
              <w:t>要求使用</w:t>
            </w:r>
            <w:r>
              <w:rPr>
                <w:rFonts w:ascii="宋体" w:hAnsi="宋体" w:hint="eastAsia"/>
                <w:b/>
              </w:rPr>
              <w:t>原型</w:t>
            </w:r>
            <w:r>
              <w:rPr>
                <w:rFonts w:ascii="宋体" w:hAnsi="宋体"/>
                <w:b/>
              </w:rPr>
              <w:t>系统或PPT演示，可采用测试数据或真实数据进行演示。无演示或</w:t>
            </w:r>
            <w:r>
              <w:rPr>
                <w:rFonts w:ascii="宋体" w:hAnsi="宋体" w:hint="eastAsia"/>
                <w:b/>
              </w:rPr>
              <w:t>演示效果差</w:t>
            </w:r>
            <w:r>
              <w:rPr>
                <w:rFonts w:ascii="宋体" w:hAnsi="宋体"/>
                <w:b/>
              </w:rPr>
              <w:t>的不计分</w:t>
            </w:r>
            <w:r>
              <w:rPr>
                <w:rFonts w:ascii="宋体" w:hAnsi="宋体"/>
              </w:rPr>
              <w:t>。</w:t>
            </w:r>
            <w:r>
              <w:rPr>
                <w:rFonts w:ascii="宋体" w:hAnsi="宋体" w:hint="eastAsia"/>
              </w:rPr>
              <w:t>具体评分细则为：</w:t>
            </w:r>
          </w:p>
          <w:p>
            <w:pPr>
              <w:pStyle w:val="style0"/>
              <w:spacing w:lineRule="exact" w:line="400"/>
              <w:jc w:val="left"/>
              <w:rPr>
                <w:rFonts w:ascii="宋体" w:hAnsi="宋体"/>
                <w:b/>
              </w:rPr>
            </w:pPr>
            <w:r>
              <w:rPr>
                <w:rFonts w:ascii="宋体" w:hAnsi="宋体" w:hint="eastAsia"/>
                <w:b/>
              </w:rPr>
              <w:t>共9个核心模块，每个模块演示分满分2</w:t>
            </w:r>
            <w:r>
              <w:rPr>
                <w:rFonts w:ascii="宋体" w:hAnsi="宋体"/>
                <w:b/>
              </w:rPr>
              <w:t>分,评分细则如下：</w:t>
            </w:r>
          </w:p>
          <w:p>
            <w:pPr>
              <w:pStyle w:val="style0"/>
              <w:spacing w:lineRule="exact" w:line="400"/>
              <w:jc w:val="left"/>
              <w:rPr>
                <w:rFonts w:ascii="宋体" w:hAnsi="宋体"/>
                <w:b/>
              </w:rPr>
            </w:pPr>
            <w:r>
              <w:rPr>
                <w:rFonts w:ascii="宋体" w:hAnsi="宋体" w:hint="eastAsia"/>
                <w:b/>
              </w:rPr>
              <w:t>（</w:t>
            </w:r>
            <w:r>
              <w:rPr>
                <w:rFonts w:ascii="宋体" w:hAnsi="宋体"/>
                <w:b/>
              </w:rPr>
              <w:t>1）使用PPT演示的，按以下标准进行评分：</w:t>
            </w:r>
          </w:p>
          <w:p>
            <w:pPr>
              <w:pStyle w:val="style0"/>
              <w:spacing w:lineRule="exact" w:line="400"/>
              <w:jc w:val="left"/>
              <w:rPr>
                <w:rFonts w:ascii="宋体" w:hAnsi="宋体"/>
              </w:rPr>
            </w:pPr>
            <w:r>
              <w:rPr>
                <w:rFonts w:ascii="宋体" w:hAnsi="宋体"/>
              </w:rPr>
              <w:fldChar w:fldCharType="begin"/>
            </w:r>
            <w:r>
              <w:rPr>
                <w:rFonts w:ascii="宋体" w:hAnsi="宋体"/>
              </w:rPr>
              <w:instrText>= 1 \* GB3</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演示的内容未达到技术要求内容</w:t>
            </w:r>
            <w:r>
              <w:rPr>
                <w:rFonts w:ascii="宋体" w:hAnsi="宋体"/>
              </w:rPr>
              <w:t>30%的，不得分；</w:t>
            </w:r>
          </w:p>
          <w:p>
            <w:pPr>
              <w:pStyle w:val="style0"/>
              <w:spacing w:lineRule="exact" w:line="400"/>
              <w:jc w:val="left"/>
              <w:rPr>
                <w:rFonts w:ascii="宋体" w:hAnsi="宋体"/>
              </w:rPr>
            </w:pPr>
            <w:r>
              <w:rPr>
                <w:rFonts w:ascii="宋体" w:hAnsi="宋体"/>
              </w:rPr>
              <w:fldChar w:fldCharType="begin"/>
            </w:r>
            <w:r>
              <w:rPr>
                <w:rFonts w:ascii="宋体" w:hAnsi="宋体"/>
              </w:rPr>
              <w:instrText>= 2 \* GB3</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演示的内容达到技术要求内容</w:t>
            </w:r>
            <w:r>
              <w:rPr>
                <w:rFonts w:ascii="宋体" w:hAnsi="宋体"/>
              </w:rPr>
              <w:t>30%以上，系统页面设计不够合理，演示步骤逻辑不够清晰的，每个模块得0.</w:t>
            </w:r>
            <w:r>
              <w:rPr>
                <w:rFonts w:ascii="宋体" w:hAnsi="宋体" w:hint="eastAsia"/>
              </w:rPr>
              <w:t>3</w:t>
            </w:r>
            <w:r>
              <w:rPr>
                <w:rFonts w:ascii="宋体" w:hAnsi="宋体"/>
              </w:rPr>
              <w:t>分；</w:t>
            </w:r>
          </w:p>
          <w:p>
            <w:pPr>
              <w:pStyle w:val="style0"/>
              <w:spacing w:lineRule="exact" w:line="400"/>
              <w:jc w:val="left"/>
              <w:rPr>
                <w:rFonts w:ascii="宋体" w:hAnsi="宋体"/>
              </w:rPr>
            </w:pPr>
            <w:r>
              <w:rPr>
                <w:rFonts w:ascii="宋体" w:hAnsi="宋体"/>
              </w:rPr>
              <w:fldChar w:fldCharType="begin"/>
            </w:r>
            <w:r>
              <w:rPr>
                <w:rFonts w:ascii="宋体" w:hAnsi="宋体"/>
              </w:rPr>
              <w:instrText>= 3 \* GB3</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演示的内容达到技术要求内容</w:t>
            </w:r>
            <w:r>
              <w:rPr>
                <w:rFonts w:ascii="宋体" w:hAnsi="宋体"/>
              </w:rPr>
              <w:t>50%以上，按照</w:t>
            </w:r>
            <w:r>
              <w:rPr>
                <w:rFonts w:ascii="宋体" w:hAnsi="宋体"/>
                <w:b/>
              </w:rPr>
              <w:t>微服务架构及统一数据库设计系统</w:t>
            </w:r>
            <w:r>
              <w:rPr>
                <w:rFonts w:ascii="宋体" w:hAnsi="宋体"/>
              </w:rPr>
              <w:t>，演示页面设计效果较好，演示步骤逻辑清晰的，每个模块得0.</w:t>
            </w:r>
            <w:r>
              <w:rPr>
                <w:rFonts w:ascii="宋体" w:hAnsi="宋体" w:hint="eastAsia"/>
              </w:rPr>
              <w:t>5</w:t>
            </w:r>
            <w:r>
              <w:rPr>
                <w:rFonts w:ascii="宋体" w:hAnsi="宋体"/>
              </w:rPr>
              <w:t>分；</w:t>
            </w:r>
          </w:p>
          <w:p>
            <w:pPr>
              <w:pStyle w:val="style0"/>
              <w:spacing w:lineRule="exact" w:line="400"/>
              <w:jc w:val="left"/>
              <w:rPr>
                <w:rFonts w:ascii="宋体" w:hAnsi="宋体"/>
              </w:rPr>
            </w:pPr>
            <w:r>
              <w:rPr>
                <w:rFonts w:ascii="宋体" w:hAnsi="宋体"/>
              </w:rPr>
              <w:fldChar w:fldCharType="begin"/>
            </w:r>
            <w:r>
              <w:rPr>
                <w:rFonts w:ascii="宋体" w:hAnsi="宋体"/>
              </w:rPr>
              <w:instrText>= 4 \* GB3</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演示的内容达到技术要求内容</w:t>
            </w:r>
            <w:r>
              <w:rPr>
                <w:rFonts w:ascii="宋体" w:hAnsi="宋体"/>
              </w:rPr>
              <w:t>80%以上，按照</w:t>
            </w:r>
            <w:r>
              <w:rPr>
                <w:rFonts w:ascii="宋体" w:hAnsi="宋体"/>
                <w:b/>
              </w:rPr>
              <w:t>微服务架构及统一数据库设计系统</w:t>
            </w:r>
            <w:r>
              <w:rPr>
                <w:rFonts w:ascii="宋体" w:hAnsi="宋体"/>
              </w:rPr>
              <w:t>，演示的系统页面设计视觉效果好，演示步骤逻辑清晰，对本项目有独到的见解，对平台设计理念较深的，每个模块得</w:t>
            </w:r>
            <w:r>
              <w:rPr>
                <w:rFonts w:ascii="宋体" w:hAnsi="宋体" w:hint="eastAsia"/>
              </w:rPr>
              <w:t>1</w:t>
            </w:r>
            <w:r>
              <w:rPr>
                <w:rFonts w:ascii="宋体" w:hAnsi="宋体"/>
              </w:rPr>
              <w:t>分。</w:t>
            </w:r>
          </w:p>
          <w:p>
            <w:pPr>
              <w:pStyle w:val="style0"/>
              <w:spacing w:lineRule="exact" w:line="400"/>
              <w:jc w:val="left"/>
              <w:rPr>
                <w:rFonts w:ascii="宋体" w:hAnsi="宋体"/>
                <w:b/>
              </w:rPr>
            </w:pPr>
            <w:r>
              <w:rPr>
                <w:rFonts w:ascii="宋体" w:hAnsi="宋体" w:hint="eastAsia"/>
                <w:b/>
              </w:rPr>
              <w:t>（</w:t>
            </w:r>
            <w:r>
              <w:rPr>
                <w:rFonts w:ascii="宋体" w:hAnsi="宋体"/>
                <w:b/>
              </w:rPr>
              <w:t>2）使用</w:t>
            </w:r>
            <w:r>
              <w:rPr>
                <w:rFonts w:ascii="宋体" w:hAnsi="宋体" w:hint="eastAsia"/>
                <w:b/>
              </w:rPr>
              <w:t>原型</w:t>
            </w:r>
            <w:r>
              <w:rPr>
                <w:rFonts w:ascii="宋体" w:hAnsi="宋体"/>
                <w:b/>
              </w:rPr>
              <w:t>系统演示的，按以下标准进行评分：</w:t>
            </w:r>
          </w:p>
          <w:p>
            <w:pPr>
              <w:pStyle w:val="style0"/>
              <w:spacing w:lineRule="exact" w:line="400"/>
              <w:jc w:val="left"/>
              <w:rPr>
                <w:rFonts w:ascii="宋体" w:hAnsi="宋体"/>
              </w:rPr>
            </w:pPr>
            <w:r>
              <w:rPr>
                <w:rFonts w:ascii="宋体" w:hAnsi="宋体"/>
              </w:rPr>
              <w:fldChar w:fldCharType="begin"/>
            </w:r>
            <w:r>
              <w:rPr>
                <w:rFonts w:ascii="宋体" w:hAnsi="宋体"/>
              </w:rPr>
              <w:instrText>= 1 \* GB3</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演示的内容未达到技术要求内容</w:t>
            </w:r>
            <w:r>
              <w:rPr>
                <w:rFonts w:ascii="宋体" w:hAnsi="宋体"/>
              </w:rPr>
              <w:t>30%的，不得分；</w:t>
            </w:r>
          </w:p>
          <w:p>
            <w:pPr>
              <w:pStyle w:val="style0"/>
              <w:spacing w:lineRule="exact" w:line="400"/>
              <w:jc w:val="left"/>
              <w:rPr>
                <w:rFonts w:ascii="宋体" w:hAnsi="宋体"/>
              </w:rPr>
            </w:pPr>
            <w:r>
              <w:rPr>
                <w:rFonts w:ascii="宋体" w:hAnsi="宋体"/>
              </w:rPr>
              <w:fldChar w:fldCharType="begin"/>
            </w:r>
            <w:r>
              <w:rPr>
                <w:rFonts w:ascii="宋体" w:hAnsi="宋体"/>
              </w:rPr>
              <w:instrText>= 2 \* GB3</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演示的内容达到技术要求内容</w:t>
            </w:r>
            <w:r>
              <w:rPr>
                <w:rFonts w:ascii="宋体" w:hAnsi="宋体"/>
              </w:rPr>
              <w:t>30%以上，系统页面设计不够合理，演示步骤逻辑不够清晰的，每个模块得</w:t>
            </w:r>
            <w:r>
              <w:rPr>
                <w:rFonts w:ascii="宋体" w:hAnsi="宋体" w:hint="eastAsia"/>
              </w:rPr>
              <w:t>1</w:t>
            </w:r>
            <w:r>
              <w:rPr>
                <w:rFonts w:ascii="宋体" w:hAnsi="宋体"/>
              </w:rPr>
              <w:t>分；</w:t>
            </w:r>
          </w:p>
          <w:p>
            <w:pPr>
              <w:pStyle w:val="style0"/>
              <w:spacing w:lineRule="exact" w:line="400"/>
              <w:jc w:val="left"/>
              <w:rPr>
                <w:rFonts w:ascii="宋体" w:hAnsi="宋体"/>
              </w:rPr>
            </w:pPr>
            <w:r>
              <w:rPr>
                <w:rFonts w:ascii="宋体" w:hAnsi="宋体"/>
              </w:rPr>
              <w:fldChar w:fldCharType="begin"/>
            </w:r>
            <w:r>
              <w:rPr>
                <w:rFonts w:ascii="宋体" w:hAnsi="宋体"/>
              </w:rPr>
              <w:instrText>= 3 \* GB3</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演示的内容达到技术要求内容</w:t>
            </w:r>
            <w:r>
              <w:rPr>
                <w:rFonts w:ascii="宋体" w:hAnsi="宋体"/>
              </w:rPr>
              <w:t>50%以上，按照</w:t>
            </w:r>
            <w:r>
              <w:rPr>
                <w:rFonts w:ascii="宋体" w:hAnsi="宋体"/>
                <w:b/>
              </w:rPr>
              <w:t>微服务架构及统一数据库设计系统</w:t>
            </w:r>
            <w:r>
              <w:rPr>
                <w:rFonts w:ascii="宋体" w:hAnsi="宋体"/>
              </w:rPr>
              <w:t>，演示页面设计效果较好，页面切换较流畅，不卡顿，演示步骤逻辑清晰的，每个模块得</w:t>
            </w:r>
            <w:r>
              <w:rPr>
                <w:rFonts w:ascii="宋体" w:hAnsi="宋体" w:hint="eastAsia"/>
              </w:rPr>
              <w:t>1.5</w:t>
            </w:r>
            <w:r>
              <w:rPr>
                <w:rFonts w:ascii="宋体" w:hAnsi="宋体"/>
              </w:rPr>
              <w:t>分；</w:t>
            </w:r>
          </w:p>
          <w:p>
            <w:pPr>
              <w:pStyle w:val="style0"/>
              <w:adjustRightInd w:val="false"/>
              <w:spacing w:lineRule="exact" w:line="400"/>
              <w:textAlignment w:val="baseline"/>
              <w:rPr>
                <w:rFonts w:ascii="宋体" w:cs="宋体" w:hAnsi="宋体"/>
                <w:bCs/>
                <w:kern w:val="0"/>
                <w:szCs w:val="21"/>
                <w:lang w:val="zh-CN" w:bidi="zh-CN"/>
              </w:rPr>
            </w:pPr>
            <w:r>
              <w:rPr>
                <w:rFonts w:ascii="宋体" w:hAnsi="宋体"/>
              </w:rPr>
              <w:fldChar w:fldCharType="begin"/>
            </w:r>
            <w:r>
              <w:rPr>
                <w:rFonts w:ascii="宋体" w:hAnsi="宋体"/>
              </w:rPr>
              <w:instrText>= 4 \* GB3</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演示的内容达到技术要求内容</w:t>
            </w:r>
            <w:r>
              <w:rPr>
                <w:rFonts w:ascii="宋体" w:hAnsi="宋体"/>
              </w:rPr>
              <w:t>80%以上，按照</w:t>
            </w:r>
            <w:r>
              <w:rPr>
                <w:rFonts w:ascii="宋体" w:hAnsi="宋体"/>
                <w:b/>
              </w:rPr>
              <w:t>微服务架构及统一数据库设计系统</w:t>
            </w:r>
            <w:r>
              <w:rPr>
                <w:rFonts w:ascii="宋体" w:hAnsi="宋体"/>
              </w:rPr>
              <w:t>，演示的系统页面设计视觉效果好，页面切换流畅度高，不卡顿，演示步骤逻辑清晰，对本项目有独到的见解，对平台设计理念较深的，每个模块得</w:t>
            </w:r>
            <w:r>
              <w:rPr>
                <w:rFonts w:ascii="宋体" w:hAnsi="宋体" w:hint="eastAsia"/>
              </w:rPr>
              <w:t>2</w:t>
            </w:r>
            <w:r>
              <w:rPr>
                <w:rFonts w:ascii="宋体" w:hAnsi="宋体"/>
              </w:rPr>
              <w:t>分。</w:t>
            </w:r>
          </w:p>
        </w:tc>
      </w:tr>
      <w:tr>
        <w:tblPrEx/>
        <w:trPr>
          <w:jc w:val="center"/>
        </w:trPr>
        <w:tc>
          <w:tcPr>
            <w:tcW w:w="525" w:type="dxa"/>
            <w:vMerge w:val="continue"/>
            <w:tcBorders>
              <w:left w:val="single" w:sz="4" w:space="0" w:color="auto"/>
              <w:right w:val="single" w:sz="4" w:space="0" w:color="auto"/>
            </w:tcBorders>
            <w:vAlign w:val="center"/>
          </w:tcPr>
          <w:p>
            <w:pPr>
              <w:pStyle w:val="style0"/>
              <w:widowControl/>
              <w:spacing w:lineRule="exact" w:line="400"/>
              <w:ind w:firstLine="422" w:firstLineChars="200"/>
              <w:jc w:val="left"/>
              <w:outlineLvl w:val="2"/>
              <w:rPr>
                <w:rFonts w:ascii="宋体" w:hAnsi="宋体"/>
                <w:b/>
                <w:szCs w:val="21"/>
              </w:rPr>
            </w:pPr>
          </w:p>
        </w:tc>
        <w:tc>
          <w:tcPr>
            <w:tcW w:w="1320" w:type="dxa"/>
            <w:vMerge w:val="continue"/>
            <w:tcBorders>
              <w:left w:val="single" w:sz="4" w:space="0" w:color="auto"/>
              <w:right w:val="single" w:sz="4" w:space="0" w:color="auto"/>
            </w:tcBorders>
            <w:vAlign w:val="center"/>
          </w:tcPr>
          <w:p>
            <w:pPr>
              <w:pStyle w:val="style0"/>
              <w:adjustRightInd w:val="false"/>
              <w:spacing w:lineRule="exact" w:line="400"/>
              <w:ind w:firstLine="422" w:firstLineChars="200"/>
              <w:jc w:val="center"/>
              <w:textAlignment w:val="baseline"/>
              <w:outlineLvl w:val="2"/>
              <w:rPr>
                <w:rFonts w:ascii="宋体" w:hAnsi="宋体"/>
                <w:b/>
                <w:szCs w:val="21"/>
              </w:rPr>
            </w:pPr>
          </w:p>
        </w:tc>
        <w:tc>
          <w:tcPr>
            <w:tcW w:w="1518" w:type="dxa"/>
            <w:tcBorders>
              <w:top w:val="single" w:sz="4" w:space="0" w:color="auto"/>
              <w:left w:val="single" w:sz="4" w:space="0" w:color="auto"/>
              <w:right w:val="single" w:sz="4" w:space="0" w:color="auto"/>
            </w:tcBorders>
            <w:vAlign w:val="center"/>
          </w:tcPr>
          <w:p>
            <w:pPr>
              <w:pStyle w:val="style0"/>
              <w:adjustRightInd w:val="false"/>
              <w:spacing w:lineRule="exact" w:line="400"/>
              <w:jc w:val="center"/>
              <w:textAlignment w:val="baseline"/>
              <w:rPr>
                <w:rFonts w:ascii="宋体" w:hAnsi="宋体"/>
                <w:b/>
              </w:rPr>
            </w:pPr>
            <w:r>
              <w:rPr>
                <w:rFonts w:ascii="宋体" w:hAnsi="宋体" w:hint="eastAsia"/>
                <w:b/>
              </w:rPr>
              <w:t>售后服务方案分（满分18分）</w:t>
            </w:r>
          </w:p>
        </w:tc>
        <w:tc>
          <w:tcPr>
            <w:tcW w:w="6087" w:type="dxa"/>
            <w:tcBorders>
              <w:top w:val="single" w:sz="4" w:space="0" w:color="auto"/>
              <w:left w:val="single" w:sz="4" w:space="0" w:color="auto"/>
              <w:right w:val="single" w:sz="4" w:space="0" w:color="auto"/>
            </w:tcBorders>
            <w:vAlign w:val="center"/>
          </w:tcPr>
          <w:p>
            <w:pPr>
              <w:pStyle w:val="style0"/>
              <w:adjustRightInd w:val="false"/>
              <w:spacing w:lineRule="exact" w:line="400"/>
              <w:textAlignment w:val="baseline"/>
              <w:rPr>
                <w:rFonts w:ascii="宋体" w:cs="宋体" w:hAnsi="宋体"/>
                <w:bCs/>
                <w:kern w:val="0"/>
                <w:szCs w:val="21"/>
                <w:lang w:val="zh-CN" w:bidi="zh-CN"/>
              </w:rPr>
            </w:pPr>
            <w:r>
              <w:rPr>
                <w:rFonts w:ascii="宋体" w:cs="宋体" w:hAnsi="宋体" w:hint="eastAsia"/>
                <w:bCs/>
                <w:kern w:val="0"/>
                <w:szCs w:val="21"/>
                <w:lang w:val="zh-CN" w:bidi="zh-CN"/>
              </w:rPr>
              <w:t>一档（6分）：售后服务方案中的内容包含培训方案、质保期、服务响应时间，内容不够完整，售后服务保证内容基本符合本项目的要求。</w:t>
            </w:r>
          </w:p>
          <w:p>
            <w:pPr>
              <w:pStyle w:val="style0"/>
              <w:adjustRightInd w:val="false"/>
              <w:spacing w:lineRule="exact" w:line="400"/>
              <w:textAlignment w:val="baseline"/>
              <w:rPr>
                <w:rFonts w:ascii="宋体" w:cs="宋体" w:hAnsi="宋体"/>
                <w:bCs/>
                <w:kern w:val="0"/>
                <w:szCs w:val="21"/>
                <w:lang w:val="zh-CN" w:bidi="zh-CN"/>
              </w:rPr>
            </w:pPr>
            <w:r>
              <w:rPr>
                <w:rFonts w:ascii="宋体" w:cs="宋体" w:hAnsi="宋体" w:hint="eastAsia"/>
                <w:bCs/>
                <w:kern w:val="0"/>
                <w:szCs w:val="21"/>
                <w:lang w:val="zh-CN" w:bidi="zh-CN"/>
              </w:rPr>
              <w:t>二档（12分）：售后服务方案中包含有培训方案、质保期、服务响应时间及对服务承诺的保障措施等内容，内容完整、合理，能</w:t>
            </w:r>
            <w:r>
              <w:rPr>
                <w:rFonts w:ascii="宋体" w:cs="宋体" w:hAnsi="宋体" w:hint="eastAsia"/>
                <w:bCs/>
                <w:kern w:val="0"/>
                <w:szCs w:val="21"/>
                <w:lang w:val="zh-CN" w:bidi="zh-CN"/>
              </w:rPr>
              <w:t>较及时响应客户要求，具有服务热线，售后服务保证内容能够满足本项目的要求。</w:t>
            </w:r>
          </w:p>
          <w:p>
            <w:pPr>
              <w:pStyle w:val="style0"/>
              <w:adjustRightInd w:val="false"/>
              <w:spacing w:lineRule="exact" w:line="400"/>
              <w:textAlignment w:val="baseline"/>
              <w:rPr>
                <w:rFonts w:ascii="宋体" w:cs="宋体" w:hAnsi="宋体"/>
                <w:bCs/>
                <w:kern w:val="0"/>
                <w:szCs w:val="21"/>
                <w:lang w:val="zh-CN" w:bidi="zh-CN"/>
              </w:rPr>
            </w:pPr>
            <w:r>
              <w:rPr>
                <w:rFonts w:ascii="宋体" w:cs="宋体" w:hAnsi="宋体" w:hint="eastAsia"/>
                <w:bCs/>
                <w:kern w:val="0"/>
                <w:szCs w:val="21"/>
                <w:lang w:val="zh-CN" w:bidi="zh-CN"/>
              </w:rPr>
              <w:t>三档（1</w:t>
            </w:r>
            <w:r>
              <w:rPr>
                <w:rFonts w:ascii="宋体" w:cs="宋体" w:hAnsi="宋体" w:hint="eastAsia"/>
                <w:bCs/>
                <w:kern w:val="0"/>
                <w:szCs w:val="21"/>
                <w:lang w:bidi="zh-CN"/>
              </w:rPr>
              <w:t>8</w:t>
            </w:r>
            <w:r>
              <w:rPr>
                <w:rFonts w:ascii="宋体" w:cs="宋体" w:hAnsi="宋体" w:hint="eastAsia"/>
                <w:bCs/>
                <w:kern w:val="0"/>
                <w:szCs w:val="21"/>
                <w:lang w:val="zh-CN" w:bidi="zh-CN"/>
              </w:rPr>
              <w:t>分）：售后服务方案中包含但不限于培训方案、质保期、服务响应时间及对服务承诺的保障措施等内容，内容完整、合理且针对性强，能及时响应客户要求，具有服务热线及免费售后服务特服号，售后服务保证内容优于本项目的要求。</w:t>
            </w:r>
          </w:p>
        </w:tc>
      </w:tr>
      <w:tr>
        <w:tblPrEx/>
        <w:trPr>
          <w:trHeight w:val="406" w:hRule="atLeast"/>
          <w:jc w:val="center"/>
        </w:trPr>
        <w:tc>
          <w:tcPr>
            <w:tcW w:w="525" w:type="dxa"/>
            <w:vMerge w:val="restart"/>
            <w:tcBorders>
              <w:top w:val="single" w:sz="4" w:space="0" w:color="auto"/>
              <w:left w:val="single" w:sz="4" w:space="0" w:color="auto"/>
              <w:right w:val="single" w:sz="4" w:space="0" w:color="auto"/>
            </w:tcBorders>
            <w:tcMar/>
            <w:vAlign w:val="center"/>
          </w:tcPr>
          <w:p>
            <w:pPr>
              <w:pStyle w:val="style0"/>
              <w:adjustRightInd w:val="false"/>
              <w:spacing w:lineRule="exact" w:line="400"/>
              <w:jc w:val="center"/>
              <w:textAlignment w:val="baseline"/>
              <w:rPr>
                <w:rFonts w:ascii="宋体" w:hAnsi="宋体"/>
                <w:b/>
                <w:szCs w:val="21"/>
              </w:rPr>
            </w:pPr>
            <w:r>
              <w:rPr>
                <w:rFonts w:ascii="宋体" w:hAnsi="宋体"/>
                <w:b/>
                <w:szCs w:val="21"/>
              </w:rPr>
              <w:t>3</w:t>
            </w:r>
          </w:p>
        </w:tc>
        <w:tc>
          <w:tcPr>
            <w:tcW w:w="1320" w:type="dxa"/>
            <w:vMerge w:val="restart"/>
            <w:tcBorders>
              <w:top w:val="single" w:sz="4" w:space="0" w:color="auto"/>
              <w:left w:val="single" w:sz="4" w:space="0" w:color="auto"/>
              <w:right w:val="single" w:sz="4" w:space="0" w:color="auto"/>
            </w:tcBorders>
            <w:tcMar/>
            <w:vAlign w:val="center"/>
          </w:tcPr>
          <w:p>
            <w:pPr>
              <w:pStyle w:val="style0"/>
              <w:adjustRightInd w:val="false"/>
              <w:spacing w:lineRule="exact" w:line="400"/>
              <w:jc w:val="center"/>
              <w:textAlignment w:val="baseline"/>
              <w:rPr>
                <w:rFonts w:ascii="宋体" w:hAnsi="宋体"/>
                <w:b/>
                <w:szCs w:val="21"/>
              </w:rPr>
            </w:pPr>
            <w:r>
              <w:rPr>
                <w:rFonts w:ascii="宋体" w:hAnsi="宋体" w:hint="eastAsia"/>
                <w:b/>
                <w:szCs w:val="21"/>
              </w:rPr>
              <w:t>商务分（满分9</w:t>
            </w:r>
            <w:r>
              <w:rPr>
                <w:rFonts w:ascii="宋体" w:hAnsi="宋体"/>
                <w:b/>
                <w:szCs w:val="21"/>
              </w:rPr>
              <w:t>分）</w:t>
            </w:r>
          </w:p>
        </w:tc>
        <w:tc>
          <w:tcPr>
            <w:tcW w:w="7605" w:type="dxa"/>
            <w:gridSpan w:val="2"/>
            <w:tcBorders>
              <w:top w:val="single" w:sz="4" w:space="0" w:color="auto"/>
              <w:left w:val="single" w:sz="4" w:space="0" w:color="auto"/>
              <w:right w:val="single" w:sz="4" w:space="0" w:color="auto"/>
            </w:tcBorders>
            <w:tcMar>
              <w:top w:w="0" w:type="dxa"/>
              <w:left w:w="57" w:type="dxa"/>
              <w:bottom w:w="0" w:type="dxa"/>
              <w:right w:w="57" w:type="dxa"/>
            </w:tcMar>
          </w:tcPr>
          <w:p>
            <w:pPr>
              <w:pStyle w:val="style0"/>
              <w:adjustRightInd w:val="false"/>
              <w:spacing w:lineRule="exact" w:line="400"/>
              <w:textAlignment w:val="baseline"/>
              <w:rPr>
                <w:rFonts w:ascii="宋体" w:cs="宋体" w:hAnsi="宋体"/>
                <w:bCs/>
                <w:kern w:val="0"/>
                <w:szCs w:val="21"/>
                <w:lang w:val="zh-CN" w:bidi="zh-CN"/>
              </w:rPr>
            </w:pPr>
            <w:r>
              <w:rPr>
                <w:rFonts w:ascii="宋体" w:cs="宋体" w:hAnsi="宋体" w:hint="eastAsia"/>
                <w:bCs/>
                <w:kern w:val="0"/>
                <w:szCs w:val="21"/>
                <w:lang w:val="zh-CN" w:bidi="zh-CN"/>
              </w:rPr>
              <w:t>（1</w:t>
            </w:r>
            <w:r>
              <w:rPr>
                <w:rFonts w:ascii="宋体" w:cs="宋体" w:hAnsi="宋体"/>
                <w:bCs/>
                <w:kern w:val="0"/>
                <w:szCs w:val="21"/>
                <w:lang w:val="zh-CN" w:bidi="zh-CN"/>
              </w:rPr>
              <w:t>）投标人具有与本项目相关的软件著作权证书的，每项得1分，满分3分。</w:t>
            </w:r>
          </w:p>
        </w:tc>
      </w:tr>
      <w:tr>
        <w:tblPrEx/>
        <w:trPr>
          <w:trHeight w:val="890" w:hRule="atLeast"/>
          <w:jc w:val="center"/>
        </w:trPr>
        <w:tc>
          <w:tcPr>
            <w:tcW w:w="525" w:type="dxa"/>
            <w:vMerge w:val="continue"/>
            <w:tcBorders>
              <w:left w:val="single" w:sz="4" w:space="0" w:color="auto"/>
              <w:bottom w:val="single" w:sz="4" w:space="0" w:color="auto"/>
              <w:right w:val="single" w:sz="4" w:space="0" w:color="auto"/>
            </w:tcBorders>
            <w:tcMar/>
            <w:vAlign w:val="center"/>
          </w:tcPr>
          <w:p>
            <w:pPr>
              <w:pStyle w:val="style0"/>
              <w:keepNext/>
              <w:keepLines/>
              <w:adjustRightInd w:val="false"/>
              <w:spacing w:lineRule="exact" w:line="400"/>
              <w:ind w:firstLine="422" w:firstLineChars="200"/>
              <w:jc w:val="center"/>
              <w:textAlignment w:val="baseline"/>
              <w:outlineLvl w:val="2"/>
              <w:rPr>
                <w:rFonts w:ascii="宋体" w:hAnsi="宋体"/>
                <w:b/>
                <w:szCs w:val="21"/>
              </w:rPr>
            </w:pPr>
          </w:p>
        </w:tc>
        <w:tc>
          <w:tcPr>
            <w:tcW w:w="1320" w:type="dxa"/>
            <w:vMerge w:val="continue"/>
            <w:tcBorders>
              <w:left w:val="single" w:sz="4" w:space="0" w:color="auto"/>
              <w:bottom w:val="single" w:sz="4" w:space="0" w:color="auto"/>
              <w:right w:val="single" w:sz="4" w:space="0" w:color="auto"/>
            </w:tcBorders>
            <w:tcMar/>
            <w:vAlign w:val="center"/>
          </w:tcPr>
          <w:p>
            <w:pPr>
              <w:pStyle w:val="style0"/>
              <w:keepNext/>
              <w:keepLines/>
              <w:adjustRightInd w:val="false"/>
              <w:spacing w:lineRule="exact" w:line="400"/>
              <w:ind w:firstLine="422" w:firstLineChars="200"/>
              <w:jc w:val="center"/>
              <w:textAlignment w:val="baseline"/>
              <w:outlineLvl w:val="2"/>
              <w:rPr>
                <w:rFonts w:ascii="宋体" w:hAnsi="宋体"/>
                <w:b/>
                <w:szCs w:val="21"/>
              </w:rPr>
            </w:pPr>
          </w:p>
        </w:tc>
        <w:tc>
          <w:tcPr>
            <w:tcW w:w="7605" w:type="dxa"/>
            <w:gridSpan w:val="2"/>
            <w:tcBorders>
              <w:top w:val="single" w:sz="4" w:space="0" w:color="auto"/>
              <w:left w:val="single" w:sz="4" w:space="0" w:color="auto"/>
              <w:right w:val="single" w:sz="4" w:space="0" w:color="auto"/>
            </w:tcBorders>
            <w:tcMar>
              <w:top w:w="0" w:type="dxa"/>
              <w:left w:w="57" w:type="dxa"/>
              <w:bottom w:w="0" w:type="dxa"/>
              <w:right w:w="57" w:type="dxa"/>
            </w:tcMar>
          </w:tcPr>
          <w:p>
            <w:pPr>
              <w:pStyle w:val="style0"/>
              <w:adjustRightInd w:val="false"/>
              <w:spacing w:lineRule="exact" w:line="400"/>
              <w:textAlignment w:val="baseline"/>
              <w:rPr>
                <w:rFonts w:ascii="宋体" w:cs="宋体" w:hAnsi="宋体"/>
                <w:bCs/>
                <w:kern w:val="0"/>
                <w:szCs w:val="21"/>
                <w:lang w:val="zh-CN" w:bidi="zh-CN"/>
              </w:rPr>
            </w:pPr>
            <w:r>
              <w:rPr>
                <w:rFonts w:ascii="宋体" w:cs="宋体" w:hAnsi="宋体" w:hint="eastAsia"/>
                <w:bCs/>
                <w:kern w:val="0"/>
                <w:szCs w:val="21"/>
                <w:lang w:val="zh-CN" w:bidi="zh-CN"/>
              </w:rPr>
              <w:t>（2</w:t>
            </w:r>
            <w:r>
              <w:rPr>
                <w:rFonts w:ascii="宋体" w:cs="宋体" w:hAnsi="宋体"/>
                <w:bCs/>
                <w:kern w:val="0"/>
                <w:szCs w:val="21"/>
                <w:lang w:val="zh-CN" w:bidi="zh-CN"/>
              </w:rPr>
              <w:t>）业绩分：供应商（自20</w:t>
            </w:r>
            <w:r>
              <w:rPr>
                <w:rFonts w:ascii="宋体" w:cs="宋体" w:hAnsi="宋体" w:hint="eastAsia"/>
                <w:bCs/>
                <w:kern w:val="0"/>
                <w:szCs w:val="21"/>
                <w:lang w:bidi="zh-CN"/>
              </w:rPr>
              <w:t>21</w:t>
            </w:r>
            <w:r>
              <w:rPr>
                <w:rFonts w:ascii="宋体" w:cs="宋体" w:hAnsi="宋体"/>
                <w:bCs/>
                <w:kern w:val="0"/>
                <w:szCs w:val="21"/>
                <w:lang w:val="zh-CN" w:bidi="zh-CN"/>
              </w:rPr>
              <w:t>年01月01日至本项目投标截止时间止，以签订合同时间为准）具有类似项目业绩（投标文件提供中标/成交通知书和合同关键页复印件，复印件内容须体现合同名称、签订双方名称、签订时间、主要服务内容、合同双方签章页。同一个项目签订多份合同的只能计算一次，不重复计分）的，每项业绩得</w:t>
            </w:r>
            <w:r>
              <w:rPr>
                <w:rFonts w:ascii="宋体" w:cs="宋体" w:hAnsi="宋体" w:hint="eastAsia"/>
                <w:bCs/>
                <w:kern w:val="0"/>
                <w:szCs w:val="21"/>
                <w:lang w:val="zh-CN" w:bidi="zh-CN"/>
              </w:rPr>
              <w:t>1</w:t>
            </w:r>
            <w:r>
              <w:rPr>
                <w:rFonts w:ascii="宋体" w:cs="宋体" w:hAnsi="宋体"/>
                <w:bCs/>
                <w:kern w:val="0"/>
                <w:szCs w:val="21"/>
                <w:lang w:val="zh-CN" w:bidi="zh-CN"/>
              </w:rPr>
              <w:t>分，满分</w:t>
            </w:r>
            <w:r>
              <w:rPr>
                <w:rFonts w:ascii="宋体" w:cs="宋体" w:hAnsi="宋体" w:hint="eastAsia"/>
                <w:bCs/>
                <w:kern w:val="0"/>
                <w:szCs w:val="21"/>
                <w:lang w:val="zh-CN" w:bidi="zh-CN"/>
              </w:rPr>
              <w:t>6</w:t>
            </w:r>
            <w:r>
              <w:rPr>
                <w:rFonts w:ascii="宋体" w:cs="宋体" w:hAnsi="宋体"/>
                <w:bCs/>
                <w:kern w:val="0"/>
                <w:szCs w:val="21"/>
                <w:lang w:val="zh-CN" w:bidi="zh-CN"/>
              </w:rPr>
              <w:t>分。</w:t>
            </w:r>
          </w:p>
          <w:p>
            <w:pPr>
              <w:pStyle w:val="style0"/>
              <w:adjustRightInd w:val="false"/>
              <w:spacing w:lineRule="exact" w:line="400"/>
              <w:textAlignment w:val="baseline"/>
              <w:rPr>
                <w:rFonts w:ascii="宋体" w:cs="宋体" w:hAnsi="宋体"/>
                <w:bCs/>
                <w:kern w:val="0"/>
                <w:szCs w:val="21"/>
                <w:lang w:val="zh-CN" w:bidi="zh-CN"/>
              </w:rPr>
            </w:pPr>
            <w:r>
              <w:rPr>
                <w:rFonts w:ascii="宋体" w:cs="宋体" w:hAnsi="宋体" w:hint="eastAsia"/>
                <w:bCs/>
                <w:kern w:val="0"/>
                <w:szCs w:val="21"/>
                <w:lang w:val="zh-CN" w:bidi="zh-CN"/>
              </w:rPr>
              <w:t>注：以上评分因素中，类似项目是指提供信息化系统建设和服务的项目。</w:t>
            </w:r>
          </w:p>
        </w:tc>
      </w:tr>
      <w:tr>
        <w:tblPrEx/>
        <w:trPr>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pPr>
              <w:pStyle w:val="style0"/>
              <w:spacing w:lineRule="exact" w:line="400"/>
              <w:ind w:firstLine="420"/>
              <w:rPr>
                <w:rFonts w:ascii="宋体" w:hAnsi="宋体"/>
                <w:bCs/>
                <w:szCs w:val="21"/>
              </w:rPr>
            </w:pPr>
            <w:r>
              <w:rPr>
                <w:rFonts w:ascii="宋体" w:hAnsi="宋体" w:hint="eastAsia"/>
                <w:b/>
                <w:bCs/>
                <w:szCs w:val="21"/>
              </w:rPr>
              <w:t>总得分</w:t>
            </w:r>
            <w:r>
              <w:rPr>
                <w:rFonts w:ascii="宋体" w:hAnsi="宋体"/>
                <w:b/>
                <w:bCs/>
                <w:szCs w:val="21"/>
              </w:rPr>
              <w:t>=1+2+3</w:t>
            </w:r>
          </w:p>
        </w:tc>
      </w:tr>
    </w:tbl>
    <w:p>
      <w:pPr>
        <w:pStyle w:val="style90"/>
        <w:spacing w:lineRule="auto" w:line="360"/>
        <w:ind w:firstLine="420"/>
        <w:rPr>
          <w:rFonts w:hAnsi="宋体"/>
          <w:bCs/>
        </w:rPr>
      </w:pPr>
      <w:r>
        <w:rPr>
          <w:rFonts w:hAnsi="宋体" w:hint="eastAsia"/>
          <w:bCs/>
        </w:rPr>
        <w:t>注：计分方法按四舍五入取至百分位。</w:t>
      </w:r>
    </w:p>
    <w:p>
      <w:pPr>
        <w:pStyle w:val="style90"/>
        <w:spacing w:lineRule="auto" w:line="360"/>
        <w:ind w:firstLine="420"/>
        <w:rPr>
          <w:rFonts w:hAnsi="宋体"/>
          <w:bCs/>
        </w:rPr>
      </w:pPr>
    </w:p>
    <w:bookmarkStart w:id="179" w:name="_Toc19739"/>
    <w:bookmarkStart w:id="180" w:name="_Toc119359498"/>
    <w:p>
      <w:pPr>
        <w:pStyle w:val="style2"/>
        <w:jc w:val="center"/>
        <w:rPr>
          <w:rFonts w:ascii="宋体" w:eastAsia="宋体" w:hAnsi="宋体"/>
        </w:rPr>
      </w:pPr>
      <w:r>
        <w:rPr>
          <w:rFonts w:ascii="宋体" w:eastAsia="宋体" w:hAnsi="宋体" w:hint="eastAsia"/>
          <w:b w:val="false"/>
          <w:sz w:val="30"/>
          <w:szCs w:val="30"/>
        </w:rPr>
        <w:t>第四节中标候选人推荐原则</w:t>
      </w:r>
      <w:bookmarkEnd w:id="179"/>
      <w:bookmarkEnd w:id="180"/>
    </w:p>
    <w:p>
      <w:pPr>
        <w:pStyle w:val="style90"/>
        <w:numPr>
          <w:ilvl w:val="0"/>
          <w:numId w:val="2"/>
        </w:numPr>
        <w:spacing w:lineRule="auto" w:line="360"/>
        <w:contextualSpacing/>
        <w:rPr>
          <w:rFonts w:hAnsi="宋体"/>
          <w:b/>
          <w:bCs/>
          <w:sz w:val="24"/>
          <w:szCs w:val="24"/>
        </w:rPr>
      </w:pPr>
      <w:r>
        <w:rPr>
          <w:rFonts w:hAnsi="宋体" w:hint="eastAsia"/>
          <w:b/>
          <w:bCs/>
          <w:sz w:val="24"/>
          <w:szCs w:val="24"/>
        </w:rPr>
        <w:t>综合评分法</w:t>
      </w:r>
    </w:p>
    <w:p>
      <w:pPr>
        <w:pStyle w:val="style90"/>
        <w:spacing w:lineRule="auto" w:line="360"/>
        <w:ind w:firstLine="420" w:firstLineChars="200"/>
        <w:contextualSpacing/>
        <w:rPr>
          <w:rFonts w:hAnsi="宋体"/>
        </w:rPr>
      </w:pPr>
      <w:r>
        <w:rPr>
          <w:rFonts w:hAnsi="宋体" w:hint="eastAsia"/>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bookmarkStart w:id="181" w:name="_Toc119359499"/>
    <w:bookmarkStart w:id="182" w:name="_Toc32173"/>
    <w:p>
      <w:pPr>
        <w:pStyle w:val="style2"/>
        <w:spacing w:lineRule="auto" w:line="360"/>
        <w:ind w:firstLine="600" w:firstLineChars="200"/>
        <w:jc w:val="center"/>
        <w:rPr>
          <w:rFonts w:ascii="宋体" w:eastAsia="宋体" w:hAnsi="宋体"/>
          <w:b w:val="false"/>
          <w:sz w:val="30"/>
          <w:szCs w:val="30"/>
        </w:rPr>
      </w:pPr>
      <w:r>
        <w:rPr>
          <w:rFonts w:ascii="宋体" w:eastAsia="宋体" w:hAnsi="宋体" w:hint="eastAsia"/>
          <w:b w:val="false"/>
          <w:sz w:val="30"/>
          <w:szCs w:val="30"/>
        </w:rPr>
        <w:t>第五节评标报告</w:t>
      </w:r>
      <w:bookmarkEnd w:id="181"/>
      <w:bookmarkEnd w:id="182"/>
    </w:p>
    <w:bookmarkStart w:id="183" w:name="_Toc7565"/>
    <w:p>
      <w:pPr>
        <w:pStyle w:val="style4111"/>
        <w:spacing w:before="0"/>
        <w:ind w:firstLine="482"/>
        <w:outlineLvl w:val="2"/>
        <w:rPr>
          <w:rFonts w:ascii="宋体" w:hAnsi="宋体"/>
          <w:b/>
          <w:bCs/>
          <w:szCs w:val="24"/>
        </w:rPr>
      </w:pPr>
      <w:r>
        <w:rPr>
          <w:rFonts w:ascii="宋体" w:hAnsi="宋体" w:hint="eastAsia"/>
          <w:b/>
          <w:bCs/>
          <w:szCs w:val="24"/>
        </w:rPr>
        <w:t>（一）评标报告与推荐中标候选人</w:t>
      </w:r>
      <w:bookmarkEnd w:id="183"/>
    </w:p>
    <w:p>
      <w:pPr>
        <w:pStyle w:val="style90"/>
        <w:tabs>
          <w:tab w:val="left" w:leader="none" w:pos="2472"/>
        </w:tabs>
        <w:spacing w:lineRule="auto" w:line="360"/>
        <w:ind w:firstLine="420" w:firstLineChars="200"/>
        <w:rPr>
          <w:rFonts w:hAnsi="宋体"/>
        </w:rPr>
      </w:pPr>
      <w:r>
        <w:rPr>
          <w:rFonts w:hAnsi="宋体" w:hint="eastAsia"/>
        </w:rPr>
        <w:t>评标委员会根据原始评标记录和评标结果编写评标报告，并通过电子交易平台向采购人、采购代理机构提交。</w:t>
      </w:r>
    </w:p>
    <w:bookmarkStart w:id="184" w:name="_Toc31065"/>
    <w:p>
      <w:pPr>
        <w:pStyle w:val="style0"/>
        <w:widowControl/>
        <w:spacing w:lineRule="auto" w:line="360"/>
        <w:ind w:firstLine="482" w:firstLineChars="200"/>
        <w:jc w:val="left"/>
        <w:outlineLvl w:val="2"/>
        <w:rPr>
          <w:rFonts w:ascii="宋体" w:hAnsi="宋体"/>
          <w:b/>
          <w:bCs/>
          <w:sz w:val="24"/>
        </w:rPr>
      </w:pPr>
      <w:r>
        <w:rPr>
          <w:rFonts w:ascii="宋体" w:hAnsi="宋体" w:hint="eastAsia"/>
          <w:b/>
          <w:bCs/>
          <w:sz w:val="24"/>
        </w:rPr>
        <w:t>（二）评标争议事项处理</w:t>
      </w:r>
      <w:bookmarkEnd w:id="184"/>
    </w:p>
    <w:p>
      <w:pPr>
        <w:pStyle w:val="style90"/>
        <w:tabs>
          <w:tab w:val="left" w:leader="none" w:pos="2472"/>
        </w:tabs>
        <w:spacing w:lineRule="auto" w:line="360"/>
        <w:ind w:firstLine="420" w:firstLineChars="200"/>
        <w:rPr>
          <w:rFonts w:hAnsi="宋体"/>
        </w:rPr>
      </w:pPr>
      <w:r>
        <w:rPr>
          <w:rFonts w:hAnsi="宋体" w:hint="eastAsia"/>
        </w:rPr>
        <w:t>评标委员会成员对需要共同认定的事项存在争议的，应当按照少数服从多数的原则作出结论。持不同意见的评标委员会成员应当在评标报告上签署不同意见及理由，否则视为同意评标报告。</w:t>
      </w:r>
    </w:p>
    <w:p>
      <w:pPr>
        <w:pStyle w:val="style90"/>
        <w:tabs>
          <w:tab w:val="left" w:leader="none" w:pos="2472"/>
        </w:tabs>
        <w:spacing w:lineRule="exact" w:line="460"/>
        <w:rPr>
          <w:rFonts w:hAnsi="宋体"/>
          <w:b/>
          <w:sz w:val="36"/>
        </w:rPr>
        <w:sectPr>
          <w:pgSz w:w="11906" w:h="16838" w:orient="portrait"/>
          <w:pgMar w:top="1134" w:right="1134" w:bottom="1134" w:left="1134" w:header="720" w:footer="720" w:gutter="0"/>
          <w:cols w:space="720"/>
          <w:docGrid w:type="lines" w:linePitch="331"/>
        </w:sectPr>
      </w:pPr>
    </w:p>
    <w:p>
      <w:pPr>
        <w:pStyle w:val="style90"/>
        <w:tabs>
          <w:tab w:val="left" w:leader="none" w:pos="2472"/>
        </w:tabs>
        <w:spacing w:lineRule="exact" w:line="460"/>
        <w:rPr>
          <w:rFonts w:hAnsi="宋体"/>
          <w:b/>
          <w:sz w:val="36"/>
        </w:rPr>
      </w:pPr>
    </w:p>
    <w:bookmarkStart w:id="185" w:name="_Toc798"/>
    <w:bookmarkStart w:id="186" w:name="_Toc119359500"/>
    <w:p>
      <w:pPr>
        <w:pStyle w:val="style90"/>
        <w:tabs>
          <w:tab w:val="left" w:leader="none" w:pos="2472"/>
        </w:tabs>
        <w:spacing w:lineRule="exact" w:line="460"/>
        <w:jc w:val="center"/>
        <w:outlineLvl w:val="0"/>
        <w:rPr>
          <w:rFonts w:hAnsi="宋体"/>
          <w:b/>
          <w:sz w:val="36"/>
        </w:rPr>
      </w:pPr>
      <w:r>
        <w:rPr>
          <w:rFonts w:hAnsi="宋体" w:hint="eastAsia"/>
          <w:b/>
          <w:sz w:val="36"/>
        </w:rPr>
        <w:t>第五章拟签订的合同文本</w:t>
      </w:r>
      <w:bookmarkEnd w:id="185"/>
      <w:bookmarkEnd w:id="186"/>
    </w:p>
    <w:p>
      <w:pPr>
        <w:pStyle w:val="style90"/>
        <w:tabs>
          <w:tab w:val="left" w:leader="none" w:pos="720"/>
        </w:tabs>
        <w:spacing w:lineRule="exact" w:line="460"/>
        <w:rPr>
          <w:rFonts w:hAnsi="宋体"/>
          <w:bCs/>
        </w:rPr>
      </w:pPr>
    </w:p>
    <w:bookmarkStart w:id="187" w:name="_Toc104815459"/>
    <w:bookmarkStart w:id="188" w:name="_Toc119359501"/>
    <w:bookmarkStart w:id="189" w:name="_Toc24581"/>
    <w:p>
      <w:pPr>
        <w:pStyle w:val="style2"/>
        <w:spacing w:lineRule="exact" w:line="520"/>
        <w:jc w:val="center"/>
        <w:rPr>
          <w:rFonts w:ascii="宋体" w:eastAsia="宋体" w:hAnsi="宋体"/>
        </w:rPr>
      </w:pPr>
      <w:r>
        <w:rPr>
          <w:rFonts w:ascii="宋体" w:eastAsia="宋体" w:hAnsi="宋体" w:hint="eastAsia"/>
        </w:rPr>
        <w:t>合同文本</w:t>
      </w:r>
      <w:bookmarkEnd w:id="187"/>
      <w:bookmarkEnd w:id="188"/>
      <w:bookmarkEnd w:id="189"/>
    </w:p>
    <w:p>
      <w:pPr>
        <w:pStyle w:val="style0"/>
        <w:snapToGrid w:val="false"/>
        <w:spacing w:lineRule="exact" w:line="420"/>
        <w:ind w:right="480"/>
        <w:rPr>
          <w:rFonts w:ascii="宋体" w:hAnsi="宋体"/>
          <w:bCs/>
          <w:sz w:val="22"/>
          <w:szCs w:val="22"/>
          <w:u w:val="single"/>
        </w:rPr>
      </w:pPr>
      <w:r>
        <w:rPr>
          <w:rFonts w:ascii="宋体" w:hAnsi="宋体"/>
          <w:bCs/>
          <w:sz w:val="22"/>
          <w:szCs w:val="22"/>
        </w:rPr>
        <w:t>合同编号：</w:t>
      </w:r>
    </w:p>
    <w:p>
      <w:pPr>
        <w:pStyle w:val="style0"/>
        <w:snapToGrid w:val="false"/>
        <w:spacing w:lineRule="exact" w:line="420"/>
        <w:rPr>
          <w:rFonts w:ascii="宋体" w:hAnsi="宋体"/>
          <w:sz w:val="22"/>
          <w:szCs w:val="22"/>
        </w:rPr>
      </w:pPr>
    </w:p>
    <w:p>
      <w:pPr>
        <w:pStyle w:val="style0"/>
        <w:spacing w:lineRule="exact" w:line="420"/>
        <w:jc w:val="left"/>
        <w:rPr>
          <w:rFonts w:ascii="宋体" w:hAnsi="宋体"/>
          <w:sz w:val="22"/>
          <w:szCs w:val="22"/>
          <w:u w:val="single"/>
        </w:rPr>
      </w:pPr>
      <w:r>
        <w:rPr>
          <w:rFonts w:ascii="宋体" w:hAnsi="宋体"/>
          <w:sz w:val="22"/>
          <w:szCs w:val="22"/>
        </w:rPr>
        <w:t>采购单位（甲方）：</w:t>
      </w:r>
      <w:r>
        <w:rPr>
          <w:rFonts w:ascii="宋体" w:hAnsi="宋体"/>
          <w:sz w:val="22"/>
          <w:szCs w:val="22"/>
          <w:u w:val="single"/>
        </w:rPr>
        <w:t>广西壮族自治区公安厅</w:t>
      </w:r>
      <w:r>
        <w:rPr>
          <w:rFonts w:ascii="宋体" w:hAnsi="宋体" w:hint="eastAsia"/>
          <w:sz w:val="22"/>
          <w:szCs w:val="22"/>
        </w:rPr>
        <w:t xml:space="preserve">           </w:t>
      </w:r>
      <w:r>
        <w:rPr>
          <w:rFonts w:ascii="宋体" w:cs="等线" w:hAnsi="宋体"/>
          <w:sz w:val="22"/>
          <w:szCs w:val="22"/>
        </w:rPr>
        <w:t>采购计划</w:t>
      </w:r>
      <w:r>
        <w:rPr>
          <w:rFonts w:ascii="宋体" w:hAnsi="宋体" w:hint="eastAsia"/>
          <w:spacing w:val="-20"/>
          <w:sz w:val="22"/>
          <w:szCs w:val="22"/>
        </w:rPr>
        <w:t>文号</w:t>
      </w:r>
      <w:r>
        <w:rPr>
          <w:rFonts w:ascii="宋体" w:hAnsi="宋体"/>
          <w:spacing w:val="-20"/>
          <w:sz w:val="22"/>
          <w:szCs w:val="22"/>
        </w:rPr>
        <w:t>：</w:t>
      </w:r>
    </w:p>
    <w:p>
      <w:pPr>
        <w:pStyle w:val="style0"/>
        <w:spacing w:lineRule="exact" w:line="420"/>
        <w:jc w:val="left"/>
        <w:rPr>
          <w:rFonts w:ascii="宋体" w:hAnsi="宋体"/>
          <w:sz w:val="22"/>
          <w:szCs w:val="22"/>
          <w:u w:val="single"/>
        </w:rPr>
      </w:pPr>
      <w:r>
        <w:rPr>
          <w:rFonts w:ascii="宋体" w:hAnsi="宋体"/>
          <w:sz w:val="22"/>
          <w:szCs w:val="22"/>
        </w:rPr>
        <w:t>供 应 商（乙方）：</w:t>
      </w:r>
      <w:r>
        <w:rPr>
          <w:rFonts w:ascii="宋体" w:hAnsi="宋体" w:hint="eastAsia"/>
          <w:sz w:val="22"/>
          <w:szCs w:val="22"/>
          <w:u w:val="single"/>
        </w:rPr>
        <w:t xml:space="preserve">                     </w:t>
      </w:r>
      <w:r>
        <w:rPr>
          <w:rFonts w:ascii="宋体" w:hAnsi="宋体" w:hint="eastAsia"/>
          <w:sz w:val="22"/>
          <w:szCs w:val="22"/>
        </w:rPr>
        <w:t xml:space="preserve">          </w:t>
      </w:r>
      <w:r>
        <w:rPr>
          <w:rFonts w:ascii="宋体" w:cs="等线" w:hAnsi="宋体"/>
          <w:sz w:val="22"/>
          <w:szCs w:val="22"/>
        </w:rPr>
        <w:t>编号</w:t>
      </w:r>
      <w:r>
        <w:rPr>
          <w:rFonts w:ascii="宋体" w:hAnsi="宋体"/>
          <w:spacing w:val="-20"/>
          <w:sz w:val="22"/>
          <w:szCs w:val="22"/>
        </w:rPr>
        <w:t>：</w:t>
      </w:r>
    </w:p>
    <w:p>
      <w:pPr>
        <w:pStyle w:val="style0"/>
        <w:snapToGrid w:val="false"/>
        <w:spacing w:lineRule="exact" w:line="420"/>
        <w:rPr>
          <w:rFonts w:ascii="宋体" w:hAnsi="宋体"/>
          <w:sz w:val="22"/>
          <w:szCs w:val="22"/>
          <w:u w:val="single"/>
        </w:rPr>
      </w:pPr>
      <w:r>
        <w:rPr>
          <w:rFonts w:ascii="宋体" w:hAnsi="宋体"/>
          <w:sz w:val="22"/>
          <w:szCs w:val="22"/>
        </w:rPr>
        <w:t>签订地点：</w:t>
      </w:r>
      <w:r>
        <w:rPr>
          <w:rFonts w:ascii="宋体" w:hAnsi="宋体"/>
          <w:sz w:val="22"/>
          <w:szCs w:val="22"/>
          <w:u w:val="single"/>
        </w:rPr>
        <w:t>广西南宁市</w:t>
      </w:r>
      <w:r>
        <w:rPr>
          <w:rFonts w:ascii="宋体" w:hAnsi="宋体" w:hint="eastAsia"/>
          <w:sz w:val="22"/>
          <w:szCs w:val="22"/>
        </w:rPr>
        <w:t xml:space="preserve">                            </w:t>
      </w:r>
      <w:r>
        <w:rPr>
          <w:rFonts w:ascii="宋体" w:hAnsi="宋体"/>
          <w:sz w:val="22"/>
          <w:szCs w:val="22"/>
        </w:rPr>
        <w:t>签订时间：</w:t>
      </w:r>
      <w:r>
        <w:rPr>
          <w:rFonts w:ascii="宋体" w:hAnsi="宋体"/>
          <w:sz w:val="22"/>
          <w:szCs w:val="22"/>
          <w:u w:val="single"/>
        </w:rPr>
        <w:t>202</w:t>
      </w:r>
      <w:r>
        <w:rPr>
          <w:rFonts w:ascii="宋体" w:hAnsi="宋体" w:hint="eastAsia"/>
          <w:sz w:val="22"/>
          <w:szCs w:val="22"/>
          <w:u w:val="single"/>
        </w:rPr>
        <w:t>4</w:t>
      </w:r>
      <w:r>
        <w:rPr>
          <w:rFonts w:ascii="宋体" w:hAnsi="宋体"/>
          <w:sz w:val="22"/>
          <w:szCs w:val="22"/>
          <w:u w:val="single"/>
        </w:rPr>
        <w:t>年     月     日</w:t>
      </w:r>
    </w:p>
    <w:p>
      <w:pPr>
        <w:pStyle w:val="style0"/>
        <w:spacing w:lineRule="exact" w:line="420"/>
        <w:ind w:firstLine="440" w:firstLineChars="200"/>
        <w:jc w:val="left"/>
        <w:rPr>
          <w:rFonts w:ascii="宋体" w:cs="等线" w:hAnsi="宋体"/>
          <w:sz w:val="22"/>
          <w:szCs w:val="22"/>
        </w:rPr>
      </w:pPr>
    </w:p>
    <w:p>
      <w:pPr>
        <w:pStyle w:val="style0"/>
        <w:spacing w:lineRule="exact" w:line="420"/>
        <w:ind w:firstLine="440" w:firstLineChars="200"/>
        <w:jc w:val="left"/>
        <w:rPr>
          <w:rFonts w:ascii="宋体" w:cs="等线" w:hAnsi="宋体"/>
          <w:sz w:val="22"/>
          <w:szCs w:val="22"/>
        </w:rPr>
      </w:pPr>
      <w:r>
        <w:rPr>
          <w:rFonts w:ascii="宋体" w:cs="等线" w:hAnsi="宋体"/>
          <w:sz w:val="22"/>
          <w:szCs w:val="22"/>
        </w:rPr>
        <w:t>根据《中华人民共和国政府采购法》《中华人民共和国民法典》等法律、法规规定，按照招标文件（采购文件）规定条款和投标文件及承诺，甲乙双方签订本合同。</w:t>
      </w:r>
    </w:p>
    <w:p>
      <w:pPr>
        <w:pStyle w:val="style0"/>
        <w:spacing w:lineRule="exact" w:line="420"/>
        <w:ind w:firstLine="442" w:firstLineChars="200"/>
        <w:rPr>
          <w:rFonts w:ascii="宋体" w:cs="等线" w:hAnsi="宋体"/>
          <w:b/>
          <w:bCs/>
          <w:sz w:val="22"/>
          <w:szCs w:val="22"/>
        </w:rPr>
      </w:pPr>
      <w:r>
        <w:rPr>
          <w:rFonts w:ascii="宋体" w:cs="等线" w:hAnsi="宋体"/>
          <w:b/>
          <w:bCs/>
          <w:sz w:val="22"/>
          <w:szCs w:val="22"/>
        </w:rPr>
        <w:t>第一条　合同标的</w:t>
      </w:r>
    </w:p>
    <w:p>
      <w:pPr>
        <w:pStyle w:val="style0"/>
        <w:spacing w:lineRule="exact" w:line="420"/>
        <w:ind w:firstLine="440" w:firstLineChars="200"/>
        <w:rPr>
          <w:rFonts w:ascii="宋体" w:cs="等线" w:hAnsi="宋体"/>
          <w:sz w:val="22"/>
          <w:szCs w:val="22"/>
        </w:rPr>
      </w:pPr>
      <w:r>
        <w:rPr>
          <w:rFonts w:ascii="宋体" w:cs="等线" w:hAnsi="宋体"/>
          <w:sz w:val="22"/>
          <w:szCs w:val="22"/>
        </w:rPr>
        <w:t>1.服务一览表</w:t>
      </w:r>
    </w:p>
    <w:tbl>
      <w:tblPr>
        <w:tblW w:w="9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695"/>
        <w:gridCol w:w="2280"/>
        <w:gridCol w:w="825"/>
        <w:gridCol w:w="810"/>
        <w:gridCol w:w="1350"/>
        <w:gridCol w:w="1320"/>
      </w:tblGrid>
      <w:tr>
        <w:trPr>
          <w:cantSplit/>
          <w:trHeight w:val="360" w:hRule="atLeast"/>
        </w:trPr>
        <w:tc>
          <w:tcPr>
            <w:tcW w:w="82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jc w:val="center"/>
              <w:rPr>
                <w:rFonts w:ascii="宋体" w:cs="仿宋_GB2312" w:hAnsi="宋体"/>
                <w:sz w:val="22"/>
                <w:szCs w:val="22"/>
              </w:rPr>
            </w:pPr>
            <w:r>
              <w:rPr>
                <w:rFonts w:ascii="宋体" w:cs="仿宋_GB2312" w:hAnsi="宋体" w:hint="eastAsia"/>
                <w:sz w:val="22"/>
                <w:szCs w:val="22"/>
              </w:rPr>
              <w:t>序号</w:t>
            </w:r>
          </w:p>
        </w:tc>
        <w:tc>
          <w:tcPr>
            <w:tcW w:w="169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jc w:val="center"/>
              <w:rPr>
                <w:rFonts w:ascii="宋体" w:cs="仿宋_GB2312" w:hAnsi="宋体"/>
                <w:sz w:val="22"/>
                <w:szCs w:val="22"/>
              </w:rPr>
            </w:pPr>
            <w:r>
              <w:rPr>
                <w:rFonts w:ascii="宋体" w:cs="仿宋_GB2312" w:hAnsi="宋体" w:hint="eastAsia"/>
                <w:sz w:val="22"/>
                <w:szCs w:val="22"/>
              </w:rPr>
              <w:t>名称</w:t>
            </w:r>
          </w:p>
        </w:tc>
        <w:tc>
          <w:tcPr>
            <w:tcW w:w="228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jc w:val="center"/>
              <w:rPr>
                <w:rFonts w:ascii="宋体" w:cs="仿宋_GB2312" w:hAnsi="宋体"/>
                <w:sz w:val="22"/>
                <w:szCs w:val="22"/>
              </w:rPr>
            </w:pPr>
            <w:r>
              <w:rPr>
                <w:rFonts w:ascii="宋体" w:cs="仿宋_GB2312" w:hAnsi="宋体" w:hint="eastAsia"/>
                <w:sz w:val="22"/>
                <w:szCs w:val="22"/>
              </w:rPr>
              <w:t>服务内容</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jc w:val="center"/>
              <w:rPr>
                <w:rFonts w:ascii="宋体" w:cs="仿宋_GB2312" w:hAnsi="宋体"/>
                <w:sz w:val="22"/>
                <w:szCs w:val="22"/>
              </w:rPr>
            </w:pPr>
            <w:r>
              <w:rPr>
                <w:rFonts w:ascii="宋体" w:cs="仿宋_GB2312" w:hAnsi="宋体" w:hint="eastAsia"/>
                <w:sz w:val="22"/>
                <w:szCs w:val="22"/>
              </w:rPr>
              <w:t>数量</w:t>
            </w:r>
          </w:p>
        </w:tc>
        <w:tc>
          <w:tcPr>
            <w:tcW w:w="81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jc w:val="center"/>
              <w:rPr>
                <w:rFonts w:ascii="宋体" w:cs="仿宋_GB2312" w:hAnsi="宋体"/>
                <w:sz w:val="22"/>
                <w:szCs w:val="22"/>
              </w:rPr>
            </w:pPr>
            <w:r>
              <w:rPr>
                <w:rFonts w:ascii="宋体" w:cs="仿宋_GB2312" w:hAnsi="宋体" w:hint="eastAsia"/>
                <w:sz w:val="22"/>
                <w:szCs w:val="22"/>
              </w:rPr>
              <w:t>单位</w:t>
            </w:r>
          </w:p>
        </w:tc>
        <w:tc>
          <w:tcPr>
            <w:tcW w:w="135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jc w:val="center"/>
              <w:rPr>
                <w:rFonts w:ascii="宋体" w:cs="仿宋_GB2312" w:hAnsi="宋体"/>
                <w:sz w:val="22"/>
                <w:szCs w:val="22"/>
              </w:rPr>
            </w:pPr>
            <w:r>
              <w:rPr>
                <w:rFonts w:ascii="宋体" w:cs="仿宋_GB2312" w:hAnsi="宋体" w:hint="eastAsia"/>
                <w:sz w:val="22"/>
                <w:szCs w:val="22"/>
              </w:rPr>
              <w:t>单价（元）</w:t>
            </w:r>
          </w:p>
        </w:tc>
        <w:tc>
          <w:tcPr>
            <w:tcW w:w="132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jc w:val="center"/>
              <w:rPr>
                <w:rFonts w:ascii="宋体" w:cs="仿宋_GB2312" w:hAnsi="宋体"/>
                <w:sz w:val="22"/>
                <w:szCs w:val="22"/>
              </w:rPr>
            </w:pPr>
            <w:r>
              <w:rPr>
                <w:rFonts w:ascii="宋体" w:cs="仿宋_GB2312" w:hAnsi="宋体" w:hint="eastAsia"/>
                <w:sz w:val="22"/>
                <w:szCs w:val="22"/>
              </w:rPr>
              <w:t>总价（元）</w:t>
            </w:r>
          </w:p>
        </w:tc>
      </w:tr>
      <w:tr>
        <w:tblPrEx/>
        <w:trPr>
          <w:cantSplit/>
          <w:trHeight w:val="285" w:hRule="atLeast"/>
        </w:trPr>
        <w:tc>
          <w:tcPr>
            <w:tcW w:w="82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jc w:val="center"/>
              <w:rPr>
                <w:rFonts w:ascii="宋体" w:cs="仿宋_GB2312" w:hAnsi="宋体"/>
                <w:sz w:val="22"/>
                <w:szCs w:val="22"/>
              </w:rPr>
            </w:pPr>
            <w:r>
              <w:rPr>
                <w:rFonts w:ascii="宋体" w:cs="仿宋_GB2312" w:hAnsi="宋体"/>
                <w:sz w:val="22"/>
                <w:szCs w:val="22"/>
              </w:rPr>
              <w:t>1</w:t>
            </w:r>
          </w:p>
        </w:tc>
        <w:tc>
          <w:tcPr>
            <w:tcW w:w="1695"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c>
          <w:tcPr>
            <w:tcW w:w="132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r>
      <w:tr>
        <w:tblPrEx/>
        <w:trPr>
          <w:cantSplit/>
          <w:trHeight w:val="270" w:hRule="atLeast"/>
        </w:trPr>
        <w:tc>
          <w:tcPr>
            <w:tcW w:w="82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jc w:val="center"/>
              <w:rPr>
                <w:rFonts w:ascii="宋体" w:cs="仿宋_GB2312" w:hAnsi="宋体"/>
                <w:sz w:val="22"/>
                <w:szCs w:val="22"/>
              </w:rPr>
            </w:pPr>
            <w:r>
              <w:rPr>
                <w:rFonts w:ascii="宋体" w:cs="仿宋_GB2312" w:hAnsi="宋体"/>
                <w:sz w:val="22"/>
                <w:szCs w:val="22"/>
              </w:rPr>
              <w:t>2</w:t>
            </w:r>
          </w:p>
        </w:tc>
        <w:tc>
          <w:tcPr>
            <w:tcW w:w="1695"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c>
          <w:tcPr>
            <w:tcW w:w="132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outlineLvl w:val="0"/>
              <w:rPr>
                <w:rFonts w:ascii="宋体" w:cs="仿宋_GB2312" w:hAnsi="宋体"/>
                <w:sz w:val="22"/>
                <w:szCs w:val="22"/>
              </w:rPr>
            </w:pPr>
          </w:p>
        </w:tc>
      </w:tr>
      <w:tr>
        <w:tblPrEx/>
        <w:trPr>
          <w:cantSplit/>
          <w:trHeight w:val="390" w:hRule="atLeast"/>
        </w:trPr>
        <w:tc>
          <w:tcPr>
            <w:tcW w:w="82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cs="仿宋_GB2312" w:hAnsi="宋体"/>
                <w:sz w:val="22"/>
                <w:szCs w:val="22"/>
              </w:rPr>
            </w:pPr>
            <w:r>
              <w:rPr>
                <w:rFonts w:ascii="宋体" w:cs="仿宋_GB2312" w:hAnsi="宋体" w:hint="eastAsia"/>
                <w:sz w:val="22"/>
                <w:szCs w:val="22"/>
              </w:rPr>
              <w:t>…</w:t>
            </w:r>
          </w:p>
        </w:tc>
        <w:tc>
          <w:tcPr>
            <w:tcW w:w="1695"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ind w:firstLine="440" w:firstLineChars="200"/>
              <w:outlineLvl w:val="2"/>
              <w:rPr>
                <w:rFonts w:ascii="宋体" w:cs="仿宋_GB2312" w:hAnsi="宋体"/>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ind w:firstLine="440" w:firstLineChars="200"/>
              <w:outlineLvl w:val="2"/>
              <w:rPr>
                <w:rFonts w:ascii="宋体" w:cs="仿宋_GB2312"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ind w:firstLine="440" w:firstLineChars="200"/>
              <w:outlineLvl w:val="2"/>
              <w:rPr>
                <w:rFonts w:ascii="宋体" w:cs="仿宋_GB2312" w:hAnsi="宋体"/>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ind w:firstLine="440" w:firstLineChars="200"/>
              <w:outlineLvl w:val="2"/>
              <w:rPr>
                <w:rFonts w:ascii="宋体" w:cs="仿宋_GB2312" w:hAnsi="宋体"/>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ind w:firstLine="440" w:firstLineChars="200"/>
              <w:outlineLvl w:val="2"/>
              <w:rPr>
                <w:rFonts w:ascii="宋体" w:cs="仿宋_GB2312" w:hAnsi="宋体"/>
                <w:sz w:val="22"/>
                <w:szCs w:val="22"/>
              </w:rPr>
            </w:pPr>
          </w:p>
        </w:tc>
        <w:tc>
          <w:tcPr>
            <w:tcW w:w="1320"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exact" w:line="420"/>
              <w:ind w:firstLine="440" w:firstLineChars="200"/>
              <w:outlineLvl w:val="2"/>
              <w:rPr>
                <w:rFonts w:ascii="宋体" w:cs="仿宋_GB2312" w:hAnsi="宋体"/>
                <w:sz w:val="22"/>
                <w:szCs w:val="22"/>
              </w:rPr>
            </w:pPr>
          </w:p>
        </w:tc>
      </w:tr>
      <w:tr>
        <w:tblPrEx/>
        <w:trPr>
          <w:cantSplit/>
          <w:trHeight w:val="531" w:hRule="atLeast"/>
        </w:trPr>
        <w:tc>
          <w:tcPr>
            <w:tcW w:w="9105" w:type="dxa"/>
            <w:gridSpan w:val="7"/>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cs="仿宋_GB2312" w:hAnsi="宋体"/>
                <w:sz w:val="22"/>
                <w:szCs w:val="22"/>
              </w:rPr>
            </w:pPr>
            <w:r>
              <w:rPr>
                <w:rFonts w:ascii="宋体" w:cs="仿宋_GB2312" w:hAnsi="宋体" w:hint="eastAsia"/>
                <w:sz w:val="22"/>
                <w:szCs w:val="22"/>
              </w:rPr>
              <w:t>合同合计金额（人民币，大写）：元整（￥）</w:t>
            </w:r>
          </w:p>
        </w:tc>
      </w:tr>
    </w:tbl>
    <w:p>
      <w:pPr>
        <w:pStyle w:val="style0"/>
        <w:spacing w:lineRule="exact" w:line="420"/>
        <w:ind w:firstLine="440" w:firstLineChars="200"/>
        <w:rPr>
          <w:rFonts w:ascii="宋体" w:cs="等线" w:hAnsi="宋体"/>
          <w:sz w:val="22"/>
          <w:szCs w:val="22"/>
        </w:rPr>
      </w:pPr>
      <w:r>
        <w:rPr>
          <w:rFonts w:ascii="宋体" w:cs="等线" w:hAnsi="宋体"/>
          <w:sz w:val="22"/>
          <w:szCs w:val="22"/>
        </w:rPr>
        <w:t>2.合同实行总承包</w:t>
      </w:r>
      <w:r>
        <w:rPr>
          <w:rFonts w:ascii="宋体" w:cs="等线" w:hAnsi="宋体" w:hint="eastAsia"/>
          <w:sz w:val="22"/>
          <w:szCs w:val="22"/>
        </w:rPr>
        <w:t>，</w:t>
      </w:r>
      <w:r>
        <w:rPr>
          <w:rFonts w:ascii="宋体" w:cs="等线" w:hAnsi="宋体" w:hint="eastAsia"/>
          <w:sz w:val="22"/>
          <w:szCs w:val="22"/>
        </w:rPr>
        <w:t>合同价</w:t>
      </w:r>
      <w:r>
        <w:rPr>
          <w:rFonts w:ascii="宋体" w:cs="等线" w:hAnsi="宋体" w:hint="eastAsia"/>
          <w:sz w:val="22"/>
          <w:szCs w:val="22"/>
        </w:rPr>
        <w:t>已包含但不限于</w:t>
      </w:r>
      <w:r>
        <w:rPr>
          <w:rFonts w:ascii="宋体" w:hAnsi="宋体"/>
          <w:kern w:val="0"/>
          <w:sz w:val="22"/>
          <w:szCs w:val="22"/>
        </w:rPr>
        <w:t>系统项目的开发、安装调试、运维的技术服务、技术支持、标准附件、运抵指定交货地点、合理利润、风险、运输、保管、项目实施过程中技术文档论证专家费用、项目验收费用等各种费用和售后服务、税金、招标代理服务费及其它所有成本费用的总和，</w:t>
      </w:r>
      <w:r>
        <w:rPr>
          <w:rFonts w:ascii="宋体" w:hAnsi="宋体" w:hint="eastAsia"/>
          <w:kern w:val="0"/>
          <w:sz w:val="22"/>
          <w:szCs w:val="22"/>
        </w:rPr>
        <w:t>甲方</w:t>
      </w:r>
      <w:r>
        <w:rPr>
          <w:rFonts w:ascii="宋体" w:hAnsi="宋体"/>
          <w:kern w:val="0"/>
          <w:sz w:val="22"/>
          <w:szCs w:val="22"/>
        </w:rPr>
        <w:t>不再支付任何费用</w:t>
      </w:r>
      <w:r>
        <w:rPr>
          <w:rFonts w:ascii="宋体" w:cs="等线" w:hAnsi="宋体"/>
          <w:sz w:val="22"/>
          <w:szCs w:val="22"/>
        </w:rPr>
        <w:t>。</w:t>
      </w:r>
    </w:p>
    <w:p>
      <w:pPr>
        <w:pStyle w:val="style0"/>
        <w:spacing w:lineRule="exact" w:line="420"/>
        <w:ind w:firstLine="442" w:firstLineChars="200"/>
        <w:rPr>
          <w:rFonts w:ascii="宋体" w:cs="等线" w:hAnsi="宋体"/>
          <w:b/>
          <w:sz w:val="22"/>
          <w:szCs w:val="22"/>
        </w:rPr>
      </w:pPr>
      <w:r>
        <w:rPr>
          <w:rFonts w:ascii="宋体" w:cs="等线" w:hAnsi="宋体"/>
          <w:b/>
          <w:bCs/>
          <w:sz w:val="22"/>
          <w:szCs w:val="22"/>
        </w:rPr>
        <w:t>第二条　质量保证</w:t>
      </w:r>
    </w:p>
    <w:p>
      <w:pPr>
        <w:pStyle w:val="style0"/>
        <w:spacing w:lineRule="exact" w:line="420"/>
        <w:ind w:firstLine="440" w:firstLineChars="200"/>
        <w:rPr>
          <w:rFonts w:ascii="宋体" w:cs="等线" w:hAnsi="宋体"/>
          <w:sz w:val="22"/>
          <w:szCs w:val="22"/>
        </w:rPr>
      </w:pPr>
      <w:r>
        <w:rPr>
          <w:rFonts w:ascii="宋体" w:cs="等线" w:hAnsi="宋体"/>
          <w:sz w:val="22"/>
          <w:szCs w:val="22"/>
        </w:rPr>
        <w:t>乙方所提供的服务、服务质量及服务内容必须与合同、招标文件、投标文件及承诺相一致，有国家强制性标准的，还必须符合国家强制性标准的规定，没有国家强制性标准但有</w:t>
      </w:r>
      <w:r>
        <w:rPr>
          <w:rFonts w:ascii="宋体" w:cs="等线" w:hAnsi="宋体" w:hint="eastAsia"/>
          <w:sz w:val="22"/>
          <w:szCs w:val="22"/>
        </w:rPr>
        <w:t>行业或地方等</w:t>
      </w:r>
      <w:r>
        <w:rPr>
          <w:rFonts w:ascii="宋体" w:cs="等线" w:hAnsi="宋体"/>
          <w:sz w:val="22"/>
          <w:szCs w:val="22"/>
        </w:rPr>
        <w:t>其他标准的，必须符合其他标准的规定。</w:t>
      </w:r>
    </w:p>
    <w:p>
      <w:pPr>
        <w:pStyle w:val="style0"/>
        <w:spacing w:lineRule="exact" w:line="420"/>
        <w:ind w:firstLine="442" w:firstLineChars="200"/>
        <w:rPr>
          <w:rFonts w:ascii="宋体" w:hAnsi="宋体"/>
          <w:sz w:val="22"/>
          <w:szCs w:val="22"/>
        </w:rPr>
      </w:pPr>
      <w:r>
        <w:rPr>
          <w:rFonts w:ascii="宋体" w:hAnsi="宋体" w:hint="eastAsia"/>
          <w:b/>
          <w:bCs/>
          <w:sz w:val="22"/>
          <w:szCs w:val="22"/>
        </w:rPr>
        <w:t>第三条权利</w:t>
      </w:r>
      <w:r>
        <w:rPr>
          <w:rFonts w:ascii="宋体" w:cs="等线" w:hAnsi="宋体" w:hint="eastAsia"/>
          <w:b/>
          <w:bCs/>
          <w:sz w:val="22"/>
          <w:szCs w:val="22"/>
        </w:rPr>
        <w:t>保证</w:t>
      </w:r>
    </w:p>
    <w:p>
      <w:pPr>
        <w:pStyle w:val="style0"/>
        <w:spacing w:lineRule="exact" w:line="420"/>
        <w:ind w:firstLine="440" w:firstLineChars="200"/>
        <w:rPr>
          <w:rFonts w:ascii="宋体" w:cs="等线" w:hAnsi="宋体"/>
          <w:sz w:val="22"/>
          <w:szCs w:val="22"/>
        </w:rPr>
      </w:pPr>
      <w:r>
        <w:rPr>
          <w:rFonts w:ascii="宋体" w:cs="等线" w:hAnsi="宋体"/>
          <w:sz w:val="22"/>
          <w:szCs w:val="22"/>
        </w:rPr>
        <w:t>1、乙方应保证所提供服务在使用时不会侵犯任何第三方的专利权、商标权、工业设计权等知识产权及其他合法权利，且所有权、处分权等没有受到任何限制。</w:t>
      </w:r>
    </w:p>
    <w:p>
      <w:pPr>
        <w:pStyle w:val="style0"/>
        <w:spacing w:lineRule="exact" w:line="420"/>
        <w:ind w:firstLine="440" w:firstLineChars="200"/>
        <w:rPr>
          <w:rFonts w:ascii="宋体" w:cs="等线" w:hAnsi="宋体"/>
          <w:sz w:val="22"/>
          <w:szCs w:val="22"/>
        </w:rPr>
      </w:pPr>
      <w:r>
        <w:rPr>
          <w:rFonts w:ascii="宋体" w:cs="等线" w:hAnsi="宋体"/>
          <w:sz w:val="22"/>
          <w:szCs w:val="22"/>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w:t>
      </w:r>
      <w:r>
        <w:rPr>
          <w:rFonts w:ascii="宋体" w:cs="等线" w:hAnsi="宋体"/>
          <w:sz w:val="22"/>
          <w:szCs w:val="22"/>
        </w:rPr>
        <w:t>者无效而解除。</w:t>
      </w:r>
    </w:p>
    <w:p>
      <w:pPr>
        <w:pStyle w:val="style0"/>
        <w:spacing w:lineRule="exact" w:line="420"/>
        <w:ind w:firstLine="440" w:firstLineChars="200"/>
        <w:rPr>
          <w:rFonts w:ascii="宋体" w:cs="等线" w:hAnsi="宋体"/>
          <w:sz w:val="22"/>
          <w:szCs w:val="22"/>
        </w:rPr>
      </w:pPr>
      <w:r>
        <w:rPr>
          <w:rFonts w:ascii="宋体" w:cs="等线" w:hAnsi="宋体"/>
          <w:sz w:val="22"/>
          <w:szCs w:val="22"/>
        </w:rPr>
        <w:t>3、乙方应按投标文件承诺的时间向甲方提供使用服务成果的有关技术资料，但不得晚于招标文件的要求；乙方未交付技术资料的，视为没有交付服务成果及货物。</w:t>
      </w:r>
    </w:p>
    <w:p>
      <w:pPr>
        <w:pStyle w:val="style0"/>
        <w:spacing w:lineRule="exact" w:line="420"/>
        <w:ind w:firstLine="440" w:firstLineChars="200"/>
        <w:rPr>
          <w:rFonts w:ascii="宋体" w:cs="等线" w:hAnsi="宋体"/>
          <w:sz w:val="22"/>
          <w:szCs w:val="22"/>
        </w:rPr>
      </w:pPr>
      <w:r>
        <w:rPr>
          <w:rFonts w:ascii="宋体" w:cs="等线" w:hAnsi="宋体"/>
          <w:sz w:val="22"/>
          <w:szCs w:val="22"/>
        </w:rPr>
        <w:t>4、本项目中产生的新技术成果所有权及知识产权归甲方所有，未经甲方书面许可，乙方不得随意使用或许可第三人使用，包括不得在评奖、教学、著作、研讨等非营利性活动中使用。</w:t>
      </w:r>
    </w:p>
    <w:p>
      <w:pPr>
        <w:pStyle w:val="style0"/>
        <w:spacing w:lineRule="exact" w:line="420"/>
        <w:ind w:firstLine="440" w:firstLineChars="200"/>
        <w:rPr>
          <w:rFonts w:ascii="宋体" w:cs="等线" w:hAnsi="宋体"/>
          <w:sz w:val="22"/>
          <w:szCs w:val="22"/>
        </w:rPr>
      </w:pPr>
      <w:r>
        <w:rPr>
          <w:rFonts w:ascii="宋体" w:cs="等线" w:hAnsi="宋体"/>
          <w:sz w:val="22"/>
          <w:szCs w:val="22"/>
        </w:rPr>
        <w:t>5、甲方提供给乙方的相关资料的知识产权及其相关权利永久归属甲方所有，未经甲方书面同意，乙方不得随意使用或许可第三人使用，不得用于其他商业或宣传用途，包括不得在评奖、教学、著作、研讨等非营利性活动中使用。</w:t>
      </w:r>
    </w:p>
    <w:p>
      <w:pPr>
        <w:pStyle w:val="style0"/>
        <w:spacing w:lineRule="exact" w:line="420"/>
        <w:ind w:firstLine="442" w:firstLineChars="200"/>
        <w:rPr>
          <w:rFonts w:ascii="宋体" w:hAnsi="宋体"/>
          <w:sz w:val="22"/>
          <w:szCs w:val="22"/>
        </w:rPr>
      </w:pPr>
      <w:r>
        <w:rPr>
          <w:rFonts w:ascii="宋体" w:hAnsi="宋体" w:hint="eastAsia"/>
          <w:b/>
          <w:bCs/>
          <w:sz w:val="22"/>
          <w:szCs w:val="22"/>
        </w:rPr>
        <w:t>第四条交付和验收</w:t>
      </w:r>
    </w:p>
    <w:p>
      <w:pPr>
        <w:pStyle w:val="style0"/>
        <w:spacing w:lineRule="exact" w:line="420"/>
        <w:ind w:firstLine="440" w:firstLineChars="200"/>
        <w:rPr>
          <w:rFonts w:ascii="宋体" w:cs="等线" w:hAnsi="宋体"/>
          <w:sz w:val="22"/>
          <w:szCs w:val="22"/>
        </w:rPr>
      </w:pPr>
      <w:r>
        <w:rPr>
          <w:rFonts w:ascii="宋体" w:cs="等线" w:hAnsi="宋体"/>
          <w:sz w:val="22"/>
          <w:szCs w:val="22"/>
        </w:rPr>
        <w:t>1、</w:t>
      </w:r>
      <w:r>
        <w:rPr>
          <w:rFonts w:ascii="宋体" w:cs="等线" w:hAnsi="宋体" w:hint="eastAsia"/>
          <w:sz w:val="22"/>
          <w:szCs w:val="22"/>
        </w:rPr>
        <w:t>交付服务成果时间</w:t>
      </w:r>
      <w:r>
        <w:rPr>
          <w:rFonts w:ascii="宋体" w:cs="等线" w:hAnsi="宋体"/>
          <w:sz w:val="22"/>
          <w:szCs w:val="22"/>
        </w:rPr>
        <w:t>：</w:t>
      </w:r>
      <w:r>
        <w:rPr>
          <w:rFonts w:ascii="宋体" w:cs="等线" w:hAnsi="宋体" w:hint="eastAsia"/>
          <w:sz w:val="22"/>
          <w:szCs w:val="22"/>
        </w:rPr>
        <w:t>合同签订之日起</w:t>
      </w:r>
      <w:r>
        <w:rPr>
          <w:rFonts w:ascii="宋体" w:cs="等线" w:hAnsi="宋体"/>
          <w:sz w:val="22"/>
          <w:szCs w:val="22"/>
        </w:rPr>
        <w:t>180日</w:t>
      </w:r>
      <w:r>
        <w:rPr>
          <w:rFonts w:ascii="宋体" w:cs="等线" w:hAnsi="宋体" w:hint="eastAsia"/>
          <w:sz w:val="22"/>
          <w:szCs w:val="22"/>
        </w:rPr>
        <w:t>历天内完成全部系统安装、调试完毕，功能无缺陷且达到验收合格标准交付采购人使用；</w:t>
      </w:r>
    </w:p>
    <w:p>
      <w:pPr>
        <w:pStyle w:val="style0"/>
        <w:spacing w:lineRule="exact" w:line="420"/>
        <w:ind w:firstLine="440" w:firstLineChars="200"/>
        <w:rPr>
          <w:rFonts w:ascii="宋体" w:cs="等线" w:hAnsi="宋体"/>
          <w:sz w:val="22"/>
          <w:szCs w:val="22"/>
        </w:rPr>
      </w:pPr>
      <w:r>
        <w:rPr>
          <w:rFonts w:ascii="宋体" w:cs="等线" w:hAnsi="宋体" w:hint="eastAsia"/>
          <w:sz w:val="22"/>
          <w:szCs w:val="22"/>
        </w:rPr>
        <w:t>交付地点：</w:t>
      </w:r>
      <w:r>
        <w:rPr>
          <w:rFonts w:ascii="宋体" w:cs="等线" w:hAnsi="宋体" w:hint="eastAsia"/>
          <w:sz w:val="22"/>
          <w:szCs w:val="22"/>
          <w:u w:val="single"/>
        </w:rPr>
        <w:t>采购人指定地点</w:t>
      </w:r>
      <w:r>
        <w:rPr>
          <w:rFonts w:ascii="宋体" w:cs="等线" w:hAnsi="宋体" w:hint="eastAsia"/>
          <w:sz w:val="22"/>
          <w:szCs w:val="22"/>
        </w:rPr>
        <w:t>。</w:t>
      </w:r>
    </w:p>
    <w:p>
      <w:pPr>
        <w:pStyle w:val="style0"/>
        <w:spacing w:lineRule="exact" w:line="420"/>
        <w:ind w:firstLine="440" w:firstLineChars="200"/>
        <w:rPr>
          <w:rFonts w:ascii="宋体" w:cs="等线" w:hAnsi="宋体"/>
          <w:sz w:val="22"/>
          <w:szCs w:val="22"/>
        </w:rPr>
      </w:pPr>
      <w:r>
        <w:rPr>
          <w:rFonts w:ascii="宋体" w:cs="等线" w:hAnsi="宋体"/>
          <w:sz w:val="22"/>
          <w:szCs w:val="22"/>
        </w:rPr>
        <w:t>2、乙方提供不符合招标文件的、响应文件承诺的或不符合本合同规定的服务或服务成果的，甲方有权拒绝接受。</w:t>
      </w:r>
    </w:p>
    <w:p>
      <w:pPr>
        <w:pStyle w:val="style0"/>
        <w:spacing w:lineRule="exact" w:line="420"/>
        <w:ind w:firstLine="440" w:firstLineChars="200"/>
        <w:rPr>
          <w:rFonts w:ascii="宋体" w:cs="等线" w:hAnsi="宋体"/>
          <w:sz w:val="22"/>
          <w:szCs w:val="22"/>
        </w:rPr>
      </w:pPr>
      <w:r>
        <w:rPr>
          <w:rFonts w:ascii="宋体" w:cs="等线" w:hAnsi="宋体"/>
          <w:sz w:val="22"/>
          <w:szCs w:val="22"/>
        </w:rPr>
        <w:t>3、乙方应对提交的服务成果作出全面检查和对验收文件进行整理，并列出清单，作为甲方验收和使用的技术条件依据，检验的结果应随提交的服务成果交甲方。</w:t>
      </w:r>
    </w:p>
    <w:p>
      <w:pPr>
        <w:pStyle w:val="style0"/>
        <w:spacing w:lineRule="exact" w:line="420"/>
        <w:ind w:firstLine="440" w:firstLineChars="200"/>
        <w:rPr>
          <w:rFonts w:ascii="宋体" w:cs="等线" w:hAnsi="宋体"/>
          <w:sz w:val="22"/>
          <w:szCs w:val="22"/>
        </w:rPr>
      </w:pPr>
      <w:r>
        <w:rPr>
          <w:rFonts w:ascii="宋体" w:cs="等线" w:hAnsi="宋体"/>
          <w:sz w:val="22"/>
          <w:szCs w:val="22"/>
        </w:rPr>
        <w:t>4、乙方完成服务后应及时书面通知甲方进行验收，验收合格后由甲乙双方签署验收单并加盖甲方公章，甲乙双方各执一份。</w:t>
      </w:r>
    </w:p>
    <w:p>
      <w:pPr>
        <w:pStyle w:val="style0"/>
        <w:spacing w:lineRule="exact" w:line="420"/>
        <w:ind w:firstLine="440" w:firstLineChars="200"/>
        <w:rPr>
          <w:rFonts w:ascii="宋体" w:cs="等线" w:hAnsi="宋体"/>
          <w:sz w:val="22"/>
          <w:szCs w:val="22"/>
        </w:rPr>
      </w:pPr>
      <w:r>
        <w:rPr>
          <w:rFonts w:ascii="宋体" w:cs="等线" w:hAnsi="宋体"/>
          <w:sz w:val="22"/>
          <w:szCs w:val="22"/>
        </w:rPr>
        <w:t>5、甲方在初步验收或者最终验收过程中如发现乙方提供的服务成果不满足投标文件及本合同规定的，可暂缓向乙方付款，乙方应在甲方规定的时间内及时予以解决，不得拒绝和延误；直到乙方及时完善并提交相应的服务成果且经甲方验收合格后，方可办理付款。</w:t>
      </w:r>
    </w:p>
    <w:p>
      <w:pPr>
        <w:pStyle w:val="style0"/>
        <w:spacing w:lineRule="exact" w:line="420"/>
        <w:ind w:firstLine="440" w:firstLineChars="200"/>
        <w:rPr>
          <w:rFonts w:ascii="宋体" w:cs="等线" w:hAnsi="宋体"/>
          <w:sz w:val="22"/>
          <w:szCs w:val="22"/>
        </w:rPr>
      </w:pPr>
      <w:r>
        <w:rPr>
          <w:rFonts w:ascii="宋体" w:cs="等线" w:hAnsi="宋体"/>
          <w:sz w:val="22"/>
          <w:szCs w:val="22"/>
        </w:rPr>
        <w:t>6、若甲方委托采购代理机构组织的验收项目，其验收时间以该项目验收方案确定的验收时间为准，验收结果以该项目验收报告结论为准。</w:t>
      </w:r>
    </w:p>
    <w:p>
      <w:pPr>
        <w:pStyle w:val="style0"/>
        <w:spacing w:lineRule="exact" w:line="420"/>
        <w:ind w:firstLine="440" w:firstLineChars="200"/>
        <w:rPr>
          <w:rFonts w:ascii="宋体" w:cs="等线" w:hAnsi="宋体"/>
          <w:sz w:val="22"/>
          <w:szCs w:val="22"/>
        </w:rPr>
      </w:pPr>
      <w:r>
        <w:rPr>
          <w:rFonts w:ascii="宋体" w:cs="等线" w:hAnsi="宋体"/>
          <w:sz w:val="22"/>
          <w:szCs w:val="22"/>
        </w:rPr>
        <w:t>7、甲方对验收或在验收过程中有异议的，乙方应自收到甲方书面异议后5个工作日内及时予以解决，否则甲方有权不出具服务验收合格单并且视为验收不合格。</w:t>
      </w:r>
    </w:p>
    <w:p>
      <w:pPr>
        <w:pStyle w:val="style0"/>
        <w:spacing w:lineRule="exact" w:line="420"/>
        <w:ind w:firstLine="440" w:firstLineChars="200"/>
        <w:rPr>
          <w:rFonts w:ascii="宋体" w:cs="等线" w:hAnsi="宋体"/>
          <w:sz w:val="22"/>
          <w:szCs w:val="22"/>
        </w:rPr>
      </w:pPr>
      <w:r>
        <w:rPr>
          <w:rFonts w:ascii="宋体" w:cs="等线" w:hAnsi="宋体"/>
          <w:sz w:val="22"/>
          <w:szCs w:val="22"/>
        </w:rPr>
        <w:t>8、对技术复杂的服务成果，甲方可邀请国家认可的专业检测机构参与初步验收及最终验收，并由其出具质量检测报告。</w:t>
      </w:r>
    </w:p>
    <w:p>
      <w:pPr>
        <w:pStyle w:val="style0"/>
        <w:spacing w:lineRule="exact" w:line="420"/>
        <w:ind w:firstLine="440" w:firstLineChars="200"/>
        <w:rPr>
          <w:rFonts w:ascii="宋体" w:cs="等线" w:hAnsi="宋体"/>
          <w:sz w:val="22"/>
          <w:szCs w:val="22"/>
        </w:rPr>
      </w:pPr>
      <w:r>
        <w:rPr>
          <w:rFonts w:ascii="宋体" w:cs="等线" w:hAnsi="宋体"/>
          <w:sz w:val="22"/>
          <w:szCs w:val="22"/>
        </w:rPr>
        <w:t>9、因验收产生的一切费用均由乙方承担。</w:t>
      </w:r>
    </w:p>
    <w:p>
      <w:pPr>
        <w:pStyle w:val="style0"/>
        <w:spacing w:lineRule="exact" w:line="420"/>
        <w:ind w:firstLine="442" w:firstLineChars="200"/>
        <w:rPr>
          <w:rFonts w:ascii="宋体" w:hAnsi="宋体"/>
          <w:b/>
          <w:bCs/>
          <w:sz w:val="22"/>
          <w:szCs w:val="22"/>
        </w:rPr>
      </w:pPr>
      <w:r>
        <w:rPr>
          <w:rFonts w:ascii="宋体" w:hAnsi="宋体" w:hint="eastAsia"/>
          <w:b/>
          <w:bCs/>
          <w:sz w:val="22"/>
          <w:szCs w:val="22"/>
        </w:rPr>
        <w:t>第五条培训</w:t>
      </w:r>
    </w:p>
    <w:p>
      <w:pPr>
        <w:pStyle w:val="style0"/>
        <w:spacing w:lineRule="exact" w:line="420"/>
        <w:ind w:firstLine="440" w:firstLineChars="200"/>
        <w:rPr>
          <w:rFonts w:ascii="宋体" w:hAnsi="宋体"/>
          <w:sz w:val="22"/>
          <w:szCs w:val="22"/>
        </w:rPr>
      </w:pPr>
      <w:r>
        <w:rPr>
          <w:rFonts w:ascii="宋体" w:cs="等线" w:hAnsi="宋体" w:hint="eastAsia"/>
          <w:sz w:val="22"/>
          <w:szCs w:val="22"/>
        </w:rPr>
        <w:t>乙方负责甲方有关人员的培训。培训时间、地点：</w:t>
      </w:r>
      <w:r>
        <w:rPr>
          <w:rFonts w:ascii="宋体" w:cs="等线" w:hAnsi="宋体" w:hint="eastAsia"/>
          <w:sz w:val="22"/>
          <w:szCs w:val="22"/>
          <w:u w:val="single"/>
        </w:rPr>
        <w:t>由甲方指定。</w:t>
      </w:r>
    </w:p>
    <w:p>
      <w:pPr>
        <w:pStyle w:val="style0"/>
        <w:snapToGrid w:val="false"/>
        <w:spacing w:lineRule="exact" w:line="420"/>
        <w:ind w:firstLine="442" w:firstLineChars="200"/>
        <w:rPr>
          <w:rFonts w:ascii="宋体" w:hAnsi="宋体"/>
          <w:b/>
          <w:bCs/>
          <w:kern w:val="0"/>
          <w:sz w:val="22"/>
          <w:szCs w:val="22"/>
        </w:rPr>
      </w:pPr>
      <w:r>
        <w:rPr>
          <w:rFonts w:ascii="宋体" w:hAnsi="宋体" w:hint="eastAsia"/>
          <w:b/>
          <w:bCs/>
          <w:kern w:val="0"/>
          <w:sz w:val="22"/>
          <w:szCs w:val="22"/>
        </w:rPr>
        <w:t>第六条售后服务、维保期</w:t>
      </w:r>
    </w:p>
    <w:p>
      <w:pPr>
        <w:pStyle w:val="style0"/>
        <w:spacing w:lineRule="exact" w:line="420"/>
        <w:ind w:firstLine="440" w:firstLineChars="200"/>
        <w:rPr>
          <w:rFonts w:ascii="宋体" w:cs="等线" w:hAnsi="宋体"/>
          <w:sz w:val="22"/>
          <w:szCs w:val="22"/>
        </w:rPr>
      </w:pPr>
      <w:r>
        <w:rPr>
          <w:rFonts w:ascii="宋体" w:cs="等线" w:hAnsi="宋体"/>
          <w:sz w:val="22"/>
          <w:szCs w:val="22"/>
        </w:rPr>
        <w:t>1、乙方应按照国家有关法律法规和“三包”规定以及招标文件</w:t>
      </w:r>
      <w:r>
        <w:rPr>
          <w:rFonts w:ascii="宋体" w:cs="等线" w:hAnsi="宋体" w:hint="eastAsia"/>
          <w:sz w:val="22"/>
          <w:szCs w:val="22"/>
        </w:rPr>
        <w:t>、响应文件和本合同所附的服务承诺，为甲方提供售后服务。</w:t>
      </w:r>
    </w:p>
    <w:p>
      <w:pPr>
        <w:pStyle w:val="style0"/>
        <w:spacing w:lineRule="exact" w:line="420"/>
        <w:ind w:firstLine="440" w:firstLineChars="200"/>
        <w:rPr>
          <w:rFonts w:ascii="宋体" w:cs="等线" w:hAnsi="宋体"/>
          <w:sz w:val="22"/>
          <w:szCs w:val="22"/>
        </w:rPr>
      </w:pPr>
      <w:r>
        <w:rPr>
          <w:rFonts w:ascii="宋体" w:cs="等线" w:hAnsi="宋体"/>
          <w:sz w:val="22"/>
          <w:szCs w:val="22"/>
        </w:rPr>
        <w:t>2、乙方应按招标文件规定的技术要求、质量标准向甲方提供服务。不符合要求者，根据实际情</w:t>
      </w:r>
      <w:r>
        <w:rPr>
          <w:rFonts w:ascii="宋体" w:cs="等线" w:hAnsi="宋体"/>
          <w:sz w:val="22"/>
          <w:szCs w:val="22"/>
        </w:rPr>
        <w:t>况，经双方协商，可按以下办法处理：</w:t>
      </w:r>
    </w:p>
    <w:p>
      <w:pPr>
        <w:pStyle w:val="style0"/>
        <w:spacing w:lineRule="exact" w:line="420"/>
        <w:ind w:firstLine="440" w:firstLineChars="200"/>
        <w:rPr>
          <w:rFonts w:ascii="宋体" w:cs="等线" w:hAnsi="宋体"/>
          <w:sz w:val="22"/>
          <w:szCs w:val="22"/>
        </w:rPr>
      </w:pPr>
      <w:r>
        <w:rPr>
          <w:rFonts w:ascii="宋体" w:cs="等线" w:hAnsi="宋体" w:hint="eastAsia"/>
          <w:sz w:val="22"/>
          <w:szCs w:val="22"/>
        </w:rPr>
        <w:t>⑴整改：由乙方承担所发生的全部费用。</w:t>
      </w:r>
    </w:p>
    <w:p>
      <w:pPr>
        <w:pStyle w:val="style0"/>
        <w:spacing w:lineRule="exact" w:line="420"/>
        <w:ind w:firstLine="440" w:firstLineChars="200"/>
        <w:rPr>
          <w:rFonts w:ascii="宋体" w:cs="等线" w:hAnsi="宋体"/>
          <w:sz w:val="22"/>
          <w:szCs w:val="22"/>
        </w:rPr>
      </w:pPr>
      <w:r>
        <w:rPr>
          <w:rFonts w:ascii="宋体" w:cs="等线" w:hAnsi="宋体" w:hint="eastAsia"/>
          <w:sz w:val="22"/>
          <w:szCs w:val="22"/>
        </w:rPr>
        <w:t>⑵贬值处理：由甲乙双方合议定价。</w:t>
      </w:r>
    </w:p>
    <w:p>
      <w:pPr>
        <w:pStyle w:val="style0"/>
        <w:spacing w:lineRule="exact" w:line="420"/>
        <w:ind w:firstLine="440" w:firstLineChars="200"/>
        <w:rPr>
          <w:rFonts w:ascii="宋体" w:cs="等线" w:hAnsi="宋体"/>
          <w:sz w:val="22"/>
          <w:szCs w:val="22"/>
        </w:rPr>
      </w:pPr>
      <w:r>
        <w:rPr>
          <w:rFonts w:ascii="宋体" w:cs="等线" w:hAnsi="宋体" w:hint="eastAsia"/>
          <w:sz w:val="22"/>
          <w:szCs w:val="22"/>
        </w:rPr>
        <w:t>⑶退款处理：乙方应退还甲方支付的合同款，同时应承担全部服务的直接费用（运输、保险、检验、利息及银行手续费等）。</w:t>
      </w:r>
    </w:p>
    <w:p>
      <w:pPr>
        <w:pStyle w:val="style0"/>
        <w:spacing w:lineRule="exact" w:line="420"/>
        <w:ind w:firstLine="440" w:firstLineChars="200"/>
        <w:rPr>
          <w:rFonts w:ascii="宋体" w:cs="等线" w:hAnsi="宋体"/>
          <w:sz w:val="22"/>
          <w:szCs w:val="22"/>
        </w:rPr>
      </w:pPr>
      <w:r>
        <w:rPr>
          <w:rFonts w:ascii="宋体" w:cs="等线" w:hAnsi="宋体"/>
          <w:sz w:val="22"/>
          <w:szCs w:val="22"/>
        </w:rPr>
        <w:t>3、在维保期内，乙方应对服务成果出现的问题负责处理解决并承担一切费用。</w:t>
      </w:r>
    </w:p>
    <w:p>
      <w:pPr>
        <w:pStyle w:val="style0"/>
        <w:spacing w:lineRule="exact" w:line="420"/>
        <w:ind w:firstLine="440" w:firstLineChars="200"/>
        <w:rPr>
          <w:rFonts w:ascii="宋体" w:cs="等线" w:hAnsi="宋体"/>
          <w:sz w:val="22"/>
          <w:szCs w:val="22"/>
        </w:rPr>
      </w:pPr>
      <w:r>
        <w:rPr>
          <w:rFonts w:ascii="宋体" w:cs="等线" w:hAnsi="宋体"/>
          <w:sz w:val="22"/>
          <w:szCs w:val="22"/>
        </w:rPr>
        <w:t>4、乙方提供的服务承诺和售后服务及维保期责任等其它具体约定事项。（见合同附件）</w:t>
      </w:r>
    </w:p>
    <w:p>
      <w:pPr>
        <w:pStyle w:val="style0"/>
        <w:spacing w:lineRule="exact" w:line="420"/>
        <w:ind w:firstLine="442" w:firstLineChars="200"/>
        <w:rPr>
          <w:rFonts w:ascii="宋体" w:hAnsi="宋体"/>
          <w:kern w:val="0"/>
          <w:sz w:val="22"/>
          <w:szCs w:val="22"/>
        </w:rPr>
      </w:pPr>
      <w:r>
        <w:rPr>
          <w:rFonts w:ascii="宋体" w:hAnsi="宋体" w:hint="eastAsia"/>
          <w:b/>
          <w:bCs/>
          <w:kern w:val="0"/>
          <w:sz w:val="22"/>
          <w:szCs w:val="22"/>
        </w:rPr>
        <w:t>第七条付款</w:t>
      </w:r>
      <w:r>
        <w:rPr>
          <w:rFonts w:ascii="宋体" w:hAnsi="宋体" w:hint="eastAsia"/>
          <w:b/>
          <w:bCs/>
          <w:sz w:val="22"/>
          <w:szCs w:val="22"/>
        </w:rPr>
        <w:t>方式</w:t>
      </w:r>
    </w:p>
    <w:p>
      <w:pPr>
        <w:pStyle w:val="style0"/>
        <w:spacing w:lineRule="exact" w:line="420"/>
        <w:ind w:firstLine="440" w:firstLineChars="200"/>
        <w:rPr>
          <w:rFonts w:ascii="宋体" w:cs="等线" w:hAnsi="宋体"/>
          <w:sz w:val="22"/>
          <w:szCs w:val="22"/>
        </w:rPr>
      </w:pPr>
      <w:r>
        <w:rPr>
          <w:rFonts w:ascii="宋体" w:cs="等线" w:hAnsi="宋体" w:hint="eastAsia"/>
          <w:sz w:val="22"/>
          <w:szCs w:val="22"/>
        </w:rPr>
        <w:t>甲乙双方同意本合同金额的支付按以下第</w:t>
      </w:r>
      <w:r>
        <w:rPr>
          <w:rFonts w:ascii="宋体" w:cs="等线" w:hAnsi="宋体"/>
          <w:sz w:val="22"/>
          <w:szCs w:val="22"/>
          <w:u w:val="single"/>
        </w:rPr>
        <w:t xml:space="preserve"> 2 </w:t>
      </w:r>
      <w:r>
        <w:rPr>
          <w:rFonts w:ascii="宋体" w:cs="等线" w:hAnsi="宋体" w:hint="eastAsia"/>
          <w:sz w:val="22"/>
          <w:szCs w:val="22"/>
        </w:rPr>
        <w:t>项约定执行：</w:t>
      </w:r>
    </w:p>
    <w:p>
      <w:pPr>
        <w:pStyle w:val="style0"/>
        <w:spacing w:lineRule="exact" w:line="420"/>
        <w:ind w:firstLine="440" w:firstLineChars="200"/>
        <w:outlineLvl w:val="1"/>
        <w:rPr>
          <w:rFonts w:ascii="宋体" w:cs="等线" w:hAnsi="宋体"/>
          <w:sz w:val="22"/>
          <w:szCs w:val="22"/>
        </w:rPr>
      </w:pPr>
      <w:r>
        <w:rPr>
          <w:rFonts w:ascii="宋体" w:cs="等线" w:hAnsi="宋体"/>
          <w:sz w:val="22"/>
          <w:szCs w:val="22"/>
        </w:rPr>
        <w:t>1、一次性支付</w:t>
      </w:r>
    </w:p>
    <w:p>
      <w:pPr>
        <w:pStyle w:val="style0"/>
        <w:spacing w:lineRule="exact" w:line="420"/>
        <w:ind w:firstLine="440" w:firstLineChars="200"/>
        <w:outlineLvl w:val="1"/>
        <w:rPr>
          <w:rFonts w:ascii="宋体" w:cs="等线" w:hAnsi="宋体"/>
          <w:sz w:val="22"/>
          <w:szCs w:val="22"/>
        </w:rPr>
      </w:pPr>
      <w:r>
        <w:rPr>
          <w:rFonts w:ascii="宋体" w:cs="等线" w:hAnsi="宋体"/>
          <w:sz w:val="22"/>
          <w:szCs w:val="22"/>
        </w:rPr>
        <w:t>2、分期支付</w:t>
      </w:r>
    </w:p>
    <w:p>
      <w:pPr>
        <w:pStyle w:val="style0"/>
        <w:snapToGrid w:val="false"/>
        <w:spacing w:lineRule="exact" w:line="420"/>
        <w:ind w:firstLine="420" w:firstLineChars="200"/>
        <w:rPr>
          <w:rFonts w:ascii="宋体" w:cs="宋体" w:eastAsia="宋体" w:hAnsi="宋体"/>
          <w:sz w:val="22"/>
          <w:szCs w:val="22"/>
        </w:rPr>
      </w:pPr>
      <w:r>
        <w:rPr>
          <w:rFonts w:ascii="宋体" w:eastAsia="宋体" w:hAnsi="宋体" w:hint="eastAsia"/>
          <w:kern w:val="0"/>
          <w:szCs w:val="21"/>
        </w:rPr>
        <w:t>自合同签订之日起，甲方收到乙方履约保证金后，甲方向乙方支付30%的合同价款；系统安装、调试完毕并在建设单位组织完成内部初验后支付40%的合同价款；在公安厅科信办完成项目初验及档案验收合格后支付20%的合同价款；试运行1个月后，在自治区大数据发展局完成项目竣工验收后支付10%的合同价款。每次支付合同价款前乙方须提供相应金额发票。如乙方未按约定开具等额有效发票的，甲方有权拒付本期合同款并不因此承担任何责任。</w:t>
      </w:r>
    </w:p>
    <w:p>
      <w:pPr>
        <w:pStyle w:val="style0"/>
        <w:snapToGrid w:val="false"/>
        <w:spacing w:lineRule="exact" w:line="420"/>
        <w:ind w:firstLine="442" w:firstLineChars="200"/>
        <w:rPr>
          <w:rFonts w:ascii="宋体" w:hAnsi="宋体"/>
          <w:b/>
          <w:bCs/>
          <w:kern w:val="0"/>
          <w:sz w:val="22"/>
          <w:szCs w:val="22"/>
        </w:rPr>
      </w:pPr>
      <w:r>
        <w:rPr>
          <w:rFonts w:ascii="宋体" w:hAnsi="宋体" w:hint="eastAsia"/>
          <w:b/>
          <w:bCs/>
          <w:kern w:val="0"/>
          <w:sz w:val="22"/>
          <w:szCs w:val="22"/>
        </w:rPr>
        <w:t>第八条履约保证金：</w:t>
      </w:r>
    </w:p>
    <w:p>
      <w:pPr>
        <w:pStyle w:val="style0"/>
        <w:spacing w:lineRule="exact" w:line="420"/>
        <w:ind w:firstLine="440" w:firstLineChars="200"/>
        <w:rPr>
          <w:rFonts w:ascii="宋体" w:cs="等线" w:hAnsi="宋体"/>
          <w:sz w:val="22"/>
          <w:szCs w:val="22"/>
        </w:rPr>
      </w:pPr>
      <w:r>
        <w:rPr>
          <w:rFonts w:ascii="宋体" w:cs="等线" w:hAnsi="宋体"/>
          <w:sz w:val="22"/>
          <w:szCs w:val="22"/>
        </w:rPr>
        <w:t>1、履约保证金：按合同金额的</w:t>
      </w:r>
      <w:r>
        <w:rPr>
          <w:rFonts w:ascii="宋体" w:cs="等线" w:hAnsi="宋体" w:hint="eastAsia"/>
          <w:sz w:val="22"/>
          <w:szCs w:val="22"/>
        </w:rPr>
        <w:t>5</w:t>
      </w:r>
      <w:r>
        <w:rPr>
          <w:rFonts w:ascii="宋体" w:cs="等线" w:hAnsi="宋体"/>
          <w:sz w:val="22"/>
          <w:szCs w:val="22"/>
        </w:rPr>
        <w:t>%收取</w:t>
      </w:r>
      <w:r>
        <w:rPr>
          <w:rFonts w:ascii="宋体" w:cs="等线" w:hAnsi="宋体" w:hint="eastAsia"/>
          <w:sz w:val="22"/>
          <w:szCs w:val="22"/>
        </w:rPr>
        <w:t>（乙方若为中小企业的按合同金额的2%）</w:t>
      </w:r>
      <w:r>
        <w:rPr>
          <w:rFonts w:ascii="宋体" w:cs="等线" w:hAnsi="宋体"/>
          <w:sz w:val="22"/>
          <w:szCs w:val="22"/>
        </w:rPr>
        <w:t>。</w:t>
      </w:r>
    </w:p>
    <w:p>
      <w:pPr>
        <w:pStyle w:val="style0"/>
        <w:spacing w:lineRule="exact" w:line="420"/>
        <w:ind w:firstLine="440" w:firstLineChars="200"/>
        <w:rPr>
          <w:rFonts w:ascii="宋体" w:cs="等线" w:hAnsi="宋体"/>
          <w:sz w:val="22"/>
          <w:szCs w:val="22"/>
        </w:rPr>
      </w:pPr>
      <w:r>
        <w:rPr>
          <w:rFonts w:ascii="宋体" w:cs="等线" w:hAnsi="宋体"/>
          <w:sz w:val="22"/>
          <w:szCs w:val="22"/>
        </w:rPr>
        <w:t>2、履约保证金递交时间：签订合同后5个工作日内由乙方转入甲方指定保证金账户：</w:t>
      </w:r>
    </w:p>
    <w:p>
      <w:pPr>
        <w:pStyle w:val="style0"/>
        <w:spacing w:lineRule="exact" w:line="420"/>
        <w:ind w:firstLine="440" w:firstLineChars="200"/>
        <w:rPr>
          <w:rFonts w:ascii="宋体" w:cs="等线" w:hAnsi="宋体"/>
          <w:sz w:val="22"/>
          <w:szCs w:val="22"/>
        </w:rPr>
      </w:pPr>
      <w:r>
        <w:rPr>
          <w:rFonts w:ascii="宋体" w:cs="等线" w:hAnsi="宋体" w:hint="eastAsia"/>
          <w:sz w:val="22"/>
          <w:szCs w:val="22"/>
        </w:rPr>
        <w:t>开户名称：广西壮族自治区公安厅</w:t>
      </w:r>
    </w:p>
    <w:p>
      <w:pPr>
        <w:pStyle w:val="style0"/>
        <w:spacing w:lineRule="exact" w:line="420"/>
        <w:ind w:firstLine="440" w:firstLineChars="200"/>
        <w:rPr>
          <w:rFonts w:ascii="宋体" w:cs="等线" w:hAnsi="宋体"/>
          <w:sz w:val="22"/>
          <w:szCs w:val="22"/>
        </w:rPr>
      </w:pPr>
      <w:r>
        <w:rPr>
          <w:rFonts w:ascii="宋体" w:cs="等线" w:hAnsi="宋体" w:hint="eastAsia"/>
          <w:sz w:val="22"/>
          <w:szCs w:val="22"/>
        </w:rPr>
        <w:t>开户银行：工行南宁市凤翔北支行</w:t>
      </w:r>
    </w:p>
    <w:p>
      <w:pPr>
        <w:pStyle w:val="style0"/>
        <w:spacing w:lineRule="exact" w:line="420"/>
        <w:ind w:firstLine="440" w:firstLineChars="200"/>
        <w:rPr>
          <w:rFonts w:ascii="宋体" w:cs="等线" w:hAnsi="宋体"/>
          <w:sz w:val="22"/>
          <w:szCs w:val="22"/>
        </w:rPr>
      </w:pPr>
      <w:r>
        <w:rPr>
          <w:rFonts w:ascii="宋体" w:cs="等线" w:hAnsi="宋体" w:hint="eastAsia"/>
          <w:sz w:val="22"/>
          <w:szCs w:val="22"/>
        </w:rPr>
        <w:t>银行账号：</w:t>
      </w:r>
      <w:r>
        <w:rPr>
          <w:rFonts w:ascii="宋体" w:cs="等线" w:hAnsi="宋体"/>
          <w:sz w:val="22"/>
          <w:szCs w:val="22"/>
        </w:rPr>
        <w:t>2102109509300002155</w:t>
      </w:r>
    </w:p>
    <w:p>
      <w:pPr>
        <w:pStyle w:val="style0"/>
        <w:spacing w:lineRule="exact" w:line="420"/>
        <w:ind w:firstLine="440" w:firstLineChars="200"/>
        <w:rPr>
          <w:rFonts w:ascii="宋体" w:cs="等线" w:hAnsi="宋体"/>
          <w:sz w:val="22"/>
          <w:szCs w:val="22"/>
        </w:rPr>
      </w:pPr>
      <w:r>
        <w:rPr>
          <w:rFonts w:ascii="宋体" w:cs="等线" w:hAnsi="宋体"/>
          <w:sz w:val="22"/>
          <w:szCs w:val="22"/>
        </w:rPr>
        <w:t>3、履约保证金递交方式：银行转账、支票、汇票、本票或者金融机构、担保机构出具的保函等非现金方式。</w:t>
      </w:r>
    </w:p>
    <w:p>
      <w:pPr>
        <w:pStyle w:val="style0"/>
        <w:spacing w:lineRule="exact" w:line="420"/>
        <w:ind w:firstLine="440" w:firstLineChars="200"/>
        <w:rPr>
          <w:rFonts w:ascii="宋体" w:cs="等线" w:hAnsi="宋体"/>
          <w:sz w:val="22"/>
          <w:szCs w:val="22"/>
        </w:rPr>
      </w:pPr>
      <w:r>
        <w:rPr>
          <w:rFonts w:ascii="宋体" w:cs="等线" w:hAnsi="宋体"/>
          <w:sz w:val="22"/>
          <w:szCs w:val="22"/>
        </w:rPr>
        <w:t>4、履约保证金退付方式、时间及条件：</w:t>
      </w:r>
      <w:r>
        <w:rPr>
          <w:rFonts w:ascii="宋体" w:cs="等线" w:hAnsi="宋体" w:hint="eastAsia"/>
          <w:sz w:val="22"/>
          <w:szCs w:val="22"/>
        </w:rPr>
        <w:t>服务期满，待乙方履行完合同全部义务后，如未出现违约事项的，</w:t>
      </w:r>
      <w:r>
        <w:rPr>
          <w:rFonts w:ascii="宋体" w:cs="等线" w:hAnsi="宋体"/>
          <w:sz w:val="22"/>
          <w:szCs w:val="22"/>
        </w:rPr>
        <w:t>5个工作日内无息返还。由乙方向甲方提供《广西壮族自治区政府采购项目合同验收书》及《政府采购项目履约保证金退付意见书》，甲方在收到合格材料后15个工作日内办理退还手续（不计利息）。</w:t>
      </w:r>
    </w:p>
    <w:p>
      <w:pPr>
        <w:pStyle w:val="style0"/>
        <w:snapToGrid w:val="false"/>
        <w:spacing w:lineRule="exact" w:line="420"/>
        <w:ind w:firstLine="442" w:firstLineChars="200"/>
        <w:rPr>
          <w:rFonts w:ascii="宋体" w:hAnsi="宋体"/>
          <w:b/>
          <w:bCs/>
          <w:kern w:val="0"/>
          <w:sz w:val="22"/>
          <w:szCs w:val="22"/>
        </w:rPr>
      </w:pPr>
      <w:r>
        <w:rPr>
          <w:rFonts w:ascii="宋体" w:hAnsi="宋体" w:hint="eastAsia"/>
          <w:b/>
          <w:bCs/>
          <w:kern w:val="0"/>
          <w:sz w:val="22"/>
          <w:szCs w:val="22"/>
        </w:rPr>
        <w:t>第九条税费</w:t>
      </w:r>
    </w:p>
    <w:p>
      <w:pPr>
        <w:pStyle w:val="style0"/>
        <w:spacing w:lineRule="exact" w:line="420"/>
        <w:ind w:firstLine="440" w:firstLineChars="200"/>
        <w:rPr>
          <w:rFonts w:ascii="宋体" w:hAnsi="宋体"/>
          <w:kern w:val="0"/>
          <w:sz w:val="22"/>
          <w:szCs w:val="22"/>
        </w:rPr>
      </w:pPr>
      <w:r>
        <w:rPr>
          <w:rFonts w:ascii="宋体" w:hAnsi="宋体" w:hint="eastAsia"/>
          <w:kern w:val="0"/>
          <w:sz w:val="22"/>
          <w:szCs w:val="22"/>
        </w:rPr>
        <w:t>本合同执行中相关的一切税费均由乙方负担。</w:t>
      </w:r>
    </w:p>
    <w:p>
      <w:pPr>
        <w:pStyle w:val="style0"/>
        <w:snapToGrid w:val="false"/>
        <w:spacing w:lineRule="exact" w:line="420"/>
        <w:ind w:firstLine="442" w:firstLineChars="200"/>
        <w:rPr>
          <w:rFonts w:ascii="宋体" w:hAnsi="宋体"/>
          <w:b/>
          <w:bCs/>
          <w:kern w:val="0"/>
          <w:sz w:val="22"/>
          <w:szCs w:val="22"/>
        </w:rPr>
      </w:pPr>
      <w:r>
        <w:rPr>
          <w:rFonts w:ascii="宋体" w:hAnsi="宋体" w:hint="eastAsia"/>
          <w:b/>
          <w:bCs/>
          <w:kern w:val="0"/>
          <w:sz w:val="22"/>
          <w:szCs w:val="22"/>
        </w:rPr>
        <w:t>第十条违约责任</w:t>
      </w:r>
    </w:p>
    <w:p>
      <w:pPr>
        <w:pStyle w:val="style0"/>
        <w:spacing w:lineRule="exact" w:line="420"/>
        <w:ind w:firstLine="440" w:firstLineChars="200"/>
        <w:rPr>
          <w:rFonts w:ascii="宋体" w:hAnsi="宋体"/>
          <w:kern w:val="0"/>
          <w:sz w:val="22"/>
          <w:szCs w:val="22"/>
        </w:rPr>
      </w:pPr>
      <w:r>
        <w:rPr>
          <w:rFonts w:ascii="宋体" w:hAnsi="宋体"/>
          <w:kern w:val="0"/>
          <w:sz w:val="22"/>
          <w:szCs w:val="22"/>
        </w:rPr>
        <w:t>1、除不可抗力原因外，乙方没有按照合同规定的时间提供服务的，甲方可要求乙方支付违约金。每推迟一天按合同金额的3‰支付违约金，该违约金累计不超过合同金额的20%。达到20天时甲方有权单方面解除本合同，合同金额没有支付的，不再支付；已经支付的，甲方有权追回；如因此造成甲</w:t>
      </w:r>
      <w:r>
        <w:rPr>
          <w:rFonts w:ascii="宋体" w:hAnsi="宋体"/>
          <w:kern w:val="0"/>
          <w:sz w:val="22"/>
          <w:szCs w:val="22"/>
        </w:rPr>
        <w:t>方损失的，还应赔偿甲方损失。</w:t>
      </w:r>
    </w:p>
    <w:p>
      <w:pPr>
        <w:pStyle w:val="style0"/>
        <w:spacing w:lineRule="exact" w:line="420"/>
        <w:ind w:firstLine="440" w:firstLineChars="200"/>
        <w:rPr>
          <w:rFonts w:ascii="宋体" w:hAnsi="宋体"/>
          <w:kern w:val="0"/>
          <w:sz w:val="22"/>
          <w:szCs w:val="22"/>
        </w:rPr>
      </w:pPr>
      <w:r>
        <w:rPr>
          <w:rFonts w:ascii="宋体" w:hAnsi="宋体"/>
          <w:kern w:val="0"/>
          <w:sz w:val="22"/>
          <w:szCs w:val="22"/>
        </w:rPr>
        <w:t>2、乙方所提供的服务成果、数量、技术参数要求(技术参数需求)等不符合甲方要求的，应及时整改；乙方在甲方规定期限内不能完成整改的或无正当理由拒绝整改或经整改后仍不能达到甲方要求的，甲方有权终止合同，追回已付款项，并按本合同总价的10%计算违约金。</w:t>
      </w:r>
    </w:p>
    <w:p>
      <w:pPr>
        <w:pStyle w:val="style0"/>
        <w:spacing w:lineRule="exact" w:line="420"/>
        <w:ind w:firstLine="440" w:firstLineChars="200"/>
        <w:rPr>
          <w:rFonts w:ascii="宋体" w:hAnsi="宋体"/>
          <w:kern w:val="0"/>
          <w:sz w:val="22"/>
          <w:szCs w:val="22"/>
        </w:rPr>
      </w:pPr>
      <w:r>
        <w:rPr>
          <w:rFonts w:ascii="宋体" w:hAnsi="宋体"/>
          <w:kern w:val="0"/>
          <w:sz w:val="22"/>
          <w:szCs w:val="22"/>
        </w:rPr>
        <w:t>3、甲方有权依据招标文件、响应文件对乙方的服务人员进行管理或要求更换，对于甲方要求更换服务人员的，乙方应无条件及时更换；乙方拒绝更换的，甲方有权终止合同，追回已付款项，并按本合同总价的10%计算违约金。</w:t>
      </w:r>
    </w:p>
    <w:p>
      <w:pPr>
        <w:pStyle w:val="style0"/>
        <w:spacing w:lineRule="exact" w:line="420"/>
        <w:ind w:firstLine="440" w:firstLineChars="200"/>
        <w:rPr>
          <w:rFonts w:ascii="宋体" w:hAnsi="宋体"/>
          <w:kern w:val="0"/>
          <w:sz w:val="22"/>
          <w:szCs w:val="22"/>
        </w:rPr>
      </w:pPr>
      <w:r>
        <w:rPr>
          <w:rFonts w:ascii="宋体" w:hAnsi="宋体"/>
          <w:kern w:val="0"/>
          <w:sz w:val="22"/>
          <w:szCs w:val="22"/>
        </w:rPr>
        <w:t>4、乙方提供的服务如侵犯了第三方合法权益而引发的任何纠纷或者诉讼，均由乙方负责交涉并承担全部责任。甲方有权解除合同，合同金额没有支付的，不再支付；已经支付的，甲方有权追回，且乙方应按合同金额10%承担违约金，造成甲方损失的，还应赔偿甲方损失。</w:t>
      </w:r>
    </w:p>
    <w:p>
      <w:pPr>
        <w:pStyle w:val="style0"/>
        <w:spacing w:lineRule="exact" w:line="420"/>
        <w:ind w:firstLine="440" w:firstLineChars="200"/>
        <w:rPr>
          <w:rFonts w:ascii="宋体" w:hAnsi="宋体"/>
          <w:kern w:val="0"/>
          <w:sz w:val="22"/>
          <w:szCs w:val="22"/>
        </w:rPr>
      </w:pPr>
      <w:r>
        <w:rPr>
          <w:rFonts w:ascii="宋体" w:hAnsi="宋体"/>
          <w:kern w:val="0"/>
          <w:sz w:val="22"/>
          <w:szCs w:val="22"/>
        </w:rPr>
        <w:t>5、除因甲方自身原因外，乙方操作造成甲方系统数据丢失、泄密的，应按合同金额的三倍支付违约金，违约金不足以弥补甲方损失的，还应支付赔偿金。</w:t>
      </w:r>
    </w:p>
    <w:p>
      <w:pPr>
        <w:pStyle w:val="style0"/>
        <w:spacing w:lineRule="exact" w:line="420"/>
        <w:ind w:firstLine="440" w:firstLineChars="200"/>
        <w:rPr>
          <w:rFonts w:ascii="宋体" w:hAnsi="宋体"/>
          <w:kern w:val="0"/>
          <w:sz w:val="22"/>
          <w:szCs w:val="22"/>
        </w:rPr>
      </w:pPr>
      <w:r>
        <w:rPr>
          <w:rFonts w:ascii="宋体" w:hAnsi="宋体"/>
          <w:kern w:val="0"/>
          <w:sz w:val="22"/>
          <w:szCs w:val="22"/>
        </w:rPr>
        <w:t>6、乙方未按本合同和响应文件中规定的服务承诺提供售后服务的，每出现一次，乙方应按本合同金额的5%向甲方支付违约金；甲方有权聘请第三方提供售后服务，因此产生的费用均由乙方承担。</w:t>
      </w:r>
    </w:p>
    <w:p>
      <w:pPr>
        <w:pStyle w:val="style0"/>
        <w:spacing w:lineRule="exact" w:line="420"/>
        <w:ind w:firstLine="440" w:firstLineChars="200"/>
        <w:rPr>
          <w:rFonts w:ascii="宋体" w:hAnsi="宋体"/>
          <w:kern w:val="0"/>
          <w:sz w:val="22"/>
          <w:szCs w:val="22"/>
        </w:rPr>
      </w:pPr>
      <w:r>
        <w:rPr>
          <w:rFonts w:ascii="宋体" w:hAnsi="宋体"/>
          <w:kern w:val="0"/>
          <w:sz w:val="22"/>
          <w:szCs w:val="22"/>
        </w:rPr>
        <w:t>7、乙方提供的服务及其成果在服务期及售后期内，因设计缺陷或其它质量原因造成的问题，由乙方负责。</w:t>
      </w:r>
      <w:r>
        <w:rPr>
          <w:rFonts w:ascii="宋体" w:hAnsi="宋体" w:hint="eastAsia"/>
          <w:kern w:val="0"/>
          <w:sz w:val="22"/>
          <w:szCs w:val="22"/>
        </w:rPr>
        <w:t>给甲方造成损失或造成甲方人员或他人人身损害的，所产生的费用均由乙方承担。</w:t>
      </w:r>
    </w:p>
    <w:p>
      <w:pPr>
        <w:pStyle w:val="style0"/>
        <w:spacing w:lineRule="exact" w:line="420"/>
        <w:ind w:firstLine="440" w:firstLineChars="200"/>
        <w:rPr>
          <w:rFonts w:ascii="宋体" w:hAnsi="宋体"/>
          <w:kern w:val="0"/>
          <w:sz w:val="22"/>
          <w:szCs w:val="22"/>
        </w:rPr>
      </w:pPr>
      <w:r>
        <w:rPr>
          <w:rFonts w:ascii="宋体" w:hAnsi="宋体"/>
          <w:kern w:val="0"/>
          <w:sz w:val="22"/>
          <w:szCs w:val="22"/>
        </w:rPr>
        <w:t>8、如乙方违反合同约定的信息安全及保密要求，每违反一次收取合同金额2%的违约金，累计不超过合同金额的30%，违约金不足以弥补甲方实际损失的，还应支付赔偿金。</w:t>
      </w:r>
    </w:p>
    <w:p>
      <w:pPr>
        <w:pStyle w:val="style0"/>
        <w:spacing w:lineRule="exact" w:line="420"/>
        <w:ind w:firstLine="440" w:firstLineChars="200"/>
        <w:rPr>
          <w:rFonts w:ascii="宋体" w:hAnsi="宋体"/>
          <w:kern w:val="0"/>
          <w:sz w:val="22"/>
          <w:szCs w:val="22"/>
        </w:rPr>
      </w:pPr>
      <w:r>
        <w:rPr>
          <w:rFonts w:ascii="宋体" w:hAnsi="宋体"/>
          <w:kern w:val="0"/>
          <w:sz w:val="22"/>
          <w:szCs w:val="22"/>
        </w:rPr>
        <w:t>9、本条所称损失是指一方因另一方违约而遭受的全部经济损失（包括但不限于直接损失、间接损失及实现债权的费用，如诉讼费、律师费、差旅费、调查费、财产保全责任险保险费等）。</w:t>
      </w:r>
    </w:p>
    <w:p>
      <w:pPr>
        <w:pStyle w:val="style0"/>
        <w:spacing w:lineRule="exact" w:line="420"/>
        <w:ind w:firstLine="440" w:firstLineChars="200"/>
        <w:rPr>
          <w:rFonts w:ascii="宋体" w:hAnsi="宋体"/>
          <w:kern w:val="0"/>
          <w:sz w:val="22"/>
          <w:szCs w:val="22"/>
        </w:rPr>
      </w:pPr>
      <w:r>
        <w:rPr>
          <w:rFonts w:ascii="宋体" w:hAnsi="宋体"/>
          <w:kern w:val="0"/>
          <w:sz w:val="22"/>
          <w:szCs w:val="22"/>
        </w:rPr>
        <w:t>10、甲方有权从未付价款、履约保证金中先行扣除乙方应支付的违约金、赔偿金，不足另补。</w:t>
      </w:r>
    </w:p>
    <w:p>
      <w:pPr>
        <w:pStyle w:val="style0"/>
        <w:snapToGrid w:val="false"/>
        <w:spacing w:lineRule="exact" w:line="420"/>
        <w:ind w:firstLine="442" w:firstLineChars="200"/>
        <w:rPr>
          <w:rFonts w:ascii="宋体" w:hAnsi="宋体"/>
          <w:b/>
          <w:bCs/>
          <w:kern w:val="0"/>
          <w:sz w:val="22"/>
          <w:szCs w:val="22"/>
        </w:rPr>
      </w:pPr>
      <w:r>
        <w:rPr>
          <w:rFonts w:ascii="宋体" w:hAnsi="宋体" w:hint="eastAsia"/>
          <w:b/>
          <w:bCs/>
          <w:kern w:val="0"/>
          <w:sz w:val="22"/>
          <w:szCs w:val="22"/>
        </w:rPr>
        <w:t>第十一条不可抗力事件处理</w:t>
      </w:r>
    </w:p>
    <w:p>
      <w:pPr>
        <w:pStyle w:val="style0"/>
        <w:spacing w:lineRule="exact" w:line="420"/>
        <w:ind w:firstLine="440" w:firstLineChars="200"/>
        <w:rPr>
          <w:rFonts w:ascii="宋体" w:hAnsi="宋体"/>
          <w:kern w:val="0"/>
          <w:sz w:val="22"/>
          <w:szCs w:val="22"/>
        </w:rPr>
      </w:pPr>
      <w:r>
        <w:rPr>
          <w:rFonts w:ascii="宋体" w:hAnsi="宋体"/>
          <w:kern w:val="0"/>
          <w:sz w:val="22"/>
          <w:szCs w:val="22"/>
        </w:rPr>
        <w:t>1、在合同有效期内，任何一方因不可抗力事件导致不能履行合同，则合同履行期可延长，其延长期与不可抗力影响期相同。</w:t>
      </w:r>
    </w:p>
    <w:p>
      <w:pPr>
        <w:pStyle w:val="style0"/>
        <w:spacing w:lineRule="exact" w:line="420"/>
        <w:ind w:firstLine="440" w:firstLineChars="200"/>
        <w:rPr>
          <w:rFonts w:ascii="宋体" w:hAnsi="宋体"/>
          <w:kern w:val="0"/>
          <w:sz w:val="22"/>
          <w:szCs w:val="22"/>
        </w:rPr>
      </w:pPr>
      <w:r>
        <w:rPr>
          <w:rFonts w:ascii="宋体" w:hAnsi="宋体"/>
          <w:kern w:val="0"/>
          <w:sz w:val="22"/>
          <w:szCs w:val="22"/>
        </w:rPr>
        <w:t>2、不可抗力事件发生后，应立即通知对方，并寄送有关权威机构出具的证明。</w:t>
      </w:r>
    </w:p>
    <w:p>
      <w:pPr>
        <w:pStyle w:val="style0"/>
        <w:spacing w:lineRule="exact" w:line="420"/>
        <w:ind w:firstLine="440" w:firstLineChars="200"/>
        <w:rPr>
          <w:rFonts w:ascii="宋体" w:hAnsi="宋体"/>
          <w:kern w:val="0"/>
          <w:sz w:val="22"/>
          <w:szCs w:val="22"/>
        </w:rPr>
      </w:pPr>
      <w:r>
        <w:rPr>
          <w:rFonts w:ascii="宋体" w:hAnsi="宋体"/>
          <w:kern w:val="0"/>
          <w:sz w:val="22"/>
          <w:szCs w:val="22"/>
        </w:rPr>
        <w:t>3、不可抗力事件延续120天以上，双方应通过友好协商，确定是否继续履行合同。</w:t>
      </w:r>
    </w:p>
    <w:p>
      <w:pPr>
        <w:pStyle w:val="style0"/>
        <w:snapToGrid w:val="false"/>
        <w:spacing w:lineRule="exact" w:line="420"/>
        <w:ind w:firstLine="442" w:firstLineChars="200"/>
        <w:rPr>
          <w:rFonts w:ascii="宋体" w:hAnsi="宋体"/>
          <w:kern w:val="0"/>
          <w:sz w:val="22"/>
          <w:szCs w:val="22"/>
        </w:rPr>
      </w:pPr>
      <w:r>
        <w:rPr>
          <w:rFonts w:ascii="宋体" w:hAnsi="宋体" w:hint="eastAsia"/>
          <w:b/>
          <w:bCs/>
          <w:kern w:val="0"/>
          <w:sz w:val="22"/>
          <w:szCs w:val="22"/>
        </w:rPr>
        <w:t>第十二条合同争议解决及诉讼</w:t>
      </w:r>
    </w:p>
    <w:p>
      <w:pPr>
        <w:pStyle w:val="style0"/>
        <w:spacing w:lineRule="exact" w:line="420"/>
        <w:ind w:firstLine="440" w:firstLineChars="200"/>
        <w:rPr>
          <w:rFonts w:ascii="宋体" w:hAnsi="宋体"/>
          <w:kern w:val="0"/>
          <w:sz w:val="22"/>
          <w:szCs w:val="22"/>
        </w:rPr>
      </w:pPr>
      <w:r>
        <w:rPr>
          <w:rFonts w:ascii="宋体" w:hAnsi="宋体"/>
          <w:kern w:val="0"/>
          <w:sz w:val="22"/>
          <w:szCs w:val="22"/>
        </w:rPr>
        <w:t>1、因服务质量问题发生争议的，应邀请国家认可的质量检测机构对货物质量进行鉴定。鉴定费用由乙方先行支付。货物质量符合标准的，鉴定费由甲方承担；货物质量不符合标准的，鉴定费由乙方承担。甲乙双方均有责任的，由双方根据其责任分别承担。</w:t>
      </w:r>
    </w:p>
    <w:p>
      <w:pPr>
        <w:pStyle w:val="style0"/>
        <w:spacing w:lineRule="exact" w:line="420"/>
        <w:ind w:firstLine="440" w:firstLineChars="200"/>
        <w:rPr>
          <w:rFonts w:ascii="宋体" w:hAnsi="宋体"/>
          <w:kern w:val="0"/>
          <w:sz w:val="22"/>
          <w:szCs w:val="22"/>
        </w:rPr>
      </w:pPr>
      <w:r>
        <w:rPr>
          <w:rFonts w:ascii="宋体" w:hAnsi="宋体"/>
          <w:kern w:val="0"/>
          <w:sz w:val="22"/>
          <w:szCs w:val="22"/>
        </w:rPr>
        <w:t>2、因履行本合同引起的或与本合同有关的争议，甲乙双方应首先通过友好协商解决，</w:t>
      </w:r>
      <w:r>
        <w:rPr>
          <w:rFonts w:ascii="宋体" w:cs="宋体" w:eastAsia="宋体" w:hAnsi="宋体" w:hint="eastAsia"/>
          <w:sz w:val="22"/>
          <w:szCs w:val="22"/>
        </w:rPr>
        <w:t>如果协商不能解决，可向甲方所在地人民法院提起诉讼。</w:t>
      </w:r>
    </w:p>
    <w:p>
      <w:pPr>
        <w:pStyle w:val="style0"/>
        <w:spacing w:lineRule="exact" w:line="420"/>
        <w:ind w:firstLine="440" w:firstLineChars="200"/>
        <w:rPr>
          <w:rFonts w:ascii="宋体" w:hAnsi="宋体"/>
          <w:kern w:val="0"/>
          <w:sz w:val="22"/>
          <w:szCs w:val="22"/>
        </w:rPr>
      </w:pPr>
      <w:r>
        <w:rPr>
          <w:rFonts w:ascii="宋体" w:hAnsi="宋体"/>
          <w:kern w:val="0"/>
          <w:sz w:val="22"/>
          <w:szCs w:val="22"/>
        </w:rPr>
        <w:t>3、诉讼期间，本合同继续履行。</w:t>
      </w:r>
    </w:p>
    <w:p>
      <w:pPr>
        <w:pStyle w:val="style0"/>
        <w:snapToGrid w:val="false"/>
        <w:spacing w:lineRule="exact" w:line="420"/>
        <w:ind w:firstLine="442" w:firstLineChars="200"/>
        <w:rPr>
          <w:rFonts w:ascii="宋体" w:hAnsi="宋体"/>
          <w:b/>
          <w:bCs/>
          <w:kern w:val="0"/>
          <w:sz w:val="22"/>
          <w:szCs w:val="22"/>
        </w:rPr>
      </w:pPr>
      <w:r>
        <w:rPr>
          <w:rFonts w:ascii="宋体" w:hAnsi="宋体" w:hint="eastAsia"/>
          <w:b/>
          <w:bCs/>
          <w:kern w:val="0"/>
          <w:sz w:val="22"/>
          <w:szCs w:val="22"/>
        </w:rPr>
        <w:t>第十三条合同生效及其它</w:t>
      </w:r>
    </w:p>
    <w:p>
      <w:pPr>
        <w:pStyle w:val="style0"/>
        <w:spacing w:lineRule="exact" w:line="420"/>
        <w:ind w:firstLine="440" w:firstLineChars="200"/>
        <w:rPr>
          <w:rFonts w:ascii="宋体" w:hAnsi="宋体"/>
          <w:kern w:val="0"/>
          <w:sz w:val="22"/>
          <w:szCs w:val="22"/>
        </w:rPr>
      </w:pPr>
      <w:r>
        <w:rPr>
          <w:rFonts w:ascii="宋体" w:hAnsi="宋体"/>
          <w:kern w:val="0"/>
          <w:sz w:val="22"/>
          <w:szCs w:val="22"/>
        </w:rPr>
        <w:t>1、合同经双方加盖单位公章后生效。</w:t>
      </w:r>
    </w:p>
    <w:p>
      <w:pPr>
        <w:pStyle w:val="style0"/>
        <w:spacing w:lineRule="exact" w:line="420"/>
        <w:ind w:firstLine="440" w:firstLineChars="200"/>
        <w:rPr>
          <w:rFonts w:ascii="宋体" w:hAnsi="宋体"/>
          <w:kern w:val="0"/>
          <w:sz w:val="22"/>
          <w:szCs w:val="22"/>
        </w:rPr>
      </w:pPr>
      <w:r>
        <w:rPr>
          <w:rFonts w:ascii="宋体" w:hAnsi="宋体"/>
          <w:kern w:val="0"/>
          <w:sz w:val="22"/>
          <w:szCs w:val="22"/>
        </w:rPr>
        <w:t>2、</w:t>
      </w:r>
      <w:r>
        <w:rPr>
          <w:rFonts w:ascii="宋体" w:hAnsi="宋体" w:hint="eastAsia"/>
          <w:kern w:val="0"/>
          <w:sz w:val="22"/>
          <w:szCs w:val="22"/>
        </w:rPr>
        <w:t>合同执行中涉及采购内容修改或补充的，按政府采购相关规定要求签订书面补充协议，并作为主合同不可分割的一部分。</w:t>
      </w:r>
    </w:p>
    <w:p>
      <w:pPr>
        <w:pStyle w:val="style0"/>
        <w:snapToGrid w:val="false"/>
        <w:spacing w:lineRule="exact" w:line="420"/>
        <w:ind w:firstLine="442" w:firstLineChars="200"/>
        <w:rPr>
          <w:rFonts w:ascii="宋体" w:hAnsi="宋体"/>
          <w:b/>
          <w:bCs/>
          <w:kern w:val="0"/>
          <w:sz w:val="22"/>
          <w:szCs w:val="22"/>
        </w:rPr>
      </w:pPr>
      <w:r>
        <w:rPr>
          <w:rFonts w:ascii="宋体" w:hAnsi="宋体" w:hint="eastAsia"/>
          <w:b/>
          <w:bCs/>
          <w:kern w:val="0"/>
          <w:sz w:val="22"/>
          <w:szCs w:val="22"/>
        </w:rPr>
        <w:t>第十四条合同的变更、终止与转让</w:t>
      </w:r>
    </w:p>
    <w:p>
      <w:pPr>
        <w:pStyle w:val="style0"/>
        <w:spacing w:lineRule="exact" w:line="420"/>
        <w:ind w:firstLine="440" w:firstLineChars="200"/>
        <w:rPr>
          <w:rFonts w:ascii="宋体" w:hAnsi="宋体"/>
          <w:kern w:val="0"/>
          <w:sz w:val="22"/>
          <w:szCs w:val="22"/>
        </w:rPr>
      </w:pPr>
      <w:r>
        <w:rPr>
          <w:rFonts w:ascii="宋体" w:hAnsi="宋体"/>
          <w:kern w:val="0"/>
          <w:sz w:val="22"/>
          <w:szCs w:val="22"/>
        </w:rPr>
        <w:t>1、除《中华人民共和国政府采购法》第50条规定的情形外，本合同一经签订，甲乙双方不得擅自变更、中止或终止。</w:t>
      </w:r>
    </w:p>
    <w:p>
      <w:pPr>
        <w:pStyle w:val="style0"/>
        <w:spacing w:lineRule="exact" w:line="420"/>
        <w:ind w:firstLine="440" w:firstLineChars="200"/>
        <w:rPr>
          <w:rFonts w:ascii="宋体" w:hAnsi="宋体"/>
          <w:kern w:val="0"/>
          <w:sz w:val="22"/>
          <w:szCs w:val="22"/>
        </w:rPr>
      </w:pPr>
      <w:r>
        <w:rPr>
          <w:rFonts w:ascii="宋体" w:hAnsi="宋体"/>
          <w:kern w:val="0"/>
          <w:sz w:val="22"/>
          <w:szCs w:val="22"/>
        </w:rPr>
        <w:t>2、乙方不得擅自转让其应履行的合同义务。</w:t>
      </w:r>
    </w:p>
    <w:p>
      <w:pPr>
        <w:pStyle w:val="style0"/>
        <w:spacing w:lineRule="exact" w:line="420"/>
        <w:ind w:firstLine="440" w:firstLineChars="200"/>
        <w:rPr>
          <w:rFonts w:ascii="宋体" w:hAnsi="宋体"/>
          <w:kern w:val="0"/>
          <w:sz w:val="22"/>
          <w:szCs w:val="22"/>
        </w:rPr>
      </w:pPr>
      <w:r>
        <w:rPr>
          <w:rFonts w:ascii="宋体" w:hAnsi="宋体"/>
          <w:kern w:val="0"/>
          <w:sz w:val="22"/>
          <w:szCs w:val="22"/>
        </w:rPr>
        <w:t>3、本合同未尽事宜，遵照《中华人民共和国民法典》有关条文执行。</w:t>
      </w:r>
    </w:p>
    <w:p>
      <w:pPr>
        <w:pStyle w:val="style0"/>
        <w:spacing w:lineRule="exact" w:line="420"/>
        <w:ind w:firstLine="442" w:firstLineChars="200"/>
        <w:rPr>
          <w:rFonts w:ascii="宋体" w:cs="宋体" w:hAnsi="宋体"/>
          <w:b/>
          <w:sz w:val="22"/>
          <w:szCs w:val="22"/>
        </w:rPr>
      </w:pPr>
      <w:r>
        <w:rPr>
          <w:rFonts w:ascii="宋体" w:cs="宋体" w:hAnsi="宋体" w:hint="eastAsia"/>
          <w:b/>
          <w:sz w:val="22"/>
          <w:szCs w:val="22"/>
        </w:rPr>
        <w:t>第十五条　签订本合同依据</w:t>
      </w:r>
    </w:p>
    <w:p>
      <w:pPr>
        <w:pStyle w:val="style0"/>
        <w:spacing w:lineRule="exact" w:line="420"/>
        <w:ind w:firstLine="440" w:firstLineChars="200"/>
        <w:rPr>
          <w:rFonts w:ascii="宋体" w:hAnsi="宋体"/>
          <w:kern w:val="0"/>
          <w:sz w:val="22"/>
          <w:szCs w:val="22"/>
        </w:rPr>
      </w:pPr>
      <w:r>
        <w:rPr>
          <w:rFonts w:ascii="宋体" w:hAnsi="宋体"/>
          <w:kern w:val="0"/>
          <w:sz w:val="22"/>
          <w:szCs w:val="22"/>
        </w:rPr>
        <w:t>1、中标通知书；</w:t>
      </w:r>
    </w:p>
    <w:p>
      <w:pPr>
        <w:pStyle w:val="style0"/>
        <w:spacing w:lineRule="exact" w:line="420"/>
        <w:ind w:firstLine="440" w:firstLineChars="200"/>
        <w:rPr>
          <w:rFonts w:ascii="宋体" w:hAnsi="宋体"/>
          <w:kern w:val="0"/>
          <w:sz w:val="22"/>
          <w:szCs w:val="22"/>
        </w:rPr>
      </w:pPr>
      <w:r>
        <w:rPr>
          <w:rFonts w:ascii="宋体" w:hAnsi="宋体"/>
          <w:kern w:val="0"/>
          <w:sz w:val="22"/>
          <w:szCs w:val="22"/>
        </w:rPr>
        <w:t>2、开标一览表；</w:t>
      </w:r>
    </w:p>
    <w:p>
      <w:pPr>
        <w:pStyle w:val="style0"/>
        <w:spacing w:lineRule="exact" w:line="420"/>
        <w:ind w:firstLine="440" w:firstLineChars="200"/>
        <w:rPr>
          <w:rFonts w:ascii="宋体" w:hAnsi="宋体"/>
          <w:kern w:val="0"/>
          <w:sz w:val="22"/>
          <w:szCs w:val="22"/>
        </w:rPr>
      </w:pPr>
      <w:r>
        <w:rPr>
          <w:rFonts w:ascii="宋体" w:hAnsi="宋体"/>
          <w:kern w:val="0"/>
          <w:sz w:val="22"/>
          <w:szCs w:val="22"/>
        </w:rPr>
        <w:t>3、商务要求偏离表和技术要求偏离表；</w:t>
      </w:r>
    </w:p>
    <w:p>
      <w:pPr>
        <w:pStyle w:val="style0"/>
        <w:spacing w:lineRule="exact" w:line="420"/>
        <w:ind w:firstLine="440" w:firstLineChars="200"/>
        <w:rPr>
          <w:rFonts w:ascii="宋体" w:hAnsi="宋体"/>
          <w:kern w:val="0"/>
          <w:sz w:val="22"/>
          <w:szCs w:val="22"/>
        </w:rPr>
      </w:pPr>
      <w:r>
        <w:rPr>
          <w:rFonts w:ascii="宋体" w:hAnsi="宋体"/>
          <w:kern w:val="0"/>
          <w:sz w:val="22"/>
          <w:szCs w:val="22"/>
        </w:rPr>
        <w:t>4</w:t>
      </w:r>
      <w:r>
        <w:rPr>
          <w:rFonts w:ascii="宋体" w:hAnsi="宋体" w:hint="eastAsia"/>
          <w:kern w:val="0"/>
          <w:sz w:val="22"/>
          <w:szCs w:val="22"/>
        </w:rPr>
        <w:t>、售后服务承诺；</w:t>
      </w:r>
    </w:p>
    <w:p>
      <w:pPr>
        <w:pStyle w:val="style0"/>
        <w:spacing w:lineRule="exact" w:line="420"/>
        <w:ind w:firstLine="440" w:firstLineChars="200"/>
        <w:rPr>
          <w:rFonts w:ascii="宋体" w:hAnsi="宋体"/>
          <w:kern w:val="0"/>
          <w:sz w:val="22"/>
          <w:szCs w:val="22"/>
        </w:rPr>
      </w:pPr>
      <w:r>
        <w:rPr>
          <w:rFonts w:ascii="宋体" w:hAnsi="宋体"/>
          <w:kern w:val="0"/>
          <w:sz w:val="22"/>
          <w:szCs w:val="22"/>
        </w:rPr>
        <w:t>5、投标文件中的其他相关文件。</w:t>
      </w:r>
    </w:p>
    <w:p>
      <w:pPr>
        <w:pStyle w:val="style0"/>
        <w:spacing w:lineRule="exact" w:line="420"/>
        <w:ind w:firstLine="440" w:firstLineChars="200"/>
        <w:rPr>
          <w:rFonts w:ascii="宋体" w:hAnsi="宋体"/>
          <w:kern w:val="0"/>
          <w:sz w:val="22"/>
          <w:szCs w:val="22"/>
        </w:rPr>
      </w:pPr>
      <w:r>
        <w:rPr>
          <w:rFonts w:ascii="宋体" w:hAnsi="宋体"/>
          <w:kern w:val="0"/>
          <w:sz w:val="22"/>
          <w:szCs w:val="22"/>
        </w:rPr>
        <w:t>6</w:t>
      </w:r>
      <w:r>
        <w:rPr>
          <w:rFonts w:ascii="宋体" w:hAnsi="宋体" w:hint="eastAsia"/>
          <w:kern w:val="0"/>
          <w:sz w:val="22"/>
          <w:szCs w:val="22"/>
        </w:rPr>
        <w:t>、上述合同文件互相补充和解释。如果合同文件之间存在矛盾或者不一致之处，以上述文件的排列顺序在先者为准。</w:t>
      </w:r>
    </w:p>
    <w:p>
      <w:pPr>
        <w:pStyle w:val="style0"/>
        <w:spacing w:lineRule="exact" w:line="420"/>
        <w:ind w:firstLine="442" w:firstLineChars="200"/>
        <w:rPr>
          <w:rFonts w:ascii="宋体" w:hAnsi="宋体"/>
          <w:kern w:val="0"/>
          <w:sz w:val="22"/>
          <w:szCs w:val="22"/>
        </w:rPr>
      </w:pPr>
      <w:r>
        <w:rPr>
          <w:rFonts w:ascii="宋体" w:cs="宋体" w:hAnsi="宋体" w:hint="eastAsia"/>
          <w:b/>
          <w:sz w:val="22"/>
          <w:szCs w:val="22"/>
        </w:rPr>
        <w:t>第十六条　</w:t>
      </w:r>
      <w:r>
        <w:rPr>
          <w:rFonts w:ascii="宋体" w:hAnsi="宋体" w:hint="eastAsia"/>
          <w:kern w:val="0"/>
          <w:sz w:val="22"/>
          <w:szCs w:val="22"/>
        </w:rPr>
        <w:t>本合同一式七份，具有同等法律效力，采购代理机构一份，甲方四份，乙方二份（可根据需要另增加）。</w:t>
      </w:r>
    </w:p>
    <w:p>
      <w:pPr>
        <w:pStyle w:val="style0"/>
        <w:spacing w:lineRule="exact" w:line="420"/>
        <w:ind w:firstLine="440" w:firstLineChars="200"/>
        <w:rPr>
          <w:rFonts w:ascii="宋体" w:hAnsi="宋体"/>
          <w:kern w:val="0"/>
          <w:sz w:val="22"/>
          <w:szCs w:val="22"/>
        </w:rPr>
      </w:pPr>
      <w:r>
        <w:rPr>
          <w:rFonts w:ascii="宋体" w:hAnsi="宋体" w:hint="eastAsia"/>
          <w:kern w:val="0"/>
          <w:sz w:val="22"/>
          <w:szCs w:val="22"/>
        </w:rPr>
        <w:t>本合同自签订之日起</w:t>
      </w:r>
      <w:r>
        <w:rPr>
          <w:rFonts w:ascii="宋体" w:hAnsi="宋体"/>
          <w:kern w:val="0"/>
          <w:sz w:val="22"/>
          <w:szCs w:val="22"/>
        </w:rPr>
        <w:t>2个工作日内，甲方应当将采购合同在广西壮族自治区财政厅指定的媒体上公告。</w:t>
      </w:r>
    </w:p>
    <w:p>
      <w:pPr>
        <w:pStyle w:val="style0"/>
        <w:tabs>
          <w:tab w:val="center" w:leader="none" w:pos="4153"/>
          <w:tab w:val="right" w:leader="none" w:pos="8306"/>
        </w:tabs>
        <w:snapToGrid w:val="false"/>
        <w:spacing w:lineRule="exact" w:line="420"/>
        <w:ind w:firstLine="440" w:firstLineChars="200"/>
        <w:jc w:val="left"/>
        <w:rPr>
          <w:rFonts w:ascii="宋体" w:hAnsi="宋体"/>
          <w:sz w:val="22"/>
          <w:szCs w:val="32"/>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trPr>
          <w:cantSplit/>
          <w:trHeight w:val="1078" w:hRule="atLeast"/>
          <w:jc w:val="center"/>
        </w:trPr>
        <w:tc>
          <w:tcPr>
            <w:tcW w:w="4516"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甲方（章）</w:t>
            </w:r>
          </w:p>
          <w:p>
            <w:pPr>
              <w:pStyle w:val="style0"/>
              <w:keepNext/>
              <w:keepLines/>
              <w:spacing w:lineRule="exact" w:line="420"/>
              <w:ind w:firstLine="420" w:firstLineChars="200"/>
              <w:outlineLvl w:val="2"/>
              <w:rPr>
                <w:rFonts w:ascii="宋体" w:hAnsi="宋体"/>
                <w:szCs w:val="21"/>
              </w:rPr>
            </w:pPr>
          </w:p>
          <w:p>
            <w:pPr>
              <w:pStyle w:val="style0"/>
              <w:spacing w:lineRule="exact" w:line="420"/>
              <w:ind w:firstLine="945" w:firstLineChars="450"/>
              <w:jc w:val="right"/>
              <w:rPr>
                <w:rFonts w:ascii="宋体" w:hAnsi="宋体"/>
                <w:szCs w:val="21"/>
              </w:rPr>
            </w:pPr>
            <w:r>
              <w:rPr>
                <w:rFonts w:ascii="宋体" w:hAnsi="宋体" w:hint="eastAsia"/>
                <w:szCs w:val="21"/>
              </w:rPr>
              <w:t>年月日</w:t>
            </w:r>
          </w:p>
        </w:tc>
        <w:tc>
          <w:tcPr>
            <w:tcW w:w="451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乙方（章）</w:t>
            </w:r>
          </w:p>
          <w:p>
            <w:pPr>
              <w:pStyle w:val="style0"/>
              <w:keepNext/>
              <w:keepLines/>
              <w:spacing w:lineRule="exact" w:line="420"/>
              <w:ind w:firstLine="420" w:firstLineChars="200"/>
              <w:outlineLvl w:val="2"/>
              <w:rPr>
                <w:rFonts w:ascii="宋体" w:hAnsi="宋体"/>
                <w:szCs w:val="21"/>
              </w:rPr>
            </w:pPr>
          </w:p>
          <w:p>
            <w:pPr>
              <w:pStyle w:val="style0"/>
              <w:spacing w:lineRule="exact" w:line="420"/>
              <w:jc w:val="right"/>
              <w:rPr>
                <w:rFonts w:ascii="宋体" w:hAnsi="宋体"/>
                <w:szCs w:val="21"/>
              </w:rPr>
            </w:pPr>
            <w:r>
              <w:rPr>
                <w:rFonts w:ascii="宋体" w:hAnsi="宋体"/>
                <w:szCs w:val="21"/>
              </w:rPr>
              <w:t xml:space="preserve"> 年   月   日</w:t>
            </w:r>
          </w:p>
        </w:tc>
      </w:tr>
      <w:tr>
        <w:tblPrEx/>
        <w:trPr>
          <w:cantSplit/>
          <w:trHeight w:val="510" w:hRule="atLeast"/>
          <w:jc w:val="center"/>
        </w:trPr>
        <w:tc>
          <w:tcPr>
            <w:tcW w:w="4516"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地址：</w:t>
            </w:r>
          </w:p>
        </w:tc>
        <w:tc>
          <w:tcPr>
            <w:tcW w:w="451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地址：</w:t>
            </w:r>
          </w:p>
        </w:tc>
      </w:tr>
      <w:tr>
        <w:tblPrEx/>
        <w:trPr>
          <w:cantSplit/>
          <w:trHeight w:val="510" w:hRule="atLeast"/>
          <w:jc w:val="center"/>
        </w:trPr>
        <w:tc>
          <w:tcPr>
            <w:tcW w:w="4516"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法定代表人或委托代理人：</w:t>
            </w:r>
          </w:p>
          <w:p>
            <w:pPr>
              <w:pStyle w:val="style0"/>
              <w:spacing w:lineRule="exact" w:line="420"/>
              <w:ind w:firstLine="105" w:firstLineChars="50"/>
              <w:rPr>
                <w:rFonts w:ascii="宋体" w:hAnsi="宋体"/>
                <w:szCs w:val="21"/>
              </w:rPr>
            </w:pPr>
            <w:r>
              <w:rPr>
                <w:rFonts w:ascii="宋体" w:hAnsi="宋体" w:hint="eastAsia"/>
                <w:szCs w:val="21"/>
              </w:rPr>
              <w:t>（签字）</w:t>
            </w:r>
          </w:p>
        </w:tc>
        <w:tc>
          <w:tcPr>
            <w:tcW w:w="451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法定代表人或委托代理人：</w:t>
            </w:r>
          </w:p>
          <w:p>
            <w:pPr>
              <w:pStyle w:val="style0"/>
              <w:spacing w:lineRule="exact" w:line="420"/>
              <w:ind w:firstLine="210" w:firstLineChars="100"/>
              <w:rPr>
                <w:rFonts w:ascii="宋体" w:hAnsi="宋体"/>
                <w:szCs w:val="21"/>
              </w:rPr>
            </w:pPr>
            <w:r>
              <w:rPr>
                <w:rFonts w:ascii="宋体" w:hAnsi="宋体" w:hint="eastAsia"/>
                <w:szCs w:val="21"/>
              </w:rPr>
              <w:t>（签字）</w:t>
            </w:r>
          </w:p>
        </w:tc>
      </w:tr>
      <w:tr>
        <w:tblPrEx/>
        <w:trPr>
          <w:cantSplit/>
          <w:trHeight w:val="510" w:hRule="atLeast"/>
          <w:jc w:val="center"/>
        </w:trPr>
        <w:tc>
          <w:tcPr>
            <w:tcW w:w="4516"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联系人及电话：</w:t>
            </w:r>
          </w:p>
        </w:tc>
        <w:tc>
          <w:tcPr>
            <w:tcW w:w="451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联系人及电话：</w:t>
            </w:r>
          </w:p>
        </w:tc>
      </w:tr>
      <w:tr>
        <w:tblPrEx/>
        <w:trPr>
          <w:cantSplit/>
          <w:trHeight w:val="510" w:hRule="atLeast"/>
          <w:jc w:val="center"/>
        </w:trPr>
        <w:tc>
          <w:tcPr>
            <w:tcW w:w="4516"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电子邮箱：</w:t>
            </w:r>
          </w:p>
        </w:tc>
        <w:tc>
          <w:tcPr>
            <w:tcW w:w="451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电子邮箱：</w:t>
            </w:r>
          </w:p>
        </w:tc>
      </w:tr>
      <w:tr>
        <w:tblPrEx/>
        <w:trPr>
          <w:cantSplit/>
          <w:trHeight w:val="510" w:hRule="atLeast"/>
          <w:jc w:val="center"/>
        </w:trPr>
        <w:tc>
          <w:tcPr>
            <w:tcW w:w="4516"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开户银行：</w:t>
            </w:r>
          </w:p>
        </w:tc>
        <w:tc>
          <w:tcPr>
            <w:tcW w:w="451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开户银行：</w:t>
            </w:r>
          </w:p>
        </w:tc>
      </w:tr>
      <w:tr>
        <w:tblPrEx/>
        <w:trPr>
          <w:cantSplit/>
          <w:trHeight w:val="510" w:hRule="atLeast"/>
          <w:jc w:val="center"/>
        </w:trPr>
        <w:tc>
          <w:tcPr>
            <w:tcW w:w="4516"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账号：</w:t>
            </w:r>
          </w:p>
        </w:tc>
        <w:tc>
          <w:tcPr>
            <w:tcW w:w="451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账号：</w:t>
            </w:r>
          </w:p>
        </w:tc>
      </w:tr>
      <w:tr>
        <w:tblPrEx/>
        <w:trPr>
          <w:cantSplit/>
          <w:trHeight w:val="510" w:hRule="atLeast"/>
          <w:jc w:val="center"/>
        </w:trPr>
        <w:tc>
          <w:tcPr>
            <w:tcW w:w="4516"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邮政编码：</w:t>
            </w:r>
          </w:p>
        </w:tc>
        <w:tc>
          <w:tcPr>
            <w:tcW w:w="451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邮政编码：</w:t>
            </w:r>
          </w:p>
        </w:tc>
      </w:tr>
      <w:tr>
        <w:tblPrEx/>
        <w:trPr>
          <w:cantSplit/>
          <w:trHeight w:val="510" w:hRule="atLeast"/>
          <w:jc w:val="center"/>
        </w:trPr>
        <w:tc>
          <w:tcPr>
            <w:tcW w:w="4516"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社会统一信用代码证：</w:t>
            </w:r>
          </w:p>
        </w:tc>
        <w:tc>
          <w:tcPr>
            <w:tcW w:w="451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宋体" w:hAnsi="宋体"/>
                <w:szCs w:val="21"/>
              </w:rPr>
            </w:pPr>
            <w:r>
              <w:rPr>
                <w:rFonts w:ascii="宋体" w:hAnsi="宋体" w:hint="eastAsia"/>
                <w:szCs w:val="21"/>
              </w:rPr>
              <w:t>社会统一信用代码证：</w:t>
            </w:r>
          </w:p>
        </w:tc>
      </w:tr>
      <w:tr>
        <w:tblPrEx/>
        <w:trPr>
          <w:cantSplit/>
          <w:trHeight w:val="503" w:hRule="atLeast"/>
          <w:jc w:val="center"/>
        </w:trPr>
        <w:tc>
          <w:tcPr>
            <w:tcW w:w="9033" w:type="dxa"/>
            <w:gridSpan w:val="2"/>
            <w:tcBorders>
              <w:top w:val="single" w:sz="4" w:space="0" w:color="auto"/>
              <w:left w:val="single" w:sz="4" w:space="0" w:color="auto"/>
              <w:bottom w:val="single" w:sz="4" w:space="0" w:color="auto"/>
              <w:right w:val="single" w:sz="4" w:space="0" w:color="auto"/>
            </w:tcBorders>
          </w:tcPr>
          <w:p>
            <w:pPr>
              <w:pStyle w:val="style0"/>
              <w:spacing w:lineRule="exact" w:line="420"/>
              <w:ind w:right="240"/>
              <w:jc w:val="right"/>
              <w:rPr>
                <w:rFonts w:ascii="宋体" w:hAnsi="宋体"/>
                <w:szCs w:val="21"/>
              </w:rPr>
            </w:pPr>
            <w:r>
              <w:rPr>
                <w:rFonts w:ascii="宋体" w:hAnsi="宋体" w:hint="eastAsia"/>
                <w:szCs w:val="21"/>
              </w:rPr>
              <w:t>经办人：年月日</w:t>
            </w:r>
          </w:p>
        </w:tc>
      </w:tr>
    </w:tbl>
    <w:p>
      <w:pPr>
        <w:pStyle w:val="style32"/>
        <w:rPr/>
      </w:pPr>
    </w:p>
    <w:p>
      <w:pPr>
        <w:pStyle w:val="style0"/>
        <w:spacing w:lineRule="auto" w:line="360"/>
        <w:ind w:left="720" w:firstLine="723" w:firstLineChars="200"/>
        <w:outlineLvl w:val="0"/>
        <w:rPr>
          <w:rFonts w:ascii="宋体" w:cs="仿宋_GB2312" w:hAnsi="宋体"/>
          <w:b/>
          <w:sz w:val="36"/>
          <w:szCs w:val="20"/>
        </w:rPr>
        <w:sectPr>
          <w:footerReference w:type="default" r:id="rId5"/>
          <w:pgSz w:w="11906" w:h="16838" w:orient="portrait"/>
          <w:pgMar w:top="1134" w:right="1134" w:bottom="1134" w:left="1134" w:header="720" w:footer="720" w:gutter="0"/>
          <w:cols w:space="720"/>
          <w:docGrid w:type="lines" w:linePitch="331"/>
        </w:sectPr>
      </w:pPr>
    </w:p>
    <w:p>
      <w:pPr>
        <w:pStyle w:val="style0"/>
        <w:shd w:val="clear" w:color="auto" w:fill="ffffff"/>
        <w:spacing w:lineRule="atLeast" w:line="480"/>
        <w:jc w:val="center"/>
        <w:outlineLvl w:val="1"/>
        <w:rPr>
          <w:rFonts w:ascii="宋体" w:cs="宋体" w:hAnsi="宋体"/>
          <w:kern w:val="0"/>
          <w:sz w:val="32"/>
          <w:szCs w:val="32"/>
        </w:rPr>
      </w:pPr>
      <w:r>
        <w:rPr>
          <w:rFonts w:ascii="宋体" w:cs="宋体" w:hAnsi="宋体" w:hint="eastAsia"/>
          <w:kern w:val="0"/>
          <w:sz w:val="32"/>
          <w:szCs w:val="32"/>
        </w:rPr>
        <w:t>广西壮族自治区政府采购项目合同验收书（格式）</w:t>
      </w:r>
    </w:p>
    <w:p>
      <w:pPr>
        <w:pStyle w:val="style0"/>
        <w:shd w:val="clear" w:color="auto" w:fill="ffffff"/>
        <w:spacing w:lineRule="atLeast" w:line="480"/>
        <w:jc w:val="center"/>
        <w:rPr>
          <w:rFonts w:ascii="宋体" w:cs="宋体" w:hAnsi="宋体"/>
          <w:kern w:val="0"/>
          <w:sz w:val="32"/>
          <w:szCs w:val="32"/>
        </w:rPr>
      </w:pPr>
    </w:p>
    <w:p>
      <w:pPr>
        <w:pStyle w:val="style0"/>
        <w:shd w:val="clear" w:color="auto" w:fill="ffffff"/>
        <w:snapToGrid w:val="false"/>
        <w:spacing w:lineRule="atLeast" w:line="320"/>
        <w:ind w:firstLine="480"/>
        <w:jc w:val="left"/>
        <w:rPr>
          <w:rFonts w:ascii="宋体" w:cs="宋体" w:hAnsi="宋体"/>
          <w:kern w:val="0"/>
          <w:szCs w:val="21"/>
        </w:rPr>
      </w:pPr>
      <w:r>
        <w:rPr>
          <w:rFonts w:ascii="宋体" w:cs="宋体" w:hAnsi="宋体" w:hint="eastAsia"/>
          <w:kern w:val="0"/>
          <w:szCs w:val="21"/>
        </w:rPr>
        <w:t>根据政府采购项目（</w:t>
      </w:r>
      <w:r>
        <w:rPr>
          <w:rFonts w:ascii="宋体" w:cs="宋体" w:hAnsi="宋体" w:hint="eastAsia"/>
          <w:kern w:val="0"/>
          <w:szCs w:val="21"/>
          <w:u w:val="single"/>
        </w:rPr>
        <w:t>采购合同编号：</w:t>
      </w:r>
      <w:r>
        <w:rPr>
          <w:rFonts w:ascii="宋体" w:cs="宋体" w:hAnsi="宋体" w:hint="eastAsia"/>
          <w:kern w:val="0"/>
          <w:szCs w:val="21"/>
        </w:rPr>
        <w:t>）的约定，我单位对（</w:t>
      </w:r>
      <w:r>
        <w:rPr>
          <w:rFonts w:ascii="宋体" w:cs="宋体" w:hAnsi="宋体"/>
          <w:kern w:val="0"/>
          <w:szCs w:val="21"/>
          <w:u w:val="single"/>
        </w:rPr>
        <w:t xml:space="preserve"> 项目名称 </w:t>
      </w:r>
      <w:r>
        <w:rPr>
          <w:rFonts w:ascii="宋体" w:cs="宋体" w:hAnsi="宋体" w:hint="eastAsia"/>
          <w:kern w:val="0"/>
          <w:szCs w:val="21"/>
        </w:rPr>
        <w:t>）政府采购项目中标（或者成交）投标人（</w:t>
      </w:r>
      <w:r>
        <w:rPr>
          <w:rFonts w:ascii="宋体" w:cs="宋体" w:hAnsi="宋体"/>
          <w:kern w:val="0"/>
          <w:szCs w:val="21"/>
          <w:u w:val="single"/>
        </w:rPr>
        <w:t xml:space="preserve"> 公司名称 </w:t>
      </w:r>
      <w:r>
        <w:rPr>
          <w:rFonts w:ascii="宋体" w:cs="宋体" w:hAnsi="宋体" w:hint="eastAsia"/>
          <w:kern w:val="0"/>
          <w:szCs w:val="21"/>
        </w:rPr>
        <w:t>）提供的货物（或者工程、服务）进行了验收，验收情况如下：</w:t>
      </w:r>
    </w:p>
    <w:tbl>
      <w:tblPr>
        <w:tblW w:w="9371" w:type="dxa"/>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2354"/>
      </w:tblGrid>
      <w:tr>
        <w:trPr>
          <w:trHeight w:val="497" w:hRule="atLeast"/>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pPr>
              <w:pStyle w:val="style0"/>
              <w:snapToGrid w:val="false"/>
              <w:spacing w:before="100" w:beforeAutospacing="true" w:after="100" w:afterAutospacing="true" w:lineRule="atLeast" w:line="320"/>
              <w:ind w:firstLine="5"/>
              <w:jc w:val="center"/>
              <w:rPr>
                <w:rFonts w:ascii="宋体" w:cs="宋体" w:hAnsi="宋体"/>
                <w:kern w:val="0"/>
                <w:szCs w:val="21"/>
              </w:rPr>
            </w:pPr>
            <w:r>
              <w:rPr>
                <w:rFonts w:ascii="宋体" w:cs="宋体" w:hAnsi="宋体" w:hint="eastAsia"/>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pPr>
              <w:pStyle w:val="style0"/>
              <w:snapToGrid w:val="false"/>
              <w:spacing w:before="100" w:beforeAutospacing="true" w:after="100" w:afterAutospacing="true" w:lineRule="atLeast" w:line="320"/>
              <w:ind w:firstLine="480"/>
              <w:jc w:val="center"/>
              <w:rPr>
                <w:rFonts w:ascii="宋体" w:cs="宋体" w:hAnsi="宋体"/>
                <w:kern w:val="0"/>
                <w:szCs w:val="21"/>
              </w:rPr>
            </w:pPr>
            <w:r>
              <w:rPr>
                <w:rFonts w:ascii="宋体" w:cs="宋体" w:hAnsi="宋体" w:hint="eastAsia"/>
                <w:kern w:val="0"/>
                <w:szCs w:val="21"/>
              </w:rPr>
              <w:t>□自行验收□委托验收</w:t>
            </w:r>
          </w:p>
        </w:tc>
      </w:tr>
      <w:tr>
        <w:tblPrEx/>
        <w:trPr>
          <w:trHeight w:val="622" w:hRule="atLeast"/>
          <w:jc w:val="center"/>
        </w:trPr>
        <w:tc>
          <w:tcPr>
            <w:tcW w:w="1331" w:type="dxa"/>
            <w:tcBorders>
              <w:top w:val="nil"/>
              <w:left w:val="single" w:sz="8" w:space="0" w:color="auto"/>
              <w:bottom w:val="single" w:sz="8" w:space="0" w:color="auto"/>
              <w:right w:val="single" w:sz="8" w:space="0" w:color="auto"/>
            </w:tcBorders>
            <w:vAlign w:val="center"/>
          </w:tcPr>
          <w:p>
            <w:pPr>
              <w:pStyle w:val="style0"/>
              <w:snapToGrid w:val="false"/>
              <w:spacing w:before="100" w:beforeAutospacing="true" w:after="100" w:afterAutospacing="true" w:lineRule="atLeast" w:line="320"/>
              <w:ind w:firstLine="2"/>
              <w:jc w:val="center"/>
              <w:rPr>
                <w:rFonts w:ascii="宋体" w:cs="宋体" w:hAnsi="宋体"/>
                <w:kern w:val="0"/>
                <w:szCs w:val="21"/>
              </w:rPr>
            </w:pPr>
            <w:r>
              <w:rPr>
                <w:rFonts w:ascii="宋体" w:cs="宋体" w:hAnsi="宋体" w:hint="eastAsia"/>
                <w:kern w:val="0"/>
                <w:szCs w:val="21"/>
              </w:rPr>
              <w:t>序号</w:t>
            </w:r>
          </w:p>
        </w:tc>
        <w:tc>
          <w:tcPr>
            <w:tcW w:w="1921" w:type="dxa"/>
            <w:tcBorders>
              <w:top w:val="nil"/>
              <w:left w:val="nil"/>
              <w:bottom w:val="single" w:sz="8" w:space="0" w:color="auto"/>
              <w:right w:val="single" w:sz="8" w:space="0" w:color="auto"/>
            </w:tcBorders>
            <w:vAlign w:val="center"/>
          </w:tcPr>
          <w:p>
            <w:pPr>
              <w:pStyle w:val="style0"/>
              <w:snapToGrid w:val="false"/>
              <w:spacing w:before="100" w:beforeAutospacing="true" w:after="100" w:afterAutospacing="true" w:lineRule="atLeast" w:line="320"/>
              <w:ind w:firstLine="2"/>
              <w:jc w:val="center"/>
              <w:rPr>
                <w:rFonts w:ascii="宋体" w:cs="宋体" w:hAnsi="宋体"/>
                <w:kern w:val="0"/>
                <w:szCs w:val="21"/>
              </w:rPr>
            </w:pPr>
            <w:r>
              <w:rPr>
                <w:rFonts w:ascii="宋体" w:cs="宋体" w:hAnsi="宋体" w:hint="eastAsia"/>
                <w:kern w:val="0"/>
                <w:szCs w:val="21"/>
              </w:rPr>
              <w:t>名称</w:t>
            </w:r>
          </w:p>
        </w:tc>
        <w:tc>
          <w:tcPr>
            <w:tcW w:w="2902" w:type="dxa"/>
            <w:gridSpan w:val="3"/>
            <w:tcBorders>
              <w:top w:val="nil"/>
              <w:left w:val="nil"/>
              <w:bottom w:val="single" w:sz="8" w:space="0" w:color="auto"/>
              <w:right w:val="single" w:sz="8" w:space="0" w:color="auto"/>
            </w:tcBorders>
            <w:vAlign w:val="center"/>
          </w:tcPr>
          <w:p>
            <w:pPr>
              <w:pStyle w:val="style0"/>
              <w:snapToGrid w:val="false"/>
              <w:spacing w:before="100" w:beforeAutospacing="true" w:after="100" w:afterAutospacing="true" w:lineRule="atLeast" w:line="320"/>
              <w:ind w:firstLine="2"/>
              <w:jc w:val="center"/>
              <w:rPr>
                <w:rFonts w:ascii="宋体" w:cs="宋体" w:hAnsi="宋体"/>
                <w:kern w:val="0"/>
                <w:szCs w:val="21"/>
              </w:rPr>
            </w:pPr>
            <w:r>
              <w:rPr>
                <w:rFonts w:ascii="宋体" w:cs="宋体" w:hAnsi="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pPr>
              <w:pStyle w:val="style0"/>
              <w:snapToGrid w:val="false"/>
              <w:spacing w:before="100" w:beforeAutospacing="true" w:after="100" w:afterAutospacing="true" w:lineRule="atLeast" w:line="320"/>
              <w:jc w:val="center"/>
              <w:rPr>
                <w:rFonts w:ascii="宋体" w:cs="宋体" w:hAnsi="宋体"/>
                <w:kern w:val="0"/>
                <w:szCs w:val="21"/>
              </w:rPr>
            </w:pPr>
            <w:r>
              <w:rPr>
                <w:rFonts w:ascii="宋体" w:cs="宋体" w:hAnsi="宋体" w:hint="eastAsia"/>
                <w:kern w:val="0"/>
                <w:szCs w:val="21"/>
              </w:rPr>
              <w:t>数量</w:t>
            </w:r>
          </w:p>
        </w:tc>
        <w:tc>
          <w:tcPr>
            <w:tcW w:w="2354" w:type="dxa"/>
            <w:tcBorders>
              <w:top w:val="nil"/>
              <w:left w:val="nil"/>
              <w:bottom w:val="single" w:sz="8" w:space="0" w:color="auto"/>
              <w:right w:val="single" w:sz="8" w:space="0" w:color="auto"/>
            </w:tcBorders>
            <w:vAlign w:val="center"/>
          </w:tcPr>
          <w:p>
            <w:pPr>
              <w:pStyle w:val="style0"/>
              <w:snapToGrid w:val="false"/>
              <w:spacing w:before="100" w:beforeAutospacing="true" w:after="100" w:afterAutospacing="true" w:lineRule="atLeast" w:line="320"/>
              <w:ind w:firstLine="2"/>
              <w:jc w:val="center"/>
              <w:rPr>
                <w:rFonts w:ascii="宋体" w:cs="宋体" w:hAnsi="宋体"/>
                <w:kern w:val="0"/>
                <w:szCs w:val="21"/>
              </w:rPr>
            </w:pPr>
            <w:r>
              <w:rPr>
                <w:rFonts w:ascii="宋体" w:cs="宋体" w:hAnsi="宋体" w:hint="eastAsia"/>
                <w:kern w:val="0"/>
                <w:szCs w:val="21"/>
              </w:rPr>
              <w:t>金额</w:t>
            </w:r>
          </w:p>
        </w:tc>
      </w:tr>
      <w:tr>
        <w:tblPrEx/>
        <w:trPr>
          <w:trHeight w:val="487" w:hRule="atLeast"/>
          <w:jc w:val="center"/>
        </w:trPr>
        <w:tc>
          <w:tcPr>
            <w:tcW w:w="1331" w:type="dxa"/>
            <w:tcBorders>
              <w:top w:val="nil"/>
              <w:left w:val="single" w:sz="8" w:space="0" w:color="auto"/>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1921" w:type="dxa"/>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2902" w:type="dxa"/>
            <w:gridSpan w:val="3"/>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863" w:type="dxa"/>
            <w:gridSpan w:val="2"/>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2354" w:type="dxa"/>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r>
      <w:tr>
        <w:tblPrEx/>
        <w:trPr>
          <w:trHeight w:val="487" w:hRule="atLeast"/>
          <w:jc w:val="center"/>
        </w:trPr>
        <w:tc>
          <w:tcPr>
            <w:tcW w:w="1331" w:type="dxa"/>
            <w:tcBorders>
              <w:top w:val="nil"/>
              <w:left w:val="single" w:sz="8" w:space="0" w:color="auto"/>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1921" w:type="dxa"/>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2902" w:type="dxa"/>
            <w:gridSpan w:val="3"/>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863" w:type="dxa"/>
            <w:gridSpan w:val="2"/>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2354" w:type="dxa"/>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r>
      <w:tr>
        <w:tblPrEx/>
        <w:trPr>
          <w:trHeight w:val="487" w:hRule="atLeast"/>
          <w:jc w:val="center"/>
        </w:trPr>
        <w:tc>
          <w:tcPr>
            <w:tcW w:w="1331" w:type="dxa"/>
            <w:tcBorders>
              <w:top w:val="nil"/>
              <w:left w:val="single" w:sz="8" w:space="0" w:color="auto"/>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1921" w:type="dxa"/>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2902" w:type="dxa"/>
            <w:gridSpan w:val="3"/>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863" w:type="dxa"/>
            <w:gridSpan w:val="2"/>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2354" w:type="dxa"/>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r>
      <w:tr>
        <w:tblPrEx/>
        <w:trPr>
          <w:trHeight w:val="487" w:hRule="atLeast"/>
          <w:jc w:val="center"/>
        </w:trPr>
        <w:tc>
          <w:tcPr>
            <w:tcW w:w="6154" w:type="dxa"/>
            <w:gridSpan w:val="5"/>
            <w:tcBorders>
              <w:top w:val="nil"/>
              <w:left w:val="single" w:sz="8" w:space="0" w:color="auto"/>
              <w:bottom w:val="single" w:sz="8" w:space="0" w:color="auto"/>
              <w:right w:val="single" w:sz="8" w:space="0" w:color="auto"/>
            </w:tcBorders>
            <w:vAlign w:val="center"/>
          </w:tcPr>
          <w:p>
            <w:pPr>
              <w:pStyle w:val="style0"/>
              <w:snapToGrid w:val="false"/>
              <w:spacing w:before="100" w:beforeAutospacing="true" w:after="100" w:afterAutospacing="true" w:lineRule="atLeast" w:line="320"/>
              <w:ind w:firstLine="5"/>
              <w:jc w:val="center"/>
              <w:rPr>
                <w:rFonts w:ascii="宋体" w:cs="宋体" w:hAnsi="宋体"/>
                <w:kern w:val="0"/>
                <w:szCs w:val="21"/>
              </w:rPr>
            </w:pPr>
            <w:r>
              <w:rPr>
                <w:rFonts w:ascii="宋体" w:cs="宋体" w:hAnsi="宋体" w:hint="eastAsia"/>
                <w:kern w:val="0"/>
                <w:szCs w:val="21"/>
              </w:rPr>
              <w:t>合计</w:t>
            </w:r>
          </w:p>
        </w:tc>
        <w:tc>
          <w:tcPr>
            <w:tcW w:w="863" w:type="dxa"/>
            <w:gridSpan w:val="2"/>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2354" w:type="dxa"/>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r>
      <w:tr>
        <w:tblPrEx/>
        <w:trPr>
          <w:trHeight w:val="641" w:hRule="atLeast"/>
          <w:jc w:val="center"/>
        </w:trPr>
        <w:tc>
          <w:tcPr>
            <w:tcW w:w="9371" w:type="dxa"/>
            <w:gridSpan w:val="8"/>
            <w:tcBorders>
              <w:top w:val="nil"/>
              <w:left w:val="single" w:sz="8" w:space="0" w:color="auto"/>
              <w:bottom w:val="single" w:sz="8" w:space="0" w:color="auto"/>
              <w:right w:val="single" w:sz="8" w:space="0" w:color="auto"/>
            </w:tcBorders>
            <w:vAlign w:val="center"/>
          </w:tcPr>
          <w:p>
            <w:pPr>
              <w:pStyle w:val="style0"/>
              <w:snapToGrid w:val="false"/>
              <w:spacing w:before="100" w:beforeAutospacing="true" w:after="100" w:afterAutospacing="true" w:lineRule="atLeast" w:line="320"/>
              <w:ind w:firstLine="2"/>
              <w:jc w:val="left"/>
              <w:rPr>
                <w:rFonts w:ascii="宋体" w:cs="宋体" w:hAnsi="宋体"/>
                <w:kern w:val="0"/>
                <w:szCs w:val="21"/>
              </w:rPr>
            </w:pPr>
            <w:r>
              <w:rPr>
                <w:rFonts w:ascii="宋体" w:cs="宋体" w:hAnsi="宋体" w:hint="eastAsia"/>
                <w:kern w:val="0"/>
                <w:szCs w:val="21"/>
              </w:rPr>
              <w:t>合计大写金额：亿仟佰拾万仟佰拾元</w:t>
            </w:r>
          </w:p>
        </w:tc>
      </w:tr>
      <w:tr>
        <w:tblPrEx/>
        <w:trPr>
          <w:trHeight w:val="641" w:hRule="atLeast"/>
          <w:jc w:val="center"/>
        </w:trPr>
        <w:tc>
          <w:tcPr>
            <w:tcW w:w="1331" w:type="dxa"/>
            <w:tcBorders>
              <w:top w:val="nil"/>
              <w:left w:val="single" w:sz="8" w:space="0" w:color="auto"/>
              <w:bottom w:val="single" w:sz="8" w:space="0" w:color="auto"/>
              <w:right w:val="single" w:sz="8" w:space="0" w:color="auto"/>
            </w:tcBorders>
            <w:vAlign w:val="center"/>
          </w:tcPr>
          <w:p>
            <w:pPr>
              <w:pStyle w:val="style0"/>
              <w:snapToGrid w:val="false"/>
              <w:spacing w:before="100" w:beforeAutospacing="true" w:after="100" w:afterAutospacing="true" w:lineRule="atLeast" w:line="320"/>
              <w:ind w:firstLine="2"/>
              <w:jc w:val="center"/>
              <w:rPr>
                <w:rFonts w:ascii="宋体" w:cs="宋体" w:hAnsi="宋体"/>
                <w:kern w:val="0"/>
                <w:szCs w:val="21"/>
              </w:rPr>
            </w:pPr>
            <w:r>
              <w:rPr>
                <w:rFonts w:ascii="宋体" w:cs="宋体" w:hAnsi="宋体" w:hint="eastAsia"/>
                <w:kern w:val="0"/>
                <w:szCs w:val="21"/>
              </w:rPr>
              <w:t>实际供货日期</w:t>
            </w:r>
          </w:p>
        </w:tc>
        <w:tc>
          <w:tcPr>
            <w:tcW w:w="2719" w:type="dxa"/>
            <w:gridSpan w:val="2"/>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2282" w:type="dxa"/>
            <w:gridSpan w:val="3"/>
            <w:tcBorders>
              <w:top w:val="nil"/>
              <w:left w:val="nil"/>
              <w:bottom w:val="single" w:sz="8" w:space="0" w:color="auto"/>
              <w:right w:val="single" w:sz="8" w:space="0" w:color="auto"/>
            </w:tcBorders>
            <w:vAlign w:val="center"/>
          </w:tcPr>
          <w:p>
            <w:pPr>
              <w:pStyle w:val="style0"/>
              <w:snapToGrid w:val="false"/>
              <w:spacing w:before="100" w:beforeAutospacing="true" w:after="100" w:afterAutospacing="true" w:lineRule="atLeast" w:line="320"/>
              <w:ind w:firstLine="46"/>
              <w:jc w:val="center"/>
              <w:rPr>
                <w:rFonts w:ascii="宋体" w:cs="宋体" w:hAnsi="宋体"/>
                <w:kern w:val="0"/>
                <w:szCs w:val="21"/>
              </w:rPr>
            </w:pPr>
            <w:r>
              <w:rPr>
                <w:rFonts w:ascii="宋体" w:cs="宋体" w:hAnsi="宋体" w:hint="eastAsia"/>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r>
      <w:tr>
        <w:tblPrEx/>
        <w:trPr>
          <w:trHeight w:val="394" w:hRule="atLeast"/>
          <w:jc w:val="center"/>
        </w:trPr>
        <w:tc>
          <w:tcPr>
            <w:tcW w:w="1331" w:type="dxa"/>
            <w:tcBorders>
              <w:top w:val="nil"/>
              <w:left w:val="single" w:sz="8" w:space="0" w:color="auto"/>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2719" w:type="dxa"/>
            <w:gridSpan w:val="2"/>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2282" w:type="dxa"/>
            <w:gridSpan w:val="3"/>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c>
          <w:tcPr>
            <w:tcW w:w="3039" w:type="dxa"/>
            <w:gridSpan w:val="2"/>
            <w:tcBorders>
              <w:top w:val="nil"/>
              <w:left w:val="nil"/>
              <w:bottom w:val="single" w:sz="8" w:space="0" w:color="auto"/>
              <w:right w:val="single" w:sz="8" w:space="0" w:color="auto"/>
            </w:tcBorders>
            <w:vAlign w:val="center"/>
          </w:tcPr>
          <w:p>
            <w:pPr>
              <w:pStyle w:val="style0"/>
              <w:keepNext/>
              <w:keepLines/>
              <w:spacing w:before="100" w:beforeAutospacing="true" w:after="100" w:afterAutospacing="true" w:lineRule="atLeast" w:line="240"/>
              <w:jc w:val="center"/>
              <w:outlineLvl w:val="0"/>
              <w:rPr>
                <w:rFonts w:ascii="宋体" w:cs="宋体" w:hAnsi="宋体"/>
                <w:kern w:val="0"/>
                <w:szCs w:val="21"/>
              </w:rPr>
            </w:pPr>
          </w:p>
        </w:tc>
      </w:tr>
      <w:tr>
        <w:tblPrEx/>
        <w:trPr>
          <w:trHeight w:val="693" w:hRule="atLeast"/>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snapToGrid w:val="false"/>
              <w:spacing w:before="100" w:beforeAutospacing="true" w:after="100" w:afterAutospacing="true" w:lineRule="atLeast" w:line="320"/>
              <w:jc w:val="left"/>
              <w:rPr>
                <w:rFonts w:ascii="宋体" w:cs="宋体" w:hAnsi="宋体"/>
                <w:kern w:val="0"/>
                <w:szCs w:val="21"/>
              </w:rPr>
            </w:pPr>
            <w:r>
              <w:rPr>
                <w:rFonts w:ascii="宋体" w:cs="宋体" w:hAnsi="宋体" w:hint="eastAsia"/>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snapToGrid w:val="false"/>
              <w:spacing w:before="100" w:beforeAutospacing="true" w:after="100" w:afterAutospacing="true" w:lineRule="atLeast" w:line="320"/>
              <w:jc w:val="left"/>
              <w:rPr>
                <w:rFonts w:ascii="宋体" w:cs="宋体" w:hAnsi="宋体"/>
                <w:kern w:val="0"/>
                <w:szCs w:val="21"/>
              </w:rPr>
            </w:pPr>
            <w:r>
              <w:rPr>
                <w:rFonts w:ascii="宋体" w:cs="宋体" w:hAnsi="宋体" w:hint="eastAsia"/>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r>
              <w:rPr>
                <w:rFonts w:ascii="宋体" w:cs="宋体" w:hAnsi="宋体"/>
                <w:kern w:val="0"/>
                <w:szCs w:val="21"/>
              </w:rPr>
              <w:t>)</w:t>
            </w:r>
          </w:p>
        </w:tc>
      </w:tr>
      <w:tr>
        <w:tblPrEx/>
        <w:trPr>
          <w:trHeight w:val="1281" w:hRule="atLeast"/>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spacing w:before="100" w:beforeAutospacing="true" w:after="100" w:afterAutospacing="true" w:lineRule="atLeast" w:line="320"/>
              <w:jc w:val="left"/>
              <w:rPr>
                <w:rFonts w:ascii="宋体" w:cs="宋体" w:hAnsi="宋体"/>
                <w:kern w:val="0"/>
                <w:szCs w:val="21"/>
              </w:rPr>
            </w:pPr>
            <w:r>
              <w:rPr>
                <w:rFonts w:ascii="宋体" w:cs="宋体" w:hAnsi="宋体" w:hint="eastAsia"/>
                <w:kern w:val="0"/>
                <w:szCs w:val="21"/>
              </w:rPr>
              <w:t>验收小组意见</w:t>
            </w:r>
          </w:p>
        </w:tc>
        <w:tc>
          <w:tcPr>
            <w:tcW w:w="8040" w:type="dxa"/>
            <w:gridSpan w:val="7"/>
            <w:tcBorders>
              <w:top w:val="nil"/>
              <w:left w:val="nil"/>
              <w:bottom w:val="single" w:sz="8" w:space="0" w:color="auto"/>
              <w:right w:val="single" w:sz="8" w:space="0" w:color="auto"/>
            </w:tcBorders>
            <w:tcMar/>
            <w:vAlign w:val="center"/>
          </w:tcPr>
          <w:p>
            <w:pPr>
              <w:pStyle w:val="style0"/>
              <w:spacing w:before="100" w:beforeAutospacing="true" w:after="100" w:afterAutospacing="true" w:lineRule="atLeast" w:line="320"/>
              <w:jc w:val="left"/>
              <w:rPr>
                <w:rFonts w:ascii="宋体" w:cs="宋体" w:hAnsi="宋体"/>
                <w:kern w:val="0"/>
                <w:szCs w:val="21"/>
              </w:rPr>
            </w:pPr>
            <w:r>
              <w:rPr>
                <w:rFonts w:ascii="宋体" w:cs="宋体" w:hAnsi="宋体" w:hint="eastAsia"/>
                <w:kern w:val="0"/>
                <w:szCs w:val="21"/>
              </w:rPr>
              <w:t>验收结论性意见：</w:t>
            </w:r>
          </w:p>
        </w:tc>
      </w:tr>
      <w:tr>
        <w:tblPrEx/>
        <w:trPr>
          <w:trHeight w:val="607" w:hRule="atLeast"/>
          <w:jc w:val="center"/>
        </w:trPr>
        <w:tc>
          <w:tcPr>
            <w:tcW w:w="1331" w:type="dxa"/>
            <w:vMerge w:val="continue"/>
            <w:tcBorders>
              <w:top w:val="nil"/>
              <w:left w:val="single" w:sz="8" w:space="0" w:color="auto"/>
              <w:bottom w:val="single" w:sz="8" w:space="0" w:color="auto"/>
              <w:right w:val="single" w:sz="8" w:space="0" w:color="auto"/>
            </w:tcBorders>
            <w:vAlign w:val="center"/>
          </w:tcPr>
          <w:p>
            <w:pPr>
              <w:pStyle w:val="style0"/>
              <w:jc w:val="left"/>
              <w:rPr>
                <w:rFonts w:ascii="宋体" w:cs="宋体" w:hAnsi="宋体"/>
                <w:kern w:val="0"/>
                <w:szCs w:val="21"/>
              </w:rPr>
            </w:pPr>
          </w:p>
        </w:tc>
        <w:tc>
          <w:tcPr>
            <w:tcW w:w="8040" w:type="dxa"/>
            <w:gridSpan w:val="7"/>
            <w:tcBorders>
              <w:top w:val="nil"/>
              <w:left w:val="nil"/>
              <w:bottom w:val="single" w:sz="8" w:space="0" w:color="auto"/>
              <w:right w:val="single" w:sz="8" w:space="0" w:color="auto"/>
            </w:tcBorders>
            <w:vAlign w:val="center"/>
          </w:tcPr>
          <w:p>
            <w:pPr>
              <w:pStyle w:val="style0"/>
              <w:spacing w:before="100" w:beforeAutospacing="true" w:after="100" w:afterAutospacing="true" w:lineRule="atLeast" w:line="320"/>
              <w:ind w:firstLine="96"/>
              <w:jc w:val="left"/>
              <w:rPr>
                <w:rFonts w:ascii="宋体" w:cs="宋体" w:hAnsi="宋体"/>
                <w:kern w:val="0"/>
                <w:szCs w:val="21"/>
              </w:rPr>
            </w:pPr>
            <w:r>
              <w:rPr>
                <w:rFonts w:ascii="宋体" w:cs="宋体" w:hAnsi="宋体" w:hint="eastAsia"/>
                <w:kern w:val="0"/>
                <w:szCs w:val="21"/>
              </w:rPr>
              <w:t>有异议的意见和说明理由：</w:t>
            </w:r>
          </w:p>
          <w:p>
            <w:pPr>
              <w:pStyle w:val="style0"/>
              <w:spacing w:before="100" w:beforeAutospacing="true" w:after="100" w:afterAutospacing="true" w:lineRule="atLeast" w:line="320"/>
              <w:jc w:val="left"/>
              <w:rPr>
                <w:rFonts w:ascii="宋体" w:cs="宋体" w:hAnsi="宋体"/>
                <w:kern w:val="0"/>
                <w:szCs w:val="21"/>
              </w:rPr>
            </w:pPr>
            <w:r>
              <w:rPr>
                <w:rFonts w:ascii="宋体" w:cs="宋体" w:hAnsi="宋体" w:hint="eastAsia"/>
                <w:kern w:val="0"/>
                <w:szCs w:val="21"/>
              </w:rPr>
              <w:t>签字：</w:t>
            </w:r>
          </w:p>
        </w:tc>
      </w:tr>
      <w:tr>
        <w:tblPrEx/>
        <w:trPr>
          <w:trHeight w:val="507" w:hRule="atLeast"/>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spacing w:before="100" w:beforeAutospacing="true" w:after="100" w:afterAutospacing="true" w:lineRule="atLeast" w:line="320"/>
              <w:jc w:val="left"/>
              <w:rPr>
                <w:rFonts w:ascii="宋体" w:cs="宋体" w:hAnsi="宋体"/>
                <w:kern w:val="0"/>
                <w:szCs w:val="21"/>
              </w:rPr>
            </w:pPr>
            <w:r>
              <w:rPr>
                <w:rFonts w:ascii="宋体" w:cs="宋体" w:hAnsi="宋体" w:hint="eastAsia"/>
                <w:kern w:val="0"/>
                <w:szCs w:val="21"/>
              </w:rPr>
              <w:t>验收小组成员签字：</w:t>
            </w:r>
          </w:p>
        </w:tc>
      </w:tr>
      <w:tr>
        <w:tblPrEx/>
        <w:trPr>
          <w:trHeight w:val="736" w:hRule="atLeast"/>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spacing w:before="100" w:beforeAutospacing="true" w:after="100" w:afterAutospacing="true" w:lineRule="atLeast" w:line="320"/>
              <w:jc w:val="left"/>
              <w:rPr>
                <w:rFonts w:ascii="宋体" w:cs="宋体" w:hAnsi="宋体"/>
                <w:kern w:val="0"/>
                <w:szCs w:val="21"/>
              </w:rPr>
            </w:pPr>
            <w:r>
              <w:rPr>
                <w:rFonts w:ascii="宋体" w:cs="宋体" w:hAnsi="宋体" w:hint="eastAsia"/>
                <w:kern w:val="0"/>
                <w:szCs w:val="21"/>
              </w:rPr>
              <w:t>监督人员或者其他相关人员签字：</w:t>
            </w:r>
          </w:p>
          <w:p>
            <w:pPr>
              <w:pStyle w:val="style0"/>
              <w:spacing w:before="100" w:beforeAutospacing="true" w:after="100" w:afterAutospacing="true" w:lineRule="atLeast" w:line="320"/>
              <w:ind w:firstLine="74"/>
              <w:jc w:val="left"/>
              <w:rPr>
                <w:rFonts w:ascii="宋体" w:cs="宋体" w:hAnsi="宋体"/>
                <w:kern w:val="0"/>
                <w:szCs w:val="21"/>
              </w:rPr>
            </w:pPr>
            <w:r>
              <w:rPr>
                <w:rFonts w:ascii="宋体" w:cs="宋体" w:hAnsi="宋体" w:hint="eastAsia"/>
                <w:kern w:val="0"/>
                <w:szCs w:val="21"/>
              </w:rPr>
              <w:t>或者受邀机构的意见（盖章）：</w:t>
            </w:r>
          </w:p>
        </w:tc>
      </w:tr>
      <w:tr>
        <w:tblPrEx/>
        <w:trPr>
          <w:trHeight w:val="758" w:hRule="atLeast"/>
          <w:jc w:val="center"/>
        </w:trPr>
        <w:tc>
          <w:tcPr>
            <w:tcW w:w="4152" w:type="dxa"/>
            <w:gridSpan w:val="4"/>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pPr>
              <w:pStyle w:val="style0"/>
              <w:spacing w:before="100" w:beforeAutospacing="true" w:after="100" w:afterAutospacing="true" w:lineRule="atLeast" w:line="320"/>
              <w:ind w:firstLine="74"/>
              <w:jc w:val="left"/>
              <w:rPr>
                <w:rFonts w:ascii="宋体" w:cs="宋体" w:hAnsi="宋体"/>
                <w:kern w:val="0"/>
                <w:szCs w:val="21"/>
              </w:rPr>
            </w:pPr>
            <w:r>
              <w:rPr>
                <w:rFonts w:ascii="宋体" w:cs="宋体" w:hAnsi="宋体" w:hint="eastAsia"/>
                <w:kern w:val="0"/>
                <w:szCs w:val="21"/>
              </w:rPr>
              <w:t>中标或者成交人负责人签字或者盖章：</w:t>
            </w:r>
          </w:p>
          <w:p>
            <w:pPr>
              <w:pStyle w:val="style0"/>
              <w:spacing w:before="100" w:beforeAutospacing="true" w:after="100" w:afterAutospacing="true" w:lineRule="atLeast" w:line="320"/>
              <w:ind w:firstLine="74"/>
              <w:jc w:val="left"/>
              <w:rPr>
                <w:rFonts w:ascii="宋体" w:cs="宋体" w:hAnsi="宋体"/>
                <w:kern w:val="0"/>
                <w:szCs w:val="21"/>
              </w:rPr>
            </w:pPr>
          </w:p>
          <w:p>
            <w:pPr>
              <w:pStyle w:val="style0"/>
              <w:spacing w:before="100" w:beforeAutospacing="true" w:after="100" w:afterAutospacing="true" w:lineRule="atLeast" w:line="320"/>
              <w:jc w:val="left"/>
              <w:rPr>
                <w:rFonts w:ascii="宋体" w:cs="宋体" w:hAnsi="宋体"/>
                <w:kern w:val="0"/>
                <w:szCs w:val="21"/>
              </w:rPr>
            </w:pPr>
            <w:r>
              <w:rPr>
                <w:rFonts w:ascii="宋体" w:cs="宋体" w:hAnsi="宋体" w:hint="eastAsia"/>
                <w:kern w:val="0"/>
                <w:szCs w:val="21"/>
              </w:rPr>
              <w:t>联系电话：年月日</w:t>
            </w:r>
          </w:p>
        </w:tc>
        <w:tc>
          <w:tcPr>
            <w:tcW w:w="5219" w:type="dxa"/>
            <w:gridSpan w:val="4"/>
            <w:tcBorders>
              <w:top w:val="nil"/>
              <w:left w:val="single" w:sz="4" w:space="0" w:color="auto"/>
              <w:bottom w:val="single" w:sz="8" w:space="0" w:color="auto"/>
              <w:right w:val="single" w:sz="8" w:space="0" w:color="auto"/>
            </w:tcBorders>
            <w:tcMar/>
            <w:vAlign w:val="center"/>
          </w:tcPr>
          <w:p>
            <w:pPr>
              <w:pStyle w:val="style0"/>
              <w:spacing w:before="100" w:beforeAutospacing="true" w:after="100" w:afterAutospacing="true" w:lineRule="atLeast" w:line="320"/>
              <w:jc w:val="left"/>
              <w:rPr>
                <w:rFonts w:ascii="宋体" w:cs="宋体" w:hAnsi="宋体"/>
                <w:kern w:val="0"/>
                <w:szCs w:val="21"/>
              </w:rPr>
            </w:pPr>
            <w:r>
              <w:rPr>
                <w:rFonts w:ascii="宋体" w:cs="宋体" w:hAnsi="宋体" w:hint="eastAsia"/>
                <w:kern w:val="0"/>
                <w:szCs w:val="21"/>
              </w:rPr>
              <w:t>采购人或者受托机构的意见（盖章）：</w:t>
            </w:r>
          </w:p>
          <w:p>
            <w:pPr>
              <w:pStyle w:val="style0"/>
              <w:spacing w:before="100" w:beforeAutospacing="true" w:after="100" w:afterAutospacing="true" w:lineRule="atLeast" w:line="320"/>
              <w:jc w:val="left"/>
              <w:rPr>
                <w:rFonts w:ascii="宋体" w:cs="宋体" w:hAnsi="宋体"/>
                <w:kern w:val="0"/>
                <w:szCs w:val="21"/>
              </w:rPr>
            </w:pPr>
          </w:p>
          <w:p>
            <w:pPr>
              <w:pStyle w:val="style0"/>
              <w:spacing w:before="100" w:beforeAutospacing="true" w:after="100" w:afterAutospacing="true" w:lineRule="atLeast" w:line="320"/>
              <w:jc w:val="left"/>
              <w:rPr>
                <w:rFonts w:ascii="宋体" w:cs="宋体" w:hAnsi="宋体"/>
                <w:kern w:val="0"/>
                <w:szCs w:val="21"/>
              </w:rPr>
            </w:pPr>
            <w:r>
              <w:rPr>
                <w:rFonts w:ascii="宋体" w:cs="宋体" w:hAnsi="宋体" w:hint="eastAsia"/>
                <w:kern w:val="0"/>
                <w:szCs w:val="21"/>
              </w:rPr>
              <w:t>联系电话：年月日</w:t>
            </w:r>
          </w:p>
        </w:tc>
      </w:tr>
    </w:tbl>
    <w:p>
      <w:pPr>
        <w:pStyle w:val="style0"/>
        <w:jc w:val="center"/>
        <w:rPr>
          <w:rFonts w:ascii="宋体" w:cs="宋体" w:hAnsi="宋体"/>
        </w:rPr>
      </w:pPr>
      <w:r>
        <w:rPr>
          <w:rFonts w:ascii="宋体" w:cs="宋体" w:hAnsi="宋体"/>
        </w:rPr>
        <w:br w:type="page"/>
      </w:r>
    </w:p>
    <w:p>
      <w:pPr>
        <w:pStyle w:val="style0"/>
        <w:jc w:val="center"/>
        <w:outlineLvl w:val="1"/>
        <w:rPr>
          <w:rFonts w:ascii="宋体" w:cs="宋体" w:hAnsi="宋体"/>
          <w:sz w:val="32"/>
          <w:szCs w:val="32"/>
        </w:rPr>
      </w:pPr>
      <w:r>
        <w:rPr>
          <w:rFonts w:ascii="宋体" w:cs="宋体" w:hAnsi="宋体" w:hint="eastAsia"/>
          <w:sz w:val="32"/>
          <w:szCs w:val="32"/>
        </w:rPr>
        <w:t>政府采购项目履约保证金退付意见书（参考）</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456"/>
      </w:tblGrid>
      <w:tr>
        <w:trPr>
          <w:cantSplit/>
          <w:trHeight w:val="612" w:hRule="atLeast"/>
          <w:jc w:val="center"/>
        </w:trPr>
        <w:tc>
          <w:tcPr>
            <w:tcW w:w="1008" w:type="dxa"/>
            <w:vMerge w:val="restart"/>
            <w:tcBorders/>
            <w:vAlign w:val="center"/>
          </w:tcPr>
          <w:p>
            <w:pPr>
              <w:pStyle w:val="style0"/>
              <w:jc w:val="center"/>
              <w:rPr>
                <w:rFonts w:ascii="宋体" w:cs="宋体" w:hAnsi="宋体"/>
                <w:sz w:val="24"/>
              </w:rPr>
            </w:pPr>
            <w:r>
              <w:rPr>
                <w:rFonts w:ascii="宋体" w:cs="宋体" w:hAnsi="宋体" w:hint="eastAsia"/>
                <w:sz w:val="24"/>
              </w:rPr>
              <w:t>供</w:t>
            </w:r>
          </w:p>
          <w:p>
            <w:pPr>
              <w:pStyle w:val="style0"/>
              <w:jc w:val="center"/>
              <w:rPr>
                <w:rFonts w:ascii="宋体" w:cs="宋体" w:hAnsi="宋体"/>
                <w:sz w:val="24"/>
              </w:rPr>
            </w:pPr>
            <w:r>
              <w:rPr>
                <w:rFonts w:ascii="宋体" w:cs="宋体" w:hAnsi="宋体" w:hint="eastAsia"/>
                <w:sz w:val="24"/>
              </w:rPr>
              <w:t>应</w:t>
            </w:r>
          </w:p>
          <w:p>
            <w:pPr>
              <w:pStyle w:val="style0"/>
              <w:jc w:val="center"/>
              <w:rPr>
                <w:rFonts w:ascii="宋体" w:cs="宋体" w:hAnsi="宋体"/>
                <w:sz w:val="24"/>
              </w:rPr>
            </w:pPr>
            <w:r>
              <w:rPr>
                <w:rFonts w:ascii="宋体" w:cs="宋体" w:hAnsi="宋体" w:hint="eastAsia"/>
                <w:sz w:val="24"/>
              </w:rPr>
              <w:t>商</w:t>
            </w:r>
          </w:p>
          <w:p>
            <w:pPr>
              <w:pStyle w:val="style0"/>
              <w:jc w:val="center"/>
              <w:rPr>
                <w:rFonts w:ascii="宋体" w:cs="宋体" w:hAnsi="宋体"/>
                <w:sz w:val="24"/>
              </w:rPr>
            </w:pPr>
            <w:r>
              <w:rPr>
                <w:rFonts w:ascii="宋体" w:cs="宋体" w:hAnsi="宋体" w:hint="eastAsia"/>
                <w:sz w:val="24"/>
              </w:rPr>
              <w:t>申</w:t>
            </w:r>
          </w:p>
          <w:p>
            <w:pPr>
              <w:pStyle w:val="style0"/>
              <w:jc w:val="center"/>
              <w:rPr>
                <w:rFonts w:ascii="宋体" w:cs="宋体" w:hAnsi="宋体"/>
                <w:sz w:val="24"/>
              </w:rPr>
            </w:pPr>
            <w:r>
              <w:rPr>
                <w:rFonts w:ascii="宋体" w:cs="宋体" w:hAnsi="宋体" w:hint="eastAsia"/>
                <w:sz w:val="24"/>
              </w:rPr>
              <w:t>请</w:t>
            </w:r>
          </w:p>
        </w:tc>
        <w:tc>
          <w:tcPr>
            <w:tcW w:w="8456" w:type="dxa"/>
            <w:tcBorders/>
            <w:vAlign w:val="center"/>
          </w:tcPr>
          <w:p>
            <w:pPr>
              <w:pStyle w:val="style0"/>
              <w:rPr>
                <w:rFonts w:ascii="宋体" w:cs="宋体" w:hAnsi="宋体"/>
                <w:sz w:val="24"/>
              </w:rPr>
            </w:pPr>
            <w:r>
              <w:rPr>
                <w:rFonts w:ascii="宋体" w:cs="宋体" w:hAnsi="宋体" w:hint="eastAsia"/>
                <w:sz w:val="24"/>
              </w:rPr>
              <w:t>项目编号：</w:t>
            </w:r>
          </w:p>
        </w:tc>
      </w:tr>
      <w:tr>
        <w:tblPrEx/>
        <w:trPr>
          <w:cantSplit/>
          <w:trHeight w:val="608" w:hRule="atLeast"/>
          <w:jc w:val="center"/>
        </w:trPr>
        <w:tc>
          <w:tcPr>
            <w:tcW w:w="1008" w:type="dxa"/>
            <w:vMerge w:val="continue"/>
            <w:tcBorders/>
            <w:vAlign w:val="center"/>
          </w:tcPr>
          <w:p>
            <w:pPr>
              <w:pStyle w:val="style0"/>
              <w:keepNext/>
              <w:keepLines/>
              <w:spacing w:lineRule="exact" w:line="600"/>
              <w:ind w:firstLine="480" w:firstLineChars="200"/>
              <w:outlineLvl w:val="2"/>
              <w:rPr>
                <w:rFonts w:ascii="宋体" w:cs="宋体" w:hAnsi="宋体"/>
                <w:sz w:val="24"/>
              </w:rPr>
            </w:pPr>
          </w:p>
        </w:tc>
        <w:tc>
          <w:tcPr>
            <w:tcW w:w="8456" w:type="dxa"/>
            <w:tcBorders/>
            <w:vAlign w:val="center"/>
          </w:tcPr>
          <w:p>
            <w:pPr>
              <w:pStyle w:val="style0"/>
              <w:rPr>
                <w:rFonts w:ascii="宋体" w:cs="宋体" w:hAnsi="宋体"/>
                <w:sz w:val="24"/>
              </w:rPr>
            </w:pPr>
            <w:r>
              <w:rPr>
                <w:rFonts w:ascii="宋体" w:cs="宋体" w:hAnsi="宋体" w:hint="eastAsia"/>
                <w:sz w:val="24"/>
              </w:rPr>
              <w:t>项目名称：</w:t>
            </w:r>
          </w:p>
        </w:tc>
      </w:tr>
      <w:tr>
        <w:tblPrEx/>
        <w:trPr>
          <w:cantSplit/>
          <w:jc w:val="center"/>
        </w:trPr>
        <w:tc>
          <w:tcPr>
            <w:tcW w:w="1008" w:type="dxa"/>
            <w:vMerge w:val="continue"/>
            <w:tcBorders/>
          </w:tcPr>
          <w:p>
            <w:pPr>
              <w:pStyle w:val="style0"/>
              <w:keepNext/>
              <w:keepLines/>
              <w:spacing w:lineRule="exact" w:line="600"/>
              <w:ind w:firstLine="480" w:firstLineChars="200"/>
              <w:outlineLvl w:val="2"/>
              <w:rPr>
                <w:rFonts w:ascii="宋体" w:cs="宋体" w:hAnsi="宋体"/>
                <w:sz w:val="24"/>
              </w:rPr>
            </w:pPr>
          </w:p>
        </w:tc>
        <w:tc>
          <w:tcPr>
            <w:tcW w:w="8456" w:type="dxa"/>
            <w:tcBorders/>
          </w:tcPr>
          <w:p>
            <w:pPr>
              <w:pStyle w:val="style0"/>
              <w:keepNext/>
              <w:keepLines/>
              <w:spacing w:lineRule="exact" w:line="600"/>
              <w:ind w:firstLine="480" w:firstLineChars="200"/>
              <w:outlineLvl w:val="2"/>
              <w:rPr>
                <w:rFonts w:ascii="宋体" w:cs="宋体" w:hAnsi="宋体"/>
                <w:sz w:val="24"/>
              </w:rPr>
            </w:pPr>
          </w:p>
          <w:p>
            <w:pPr>
              <w:pStyle w:val="style0"/>
              <w:spacing w:lineRule="exact" w:line="400"/>
              <w:ind w:firstLine="480" w:firstLineChars="200"/>
              <w:rPr>
                <w:rFonts w:ascii="宋体" w:cs="宋体" w:hAnsi="宋体"/>
                <w:sz w:val="24"/>
              </w:rPr>
            </w:pPr>
            <w:r>
              <w:rPr>
                <w:rFonts w:ascii="宋体" w:cs="宋体" w:hAnsi="宋体" w:hint="eastAsia"/>
                <w:sz w:val="24"/>
              </w:rPr>
              <w:t>该项目已于年月日验收并交付使用。根据合同规定，该项目的履约保证金期限于年月日已满，请将履约保证金</w:t>
            </w:r>
          </w:p>
          <w:p>
            <w:pPr>
              <w:pStyle w:val="style0"/>
              <w:spacing w:lineRule="exact" w:line="400"/>
              <w:rPr>
                <w:rFonts w:ascii="宋体" w:cs="宋体" w:hAnsi="宋体"/>
                <w:sz w:val="24"/>
              </w:rPr>
            </w:pPr>
            <w:r>
              <w:rPr>
                <w:rFonts w:ascii="宋体" w:cs="宋体" w:hAnsi="宋体" w:hint="eastAsia"/>
                <w:sz w:val="24"/>
              </w:rPr>
              <w:t>（大写）￥（小写）退付到达以下帐户。</w:t>
            </w:r>
          </w:p>
          <w:p>
            <w:pPr>
              <w:pStyle w:val="style0"/>
              <w:spacing w:lineRule="exact" w:line="400"/>
              <w:ind w:firstLine="705"/>
              <w:rPr>
                <w:rFonts w:ascii="宋体" w:cs="宋体" w:hAnsi="宋体"/>
                <w:sz w:val="24"/>
              </w:rPr>
            </w:pPr>
            <w:r>
              <w:rPr>
                <w:rFonts w:ascii="宋体" w:cs="宋体" w:hAnsi="宋体" w:hint="eastAsia"/>
                <w:sz w:val="24"/>
              </w:rPr>
              <w:t>单位名称：</w:t>
            </w:r>
          </w:p>
          <w:p>
            <w:pPr>
              <w:pStyle w:val="style0"/>
              <w:spacing w:lineRule="exact" w:line="400"/>
              <w:ind w:firstLine="705"/>
              <w:rPr>
                <w:rFonts w:ascii="宋体" w:cs="宋体" w:hAnsi="宋体"/>
                <w:sz w:val="24"/>
              </w:rPr>
            </w:pPr>
            <w:r>
              <w:rPr>
                <w:rFonts w:ascii="宋体" w:cs="宋体" w:hAnsi="宋体" w:hint="eastAsia"/>
                <w:sz w:val="24"/>
              </w:rPr>
              <w:t>开户银行：</w:t>
            </w:r>
          </w:p>
          <w:p>
            <w:pPr>
              <w:pStyle w:val="style0"/>
              <w:spacing w:lineRule="exact" w:line="400"/>
              <w:ind w:firstLine="705"/>
              <w:rPr>
                <w:rFonts w:ascii="宋体" w:cs="宋体" w:hAnsi="宋体"/>
                <w:sz w:val="24"/>
              </w:rPr>
            </w:pPr>
            <w:r>
              <w:rPr>
                <w:rFonts w:ascii="宋体" w:cs="宋体" w:hAnsi="宋体" w:hint="eastAsia"/>
                <w:sz w:val="24"/>
              </w:rPr>
              <w:t>帐号：</w:t>
            </w:r>
          </w:p>
          <w:p>
            <w:pPr>
              <w:pStyle w:val="style0"/>
              <w:spacing w:lineRule="exact" w:line="400"/>
              <w:rPr>
                <w:rFonts w:ascii="宋体" w:cs="宋体" w:hAnsi="宋体"/>
                <w:sz w:val="24"/>
              </w:rPr>
            </w:pPr>
            <w:r>
              <w:rPr>
                <w:rFonts w:ascii="宋体" w:cs="宋体" w:hAnsi="宋体" w:hint="eastAsia"/>
                <w:sz w:val="24"/>
              </w:rPr>
              <w:t>联系人及电话：</w:t>
            </w:r>
          </w:p>
          <w:p>
            <w:pPr>
              <w:pStyle w:val="style0"/>
              <w:keepNext/>
              <w:keepLines/>
              <w:spacing w:lineRule="exact" w:line="400"/>
              <w:ind w:firstLine="480" w:firstLineChars="200"/>
              <w:outlineLvl w:val="2"/>
              <w:rPr>
                <w:rFonts w:ascii="宋体" w:cs="宋体" w:hAnsi="宋体"/>
                <w:sz w:val="24"/>
              </w:rPr>
            </w:pPr>
          </w:p>
          <w:p>
            <w:pPr>
              <w:pStyle w:val="style0"/>
              <w:spacing w:lineRule="exact" w:line="520"/>
              <w:jc w:val="center"/>
              <w:rPr>
                <w:rFonts w:ascii="宋体" w:cs="宋体" w:hAnsi="宋体"/>
                <w:sz w:val="24"/>
              </w:rPr>
            </w:pPr>
            <w:r>
              <w:rPr>
                <w:rFonts w:ascii="宋体" w:cs="宋体" w:hAnsi="宋体"/>
                <w:sz w:val="24"/>
              </w:rPr>
              <w:t xml:space="preserve">         中标人签章：</w:t>
            </w:r>
          </w:p>
          <w:p>
            <w:pPr>
              <w:pStyle w:val="style0"/>
              <w:spacing w:lineRule="exact" w:line="520"/>
              <w:jc w:val="center"/>
              <w:rPr>
                <w:rFonts w:ascii="宋体" w:cs="宋体" w:hAnsi="宋体"/>
                <w:sz w:val="24"/>
              </w:rPr>
            </w:pPr>
            <w:r>
              <w:rPr>
                <w:rFonts w:ascii="宋体" w:cs="宋体" w:hAnsi="宋体"/>
                <w:sz w:val="24"/>
              </w:rPr>
              <w:t xml:space="preserve">                           年    月     日</w:t>
            </w:r>
          </w:p>
        </w:tc>
      </w:tr>
      <w:tr>
        <w:tblPrEx/>
        <w:trPr>
          <w:trHeight w:val="3426" w:hRule="atLeast"/>
          <w:jc w:val="center"/>
        </w:trPr>
        <w:tc>
          <w:tcPr>
            <w:tcW w:w="1008" w:type="dxa"/>
            <w:tcBorders/>
            <w:vAlign w:val="center"/>
          </w:tcPr>
          <w:p>
            <w:pPr>
              <w:pStyle w:val="style0"/>
              <w:jc w:val="center"/>
              <w:rPr>
                <w:rFonts w:ascii="宋体" w:cs="宋体" w:hAnsi="宋体"/>
                <w:sz w:val="24"/>
              </w:rPr>
            </w:pPr>
            <w:r>
              <w:rPr>
                <w:rFonts w:ascii="宋体" w:cs="宋体" w:hAnsi="宋体" w:hint="eastAsia"/>
                <w:sz w:val="24"/>
              </w:rPr>
              <w:t>采</w:t>
            </w:r>
          </w:p>
          <w:p>
            <w:pPr>
              <w:pStyle w:val="style0"/>
              <w:jc w:val="center"/>
              <w:rPr>
                <w:rFonts w:ascii="宋体" w:cs="宋体" w:hAnsi="宋体"/>
                <w:sz w:val="24"/>
              </w:rPr>
            </w:pPr>
            <w:r>
              <w:rPr>
                <w:rFonts w:ascii="宋体" w:cs="宋体" w:hAnsi="宋体" w:hint="eastAsia"/>
                <w:sz w:val="24"/>
              </w:rPr>
              <w:t>购</w:t>
            </w:r>
          </w:p>
          <w:p>
            <w:pPr>
              <w:pStyle w:val="style0"/>
              <w:jc w:val="center"/>
              <w:rPr>
                <w:rFonts w:ascii="宋体" w:cs="宋体" w:hAnsi="宋体"/>
                <w:sz w:val="24"/>
              </w:rPr>
            </w:pPr>
            <w:r>
              <w:rPr>
                <w:rFonts w:ascii="宋体" w:cs="宋体" w:hAnsi="宋体" w:hint="eastAsia"/>
                <w:sz w:val="24"/>
              </w:rPr>
              <w:t>人</w:t>
            </w:r>
          </w:p>
          <w:p>
            <w:pPr>
              <w:pStyle w:val="style0"/>
              <w:jc w:val="center"/>
              <w:rPr>
                <w:rFonts w:ascii="宋体" w:cs="宋体" w:hAnsi="宋体"/>
                <w:sz w:val="24"/>
              </w:rPr>
            </w:pPr>
            <w:r>
              <w:rPr>
                <w:rFonts w:ascii="宋体" w:cs="宋体" w:hAnsi="宋体" w:hint="eastAsia"/>
                <w:sz w:val="24"/>
              </w:rPr>
              <w:t>意</w:t>
            </w:r>
          </w:p>
          <w:p>
            <w:pPr>
              <w:pStyle w:val="style0"/>
              <w:jc w:val="center"/>
              <w:rPr>
                <w:rFonts w:ascii="宋体" w:cs="宋体" w:hAnsi="宋体"/>
                <w:sz w:val="24"/>
              </w:rPr>
            </w:pPr>
            <w:r>
              <w:rPr>
                <w:rFonts w:ascii="宋体" w:cs="宋体" w:hAnsi="宋体" w:hint="eastAsia"/>
                <w:sz w:val="24"/>
              </w:rPr>
              <w:t>见</w:t>
            </w:r>
          </w:p>
        </w:tc>
        <w:tc>
          <w:tcPr>
            <w:tcW w:w="8456" w:type="dxa"/>
            <w:tcBorders/>
          </w:tcPr>
          <w:p>
            <w:pPr>
              <w:pStyle w:val="style0"/>
              <w:keepNext/>
              <w:keepLines/>
              <w:spacing w:lineRule="auto" w:line="576"/>
              <w:outlineLvl w:val="0"/>
              <w:rPr>
                <w:rFonts w:ascii="宋体" w:cs="宋体" w:hAnsi="宋体"/>
                <w:sz w:val="24"/>
              </w:rPr>
            </w:pPr>
          </w:p>
          <w:p>
            <w:pPr>
              <w:pStyle w:val="style0"/>
              <w:rPr>
                <w:rFonts w:ascii="宋体" w:cs="宋体" w:hAnsi="宋体"/>
                <w:sz w:val="24"/>
              </w:rPr>
            </w:pPr>
            <w:r>
              <w:rPr>
                <w:rFonts w:ascii="宋体" w:cs="宋体" w:hAnsi="宋体" w:hint="eastAsia"/>
                <w:sz w:val="24"/>
              </w:rPr>
              <w:t>退付意见：（是否同意退付履约保证金及退付金额）</w:t>
            </w:r>
          </w:p>
          <w:p>
            <w:pPr>
              <w:pStyle w:val="style0"/>
              <w:keepNext/>
              <w:keepLines/>
              <w:spacing w:lineRule="exact" w:line="600"/>
              <w:ind w:firstLine="480" w:firstLineChars="200"/>
              <w:outlineLvl w:val="2"/>
              <w:rPr>
                <w:rFonts w:ascii="宋体" w:cs="宋体" w:hAnsi="宋体"/>
                <w:sz w:val="24"/>
              </w:rPr>
            </w:pPr>
          </w:p>
          <w:p>
            <w:pPr>
              <w:pStyle w:val="style0"/>
              <w:keepNext/>
              <w:keepLines/>
              <w:spacing w:lineRule="exact" w:line="600"/>
              <w:ind w:firstLine="480" w:firstLineChars="200"/>
              <w:outlineLvl w:val="2"/>
              <w:rPr>
                <w:rFonts w:ascii="宋体" w:cs="宋体" w:hAnsi="宋体"/>
                <w:sz w:val="24"/>
              </w:rPr>
            </w:pPr>
          </w:p>
          <w:p>
            <w:pPr>
              <w:pStyle w:val="style0"/>
              <w:keepNext/>
              <w:keepLines/>
              <w:spacing w:lineRule="exact" w:line="600"/>
              <w:ind w:firstLine="480" w:firstLineChars="200"/>
              <w:outlineLvl w:val="2"/>
              <w:rPr>
                <w:rFonts w:ascii="宋体" w:cs="宋体" w:hAnsi="宋体"/>
                <w:sz w:val="24"/>
              </w:rPr>
            </w:pPr>
          </w:p>
          <w:p>
            <w:pPr>
              <w:pStyle w:val="style0"/>
              <w:spacing w:lineRule="exact" w:line="520"/>
              <w:rPr>
                <w:rFonts w:ascii="宋体" w:cs="宋体" w:hAnsi="宋体"/>
                <w:sz w:val="24"/>
              </w:rPr>
            </w:pPr>
            <w:r>
              <w:rPr>
                <w:rFonts w:ascii="宋体" w:cs="宋体" w:hAnsi="宋体" w:hint="eastAsia"/>
                <w:sz w:val="24"/>
              </w:rPr>
              <w:t>联系人及电话：采购人签章</w:t>
            </w:r>
          </w:p>
          <w:p>
            <w:pPr>
              <w:pStyle w:val="style0"/>
              <w:keepNext/>
              <w:keepLines/>
              <w:spacing w:lineRule="exact" w:line="520"/>
              <w:ind w:firstLine="480" w:firstLineChars="200"/>
              <w:jc w:val="center"/>
              <w:outlineLvl w:val="2"/>
              <w:rPr>
                <w:rFonts w:ascii="宋体" w:cs="宋体" w:hAnsi="宋体"/>
                <w:sz w:val="24"/>
              </w:rPr>
            </w:pPr>
          </w:p>
          <w:p>
            <w:pPr>
              <w:pStyle w:val="style0"/>
              <w:spacing w:lineRule="exact" w:line="520"/>
              <w:jc w:val="right"/>
              <w:rPr>
                <w:rFonts w:ascii="宋体" w:cs="宋体" w:hAnsi="宋体"/>
                <w:sz w:val="24"/>
              </w:rPr>
            </w:pPr>
            <w:r>
              <w:rPr>
                <w:rFonts w:ascii="宋体" w:cs="宋体" w:hAnsi="宋体" w:hint="eastAsia"/>
                <w:sz w:val="24"/>
              </w:rPr>
              <w:t>年月日</w:t>
            </w:r>
          </w:p>
        </w:tc>
      </w:tr>
      <w:tr>
        <w:tblPrEx/>
        <w:trPr>
          <w:trHeight w:val="1225" w:hRule="atLeast"/>
          <w:jc w:val="center"/>
        </w:trPr>
        <w:tc>
          <w:tcPr>
            <w:tcW w:w="1008" w:type="dxa"/>
            <w:tcBorders/>
            <w:vAlign w:val="center"/>
          </w:tcPr>
          <w:p>
            <w:pPr>
              <w:pStyle w:val="style0"/>
              <w:jc w:val="center"/>
              <w:rPr>
                <w:rFonts w:ascii="宋体" w:cs="宋体" w:hAnsi="宋体"/>
                <w:sz w:val="24"/>
              </w:rPr>
            </w:pPr>
            <w:r>
              <w:rPr>
                <w:rFonts w:ascii="宋体" w:cs="宋体" w:hAnsi="宋体" w:hint="eastAsia"/>
                <w:sz w:val="24"/>
              </w:rPr>
              <w:t>备注</w:t>
            </w:r>
          </w:p>
        </w:tc>
        <w:tc>
          <w:tcPr>
            <w:tcW w:w="8456" w:type="dxa"/>
            <w:tcBorders/>
          </w:tcPr>
          <w:p>
            <w:pPr>
              <w:pStyle w:val="style0"/>
              <w:keepNext/>
              <w:keepLines/>
              <w:spacing w:lineRule="auto" w:line="576"/>
              <w:outlineLvl w:val="0"/>
              <w:rPr>
                <w:rFonts w:ascii="宋体" w:cs="宋体" w:hAnsi="宋体"/>
                <w:sz w:val="24"/>
              </w:rPr>
            </w:pPr>
          </w:p>
          <w:p>
            <w:pPr>
              <w:pStyle w:val="style32"/>
              <w:rPr/>
            </w:pPr>
          </w:p>
          <w:p>
            <w:pPr>
              <w:pStyle w:val="style32"/>
              <w:rPr/>
            </w:pPr>
          </w:p>
          <w:p>
            <w:pPr>
              <w:pStyle w:val="style0"/>
              <w:keepNext/>
              <w:keepLines/>
              <w:spacing w:lineRule="auto" w:line="576"/>
              <w:outlineLvl w:val="0"/>
              <w:rPr>
                <w:rFonts w:ascii="宋体" w:cs="宋体" w:hAnsi="宋体"/>
                <w:sz w:val="24"/>
              </w:rPr>
            </w:pPr>
          </w:p>
        </w:tc>
      </w:tr>
    </w:tbl>
    <w:p>
      <w:pPr>
        <w:pStyle w:val="style0"/>
        <w:spacing w:after="120"/>
        <w:ind w:left="420" w:leftChars="114" w:hanging="181" w:hangingChars="100"/>
        <w:rPr/>
      </w:pPr>
      <w:r>
        <w:rPr>
          <w:rFonts w:ascii="宋体" w:cs="宋体" w:hAnsi="宋体" w:hint="eastAsia"/>
          <w:b/>
          <w:bCs/>
          <w:sz w:val="18"/>
        </w:rPr>
        <w:t>注：中标人凭经采购人审批的退付意见书到保证金收取单位办理履约保证金退付事宜。</w:t>
      </w:r>
    </w:p>
    <w:p>
      <w:pPr>
        <w:pStyle w:val="style0"/>
        <w:tabs>
          <w:tab w:val="left" w:leader="none" w:pos="7380"/>
        </w:tabs>
        <w:spacing w:lineRule="auto" w:line="360"/>
        <w:jc w:val="center"/>
        <w:rPr>
          <w:rFonts w:ascii="宋体" w:hAnsi="宋体"/>
        </w:rPr>
        <w:sectPr>
          <w:pgSz w:w="11906" w:h="16838" w:orient="portrait"/>
          <w:pgMar w:top="1134" w:right="1134" w:bottom="1134" w:left="1134" w:header="720" w:footer="720" w:gutter="0"/>
          <w:cols w:space="720"/>
          <w:docGrid w:type="lines" w:linePitch="331"/>
        </w:sectPr>
      </w:pPr>
    </w:p>
    <w:p>
      <w:pPr>
        <w:pStyle w:val="style0"/>
        <w:snapToGrid w:val="false"/>
        <w:jc w:val="center"/>
        <w:rPr>
          <w:rFonts w:ascii="宋体" w:hAnsi="宋体"/>
          <w:bCs/>
          <w:sz w:val="32"/>
          <w:szCs w:val="32"/>
        </w:rPr>
      </w:pPr>
    </w:p>
    <w:bookmarkStart w:id="190" w:name="_Toc9628"/>
    <w:bookmarkStart w:id="191" w:name="_Toc74320805"/>
    <w:bookmarkStart w:id="192" w:name="_Toc119359628"/>
    <w:p>
      <w:pPr>
        <w:pStyle w:val="style0"/>
        <w:keepNext/>
        <w:keepLines/>
        <w:spacing w:lineRule="auto" w:line="576"/>
        <w:jc w:val="center"/>
        <w:outlineLvl w:val="0"/>
        <w:rPr>
          <w:rFonts w:ascii="宋体" w:hAnsi="宋体"/>
          <w:b/>
          <w:bCs/>
          <w:kern w:val="44"/>
          <w:sz w:val="44"/>
          <w:szCs w:val="44"/>
        </w:rPr>
      </w:pPr>
      <w:r>
        <w:rPr>
          <w:rFonts w:ascii="宋体" w:hAnsi="宋体" w:hint="eastAsia"/>
          <w:b/>
          <w:bCs/>
          <w:kern w:val="44"/>
          <w:sz w:val="44"/>
          <w:szCs w:val="44"/>
        </w:rPr>
        <w:t>第六章　投标文件格式</w:t>
      </w:r>
      <w:bookmarkEnd w:id="190"/>
      <w:bookmarkEnd w:id="191"/>
      <w:bookmarkEnd w:id="192"/>
    </w:p>
    <w:p>
      <w:pPr>
        <w:pStyle w:val="style0"/>
        <w:snapToGrid w:val="false"/>
        <w:spacing w:beforeLines="50" w:after="50"/>
        <w:jc w:val="center"/>
        <w:outlineLvl w:val="1"/>
        <w:rPr>
          <w:rFonts w:ascii="宋体" w:hAnsi="宋体"/>
        </w:rPr>
      </w:pPr>
    </w:p>
    <w:bookmarkStart w:id="193" w:name="_Toc19686836"/>
    <w:bookmarkStart w:id="194" w:name="_Toc254970557"/>
    <w:bookmarkStart w:id="195" w:name="_Toc254970698"/>
    <w:p>
      <w:pPr>
        <w:pStyle w:val="style0"/>
        <w:rPr>
          <w:rFonts w:ascii="宋体" w:hAnsi="宋体"/>
          <w:b/>
          <w:sz w:val="28"/>
          <w:szCs w:val="28"/>
        </w:rPr>
      </w:pPr>
      <w:r>
        <w:rPr>
          <w:rFonts w:ascii="宋体" w:hAnsi="宋体" w:hint="eastAsia"/>
          <w:b/>
          <w:sz w:val="28"/>
          <w:szCs w:val="28"/>
        </w:rPr>
        <w:t>一、报价文件格式</w:t>
      </w:r>
      <w:bookmarkEnd w:id="193"/>
    </w:p>
    <w:p>
      <w:pPr>
        <w:pStyle w:val="style0"/>
        <w:snapToGrid w:val="false"/>
        <w:spacing w:beforeLines="50" w:after="50" w:lineRule="auto" w:line="360"/>
        <w:ind w:left="142"/>
        <w:jc w:val="left"/>
        <w:rPr>
          <w:rFonts w:ascii="宋体" w:hAnsi="宋体"/>
          <w:b/>
          <w:sz w:val="24"/>
        </w:rPr>
      </w:pPr>
      <w:r>
        <w:rPr>
          <w:rFonts w:ascii="宋体" w:hAnsi="宋体"/>
          <w:b/>
          <w:sz w:val="24"/>
        </w:rPr>
        <w:t xml:space="preserve">1. 报价文件封面格式： </w:t>
      </w:r>
    </w:p>
    <w:p>
      <w:pPr>
        <w:pStyle w:val="style0"/>
        <w:snapToGrid w:val="false"/>
        <w:spacing w:beforeLines="50" w:after="50" w:lineRule="auto" w:line="360"/>
        <w:ind w:left="142"/>
        <w:jc w:val="center"/>
        <w:rPr>
          <w:rFonts w:ascii="宋体" w:hAnsi="宋体"/>
          <w:bCs/>
          <w:sz w:val="48"/>
          <w:szCs w:val="48"/>
        </w:rPr>
      </w:pPr>
      <w:r>
        <w:rPr>
          <w:rFonts w:ascii="宋体" w:hAnsi="宋体" w:hint="eastAsia"/>
          <w:bCs/>
          <w:sz w:val="48"/>
          <w:szCs w:val="48"/>
        </w:rPr>
        <w:t>电子投标文件</w:t>
      </w:r>
    </w:p>
    <w:p>
      <w:pPr>
        <w:pStyle w:val="style0"/>
        <w:snapToGrid w:val="false"/>
        <w:spacing w:beforeLines="50" w:after="50" w:lineRule="exact" w:line="400"/>
        <w:jc w:val="left"/>
        <w:rPr>
          <w:rFonts w:ascii="宋体" w:hAnsi="宋体"/>
          <w:bCs/>
          <w:sz w:val="48"/>
          <w:szCs w:val="48"/>
        </w:rPr>
      </w:pPr>
    </w:p>
    <w:p>
      <w:pPr>
        <w:pStyle w:val="style0"/>
        <w:snapToGrid w:val="false"/>
        <w:spacing w:beforeLines="50" w:after="50" w:lineRule="exact" w:line="400"/>
        <w:jc w:val="center"/>
        <w:rPr>
          <w:rFonts w:ascii="宋体" w:cs="方正小标宋简体" w:hAnsi="宋体"/>
          <w:sz w:val="44"/>
          <w:szCs w:val="44"/>
        </w:rPr>
      </w:pPr>
      <w:r>
        <w:rPr>
          <w:rFonts w:ascii="宋体" w:cs="方正小标宋简体" w:hAnsi="宋体" w:hint="eastAsia"/>
          <w:sz w:val="44"/>
          <w:szCs w:val="44"/>
        </w:rPr>
        <w:t>报价文件</w:t>
      </w:r>
    </w:p>
    <w:p>
      <w:pPr>
        <w:pStyle w:val="style0"/>
        <w:snapToGrid w:val="false"/>
        <w:spacing w:beforeLines="50" w:after="50" w:lineRule="exact" w:line="400"/>
        <w:rPr>
          <w:rFonts w:ascii="宋体" w:hAnsi="宋体"/>
          <w:bCs/>
          <w:sz w:val="24"/>
          <w:szCs w:val="20"/>
        </w:rPr>
      </w:pPr>
    </w:p>
    <w:p>
      <w:pPr>
        <w:pStyle w:val="style0"/>
        <w:snapToGrid w:val="false"/>
        <w:spacing w:beforeLines="50" w:after="50" w:lineRule="exact" w:line="400"/>
        <w:rPr>
          <w:rFonts w:ascii="宋体" w:hAnsi="宋体"/>
          <w:bCs/>
          <w:sz w:val="24"/>
          <w:szCs w:val="20"/>
        </w:rPr>
      </w:pPr>
    </w:p>
    <w:p>
      <w:pPr>
        <w:pStyle w:val="style0"/>
        <w:snapToGrid w:val="false"/>
        <w:spacing w:beforeLines="50" w:after="50" w:lineRule="exact" w:line="400"/>
        <w:rPr>
          <w:rFonts w:ascii="宋体" w:hAnsi="宋体"/>
          <w:bCs/>
          <w:sz w:val="24"/>
          <w:szCs w:val="20"/>
        </w:rPr>
      </w:pPr>
    </w:p>
    <w:p>
      <w:pPr>
        <w:pStyle w:val="style0"/>
        <w:snapToGrid w:val="false"/>
        <w:spacing w:beforeLines="50" w:after="50" w:lineRule="exact" w:line="400"/>
        <w:ind w:firstLine="360" w:firstLineChars="150"/>
        <w:rPr>
          <w:rFonts w:ascii="宋体" w:hAnsi="宋体"/>
          <w:bCs/>
          <w:sz w:val="24"/>
        </w:rPr>
      </w:pPr>
      <w:r>
        <w:rPr>
          <w:rFonts w:ascii="宋体" w:hAnsi="宋体" w:hint="eastAsia"/>
          <w:bCs/>
          <w:sz w:val="24"/>
        </w:rPr>
        <w:t>项目名称：</w:t>
      </w:r>
    </w:p>
    <w:p>
      <w:pPr>
        <w:pStyle w:val="style0"/>
        <w:snapToGrid w:val="false"/>
        <w:spacing w:beforeLines="50" w:after="50" w:lineRule="exact" w:line="400"/>
        <w:ind w:firstLine="360" w:firstLineChars="150"/>
        <w:rPr>
          <w:rFonts w:ascii="宋体" w:hAnsi="宋体"/>
          <w:bCs/>
          <w:sz w:val="24"/>
        </w:rPr>
      </w:pPr>
    </w:p>
    <w:p>
      <w:pPr>
        <w:pStyle w:val="style0"/>
        <w:snapToGrid w:val="false"/>
        <w:spacing w:beforeLines="50" w:after="50" w:lineRule="exact" w:line="400"/>
        <w:ind w:firstLine="360" w:firstLineChars="150"/>
        <w:rPr>
          <w:rFonts w:ascii="宋体" w:hAnsi="宋体"/>
          <w:bCs/>
          <w:sz w:val="24"/>
        </w:rPr>
      </w:pPr>
      <w:r>
        <w:rPr>
          <w:rFonts w:ascii="宋体" w:hAnsi="宋体" w:hint="eastAsia"/>
          <w:bCs/>
          <w:sz w:val="24"/>
        </w:rPr>
        <w:t>项目编号：</w:t>
      </w:r>
    </w:p>
    <w:p>
      <w:pPr>
        <w:pStyle w:val="style0"/>
        <w:snapToGrid w:val="false"/>
        <w:spacing w:beforeLines="50" w:after="50" w:lineRule="exact" w:line="400"/>
        <w:ind w:firstLine="360" w:firstLineChars="150"/>
        <w:rPr>
          <w:rFonts w:ascii="宋体" w:hAnsi="宋体"/>
          <w:bCs/>
          <w:sz w:val="24"/>
        </w:rPr>
      </w:pPr>
    </w:p>
    <w:p>
      <w:pPr>
        <w:pStyle w:val="style0"/>
        <w:snapToGrid w:val="false"/>
        <w:spacing w:beforeLines="50" w:after="50" w:lineRule="exact" w:line="400"/>
        <w:ind w:firstLine="360" w:firstLineChars="150"/>
        <w:rPr>
          <w:rFonts w:ascii="宋体" w:hAnsi="宋体"/>
          <w:bCs/>
          <w:sz w:val="24"/>
        </w:rPr>
      </w:pPr>
      <w:r>
        <w:rPr>
          <w:rFonts w:ascii="宋体" w:hAnsi="宋体" w:hint="eastAsia"/>
          <w:bCs/>
          <w:sz w:val="24"/>
        </w:rPr>
        <w:t>所投分标：</w:t>
      </w:r>
    </w:p>
    <w:p>
      <w:pPr>
        <w:pStyle w:val="style0"/>
        <w:snapToGrid w:val="false"/>
        <w:spacing w:beforeLines="50" w:after="50" w:lineRule="exact" w:line="400"/>
        <w:ind w:firstLine="360" w:firstLineChars="150"/>
        <w:rPr>
          <w:rFonts w:ascii="宋体" w:hAnsi="宋体"/>
          <w:bCs/>
          <w:sz w:val="24"/>
        </w:rPr>
      </w:pPr>
    </w:p>
    <w:p>
      <w:pPr>
        <w:pStyle w:val="style0"/>
        <w:snapToGrid w:val="false"/>
        <w:spacing w:beforeLines="50" w:after="50" w:lineRule="exact" w:line="400"/>
        <w:ind w:firstLine="360" w:firstLineChars="150"/>
        <w:rPr>
          <w:rFonts w:ascii="宋体" w:hAnsi="宋体"/>
          <w:bCs/>
          <w:sz w:val="24"/>
        </w:rPr>
      </w:pPr>
      <w:r>
        <w:rPr>
          <w:rFonts w:ascii="宋体" w:hAnsi="宋体" w:hint="eastAsia"/>
          <w:bCs/>
          <w:sz w:val="24"/>
        </w:rPr>
        <w:t>投标人名称：</w:t>
      </w:r>
    </w:p>
    <w:p>
      <w:pPr>
        <w:pStyle w:val="style0"/>
        <w:snapToGrid w:val="false"/>
        <w:spacing w:beforeLines="50" w:after="50" w:lineRule="exact" w:line="400"/>
        <w:ind w:firstLine="360" w:firstLineChars="150"/>
        <w:rPr>
          <w:rFonts w:ascii="宋体" w:hAnsi="宋体"/>
          <w:bCs/>
          <w:sz w:val="24"/>
        </w:rPr>
      </w:pPr>
    </w:p>
    <w:p>
      <w:pPr>
        <w:pStyle w:val="style0"/>
        <w:snapToGrid w:val="false"/>
        <w:spacing w:beforeLines="50" w:after="50" w:lineRule="exact" w:line="400"/>
        <w:ind w:firstLine="360" w:firstLineChars="150"/>
        <w:rPr>
          <w:rFonts w:ascii="宋体" w:hAnsi="宋体"/>
          <w:bCs/>
          <w:sz w:val="24"/>
        </w:rPr>
      </w:pPr>
      <w:r>
        <w:rPr>
          <w:rFonts w:ascii="宋体" w:hAnsi="宋体" w:hint="eastAsia"/>
          <w:bCs/>
          <w:sz w:val="24"/>
        </w:rPr>
        <w:t>投标人地址：</w:t>
      </w:r>
    </w:p>
    <w:p>
      <w:pPr>
        <w:pStyle w:val="style0"/>
        <w:snapToGrid w:val="false"/>
        <w:spacing w:before="50" w:after="50" w:lineRule="exact" w:line="400"/>
        <w:ind w:firstLine="960" w:firstLineChars="400"/>
        <w:rPr>
          <w:rFonts w:ascii="宋体" w:hAnsi="宋体"/>
          <w:bCs/>
          <w:sz w:val="24"/>
        </w:rPr>
      </w:pPr>
    </w:p>
    <w:p>
      <w:pPr>
        <w:pStyle w:val="style0"/>
        <w:snapToGrid w:val="false"/>
        <w:spacing w:beforeLines="50" w:after="50" w:lineRule="exact" w:line="400"/>
        <w:rPr>
          <w:rFonts w:ascii="宋体" w:hAnsi="宋体"/>
          <w:sz w:val="30"/>
          <w:szCs w:val="20"/>
        </w:rPr>
      </w:pPr>
      <w:r>
        <w:rPr>
          <w:rFonts w:ascii="宋体" w:hAnsi="宋体"/>
          <w:sz w:val="24"/>
        </w:rPr>
        <w:t xml:space="preserve">                                   年  月  日</w:t>
      </w:r>
    </w:p>
    <w:p>
      <w:pPr>
        <w:pStyle w:val="style0"/>
        <w:snapToGrid w:val="false"/>
        <w:spacing w:beforeLines="50" w:after="50" w:lineRule="auto" w:line="360"/>
        <w:jc w:val="left"/>
        <w:rPr>
          <w:rFonts w:ascii="宋体" w:hAnsi="宋体"/>
          <w:sz w:val="24"/>
          <w:szCs w:val="20"/>
        </w:rPr>
      </w:pPr>
      <w:r>
        <w:rPr>
          <w:rFonts w:ascii="宋体" w:hAnsi="宋体"/>
          <w:b/>
          <w:sz w:val="24"/>
        </w:rPr>
        <w:br w:type="page"/>
      </w:r>
      <w:r>
        <w:rPr>
          <w:rFonts w:ascii="宋体" w:hAnsi="宋体"/>
          <w:b/>
          <w:sz w:val="24"/>
        </w:rPr>
        <w:t>2.</w:t>
      </w:r>
      <w:r>
        <w:rPr>
          <w:rFonts w:ascii="宋体" w:hAnsi="宋体" w:hint="eastAsia"/>
          <w:b/>
          <w:bCs/>
          <w:sz w:val="24"/>
        </w:rPr>
        <w:t>报价文件目录</w:t>
      </w:r>
    </w:p>
    <w:p>
      <w:pPr>
        <w:pStyle w:val="style0"/>
        <w:snapToGrid w:val="false"/>
        <w:spacing w:before="50" w:afterLines="50" w:lineRule="auto" w:line="360"/>
        <w:jc w:val="left"/>
        <w:rPr>
          <w:rFonts w:ascii="宋体" w:hAnsi="宋体"/>
          <w:szCs w:val="21"/>
        </w:rPr>
      </w:pPr>
      <w:r>
        <w:rPr>
          <w:rFonts w:ascii="宋体" w:hAnsi="宋体" w:hint="eastAsia"/>
          <w:szCs w:val="21"/>
        </w:rPr>
        <w:t>根据招标文件规定及投标人提供的材料自行编写目录。</w:t>
      </w:r>
    </w:p>
    <w:p>
      <w:pPr>
        <w:pStyle w:val="style32"/>
        <w:rPr/>
      </w:pPr>
    </w:p>
    <w:p>
      <w:pPr>
        <w:pStyle w:val="style0"/>
        <w:snapToGrid w:val="false"/>
        <w:spacing w:beforeLines="50" w:after="50"/>
        <w:ind w:left="142"/>
        <w:jc w:val="left"/>
        <w:rPr>
          <w:rFonts w:ascii="宋体" w:hAnsi="宋体"/>
          <w:b/>
          <w:sz w:val="24"/>
        </w:rPr>
      </w:pPr>
      <w:r>
        <w:rPr>
          <w:rFonts w:ascii="宋体" w:hAnsi="宋体"/>
          <w:b/>
          <w:sz w:val="24"/>
        </w:rPr>
        <w:t xml:space="preserve">3. </w:t>
      </w:r>
      <w:r>
        <w:rPr>
          <w:rFonts w:ascii="宋体" w:hAnsi="宋体" w:hint="eastAsia"/>
          <w:b/>
          <w:sz w:val="24"/>
        </w:rPr>
        <w:t>投标函格式：</w:t>
      </w:r>
    </w:p>
    <w:p>
      <w:pPr>
        <w:pStyle w:val="style0"/>
        <w:snapToGrid w:val="false"/>
        <w:spacing w:beforeLines="50" w:after="50" w:lineRule="auto" w:line="360"/>
        <w:jc w:val="center"/>
        <w:rPr>
          <w:rFonts w:ascii="宋体" w:cs="方正小标宋简体" w:hAnsi="宋体"/>
          <w:bCs/>
          <w:sz w:val="44"/>
          <w:szCs w:val="44"/>
        </w:rPr>
      </w:pPr>
      <w:r>
        <w:rPr>
          <w:rFonts w:ascii="宋体" w:cs="方正小标宋简体" w:hAnsi="宋体" w:hint="eastAsia"/>
          <w:bCs/>
          <w:sz w:val="44"/>
          <w:szCs w:val="44"/>
        </w:rPr>
        <w:t>投标函</w:t>
      </w:r>
    </w:p>
    <w:p>
      <w:pPr>
        <w:pStyle w:val="style0"/>
        <w:snapToGrid w:val="false"/>
        <w:spacing w:beforeLines="50" w:after="50" w:lineRule="exact" w:line="320"/>
        <w:jc w:val="center"/>
        <w:rPr>
          <w:rFonts w:ascii="宋体" w:hAnsi="宋体"/>
          <w:b/>
          <w:sz w:val="32"/>
          <w:szCs w:val="32"/>
        </w:rPr>
      </w:pPr>
    </w:p>
    <w:p>
      <w:pPr>
        <w:pStyle w:val="style0"/>
        <w:spacing w:lineRule="auto" w:line="360"/>
        <w:contextualSpacing/>
        <w:rPr>
          <w:rFonts w:ascii="宋体" w:hAnsi="宋体"/>
          <w:sz w:val="24"/>
        </w:rPr>
      </w:pPr>
      <w:r>
        <w:rPr>
          <w:rFonts w:ascii="宋体" w:hAnsi="宋体" w:hint="eastAsia"/>
          <w:sz w:val="24"/>
        </w:rPr>
        <w:t>致：</w:t>
      </w:r>
      <w:r>
        <w:rPr>
          <w:rFonts w:ascii="宋体" w:hAnsi="宋体" w:hint="eastAsia"/>
          <w:sz w:val="24"/>
          <w:u w:val="single"/>
        </w:rPr>
        <w:t>采购人名称</w:t>
      </w:r>
      <w:r>
        <w:rPr>
          <w:rFonts w:ascii="宋体" w:hAnsi="宋体" w:hint="eastAsia"/>
          <w:sz w:val="24"/>
        </w:rPr>
        <w:t>：</w:t>
      </w:r>
    </w:p>
    <w:p>
      <w:pPr>
        <w:pStyle w:val="style0"/>
        <w:spacing w:lineRule="auto" w:line="360"/>
        <w:ind w:firstLine="480"/>
        <w:contextualSpacing/>
        <w:rPr>
          <w:rFonts w:ascii="宋体" w:hAnsi="宋体"/>
          <w:sz w:val="24"/>
        </w:rPr>
      </w:pPr>
      <w:r>
        <w:rPr>
          <w:rFonts w:ascii="宋体" w:hAnsi="宋体" w:hint="eastAsia"/>
          <w:sz w:val="24"/>
        </w:rPr>
        <w:t>根据贵方</w:t>
      </w:r>
      <w:r>
        <w:rPr>
          <w:rFonts w:ascii="宋体" w:hAnsi="宋体"/>
          <w:sz w:val="24"/>
          <w:u w:val="single"/>
        </w:rPr>
        <w:t xml:space="preserve"> 项目名称</w:t>
      </w:r>
      <w:r>
        <w:rPr>
          <w:rFonts w:ascii="宋体" w:hAnsi="宋体" w:hint="eastAsia"/>
          <w:sz w:val="24"/>
        </w:rPr>
        <w:t>（项目编号：）的招标公告，签字代表</w:t>
      </w:r>
      <w:r>
        <w:rPr>
          <w:rFonts w:ascii="宋体" w:hAnsi="宋体"/>
          <w:sz w:val="24"/>
        </w:rPr>
        <w:t>______（姓名）经正式授权并代表投标人（投标人名称）提交投标文件。</w:t>
      </w:r>
    </w:p>
    <w:p>
      <w:pPr>
        <w:pStyle w:val="style0"/>
        <w:spacing w:lineRule="auto" w:line="360"/>
        <w:ind w:firstLine="480" w:firstLineChars="200"/>
        <w:contextualSpacing/>
        <w:rPr>
          <w:rFonts w:ascii="宋体" w:hAnsi="宋体"/>
          <w:sz w:val="24"/>
        </w:rPr>
      </w:pPr>
      <w:r>
        <w:rPr>
          <w:rFonts w:ascii="宋体" w:hAnsi="宋体" w:hint="eastAsia"/>
          <w:sz w:val="24"/>
        </w:rPr>
        <w:t>据此函，我方宣布同意如下：</w:t>
      </w:r>
    </w:p>
    <w:p>
      <w:pPr>
        <w:pStyle w:val="style0"/>
        <w:spacing w:lineRule="auto" w:line="360"/>
        <w:ind w:firstLine="480" w:firstLineChars="200"/>
        <w:contextualSpacing/>
        <w:rPr>
          <w:rFonts w:ascii="宋体" w:hAnsi="宋体"/>
          <w:sz w:val="24"/>
        </w:rPr>
      </w:pPr>
      <w:r>
        <w:rPr>
          <w:rFonts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pPr>
        <w:pStyle w:val="style0"/>
        <w:spacing w:lineRule="auto" w:line="360"/>
        <w:ind w:firstLine="480" w:firstLineChars="200"/>
        <w:contextualSpacing/>
        <w:rPr>
          <w:rFonts w:ascii="宋体" w:hAnsi="宋体"/>
          <w:sz w:val="24"/>
        </w:rPr>
      </w:pPr>
      <w:r>
        <w:rPr>
          <w:rFonts w:ascii="宋体" w:hAnsi="宋体"/>
          <w:sz w:val="24"/>
        </w:rPr>
        <w:t>2.我方在投标之前已经完全理解并接受招标文件的各项规定和要求，对招标文件的合理性、合法性不再有异议。</w:t>
      </w:r>
    </w:p>
    <w:p>
      <w:pPr>
        <w:pStyle w:val="style0"/>
        <w:spacing w:lineRule="auto" w:line="360"/>
        <w:ind w:firstLine="480" w:firstLineChars="200"/>
        <w:contextualSpacing/>
        <w:rPr>
          <w:rFonts w:ascii="宋体" w:hAnsi="宋体"/>
          <w:sz w:val="24"/>
        </w:rPr>
      </w:pPr>
      <w:r>
        <w:rPr>
          <w:rFonts w:ascii="宋体" w:hAnsi="宋体"/>
          <w:sz w:val="24"/>
        </w:rPr>
        <w:t>3.本投标有效期自投标截止之日起</w:t>
      </w:r>
      <w:r>
        <w:rPr>
          <w:rFonts w:ascii="宋体" w:hAnsi="宋体" w:hint="eastAsia"/>
          <w:sz w:val="24"/>
          <w:u w:val="single"/>
        </w:rPr>
        <w:t>90</w:t>
      </w:r>
      <w:r>
        <w:rPr>
          <w:rFonts w:ascii="宋体" w:hAnsi="宋体"/>
          <w:sz w:val="24"/>
        </w:rPr>
        <w:t>日。</w:t>
      </w:r>
    </w:p>
    <w:p>
      <w:pPr>
        <w:pStyle w:val="style0"/>
        <w:spacing w:lineRule="auto" w:line="360"/>
        <w:ind w:firstLine="480" w:firstLineChars="200"/>
        <w:contextualSpacing/>
        <w:rPr>
          <w:rFonts w:ascii="宋体" w:hAnsi="宋体"/>
          <w:sz w:val="24"/>
        </w:rPr>
      </w:pPr>
      <w:r>
        <w:rPr>
          <w:rFonts w:ascii="宋体" w:hAnsi="宋体"/>
          <w:sz w:val="24"/>
        </w:rPr>
        <w:t>4.如中标，本投标文件至本项目合同履行完毕止均保持有效，我方将按“招标文件”及政府采购法律、法规的规定履行合同责任和义务。</w:t>
      </w:r>
    </w:p>
    <w:p>
      <w:pPr>
        <w:pStyle w:val="style0"/>
        <w:spacing w:lineRule="auto" w:line="360"/>
        <w:ind w:firstLine="480" w:firstLineChars="200"/>
        <w:contextualSpacing/>
        <w:rPr>
          <w:rFonts w:ascii="宋体" w:hAnsi="宋体"/>
          <w:sz w:val="24"/>
        </w:rPr>
      </w:pPr>
      <w:r>
        <w:rPr>
          <w:rFonts w:ascii="宋体" w:hAnsi="宋体"/>
          <w:sz w:val="24"/>
        </w:rPr>
        <w:t>5.我方同意按照贵方要求提供与投标有关的一切数据或者资料。</w:t>
      </w:r>
    </w:p>
    <w:p>
      <w:pPr>
        <w:pStyle w:val="style0"/>
        <w:spacing w:lineRule="auto" w:line="360"/>
        <w:ind w:firstLine="480" w:firstLineChars="200"/>
        <w:contextualSpacing/>
        <w:rPr>
          <w:rFonts w:ascii="宋体" w:hAnsi="宋体"/>
          <w:sz w:val="24"/>
        </w:rPr>
      </w:pPr>
      <w:r>
        <w:rPr>
          <w:rFonts w:ascii="宋体" w:hAnsi="宋体"/>
          <w:sz w:val="24"/>
        </w:rPr>
        <w:t>6.我方向贵方提交的所有投标文件、资料都是准确的和真实的。</w:t>
      </w:r>
    </w:p>
    <w:p>
      <w:pPr>
        <w:pStyle w:val="style0"/>
        <w:spacing w:lineRule="auto" w:line="360"/>
        <w:ind w:firstLine="480" w:firstLineChars="200"/>
        <w:contextualSpacing/>
        <w:rPr>
          <w:rFonts w:ascii="宋体" w:hAnsi="宋体"/>
          <w:sz w:val="24"/>
        </w:rPr>
      </w:pPr>
      <w:r>
        <w:rPr>
          <w:rFonts w:ascii="宋体" w:hAnsi="宋体"/>
          <w:sz w:val="24"/>
        </w:rPr>
        <w:t>7.以上事项如有虚假或者隐瞒，我方愿意承担一切后果，并不再寻求任何旨在减轻或者免除法律责任的辩解。</w:t>
      </w:r>
    </w:p>
    <w:p>
      <w:pPr>
        <w:pStyle w:val="style0"/>
        <w:spacing w:lineRule="auto" w:line="360"/>
        <w:ind w:firstLine="480" w:firstLineChars="200"/>
        <w:contextualSpacing/>
        <w:rPr>
          <w:rFonts w:ascii="宋体" w:hAnsi="宋体"/>
          <w:sz w:val="24"/>
        </w:rPr>
      </w:pPr>
      <w:r>
        <w:rPr>
          <w:rFonts w:ascii="宋体" w:hAnsi="宋体"/>
          <w:sz w:val="24"/>
        </w:rPr>
        <w:t>8.根据《中华人民共和国政府采购法实施条例》第五十条要求对政府采购合同进行公告</w:t>
      </w:r>
      <w:r>
        <w:rPr>
          <w:rFonts w:ascii="宋体" w:hAnsi="宋体" w:hint="eastAsia"/>
          <w:sz w:val="24"/>
        </w:rPr>
        <w:t>，</w:t>
      </w:r>
      <w:r>
        <w:rPr>
          <w:rFonts w:ascii="宋体" w:hAnsi="宋体"/>
          <w:sz w:val="24"/>
        </w:rPr>
        <w:t>但政府采购合同中涉及国家秘密、商业秘密的内容除外。</w:t>
      </w:r>
      <w:r>
        <w:rPr>
          <w:rFonts w:ascii="宋体" w:hAnsi="宋体" w:hint="eastAsia"/>
          <w:sz w:val="24"/>
        </w:rPr>
        <w:t>我方就对本次投标文件进行注明如下：（两项内容中必须选择一项）</w:t>
      </w:r>
    </w:p>
    <w:p>
      <w:pPr>
        <w:pStyle w:val="style0"/>
        <w:spacing w:lineRule="auto" w:line="360"/>
        <w:ind w:firstLine="480" w:firstLineChars="200"/>
        <w:contextualSpacing/>
        <w:rPr>
          <w:rFonts w:ascii="宋体" w:hAnsi="宋体"/>
          <w:sz w:val="24"/>
        </w:rPr>
      </w:pPr>
      <w:r>
        <w:rPr>
          <w:rFonts w:ascii="宋体" w:hAnsi="宋体" w:hint="eastAsia"/>
          <w:sz w:val="24"/>
        </w:rPr>
        <w:t>□我方本次投标文件</w:t>
      </w:r>
      <w:r>
        <w:rPr>
          <w:rFonts w:ascii="宋体" w:cs="宋体" w:hAnsi="宋体"/>
          <w:kern w:val="0"/>
          <w:sz w:val="24"/>
        </w:rPr>
        <w:t>内容中</w:t>
      </w:r>
      <w:r>
        <w:rPr>
          <w:rFonts w:ascii="宋体" w:hAnsi="宋体" w:hint="eastAsia"/>
          <w:sz w:val="24"/>
        </w:rPr>
        <w:t>未</w:t>
      </w:r>
      <w:r>
        <w:rPr>
          <w:rFonts w:ascii="宋体" w:cs="宋体" w:hAnsi="宋体"/>
          <w:kern w:val="0"/>
          <w:sz w:val="24"/>
        </w:rPr>
        <w:t>涉及商业秘密</w:t>
      </w:r>
      <w:r>
        <w:rPr>
          <w:rFonts w:ascii="宋体" w:cs="宋体" w:hAnsi="宋体" w:hint="eastAsia"/>
          <w:kern w:val="0"/>
          <w:sz w:val="24"/>
        </w:rPr>
        <w:t>；</w:t>
      </w:r>
    </w:p>
    <w:p>
      <w:pPr>
        <w:pStyle w:val="style0"/>
        <w:spacing w:lineRule="auto" w:line="360"/>
        <w:ind w:firstLine="480" w:firstLineChars="200"/>
        <w:contextualSpacing/>
        <w:rPr>
          <w:rFonts w:ascii="宋体" w:hAnsi="宋体"/>
          <w:sz w:val="24"/>
        </w:rPr>
      </w:pPr>
      <w:r>
        <w:rPr>
          <w:rFonts w:ascii="宋体" w:hAnsi="宋体" w:hint="eastAsia"/>
          <w:sz w:val="24"/>
        </w:rPr>
        <w:t>□我方本次投标文件</w:t>
      </w:r>
      <w:r>
        <w:rPr>
          <w:rFonts w:ascii="宋体" w:cs="宋体" w:hAnsi="宋体"/>
          <w:kern w:val="0"/>
          <w:sz w:val="24"/>
        </w:rPr>
        <w:t>涉及商业秘密</w:t>
      </w:r>
      <w:r>
        <w:rPr>
          <w:rFonts w:ascii="宋体" w:cs="宋体" w:hAnsi="宋体" w:hint="eastAsia"/>
          <w:kern w:val="0"/>
          <w:sz w:val="24"/>
        </w:rPr>
        <w:t>的</w:t>
      </w:r>
      <w:r>
        <w:rPr>
          <w:rFonts w:ascii="宋体" w:cs="宋体" w:hAnsi="宋体"/>
          <w:kern w:val="0"/>
          <w:sz w:val="24"/>
        </w:rPr>
        <w:t>内容</w:t>
      </w:r>
      <w:r>
        <w:rPr>
          <w:rFonts w:ascii="宋体" w:cs="宋体" w:hAnsi="宋体" w:hint="eastAsia"/>
          <w:kern w:val="0"/>
          <w:sz w:val="24"/>
        </w:rPr>
        <w:t>有：</w:t>
      </w:r>
      <w:r>
        <w:rPr>
          <w:rFonts w:ascii="宋体" w:cs="宋体" w:hAnsi="宋体" w:hint="eastAsia"/>
          <w:kern w:val="0"/>
          <w:sz w:val="24"/>
          <w:u w:val="single"/>
        </w:rPr>
        <w:t xml:space="preserve">                        </w:t>
      </w:r>
      <w:r>
        <w:rPr>
          <w:rFonts w:ascii="宋体" w:cs="宋体" w:hAnsi="宋体" w:hint="eastAsia"/>
          <w:kern w:val="0"/>
          <w:sz w:val="24"/>
        </w:rPr>
        <w:t>；</w:t>
      </w:r>
    </w:p>
    <w:p>
      <w:pPr>
        <w:pStyle w:val="style0"/>
        <w:spacing w:lineRule="auto" w:line="360"/>
        <w:ind w:firstLine="480" w:firstLineChars="200"/>
        <w:contextualSpacing/>
        <w:rPr>
          <w:rFonts w:ascii="宋体" w:hAnsi="宋体"/>
          <w:sz w:val="24"/>
        </w:rPr>
      </w:pPr>
      <w:r>
        <w:rPr>
          <w:rFonts w:ascii="宋体" w:hAnsi="宋体"/>
          <w:sz w:val="24"/>
        </w:rPr>
        <w:t>9.与本投标有关的一切正式往来信函请寄：</w:t>
      </w:r>
    </w:p>
    <w:p>
      <w:pPr>
        <w:pStyle w:val="style0"/>
        <w:spacing w:lineRule="auto" w:line="360"/>
        <w:ind w:firstLine="480" w:firstLineChars="200"/>
        <w:contextualSpacing/>
        <w:rPr>
          <w:rFonts w:ascii="宋体" w:hAnsi="宋体"/>
          <w:sz w:val="24"/>
          <w:u w:val="single"/>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邮编：</w:t>
      </w:r>
      <w:r>
        <w:rPr>
          <w:rFonts w:ascii="宋体" w:hAnsi="宋体" w:hint="eastAsia"/>
          <w:sz w:val="24"/>
          <w:u w:val="single"/>
        </w:rPr>
        <w:t xml:space="preserve">              </w:t>
      </w:r>
    </w:p>
    <w:p>
      <w:pPr>
        <w:pStyle w:val="style0"/>
        <w:spacing w:lineRule="auto" w:line="360"/>
        <w:ind w:firstLine="480" w:firstLineChars="200"/>
        <w:contextualSpacing/>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邮箱：             </w:t>
      </w:r>
    </w:p>
    <w:p>
      <w:pPr>
        <w:pStyle w:val="style0"/>
        <w:spacing w:lineRule="auto" w:line="360"/>
        <w:ind w:firstLine="480" w:firstLineChars="200"/>
        <w:contextualSpacing/>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u w:val="single"/>
        </w:rPr>
        <w:t xml:space="preserve">                       </w:t>
      </w:r>
    </w:p>
    <w:p>
      <w:pPr>
        <w:pStyle w:val="style0"/>
        <w:spacing w:lineRule="auto" w:line="360"/>
        <w:ind w:firstLine="480" w:firstLineChars="200"/>
        <w:jc w:val="left"/>
        <w:contextualSpacing/>
        <w:rPr>
          <w:rFonts w:ascii="宋体" w:hAnsi="宋体"/>
          <w:sz w:val="24"/>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 xml:space="preserve">   银行帐号：</w:t>
      </w:r>
      <w:r>
        <w:rPr>
          <w:rFonts w:ascii="宋体" w:hAnsi="宋体" w:hint="eastAsia"/>
          <w:sz w:val="24"/>
          <w:u w:val="single"/>
        </w:rPr>
        <w:t xml:space="preserve">             </w:t>
      </w:r>
    </w:p>
    <w:p>
      <w:pPr>
        <w:pStyle w:val="style0"/>
        <w:spacing w:lineRule="auto" w:line="360"/>
        <w:ind w:firstLine="480" w:firstLineChars="200"/>
        <w:jc w:val="left"/>
        <w:contextualSpacing/>
        <w:rPr>
          <w:rFonts w:ascii="宋体" w:hAnsi="宋体"/>
          <w:sz w:val="24"/>
        </w:rPr>
      </w:pPr>
      <w:r>
        <w:rPr>
          <w:rFonts w:ascii="宋体" w:hAnsi="宋体" w:hint="eastAsia"/>
          <w:sz w:val="24"/>
        </w:rPr>
        <w:t>法定代表人或者委托代理人签字</w:t>
      </w:r>
      <w:r>
        <w:rPr>
          <w:rFonts w:ascii="宋体" w:hAnsi="宋体"/>
          <w:sz w:val="24"/>
        </w:rPr>
        <w:t xml:space="preserve">/电子签名:___________ </w:t>
      </w:r>
    </w:p>
    <w:p>
      <w:pPr>
        <w:pStyle w:val="style0"/>
        <w:spacing w:lineRule="auto" w:line="360"/>
        <w:ind w:left="900" w:hanging="480"/>
        <w:jc w:val="center"/>
        <w:contextualSpacing/>
        <w:rPr>
          <w:rFonts w:ascii="宋体" w:hAnsi="宋体"/>
          <w:sz w:val="24"/>
          <w:u w:val="single"/>
        </w:rPr>
      </w:pPr>
      <w:r>
        <w:rPr>
          <w:rFonts w:ascii="宋体" w:hAnsi="宋体" w:hint="eastAsia"/>
          <w:sz w:val="24"/>
          <w:szCs w:val="20"/>
        </w:rPr>
        <w:t>投标人名称（电子签章）：</w:t>
      </w:r>
    </w:p>
    <w:p>
      <w:pPr>
        <w:pStyle w:val="style0"/>
        <w:spacing w:lineRule="auto" w:line="360"/>
        <w:jc w:val="center"/>
        <w:contextualSpacing/>
        <w:rPr>
          <w:rFonts w:ascii="宋体" w:hAnsi="宋体"/>
          <w:sz w:val="24"/>
          <w:u w:val="single"/>
        </w:rPr>
      </w:pPr>
      <w:r>
        <w:rPr>
          <w:rFonts w:ascii="宋体" w:hAnsi="宋体" w:hint="eastAsia"/>
          <w:sz w:val="24"/>
        </w:rPr>
        <w:t>年   月   日</w:t>
      </w:r>
    </w:p>
    <w:p>
      <w:pPr>
        <w:pStyle w:val="style0"/>
        <w:snapToGrid w:val="false"/>
        <w:spacing w:beforeLines="50" w:after="50"/>
        <w:jc w:val="left"/>
        <w:rPr>
          <w:rFonts w:ascii="宋体" w:hAnsi="宋体"/>
          <w:b/>
          <w:sz w:val="24"/>
          <w:szCs w:val="20"/>
        </w:rPr>
      </w:pPr>
      <w:r>
        <w:rPr>
          <w:rFonts w:ascii="宋体" w:hAnsi="宋体"/>
          <w:u w:val="single"/>
        </w:rPr>
        <w:br w:type="page"/>
      </w:r>
      <w:r>
        <w:rPr>
          <w:rFonts w:ascii="宋体" w:hAnsi="宋体"/>
          <w:b/>
          <w:sz w:val="24"/>
        </w:rPr>
        <w:t xml:space="preserve">4. </w:t>
      </w:r>
      <w:r>
        <w:rPr>
          <w:rFonts w:ascii="宋体" w:hAnsi="宋体" w:hint="eastAsia"/>
          <w:b/>
          <w:sz w:val="24"/>
        </w:rPr>
        <w:t>开标一览表</w:t>
      </w:r>
    </w:p>
    <w:p>
      <w:pPr>
        <w:pStyle w:val="style0"/>
        <w:snapToGrid w:val="false"/>
        <w:spacing w:before="50" w:after="50"/>
        <w:jc w:val="center"/>
        <w:rPr>
          <w:rFonts w:ascii="宋体" w:hAnsi="宋体"/>
          <w:b/>
          <w:sz w:val="30"/>
        </w:rPr>
      </w:pPr>
      <w:r>
        <w:rPr>
          <w:rFonts w:ascii="宋体" w:hAnsi="宋体" w:hint="eastAsia"/>
          <w:b/>
          <w:sz w:val="30"/>
        </w:rPr>
        <w:t>开标一览表</w:t>
      </w:r>
    </w:p>
    <w:p>
      <w:pPr>
        <w:pStyle w:val="style0"/>
        <w:snapToGrid w:val="false"/>
        <w:spacing w:before="50" w:after="50"/>
        <w:jc w:val="center"/>
        <w:rPr>
          <w:rFonts w:ascii="宋体" w:hAnsi="宋体"/>
          <w:b/>
          <w:sz w:val="30"/>
          <w:szCs w:val="20"/>
        </w:rPr>
      </w:pPr>
    </w:p>
    <w:p>
      <w:pPr>
        <w:pStyle w:val="style0"/>
        <w:snapToGrid w:val="false"/>
        <w:spacing w:before="50" w:after="50" w:lineRule="auto" w:line="360"/>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项目编号：</w:t>
      </w:r>
      <w:r>
        <w:rPr>
          <w:rFonts w:ascii="宋体" w:hAnsi="宋体" w:hint="eastAsia"/>
          <w:sz w:val="24"/>
          <w:u w:val="single"/>
        </w:rPr>
        <w:t xml:space="preserve">           </w:t>
      </w:r>
      <w:r>
        <w:rPr>
          <w:rFonts w:ascii="宋体" w:hAnsi="宋体" w:hint="eastAsia"/>
          <w:sz w:val="24"/>
        </w:rPr>
        <w:t xml:space="preserve">    分标：</w:t>
      </w:r>
      <w:r>
        <w:rPr>
          <w:rFonts w:ascii="宋体" w:hAnsi="宋体" w:hint="eastAsia"/>
          <w:sz w:val="24"/>
          <w:u w:val="single"/>
        </w:rPr>
        <w:t xml:space="preserve">       </w:t>
      </w:r>
    </w:p>
    <w:p>
      <w:pPr>
        <w:pStyle w:val="style0"/>
        <w:snapToGrid w:val="false"/>
        <w:spacing w:before="50" w:after="50" w:lineRule="auto" w:line="360"/>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 xml:space="preserve">  单位：元</w:t>
      </w:r>
    </w:p>
    <w:tbl>
      <w:tblPr>
        <w:tblW w:w="9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712"/>
        <w:gridCol w:w="1521"/>
        <w:gridCol w:w="1418"/>
        <w:gridCol w:w="1673"/>
        <w:gridCol w:w="1184"/>
      </w:tblGrid>
      <w:tr>
        <w:trPr>
          <w:cantSplit/>
          <w:trHeight w:val="797" w:hRule="atLeast"/>
          <w:jc w:val="right"/>
        </w:trPr>
        <w:tc>
          <w:tcPr>
            <w:tcW w:w="1012"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仿宋_GB2312" w:hAnsi="宋体"/>
                <w:sz w:val="24"/>
              </w:rPr>
            </w:pPr>
            <w:r>
              <w:rPr>
                <w:rFonts w:ascii="宋体" w:cs="仿宋_GB2312" w:hAnsi="宋体"/>
                <w:sz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仿宋_GB2312" w:hAnsi="宋体"/>
                <w:sz w:val="24"/>
              </w:rPr>
            </w:pPr>
            <w:r>
              <w:rPr>
                <w:rFonts w:ascii="宋体" w:hAnsi="宋体" w:hint="eastAsia"/>
                <w:b/>
                <w:sz w:val="24"/>
              </w:rPr>
              <w:t>标的的名称</w:t>
            </w:r>
          </w:p>
        </w:tc>
        <w:tc>
          <w:tcPr>
            <w:tcW w:w="1521"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仿宋_GB2312" w:hAnsi="宋体"/>
                <w:sz w:val="24"/>
              </w:rPr>
            </w:pPr>
            <w:r>
              <w:rPr>
                <w:rFonts w:ascii="宋体" w:cs="仿宋_GB2312" w:hAnsi="宋体" w:hint="eastAsia"/>
                <w:sz w:val="24"/>
              </w:rPr>
              <w:t>数量及单位</w:t>
            </w: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仿宋_GB2312" w:hAnsi="宋体"/>
                <w:sz w:val="24"/>
              </w:rPr>
            </w:pPr>
            <w:r>
              <w:rPr>
                <w:rFonts w:ascii="宋体" w:cs="仿宋_GB2312" w:hAnsi="宋体" w:hint="eastAsia"/>
                <w:sz w:val="24"/>
              </w:rPr>
              <w:t>单价</w:t>
            </w:r>
          </w:p>
        </w:tc>
        <w:tc>
          <w:tcPr>
            <w:tcW w:w="167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仿宋_GB2312" w:hAnsi="宋体"/>
                <w:sz w:val="24"/>
              </w:rPr>
            </w:pPr>
            <w:r>
              <w:rPr>
                <w:rFonts w:ascii="宋体" w:cs="仿宋_GB2312" w:hAnsi="宋体" w:hint="eastAsia"/>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仿宋_GB2312" w:hAnsi="宋体"/>
                <w:sz w:val="24"/>
              </w:rPr>
            </w:pPr>
            <w:r>
              <w:rPr>
                <w:rFonts w:ascii="宋体" w:cs="仿宋_GB2312" w:hAnsi="宋体"/>
                <w:sz w:val="24"/>
              </w:rPr>
              <w:t>备注</w:t>
            </w:r>
          </w:p>
        </w:tc>
      </w:tr>
      <w:tr>
        <w:tblPrEx/>
        <w:trPr>
          <w:cantSplit/>
          <w:trHeight w:val="547" w:hRule="atLeast"/>
          <w:jc w:val="right"/>
        </w:trPr>
        <w:tc>
          <w:tcPr>
            <w:tcW w:w="1012"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仿宋_GB2312" w:hAnsi="宋体"/>
                <w:sz w:val="24"/>
              </w:rPr>
            </w:pPr>
            <w:r>
              <w:rPr>
                <w:rFonts w:ascii="宋体" w:cs="仿宋_GB2312" w:hAnsi="宋体"/>
                <w:sz w:val="24"/>
              </w:rPr>
              <w:t>1</w:t>
            </w:r>
          </w:p>
        </w:tc>
        <w:tc>
          <w:tcPr>
            <w:tcW w:w="2712"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auto" w:line="360"/>
              <w:jc w:val="center"/>
              <w:outlineLvl w:val="0"/>
              <w:rPr>
                <w:rFonts w:ascii="宋体" w:cs="仿宋_GB2312" w:hAnsi="宋体"/>
                <w:sz w:val="24"/>
              </w:rPr>
            </w:pPr>
          </w:p>
        </w:tc>
        <w:tc>
          <w:tcPr>
            <w:tcW w:w="1521"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auto" w:line="360"/>
              <w:outlineLvl w:val="0"/>
              <w:rPr>
                <w:rFonts w:ascii="宋体" w:cs="仿宋_GB2312" w:hAnsi="宋体"/>
                <w:sz w:val="24"/>
              </w:rPr>
            </w:pPr>
          </w:p>
        </w:tc>
        <w:tc>
          <w:tcPr>
            <w:tcW w:w="1418" w:type="dxa"/>
            <w:tcBorders>
              <w:top w:val="single" w:sz="4" w:space="0" w:color="auto"/>
              <w:left w:val="single" w:sz="4" w:space="0" w:color="auto"/>
              <w:bottom w:val="single" w:sz="4" w:space="0" w:color="auto"/>
              <w:right w:val="single" w:sz="4" w:space="0" w:color="auto"/>
            </w:tcBorders>
          </w:tcPr>
          <w:p>
            <w:pPr>
              <w:pStyle w:val="style0"/>
              <w:keepNext/>
              <w:keepLines/>
              <w:spacing w:lineRule="auto" w:line="360"/>
              <w:outlineLvl w:val="0"/>
              <w:rPr>
                <w:rFonts w:ascii="宋体" w:cs="仿宋_GB2312" w:hAnsi="宋体"/>
                <w:sz w:val="24"/>
              </w:rPr>
            </w:pPr>
          </w:p>
        </w:tc>
        <w:tc>
          <w:tcPr>
            <w:tcW w:w="1673" w:type="dxa"/>
            <w:tcBorders>
              <w:top w:val="single" w:sz="4" w:space="0" w:color="auto"/>
              <w:left w:val="single" w:sz="4" w:space="0" w:color="auto"/>
              <w:bottom w:val="single" w:sz="4" w:space="0" w:color="auto"/>
              <w:right w:val="single" w:sz="4" w:space="0" w:color="auto"/>
            </w:tcBorders>
          </w:tcPr>
          <w:p>
            <w:pPr>
              <w:pStyle w:val="style0"/>
              <w:keepNext/>
              <w:keepLines/>
              <w:spacing w:lineRule="auto" w:line="360"/>
              <w:outlineLvl w:val="0"/>
              <w:rPr>
                <w:rFonts w:ascii="宋体" w:cs="仿宋_GB2312" w:hAnsi="宋体"/>
                <w:sz w:val="24"/>
              </w:rPr>
            </w:pPr>
          </w:p>
        </w:tc>
        <w:tc>
          <w:tcPr>
            <w:tcW w:w="1184"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auto" w:line="360"/>
              <w:outlineLvl w:val="0"/>
              <w:rPr>
                <w:rFonts w:ascii="宋体" w:cs="仿宋_GB2312" w:hAnsi="宋体"/>
                <w:sz w:val="24"/>
              </w:rPr>
            </w:pPr>
          </w:p>
        </w:tc>
      </w:tr>
      <w:tr>
        <w:tblPrEx/>
        <w:trPr>
          <w:cantSplit/>
          <w:trHeight w:val="472" w:hRule="atLeast"/>
          <w:jc w:val="right"/>
        </w:trPr>
        <w:tc>
          <w:tcPr>
            <w:tcW w:w="1012"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仿宋_GB2312" w:hAnsi="宋体"/>
                <w:sz w:val="24"/>
              </w:rPr>
            </w:pPr>
            <w:r>
              <w:rPr>
                <w:rFonts w:ascii="宋体" w:cs="仿宋_GB2312" w:hAnsi="宋体"/>
                <w:sz w:val="24"/>
              </w:rPr>
              <w:t>2</w:t>
            </w:r>
          </w:p>
        </w:tc>
        <w:tc>
          <w:tcPr>
            <w:tcW w:w="2712"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auto" w:line="360"/>
              <w:jc w:val="center"/>
              <w:outlineLvl w:val="0"/>
              <w:rPr>
                <w:rFonts w:ascii="宋体" w:cs="仿宋_GB2312" w:hAnsi="宋体"/>
                <w:sz w:val="24"/>
              </w:rPr>
            </w:pPr>
          </w:p>
        </w:tc>
        <w:tc>
          <w:tcPr>
            <w:tcW w:w="1521"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auto" w:line="360"/>
              <w:outlineLvl w:val="0"/>
              <w:rPr>
                <w:rFonts w:ascii="宋体" w:cs="仿宋_GB2312" w:hAnsi="宋体"/>
                <w:sz w:val="24"/>
              </w:rPr>
            </w:pPr>
          </w:p>
        </w:tc>
        <w:tc>
          <w:tcPr>
            <w:tcW w:w="1418" w:type="dxa"/>
            <w:tcBorders>
              <w:top w:val="single" w:sz="4" w:space="0" w:color="auto"/>
              <w:left w:val="single" w:sz="4" w:space="0" w:color="auto"/>
              <w:bottom w:val="single" w:sz="4" w:space="0" w:color="auto"/>
              <w:right w:val="single" w:sz="4" w:space="0" w:color="auto"/>
            </w:tcBorders>
          </w:tcPr>
          <w:p>
            <w:pPr>
              <w:pStyle w:val="style0"/>
              <w:keepNext/>
              <w:keepLines/>
              <w:spacing w:lineRule="auto" w:line="360"/>
              <w:outlineLvl w:val="0"/>
              <w:rPr>
                <w:rFonts w:ascii="宋体" w:cs="仿宋_GB2312" w:hAnsi="宋体"/>
                <w:sz w:val="24"/>
              </w:rPr>
            </w:pPr>
          </w:p>
        </w:tc>
        <w:tc>
          <w:tcPr>
            <w:tcW w:w="1673" w:type="dxa"/>
            <w:tcBorders>
              <w:top w:val="single" w:sz="4" w:space="0" w:color="auto"/>
              <w:left w:val="single" w:sz="4" w:space="0" w:color="auto"/>
              <w:bottom w:val="single" w:sz="4" w:space="0" w:color="auto"/>
              <w:right w:val="single" w:sz="4" w:space="0" w:color="auto"/>
            </w:tcBorders>
          </w:tcPr>
          <w:p>
            <w:pPr>
              <w:pStyle w:val="style0"/>
              <w:keepNext/>
              <w:keepLines/>
              <w:spacing w:lineRule="auto" w:line="360"/>
              <w:outlineLvl w:val="0"/>
              <w:rPr>
                <w:rFonts w:ascii="宋体" w:cs="仿宋_GB2312" w:hAnsi="宋体"/>
                <w:sz w:val="24"/>
              </w:rPr>
            </w:pPr>
          </w:p>
        </w:tc>
        <w:tc>
          <w:tcPr>
            <w:tcW w:w="1184"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auto" w:line="360"/>
              <w:outlineLvl w:val="0"/>
              <w:rPr>
                <w:rFonts w:ascii="宋体" w:cs="仿宋_GB2312" w:hAnsi="宋体"/>
                <w:sz w:val="24"/>
              </w:rPr>
            </w:pPr>
          </w:p>
        </w:tc>
      </w:tr>
      <w:tr>
        <w:tblPrEx/>
        <w:trPr>
          <w:cantSplit/>
          <w:trHeight w:val="447" w:hRule="atLeast"/>
          <w:jc w:val="right"/>
        </w:trPr>
        <w:tc>
          <w:tcPr>
            <w:tcW w:w="1012"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仿宋_GB2312" w:hAnsi="宋体"/>
                <w:sz w:val="24"/>
              </w:rPr>
            </w:pPr>
            <w:r>
              <w:rPr>
                <w:rFonts w:ascii="宋体" w:hAnsi="宋体" w:hint="eastAsia"/>
                <w:b/>
                <w:sz w:val="24"/>
              </w:rPr>
              <w:t>……</w:t>
            </w:r>
          </w:p>
        </w:tc>
        <w:tc>
          <w:tcPr>
            <w:tcW w:w="2712"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仿宋_GB2312" w:hAnsi="宋体"/>
                <w:sz w:val="24"/>
              </w:rPr>
            </w:pPr>
            <w:r>
              <w:rPr>
                <w:rFonts w:ascii="宋体" w:hAnsi="宋体" w:hint="eastAsia"/>
                <w:b/>
                <w:sz w:val="24"/>
              </w:rPr>
              <w:t>……</w:t>
            </w:r>
          </w:p>
        </w:tc>
        <w:tc>
          <w:tcPr>
            <w:tcW w:w="1521"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auto" w:line="360"/>
              <w:outlineLvl w:val="0"/>
              <w:rPr>
                <w:rFonts w:ascii="宋体" w:cs="仿宋_GB2312" w:hAnsi="宋体"/>
                <w:sz w:val="24"/>
              </w:rPr>
            </w:pPr>
          </w:p>
        </w:tc>
        <w:tc>
          <w:tcPr>
            <w:tcW w:w="1418" w:type="dxa"/>
            <w:tcBorders>
              <w:top w:val="single" w:sz="4" w:space="0" w:color="auto"/>
              <w:left w:val="single" w:sz="4" w:space="0" w:color="auto"/>
              <w:bottom w:val="single" w:sz="4" w:space="0" w:color="auto"/>
              <w:right w:val="single" w:sz="4" w:space="0" w:color="auto"/>
            </w:tcBorders>
          </w:tcPr>
          <w:p>
            <w:pPr>
              <w:pStyle w:val="style0"/>
              <w:keepNext/>
              <w:keepLines/>
              <w:spacing w:lineRule="auto" w:line="360"/>
              <w:outlineLvl w:val="0"/>
              <w:rPr>
                <w:rFonts w:ascii="宋体" w:cs="仿宋_GB2312" w:hAnsi="宋体"/>
                <w:sz w:val="24"/>
              </w:rPr>
            </w:pPr>
          </w:p>
        </w:tc>
        <w:tc>
          <w:tcPr>
            <w:tcW w:w="1673" w:type="dxa"/>
            <w:tcBorders>
              <w:top w:val="single" w:sz="4" w:space="0" w:color="auto"/>
              <w:left w:val="single" w:sz="4" w:space="0" w:color="auto"/>
              <w:bottom w:val="single" w:sz="4" w:space="0" w:color="auto"/>
              <w:right w:val="single" w:sz="4" w:space="0" w:color="auto"/>
            </w:tcBorders>
          </w:tcPr>
          <w:p>
            <w:pPr>
              <w:pStyle w:val="style0"/>
              <w:keepNext/>
              <w:keepLines/>
              <w:spacing w:lineRule="auto" w:line="360"/>
              <w:outlineLvl w:val="0"/>
              <w:rPr>
                <w:rFonts w:ascii="宋体" w:cs="仿宋_GB2312" w:hAnsi="宋体"/>
                <w:sz w:val="24"/>
              </w:rPr>
            </w:pPr>
          </w:p>
        </w:tc>
        <w:tc>
          <w:tcPr>
            <w:tcW w:w="1184" w:type="dxa"/>
            <w:tcBorders>
              <w:top w:val="single" w:sz="4" w:space="0" w:color="auto"/>
              <w:left w:val="single" w:sz="4" w:space="0" w:color="auto"/>
              <w:bottom w:val="single" w:sz="4" w:space="0" w:color="auto"/>
              <w:right w:val="single" w:sz="4" w:space="0" w:color="auto"/>
            </w:tcBorders>
            <w:vAlign w:val="center"/>
          </w:tcPr>
          <w:p>
            <w:pPr>
              <w:pStyle w:val="style0"/>
              <w:keepNext/>
              <w:keepLines/>
              <w:spacing w:lineRule="auto" w:line="360"/>
              <w:outlineLvl w:val="0"/>
              <w:rPr>
                <w:rFonts w:ascii="宋体" w:cs="仿宋_GB2312" w:hAnsi="宋体"/>
                <w:sz w:val="24"/>
              </w:rPr>
            </w:pPr>
          </w:p>
        </w:tc>
      </w:tr>
      <w:tr>
        <w:tblPrEx/>
        <w:trPr>
          <w:cantSplit/>
          <w:trHeight w:val="647" w:hRule="atLeast"/>
          <w:jc w:val="right"/>
        </w:trPr>
        <w:tc>
          <w:tcPr>
            <w:tcW w:w="9520" w:type="dxa"/>
            <w:gridSpan w:val="6"/>
            <w:tcBorders>
              <w:top w:val="single" w:sz="4" w:space="0" w:color="auto"/>
              <w:left w:val="single" w:sz="4" w:space="0" w:color="auto"/>
              <w:bottom w:val="single" w:sz="4" w:space="0" w:color="auto"/>
              <w:right w:val="single" w:sz="4" w:space="0" w:color="auto"/>
            </w:tcBorders>
            <w:vAlign w:val="center"/>
          </w:tcPr>
          <w:p>
            <w:pPr>
              <w:pStyle w:val="style0"/>
              <w:snapToGrid w:val="false"/>
              <w:spacing w:before="50" w:after="50" w:lineRule="auto" w:line="360"/>
              <w:rPr>
                <w:rFonts w:ascii="宋体" w:cs="仿宋_GB2312" w:hAnsi="宋体"/>
                <w:sz w:val="24"/>
              </w:rPr>
            </w:pPr>
            <w:r>
              <w:rPr>
                <w:rFonts w:ascii="宋体" w:cs="仿宋_GB2312" w:hAnsi="宋体" w:hint="eastAsia"/>
                <w:sz w:val="24"/>
              </w:rPr>
              <w:t>合计金额大写：人民币</w:t>
            </w:r>
            <w:r>
              <w:rPr>
                <w:rFonts w:ascii="宋体" w:cs="仿宋_GB2312" w:hAnsi="宋体" w:hint="eastAsia"/>
                <w:sz w:val="24"/>
                <w:u w:val="single"/>
              </w:rPr>
              <w:t xml:space="preserve">              </w:t>
            </w:r>
            <w:r>
              <w:rPr>
                <w:rFonts w:ascii="宋体" w:cs="仿宋_GB2312" w:hAnsi="宋体" w:hint="eastAsia"/>
                <w:sz w:val="24"/>
              </w:rPr>
              <w:t>（￥</w:t>
            </w:r>
            <w:r>
              <w:rPr>
                <w:rFonts w:ascii="宋体" w:cs="仿宋_GB2312" w:hAnsi="宋体" w:hint="eastAsia"/>
                <w:sz w:val="24"/>
                <w:u w:val="single"/>
              </w:rPr>
              <w:t xml:space="preserve">                </w:t>
            </w:r>
            <w:r>
              <w:rPr>
                <w:rFonts w:ascii="宋体" w:cs="仿宋_GB2312" w:hAnsi="宋体" w:hint="eastAsia"/>
                <w:sz w:val="24"/>
              </w:rPr>
              <w:t>）</w:t>
            </w:r>
          </w:p>
        </w:tc>
      </w:tr>
    </w:tbl>
    <w:p>
      <w:pPr>
        <w:pStyle w:val="style0"/>
        <w:snapToGrid w:val="false"/>
        <w:spacing w:lineRule="auto" w:line="360"/>
        <w:jc w:val="left"/>
        <w:rPr>
          <w:rFonts w:ascii="宋体" w:hAnsi="宋体"/>
          <w:sz w:val="24"/>
        </w:rPr>
      </w:pPr>
    </w:p>
    <w:p>
      <w:pPr>
        <w:pStyle w:val="style0"/>
        <w:snapToGrid w:val="false"/>
        <w:spacing w:lineRule="auto" w:line="360"/>
        <w:jc w:val="left"/>
        <w:rPr>
          <w:rFonts w:ascii="宋体" w:hAnsi="宋体"/>
          <w:sz w:val="24"/>
        </w:rPr>
      </w:pPr>
      <w:r>
        <w:rPr>
          <w:rFonts w:ascii="宋体" w:hAnsi="宋体" w:hint="eastAsia"/>
          <w:sz w:val="24"/>
        </w:rPr>
        <w:t>注</w:t>
      </w:r>
      <w:r>
        <w:rPr>
          <w:rFonts w:ascii="宋体" w:hAnsi="宋体"/>
          <w:sz w:val="24"/>
        </w:rPr>
        <w:t xml:space="preserve">: </w:t>
      </w:r>
    </w:p>
    <w:p>
      <w:pPr>
        <w:pStyle w:val="style0"/>
        <w:snapToGrid w:val="false"/>
        <w:spacing w:before="50" w:after="50" w:lineRule="auto" w:line="360"/>
        <w:ind w:firstLine="480" w:firstLineChars="200"/>
        <w:jc w:val="left"/>
        <w:rPr>
          <w:rFonts w:ascii="宋体" w:hAnsi="宋体"/>
          <w:sz w:val="24"/>
        </w:rPr>
      </w:pPr>
      <w:r>
        <w:rPr>
          <w:rFonts w:ascii="宋体" w:hAnsi="宋体"/>
          <w:sz w:val="24"/>
        </w:rPr>
        <w:t>1.投标人的开标一览表必须加盖投标人电子签章，</w:t>
      </w:r>
      <w:r>
        <w:rPr>
          <w:rFonts w:ascii="宋体" w:hAnsi="宋体"/>
          <w:b/>
          <w:sz w:val="24"/>
        </w:rPr>
        <w:t>否则其投标作无效标处理</w:t>
      </w:r>
      <w:r>
        <w:rPr>
          <w:rFonts w:ascii="宋体" w:hAnsi="宋体"/>
          <w:sz w:val="24"/>
        </w:rPr>
        <w:t>。</w:t>
      </w:r>
    </w:p>
    <w:p>
      <w:pPr>
        <w:pStyle w:val="style0"/>
        <w:snapToGrid w:val="false"/>
        <w:spacing w:before="50" w:after="50" w:lineRule="auto" w:line="360"/>
        <w:ind w:firstLine="480" w:firstLineChars="200"/>
        <w:jc w:val="left"/>
        <w:rPr>
          <w:rFonts w:ascii="宋体" w:hAnsi="宋体"/>
          <w:sz w:val="24"/>
        </w:rPr>
      </w:pPr>
      <w:r>
        <w:rPr>
          <w:rFonts w:ascii="宋体" w:hAnsi="宋体"/>
          <w:sz w:val="24"/>
        </w:rPr>
        <w:t>2.如为联合体投标，“投标人名称”处必须列明联合体各方名称，并标注联合体牵头人名称，</w:t>
      </w:r>
      <w:r>
        <w:rPr>
          <w:rFonts w:ascii="宋体" w:hAnsi="宋体"/>
          <w:b/>
          <w:sz w:val="24"/>
        </w:rPr>
        <w:t>否则其投标作无效标处理。</w:t>
      </w:r>
    </w:p>
    <w:p>
      <w:pPr>
        <w:pStyle w:val="style0"/>
        <w:snapToGrid w:val="false"/>
        <w:spacing w:before="50" w:after="50" w:lineRule="auto" w:line="360"/>
        <w:ind w:firstLine="480" w:firstLineChars="200"/>
        <w:jc w:val="left"/>
        <w:rPr>
          <w:rFonts w:ascii="宋体" w:hAnsi="宋体"/>
          <w:sz w:val="24"/>
        </w:rPr>
      </w:pPr>
      <w:r>
        <w:rPr>
          <w:rFonts w:ascii="宋体" w:hAnsi="宋体"/>
          <w:sz w:val="24"/>
        </w:rPr>
        <w:t>3.如为联合体投标，盖章处须加盖联合体各方公章，</w:t>
      </w:r>
      <w:r>
        <w:rPr>
          <w:rFonts w:ascii="宋体" w:hAnsi="宋体"/>
          <w:b/>
          <w:sz w:val="24"/>
        </w:rPr>
        <w:t>否则其投标作无效标处理。</w:t>
      </w:r>
    </w:p>
    <w:p>
      <w:pPr>
        <w:pStyle w:val="style0"/>
        <w:snapToGrid w:val="false"/>
        <w:spacing w:before="50" w:after="50" w:lineRule="auto" w:line="360"/>
        <w:ind w:firstLine="480" w:firstLineChars="200"/>
        <w:rPr>
          <w:rFonts w:ascii="宋体" w:hAnsi="宋体"/>
          <w:sz w:val="24"/>
        </w:rPr>
      </w:pPr>
      <w:r>
        <w:rPr>
          <w:rFonts w:ascii="宋体" w:hAnsi="宋体"/>
          <w:sz w:val="24"/>
        </w:rPr>
        <w:t>4.如有多分标，按分标分别提供开标一览表，</w:t>
      </w:r>
      <w:r>
        <w:rPr>
          <w:rFonts w:ascii="宋体" w:hAnsi="宋体"/>
          <w:b/>
          <w:sz w:val="24"/>
        </w:rPr>
        <w:t>否则投标无效。</w:t>
      </w:r>
    </w:p>
    <w:p>
      <w:pPr>
        <w:pStyle w:val="style0"/>
        <w:spacing w:after="120"/>
        <w:rPr>
          <w:rFonts w:ascii="宋体" w:hAnsi="宋体"/>
        </w:rPr>
      </w:pPr>
    </w:p>
    <w:p>
      <w:pPr>
        <w:pStyle w:val="style0"/>
        <w:snapToGrid w:val="false"/>
        <w:spacing w:lineRule="auto" w:line="360"/>
        <w:ind w:left="-2" w:leftChars="-1" w:right="-817" w:rightChars="-389"/>
        <w:rPr>
          <w:rFonts w:ascii="宋体" w:hAnsi="宋体"/>
          <w:sz w:val="24"/>
        </w:rPr>
      </w:pPr>
      <w:r>
        <w:rPr>
          <w:rFonts w:ascii="宋体" w:hAnsi="宋体"/>
          <w:sz w:val="24"/>
        </w:rPr>
        <w:t xml:space="preserve">                                  法定代表人或者委托代理人（签字/电子签名）： </w:t>
      </w:r>
    </w:p>
    <w:p>
      <w:pPr>
        <w:pStyle w:val="style0"/>
        <w:snapToGrid w:val="false"/>
        <w:spacing w:lineRule="auto" w:line="360"/>
        <w:ind w:left="-2" w:leftChars="-15" w:right="-817" w:rightChars="-389" w:hanging="29" w:hangingChars="12"/>
        <w:rPr>
          <w:rFonts w:ascii="宋体" w:hAnsi="宋体"/>
          <w:sz w:val="24"/>
        </w:rPr>
      </w:pPr>
      <w:r>
        <w:rPr>
          <w:rFonts w:ascii="宋体" w:hAnsi="宋体"/>
          <w:sz w:val="24"/>
        </w:rPr>
        <w:t xml:space="preserve">                                  投标人名称（电子签章）：</w:t>
      </w:r>
    </w:p>
    <w:p>
      <w:pPr>
        <w:pStyle w:val="style0"/>
        <w:snapToGrid w:val="false"/>
        <w:spacing w:lineRule="auto" w:line="360"/>
        <w:ind w:left="-2" w:leftChars="-15" w:right="-817" w:rightChars="-389" w:hanging="29" w:hangingChars="12"/>
        <w:rPr>
          <w:rFonts w:ascii="宋体" w:hAnsi="宋体"/>
          <w:b/>
          <w:sz w:val="28"/>
          <w:szCs w:val="28"/>
        </w:rPr>
      </w:pPr>
      <w:r>
        <w:rPr>
          <w:rFonts w:ascii="宋体" w:hAnsi="宋体"/>
          <w:sz w:val="24"/>
        </w:rPr>
        <w:t xml:space="preserve">                                  日期：    年   月   日</w:t>
      </w:r>
      <w:r>
        <w:rPr>
          <w:rFonts w:ascii="宋体" w:hAnsi="宋体"/>
        </w:rPr>
        <w:br w:type="page"/>
      </w:r>
      <w:bookmarkStart w:id="196" w:name="_Toc19686837"/>
      <w:r>
        <w:rPr>
          <w:rFonts w:ascii="宋体" w:hAnsi="宋体" w:hint="eastAsia"/>
          <w:b/>
          <w:sz w:val="28"/>
          <w:szCs w:val="28"/>
        </w:rPr>
        <w:t>二、资格证明文件格式</w:t>
      </w:r>
      <w:bookmarkEnd w:id="194"/>
      <w:bookmarkEnd w:id="195"/>
      <w:bookmarkEnd w:id="196"/>
    </w:p>
    <w:p>
      <w:pPr>
        <w:pStyle w:val="style0"/>
        <w:numPr>
          <w:ilvl w:val="2"/>
          <w:numId w:val="11"/>
        </w:numPr>
        <w:snapToGrid w:val="false"/>
        <w:spacing w:beforeLines="50" w:after="50" w:lineRule="auto" w:line="360"/>
        <w:ind w:left="0"/>
        <w:jc w:val="left"/>
        <w:rPr>
          <w:rFonts w:ascii="宋体" w:hAnsi="宋体"/>
          <w:b/>
          <w:sz w:val="24"/>
        </w:rPr>
      </w:pPr>
      <w:r>
        <w:rPr>
          <w:rFonts w:ascii="宋体" w:hAnsi="宋体" w:hint="eastAsia"/>
          <w:b/>
          <w:sz w:val="24"/>
        </w:rPr>
        <w:t>资格证明文件封面格式：</w:t>
      </w:r>
    </w:p>
    <w:p>
      <w:pPr>
        <w:pStyle w:val="style0"/>
        <w:snapToGrid w:val="false"/>
        <w:spacing w:beforeLines="50" w:after="50"/>
        <w:jc w:val="center"/>
        <w:rPr>
          <w:rFonts w:ascii="宋体" w:hAnsi="宋体"/>
          <w:bCs/>
          <w:sz w:val="48"/>
          <w:szCs w:val="48"/>
        </w:rPr>
      </w:pPr>
    </w:p>
    <w:p>
      <w:pPr>
        <w:pStyle w:val="style0"/>
        <w:snapToGrid w:val="false"/>
        <w:spacing w:beforeLines="50" w:after="50"/>
        <w:jc w:val="center"/>
        <w:rPr>
          <w:rFonts w:ascii="宋体" w:hAnsi="宋体"/>
          <w:bCs/>
          <w:sz w:val="48"/>
          <w:szCs w:val="48"/>
        </w:rPr>
      </w:pPr>
      <w:r>
        <w:rPr>
          <w:rFonts w:ascii="宋体" w:hAnsi="宋体" w:hint="eastAsia"/>
          <w:bCs/>
          <w:sz w:val="48"/>
          <w:szCs w:val="48"/>
        </w:rPr>
        <w:t>电子投标文件</w:t>
      </w:r>
    </w:p>
    <w:p>
      <w:pPr>
        <w:pStyle w:val="style0"/>
        <w:spacing w:after="120"/>
        <w:rPr>
          <w:rFonts w:ascii="宋体" w:hAnsi="宋体"/>
        </w:rPr>
      </w:pPr>
    </w:p>
    <w:p>
      <w:pPr>
        <w:pStyle w:val="style0"/>
        <w:snapToGrid w:val="false"/>
        <w:spacing w:beforeLines="50" w:after="50"/>
        <w:jc w:val="center"/>
        <w:rPr>
          <w:rFonts w:ascii="宋体" w:hAnsi="宋体"/>
          <w:b/>
          <w:sz w:val="24"/>
          <w:szCs w:val="20"/>
        </w:rPr>
      </w:pPr>
      <w:r>
        <w:rPr>
          <w:rFonts w:ascii="宋体" w:hAnsi="宋体" w:hint="eastAsia"/>
          <w:b/>
          <w:sz w:val="32"/>
          <w:szCs w:val="32"/>
        </w:rPr>
        <w:t>资格证明文件</w:t>
      </w:r>
    </w:p>
    <w:p>
      <w:pPr>
        <w:pStyle w:val="style0"/>
        <w:snapToGrid w:val="false"/>
        <w:spacing w:beforeLines="50" w:after="50"/>
        <w:rPr>
          <w:rFonts w:ascii="宋体" w:hAnsi="宋体"/>
          <w:bCs/>
          <w:sz w:val="24"/>
          <w:szCs w:val="20"/>
        </w:rPr>
      </w:pPr>
    </w:p>
    <w:p>
      <w:pPr>
        <w:pStyle w:val="style0"/>
        <w:snapToGrid w:val="false"/>
        <w:spacing w:beforeLines="50" w:after="50"/>
        <w:rPr>
          <w:rFonts w:ascii="宋体" w:hAnsi="宋体"/>
          <w:bCs/>
          <w:sz w:val="24"/>
          <w:szCs w:val="20"/>
        </w:rPr>
      </w:pPr>
    </w:p>
    <w:p>
      <w:pPr>
        <w:pStyle w:val="style0"/>
        <w:snapToGrid w:val="false"/>
        <w:spacing w:beforeLines="50" w:after="50"/>
        <w:rPr>
          <w:rFonts w:ascii="宋体" w:hAnsi="宋体"/>
          <w:bCs/>
          <w:sz w:val="24"/>
          <w:szCs w:val="20"/>
        </w:rPr>
      </w:pPr>
    </w:p>
    <w:p>
      <w:pPr>
        <w:pStyle w:val="style0"/>
        <w:snapToGrid w:val="false"/>
        <w:spacing w:beforeLines="50" w:after="50"/>
        <w:rPr>
          <w:rFonts w:ascii="宋体" w:hAnsi="宋体"/>
          <w:bCs/>
          <w:sz w:val="24"/>
          <w:szCs w:val="20"/>
        </w:rPr>
      </w:pPr>
    </w:p>
    <w:p>
      <w:pPr>
        <w:pStyle w:val="style0"/>
        <w:snapToGrid w:val="false"/>
        <w:spacing w:beforeLines="50" w:after="50"/>
        <w:rPr>
          <w:rFonts w:ascii="宋体" w:hAnsi="宋体"/>
          <w:bCs/>
          <w:sz w:val="24"/>
          <w:szCs w:val="20"/>
        </w:rPr>
      </w:pPr>
    </w:p>
    <w:p>
      <w:pPr>
        <w:pStyle w:val="style0"/>
        <w:snapToGrid w:val="false"/>
        <w:spacing w:beforeLines="50" w:after="50"/>
        <w:rPr>
          <w:rFonts w:ascii="宋体" w:hAnsi="宋体"/>
          <w:bCs/>
          <w:sz w:val="24"/>
          <w:szCs w:val="20"/>
        </w:rPr>
      </w:pPr>
    </w:p>
    <w:p>
      <w:pPr>
        <w:pStyle w:val="style0"/>
        <w:snapToGrid w:val="false"/>
        <w:spacing w:beforeLines="50" w:after="50"/>
        <w:rPr>
          <w:rFonts w:ascii="宋体" w:hAnsi="宋体"/>
          <w:bCs/>
          <w:sz w:val="24"/>
          <w:szCs w:val="20"/>
        </w:rPr>
      </w:pPr>
    </w:p>
    <w:p>
      <w:pPr>
        <w:pStyle w:val="style0"/>
        <w:snapToGrid w:val="false"/>
        <w:spacing w:beforeLines="50" w:after="50"/>
        <w:ind w:firstLine="540" w:firstLineChars="225"/>
        <w:rPr>
          <w:rFonts w:ascii="宋体" w:hAnsi="宋体"/>
          <w:bCs/>
          <w:sz w:val="24"/>
        </w:rPr>
      </w:pPr>
      <w:r>
        <w:rPr>
          <w:rFonts w:ascii="宋体" w:hAnsi="宋体" w:hint="eastAsia"/>
          <w:bCs/>
          <w:sz w:val="24"/>
        </w:rPr>
        <w:t>项目名称：</w:t>
      </w:r>
    </w:p>
    <w:p>
      <w:pPr>
        <w:pStyle w:val="style0"/>
        <w:snapToGrid w:val="false"/>
        <w:spacing w:beforeLines="50" w:after="50"/>
        <w:ind w:firstLine="540" w:firstLineChars="225"/>
        <w:rPr>
          <w:rFonts w:ascii="宋体" w:hAnsi="宋体"/>
          <w:bCs/>
          <w:sz w:val="24"/>
          <w:szCs w:val="20"/>
        </w:rPr>
      </w:pPr>
    </w:p>
    <w:p>
      <w:pPr>
        <w:pStyle w:val="style0"/>
        <w:snapToGrid w:val="false"/>
        <w:spacing w:beforeLines="50" w:after="50"/>
        <w:ind w:firstLine="540" w:firstLineChars="225"/>
        <w:rPr>
          <w:rFonts w:ascii="宋体" w:hAnsi="宋体"/>
          <w:bCs/>
          <w:sz w:val="24"/>
        </w:rPr>
      </w:pPr>
      <w:r>
        <w:rPr>
          <w:rFonts w:ascii="宋体" w:hAnsi="宋体" w:hint="eastAsia"/>
          <w:bCs/>
          <w:sz w:val="24"/>
        </w:rPr>
        <w:t>项目编号：</w:t>
      </w:r>
    </w:p>
    <w:p>
      <w:pPr>
        <w:pStyle w:val="style0"/>
        <w:snapToGrid w:val="false"/>
        <w:spacing w:beforeLines="50" w:after="50"/>
        <w:ind w:firstLine="540" w:firstLineChars="225"/>
        <w:rPr>
          <w:rFonts w:ascii="宋体" w:hAnsi="宋体"/>
          <w:bCs/>
          <w:sz w:val="24"/>
          <w:szCs w:val="20"/>
        </w:rPr>
      </w:pPr>
    </w:p>
    <w:p>
      <w:pPr>
        <w:pStyle w:val="style0"/>
        <w:snapToGrid w:val="false"/>
        <w:spacing w:beforeLines="50" w:after="50"/>
        <w:ind w:firstLine="540" w:firstLineChars="225"/>
        <w:rPr>
          <w:rFonts w:ascii="宋体" w:hAnsi="宋体"/>
          <w:bCs/>
          <w:sz w:val="24"/>
        </w:rPr>
      </w:pPr>
      <w:r>
        <w:rPr>
          <w:rFonts w:ascii="宋体" w:hAnsi="宋体" w:hint="eastAsia"/>
          <w:bCs/>
          <w:sz w:val="24"/>
        </w:rPr>
        <w:t>所投分标：</w:t>
      </w:r>
    </w:p>
    <w:p>
      <w:pPr>
        <w:pStyle w:val="style0"/>
        <w:snapToGrid w:val="false"/>
        <w:spacing w:before="50" w:after="50"/>
        <w:ind w:firstLine="540" w:firstLineChars="225"/>
        <w:rPr>
          <w:rFonts w:ascii="宋体" w:hAnsi="宋体"/>
          <w:bCs/>
          <w:sz w:val="24"/>
        </w:rPr>
      </w:pPr>
    </w:p>
    <w:p>
      <w:pPr>
        <w:pStyle w:val="style0"/>
        <w:snapToGrid w:val="false"/>
        <w:spacing w:before="50" w:after="50"/>
        <w:ind w:firstLine="540" w:firstLineChars="225"/>
        <w:rPr>
          <w:rFonts w:ascii="宋体" w:hAnsi="宋体"/>
          <w:bCs/>
          <w:sz w:val="24"/>
        </w:rPr>
      </w:pPr>
      <w:r>
        <w:rPr>
          <w:rFonts w:ascii="宋体" w:hAnsi="宋体" w:hint="eastAsia"/>
          <w:bCs/>
          <w:sz w:val="24"/>
        </w:rPr>
        <w:t>投标人名称：</w:t>
      </w:r>
    </w:p>
    <w:p>
      <w:pPr>
        <w:pStyle w:val="style0"/>
        <w:snapToGrid w:val="false"/>
        <w:spacing w:before="50" w:after="50"/>
        <w:ind w:firstLine="540" w:firstLineChars="225"/>
        <w:rPr>
          <w:rFonts w:ascii="宋体" w:hAnsi="宋体"/>
          <w:bCs/>
          <w:sz w:val="24"/>
        </w:rPr>
      </w:pPr>
    </w:p>
    <w:p>
      <w:pPr>
        <w:pStyle w:val="style0"/>
        <w:snapToGrid w:val="false"/>
        <w:spacing w:before="50" w:after="50"/>
        <w:ind w:firstLine="960" w:firstLineChars="400"/>
        <w:rPr>
          <w:rFonts w:ascii="宋体" w:hAnsi="宋体"/>
          <w:bCs/>
          <w:sz w:val="24"/>
        </w:rPr>
      </w:pPr>
    </w:p>
    <w:p>
      <w:pPr>
        <w:pStyle w:val="style0"/>
        <w:snapToGrid w:val="false"/>
        <w:spacing w:beforeLines="50" w:after="50"/>
        <w:ind w:firstLine="645"/>
        <w:jc w:val="center"/>
        <w:rPr>
          <w:rFonts w:ascii="宋体" w:hAnsi="宋体"/>
          <w:sz w:val="24"/>
        </w:rPr>
      </w:pPr>
      <w:r>
        <w:rPr>
          <w:rFonts w:ascii="宋体" w:hAnsi="宋体" w:hint="eastAsia"/>
          <w:sz w:val="24"/>
        </w:rPr>
        <w:t>年月日</w:t>
      </w:r>
    </w:p>
    <w:p>
      <w:pPr>
        <w:pStyle w:val="style0"/>
        <w:snapToGrid w:val="false"/>
        <w:spacing w:beforeLines="50" w:after="50"/>
        <w:rPr>
          <w:rFonts w:ascii="宋体" w:hAnsi="宋体"/>
          <w:sz w:val="24"/>
          <w:szCs w:val="20"/>
        </w:rPr>
      </w:pPr>
    </w:p>
    <w:p>
      <w:pPr>
        <w:pStyle w:val="style0"/>
        <w:snapToGrid w:val="false"/>
        <w:spacing w:beforeLines="50" w:after="50"/>
        <w:rPr>
          <w:rFonts w:ascii="宋体" w:hAnsi="宋体"/>
          <w:sz w:val="24"/>
          <w:szCs w:val="20"/>
        </w:rPr>
      </w:pPr>
    </w:p>
    <w:p>
      <w:pPr>
        <w:pStyle w:val="style0"/>
        <w:numPr>
          <w:ilvl w:val="2"/>
          <w:numId w:val="11"/>
        </w:numPr>
        <w:snapToGrid w:val="false"/>
        <w:spacing w:beforeLines="50" w:after="50" w:lineRule="auto" w:line="360"/>
        <w:ind w:left="0"/>
        <w:jc w:val="left"/>
        <w:rPr>
          <w:rFonts w:ascii="宋体" w:hAnsi="宋体"/>
          <w:sz w:val="24"/>
          <w:szCs w:val="20"/>
        </w:rPr>
      </w:pPr>
      <w:r>
        <w:rPr>
          <w:rFonts w:ascii="宋体" w:hAnsi="宋体"/>
          <w:b/>
          <w:bCs/>
          <w:sz w:val="24"/>
        </w:rPr>
        <w:br w:type="page"/>
      </w:r>
      <w:r>
        <w:rPr>
          <w:rFonts w:ascii="宋体" w:hAnsi="宋体" w:hint="eastAsia"/>
          <w:b/>
          <w:bCs/>
          <w:sz w:val="24"/>
        </w:rPr>
        <w:t>资格证明文件目录</w:t>
      </w:r>
    </w:p>
    <w:p>
      <w:pPr>
        <w:pStyle w:val="style0"/>
        <w:snapToGrid w:val="false"/>
        <w:spacing w:lineRule="auto" w:line="360"/>
        <w:ind w:firstLine="420" w:firstLineChars="200"/>
        <w:jc w:val="left"/>
        <w:rPr>
          <w:rFonts w:ascii="宋体" w:hAnsi="宋体"/>
          <w:szCs w:val="21"/>
        </w:rPr>
      </w:pPr>
      <w:r>
        <w:rPr>
          <w:rFonts w:ascii="宋体" w:hAnsi="宋体" w:hint="eastAsia"/>
          <w:szCs w:val="21"/>
        </w:rPr>
        <w:t>根据招标文件规定及投标人提供的材料自行编写目录。</w:t>
      </w:r>
    </w:p>
    <w:p>
      <w:pPr>
        <w:pStyle w:val="style0"/>
        <w:snapToGrid w:val="false"/>
        <w:spacing w:before="50" w:afterLines="50"/>
        <w:jc w:val="left"/>
        <w:rPr>
          <w:rFonts w:ascii="宋体" w:hAnsi="宋体"/>
          <w:sz w:val="24"/>
        </w:rPr>
      </w:pPr>
    </w:p>
    <w:p>
      <w:pPr>
        <w:pStyle w:val="style0"/>
        <w:snapToGrid w:val="false"/>
        <w:spacing w:before="50" w:afterLines="50"/>
        <w:jc w:val="left"/>
        <w:rPr>
          <w:rFonts w:ascii="宋体" w:hAnsi="宋体"/>
          <w:sz w:val="24"/>
        </w:rPr>
      </w:pPr>
    </w:p>
    <w:p>
      <w:pPr>
        <w:pStyle w:val="style0"/>
        <w:numPr>
          <w:ilvl w:val="2"/>
          <w:numId w:val="11"/>
        </w:numPr>
        <w:snapToGrid w:val="false"/>
        <w:spacing w:beforeLines="50" w:after="50"/>
        <w:ind w:left="0"/>
        <w:jc w:val="left"/>
        <w:rPr>
          <w:rFonts w:ascii="宋体" w:hAnsi="宋体"/>
          <w:b/>
          <w:sz w:val="24"/>
        </w:rPr>
      </w:pPr>
      <w:r>
        <w:rPr>
          <w:rFonts w:ascii="宋体" w:hAnsi="宋体"/>
          <w:b/>
          <w:sz w:val="24"/>
        </w:rPr>
        <w:br w:type="page"/>
      </w:r>
      <w:r>
        <w:rPr>
          <w:rFonts w:ascii="宋体" w:hAnsi="宋体" w:hint="eastAsia"/>
          <w:b/>
          <w:sz w:val="28"/>
          <w:szCs w:val="28"/>
        </w:rPr>
        <w:t>投标人直接控股、管理关系信息表</w:t>
      </w:r>
    </w:p>
    <w:p>
      <w:pPr>
        <w:pStyle w:val="style0"/>
        <w:snapToGrid w:val="false"/>
        <w:spacing w:before="50" w:afterLines="50"/>
        <w:jc w:val="center"/>
        <w:rPr>
          <w:rFonts w:ascii="宋体" w:hAnsi="宋体"/>
          <w:b/>
          <w:sz w:val="28"/>
          <w:szCs w:val="28"/>
        </w:rPr>
      </w:pPr>
    </w:p>
    <w:p>
      <w:pPr>
        <w:pStyle w:val="style0"/>
        <w:snapToGrid w:val="false"/>
        <w:spacing w:before="50" w:afterLines="50" w:lineRule="auto" w:line="360"/>
        <w:jc w:val="center"/>
        <w:rPr>
          <w:rFonts w:ascii="宋体" w:hAnsi="宋体"/>
          <w:b/>
          <w:sz w:val="32"/>
          <w:szCs w:val="32"/>
        </w:rPr>
      </w:pPr>
      <w:r>
        <w:rPr>
          <w:rFonts w:ascii="宋体" w:hAnsi="宋体" w:hint="eastAsia"/>
          <w:b/>
          <w:sz w:val="32"/>
          <w:szCs w:val="32"/>
        </w:rPr>
        <w:t>投标人直接控股股东信息表</w:t>
      </w:r>
    </w:p>
    <w:tbl>
      <w:tblPr>
        <w:tblW w:w="8710" w:type="dxa"/>
        <w:jc w:val="center"/>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058"/>
        <w:gridCol w:w="1316"/>
      </w:tblGrid>
      <w:tr>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pPr>
              <w:pStyle w:val="style0"/>
              <w:spacing w:lineRule="auto" w:line="360"/>
              <w:jc w:val="center"/>
              <w:rPr>
                <w:rFonts w:ascii="宋体" w:cs="宋体" w:hAnsi="宋体"/>
                <w:b/>
                <w:bCs/>
                <w:kern w:val="0"/>
                <w:sz w:val="24"/>
              </w:rPr>
            </w:pPr>
            <w:r>
              <w:rPr>
                <w:rFonts w:ascii="宋体" w:cs="宋体" w:hAnsi="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pPr>
              <w:pStyle w:val="style0"/>
              <w:spacing w:lineRule="auto" w:line="360"/>
              <w:jc w:val="center"/>
              <w:rPr>
                <w:rFonts w:ascii="宋体" w:cs="宋体" w:hAnsi="宋体"/>
                <w:b/>
                <w:bCs/>
                <w:kern w:val="0"/>
                <w:sz w:val="24"/>
              </w:rPr>
            </w:pPr>
            <w:r>
              <w:rPr>
                <w:rFonts w:ascii="宋体" w:cs="宋体" w:hAnsi="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pPr>
              <w:pStyle w:val="style0"/>
              <w:spacing w:lineRule="auto" w:line="360"/>
              <w:jc w:val="center"/>
              <w:rPr>
                <w:rFonts w:ascii="宋体" w:cs="宋体" w:hAnsi="宋体"/>
                <w:b/>
                <w:bCs/>
                <w:kern w:val="0"/>
                <w:sz w:val="24"/>
              </w:rPr>
            </w:pPr>
            <w:r>
              <w:rPr>
                <w:rFonts w:ascii="宋体" w:cs="宋体" w:hAnsi="宋体" w:hint="eastAsia"/>
                <w:b/>
                <w:bCs/>
                <w:kern w:val="0"/>
                <w:sz w:val="24"/>
              </w:rPr>
              <w:t>出资比例</w:t>
            </w:r>
          </w:p>
        </w:tc>
        <w:tc>
          <w:tcPr>
            <w:tcW w:w="305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pPr>
              <w:pStyle w:val="style0"/>
              <w:spacing w:lineRule="auto" w:line="360"/>
              <w:jc w:val="center"/>
              <w:rPr>
                <w:rFonts w:ascii="宋体" w:cs="宋体" w:hAnsi="宋体"/>
                <w:b/>
                <w:bCs/>
                <w:kern w:val="0"/>
                <w:sz w:val="24"/>
              </w:rPr>
            </w:pPr>
            <w:r>
              <w:rPr>
                <w:rFonts w:ascii="宋体" w:cs="宋体" w:hAnsi="宋体" w:hint="eastAsia"/>
                <w:b/>
                <w:bCs/>
                <w:kern w:val="0"/>
                <w:sz w:val="24"/>
              </w:rPr>
              <w:t>身份证号码或者统一</w:t>
            </w:r>
          </w:p>
          <w:p>
            <w:pPr>
              <w:pStyle w:val="style0"/>
              <w:spacing w:lineRule="auto" w:line="360"/>
              <w:jc w:val="center"/>
              <w:rPr>
                <w:rFonts w:ascii="宋体" w:cs="宋体" w:hAnsi="宋体"/>
                <w:b/>
                <w:bCs/>
                <w:kern w:val="0"/>
                <w:sz w:val="24"/>
              </w:rPr>
            </w:pPr>
            <w:r>
              <w:rPr>
                <w:rFonts w:ascii="宋体" w:cs="宋体" w:hAnsi="宋体" w:hint="eastAsia"/>
                <w:b/>
                <w:bCs/>
                <w:kern w:val="0"/>
                <w:sz w:val="24"/>
              </w:rPr>
              <w:t>社会信用代码</w:t>
            </w:r>
          </w:p>
        </w:tc>
        <w:tc>
          <w:tcPr>
            <w:tcW w:w="131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pPr>
              <w:pStyle w:val="style0"/>
              <w:spacing w:lineRule="auto" w:line="360"/>
              <w:jc w:val="center"/>
              <w:rPr>
                <w:rFonts w:ascii="宋体" w:cs="宋体" w:hAnsi="宋体"/>
                <w:b/>
                <w:bCs/>
                <w:kern w:val="0"/>
                <w:sz w:val="24"/>
              </w:rPr>
            </w:pPr>
            <w:r>
              <w:rPr>
                <w:rFonts w:ascii="宋体" w:cs="宋体" w:hAnsi="宋体" w:hint="eastAsia"/>
                <w:b/>
                <w:bCs/>
                <w:kern w:val="0"/>
                <w:sz w:val="24"/>
              </w:rPr>
              <w:t>备注</w:t>
            </w:r>
          </w:p>
        </w:tc>
      </w:tr>
      <w:tr>
        <w:tblPrEx/>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spacing w:lineRule="auto" w:line="360"/>
              <w:jc w:val="center"/>
              <w:rPr>
                <w:rFonts w:ascii="宋体" w:cs="宋体" w:hAnsi="宋体"/>
                <w:kern w:val="0"/>
                <w:sz w:val="24"/>
              </w:rPr>
            </w:pPr>
            <w:r>
              <w:rPr>
                <w:rFonts w:ascii="宋体" w:cs="宋体" w:hAnsi="宋体"/>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31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r>
      <w:tr>
        <w:tblPrEx/>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spacing w:lineRule="auto" w:line="360"/>
              <w:jc w:val="center"/>
              <w:rPr>
                <w:rFonts w:ascii="宋体" w:cs="宋体" w:hAnsi="宋体"/>
                <w:kern w:val="0"/>
                <w:sz w:val="24"/>
              </w:rPr>
            </w:pPr>
            <w:r>
              <w:rPr>
                <w:rFonts w:ascii="宋体" w:cs="宋体" w:hAnsi="宋体"/>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31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r>
      <w:tr>
        <w:tblPrEx/>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spacing w:lineRule="auto" w:line="360"/>
              <w:jc w:val="center"/>
              <w:rPr>
                <w:rFonts w:ascii="宋体" w:cs="宋体" w:hAnsi="宋体"/>
                <w:kern w:val="0"/>
                <w:sz w:val="24"/>
              </w:rPr>
            </w:pPr>
            <w:r>
              <w:rPr>
                <w:rFonts w:ascii="宋体" w:cs="宋体" w:hAnsi="宋体"/>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31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r>
      <w:tr>
        <w:tblPrEx/>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spacing w:lineRule="auto" w:line="360"/>
              <w:jc w:val="center"/>
              <w:rPr>
                <w:rFonts w:ascii="宋体" w:cs="宋体" w:hAnsi="宋体"/>
                <w:kern w:val="0"/>
                <w:sz w:val="24"/>
              </w:rPr>
            </w:pPr>
            <w:r>
              <w:rPr>
                <w:rFonts w:ascii="宋体" w:cs="宋体" w:hAnsi="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305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31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r>
    </w:tbl>
    <w:p>
      <w:pPr>
        <w:pStyle w:val="style0"/>
        <w:snapToGrid w:val="false"/>
        <w:spacing w:lineRule="auto" w:line="360"/>
        <w:jc w:val="left"/>
        <w:rPr>
          <w:rFonts w:ascii="宋体" w:hAnsi="宋体"/>
          <w:sz w:val="24"/>
        </w:rPr>
      </w:pPr>
      <w:r>
        <w:rPr>
          <w:rFonts w:ascii="宋体" w:hAnsi="宋体" w:hint="eastAsia"/>
          <w:sz w:val="24"/>
        </w:rPr>
        <w:t>注：</w:t>
      </w:r>
    </w:p>
    <w:p>
      <w:pPr>
        <w:pStyle w:val="style0"/>
        <w:snapToGrid w:val="false"/>
        <w:spacing w:lineRule="auto" w:line="360"/>
        <w:jc w:val="left"/>
        <w:rPr>
          <w:rFonts w:ascii="宋体" w:hAnsi="宋体"/>
          <w:sz w:val="24"/>
        </w:rPr>
      </w:pPr>
      <w:r>
        <w:rPr>
          <w:rFonts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style0"/>
        <w:snapToGrid w:val="false"/>
        <w:spacing w:lineRule="auto" w:line="360"/>
        <w:jc w:val="left"/>
        <w:rPr>
          <w:rFonts w:ascii="宋体" w:hAnsi="宋体"/>
          <w:sz w:val="24"/>
        </w:rPr>
      </w:pPr>
      <w:r>
        <w:rPr>
          <w:rFonts w:ascii="宋体" w:hAnsi="宋体"/>
          <w:sz w:val="24"/>
        </w:rPr>
        <w:t>2.本表所指的控股关系仅限于直接控股关系，不包括间接的控股关系。公司实际控制人与公司之间的关系不属于本表所指的直接控股关系。</w:t>
      </w:r>
    </w:p>
    <w:p>
      <w:pPr>
        <w:pStyle w:val="style0"/>
        <w:snapToGrid w:val="false"/>
        <w:spacing w:lineRule="auto" w:line="360"/>
        <w:jc w:val="left"/>
        <w:rPr>
          <w:rFonts w:ascii="宋体" w:hAnsi="宋体"/>
          <w:sz w:val="24"/>
        </w:rPr>
      </w:pPr>
      <w:r>
        <w:rPr>
          <w:rFonts w:ascii="宋体" w:hAnsi="宋体"/>
          <w:sz w:val="24"/>
        </w:rPr>
        <w:t>3.供应商不存在直接控股股东的，则在“</w:t>
      </w:r>
      <w:r>
        <w:rPr>
          <w:rFonts w:ascii="宋体" w:cs="宋体" w:hAnsi="宋体" w:hint="eastAsia"/>
          <w:b/>
          <w:bCs/>
          <w:kern w:val="0"/>
          <w:sz w:val="24"/>
        </w:rPr>
        <w:t>直接控股股东名称</w:t>
      </w:r>
      <w:r>
        <w:rPr>
          <w:rFonts w:ascii="宋体" w:hAnsi="宋体" w:hint="eastAsia"/>
          <w:sz w:val="24"/>
        </w:rPr>
        <w:t>”中填“无”。</w:t>
      </w:r>
    </w:p>
    <w:p>
      <w:pPr>
        <w:pStyle w:val="style0"/>
        <w:snapToGrid w:val="false"/>
        <w:spacing w:lineRule="auto" w:line="360"/>
        <w:jc w:val="left"/>
        <w:rPr>
          <w:rFonts w:ascii="宋体" w:hAnsi="宋体"/>
          <w:sz w:val="24"/>
        </w:rPr>
      </w:pPr>
    </w:p>
    <w:p>
      <w:pPr>
        <w:pStyle w:val="style0"/>
        <w:snapToGrid w:val="false"/>
        <w:spacing w:lineRule="auto" w:line="360"/>
        <w:jc w:val="left"/>
        <w:rPr>
          <w:rFonts w:ascii="宋体" w:hAnsi="宋体"/>
          <w:sz w:val="24"/>
        </w:rPr>
      </w:pPr>
    </w:p>
    <w:p>
      <w:pPr>
        <w:pStyle w:val="style0"/>
        <w:snapToGrid w:val="false"/>
        <w:spacing w:lineRule="auto" w:line="360"/>
        <w:jc w:val="left"/>
        <w:rPr>
          <w:rFonts w:ascii="宋体" w:hAnsi="宋体"/>
          <w:sz w:val="24"/>
        </w:rPr>
      </w:pPr>
    </w:p>
    <w:p>
      <w:pPr>
        <w:pStyle w:val="style0"/>
        <w:snapToGrid w:val="false"/>
        <w:spacing w:lineRule="auto" w:line="360"/>
        <w:ind w:left="-2" w:leftChars="-1" w:right="-817" w:rightChars="-389"/>
        <w:rPr>
          <w:rFonts w:ascii="宋体" w:hAnsi="宋体"/>
          <w:sz w:val="24"/>
        </w:rPr>
      </w:pPr>
      <w:r>
        <w:rPr>
          <w:rFonts w:ascii="宋体" w:hAnsi="宋体" w:hint="eastAsia"/>
          <w:sz w:val="24"/>
        </w:rPr>
        <w:t>法定代表人或者委托代理人（签字</w:t>
      </w:r>
      <w:r>
        <w:rPr>
          <w:rFonts w:ascii="宋体" w:hAnsi="宋体"/>
          <w:sz w:val="24"/>
        </w:rPr>
        <w:t xml:space="preserve">/电子签名）： </w:t>
      </w:r>
    </w:p>
    <w:p>
      <w:pPr>
        <w:pStyle w:val="style0"/>
        <w:snapToGrid w:val="false"/>
        <w:spacing w:lineRule="auto" w:line="360"/>
        <w:ind w:left="-2" w:leftChars="-15" w:right="-817" w:rightChars="-389" w:hanging="29" w:hangingChars="12"/>
        <w:rPr>
          <w:rFonts w:ascii="宋体" w:hAnsi="宋体"/>
          <w:sz w:val="24"/>
        </w:rPr>
      </w:pPr>
      <w:r>
        <w:rPr>
          <w:rFonts w:ascii="宋体" w:hAnsi="宋体" w:hint="eastAsia"/>
          <w:sz w:val="24"/>
        </w:rPr>
        <w:t>投标人名称（电子签章）：</w:t>
      </w:r>
    </w:p>
    <w:p>
      <w:pPr>
        <w:pStyle w:val="style0"/>
        <w:snapToGrid w:val="false"/>
        <w:spacing w:lineRule="auto" w:line="360"/>
        <w:jc w:val="left"/>
        <w:rPr>
          <w:rFonts w:ascii="宋体" w:hAnsi="宋体"/>
          <w:szCs w:val="21"/>
        </w:rPr>
      </w:pPr>
      <w:r>
        <w:rPr>
          <w:rFonts w:ascii="宋体" w:hAnsi="宋体" w:hint="eastAsia"/>
          <w:sz w:val="24"/>
        </w:rPr>
        <w:t>日期：年  月  日</w:t>
      </w:r>
    </w:p>
    <w:p>
      <w:pPr>
        <w:pStyle w:val="style0"/>
        <w:snapToGrid w:val="false"/>
        <w:spacing w:lineRule="auto" w:line="360"/>
        <w:jc w:val="center"/>
        <w:rPr>
          <w:rFonts w:ascii="宋体" w:hAnsi="宋体"/>
          <w:sz w:val="32"/>
          <w:szCs w:val="32"/>
        </w:rPr>
      </w:pPr>
      <w:r>
        <w:rPr>
          <w:rFonts w:ascii="宋体" w:hAnsi="宋体" w:hint="eastAsia"/>
          <w:b/>
          <w:sz w:val="32"/>
          <w:szCs w:val="32"/>
        </w:rPr>
        <w:t>投标人直接管理关系信息表</w:t>
      </w:r>
    </w:p>
    <w:tbl>
      <w:tblPr>
        <w:tblW w:w="8174" w:type="dxa"/>
        <w:jc w:val="center"/>
        <w:shd w:val="clear" w:color="auto" w:fill="fbfbfb"/>
        <w:tblLayout w:type="fixed"/>
        <w:tblCellMar>
          <w:left w:w="0" w:type="dxa"/>
          <w:right w:w="0" w:type="dxa"/>
        </w:tblCellMar>
        <w:tblLook w:val="04A0" w:firstRow="1" w:lastRow="0" w:firstColumn="1" w:lastColumn="0" w:noHBand="0" w:noVBand="1"/>
      </w:tblPr>
      <w:tblGrid>
        <w:gridCol w:w="1005"/>
        <w:gridCol w:w="2659"/>
        <w:gridCol w:w="2607"/>
        <w:gridCol w:w="1903"/>
      </w:tblGrid>
      <w:tr>
        <w:trPr>
          <w:tblHeader/>
          <w:jc w:val="cent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pPr>
              <w:pStyle w:val="style0"/>
              <w:spacing w:lineRule="auto" w:line="360"/>
              <w:jc w:val="center"/>
              <w:rPr>
                <w:rFonts w:ascii="宋体" w:cs="宋体" w:hAnsi="宋体"/>
                <w:b/>
                <w:bCs/>
                <w:kern w:val="0"/>
                <w:sz w:val="24"/>
              </w:rPr>
            </w:pPr>
            <w:r>
              <w:rPr>
                <w:rFonts w:ascii="宋体" w:cs="宋体" w:hAnsi="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pPr>
              <w:pStyle w:val="style0"/>
              <w:spacing w:lineRule="auto" w:line="360"/>
              <w:jc w:val="center"/>
              <w:rPr>
                <w:rFonts w:ascii="宋体" w:cs="宋体" w:hAnsi="宋体"/>
                <w:b/>
                <w:bCs/>
                <w:kern w:val="0"/>
                <w:sz w:val="24"/>
              </w:rPr>
            </w:pPr>
            <w:r>
              <w:rPr>
                <w:rFonts w:ascii="宋体" w:cs="宋体" w:hAnsi="宋体" w:hint="eastAsia"/>
                <w:b/>
                <w:bCs/>
                <w:kern w:val="0"/>
                <w:sz w:val="24"/>
              </w:rPr>
              <w:t>直接管理关系单位名称</w:t>
            </w:r>
          </w:p>
        </w:tc>
        <w:tc>
          <w:tcPr>
            <w:tcW w:w="260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pPr>
              <w:pStyle w:val="style0"/>
              <w:spacing w:lineRule="auto" w:line="360"/>
              <w:jc w:val="center"/>
              <w:rPr>
                <w:rFonts w:ascii="宋体" w:cs="宋体" w:hAnsi="宋体"/>
                <w:b/>
                <w:bCs/>
                <w:kern w:val="0"/>
                <w:sz w:val="24"/>
              </w:rPr>
            </w:pPr>
            <w:r>
              <w:rPr>
                <w:rFonts w:ascii="宋体" w:cs="宋体" w:hAnsi="宋体" w:hint="eastAsia"/>
                <w:b/>
                <w:bCs/>
                <w:kern w:val="0"/>
                <w:sz w:val="24"/>
              </w:rPr>
              <w:t>统一社会信用代码</w:t>
            </w:r>
          </w:p>
        </w:tc>
        <w:tc>
          <w:tcPr>
            <w:tcW w:w="190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pPr>
              <w:pStyle w:val="style0"/>
              <w:spacing w:lineRule="auto" w:line="360"/>
              <w:jc w:val="center"/>
              <w:rPr>
                <w:rFonts w:ascii="宋体" w:cs="宋体" w:hAnsi="宋体"/>
                <w:b/>
                <w:bCs/>
                <w:kern w:val="0"/>
                <w:sz w:val="24"/>
              </w:rPr>
            </w:pPr>
            <w:r>
              <w:rPr>
                <w:rFonts w:ascii="宋体" w:cs="宋体" w:hAnsi="宋体" w:hint="eastAsia"/>
                <w:b/>
                <w:bCs/>
                <w:kern w:val="0"/>
                <w:sz w:val="24"/>
              </w:rPr>
              <w:t>备注</w:t>
            </w:r>
          </w:p>
        </w:tc>
      </w:tr>
      <w:tr>
        <w:tblPrEx/>
        <w:trPr>
          <w:jc w:val="center"/>
        </w:trPr>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spacing w:lineRule="auto" w:line="360"/>
              <w:jc w:val="center"/>
              <w:rPr>
                <w:rFonts w:ascii="宋体" w:cs="宋体" w:hAnsi="宋体"/>
                <w:kern w:val="0"/>
                <w:sz w:val="24"/>
              </w:rPr>
            </w:pPr>
            <w:r>
              <w:rPr>
                <w:rFonts w:ascii="宋体" w:cs="宋体" w:hAnsi="宋体"/>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260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9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r>
      <w:tr>
        <w:tblPrEx/>
        <w:trPr>
          <w:jc w:val="center"/>
        </w:trPr>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spacing w:lineRule="auto" w:line="360"/>
              <w:jc w:val="center"/>
              <w:rPr>
                <w:rFonts w:ascii="宋体" w:cs="宋体" w:hAnsi="宋体"/>
                <w:kern w:val="0"/>
                <w:sz w:val="24"/>
              </w:rPr>
            </w:pPr>
            <w:r>
              <w:rPr>
                <w:rFonts w:ascii="宋体" w:cs="宋体" w:hAnsi="宋体"/>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260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9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r>
      <w:tr>
        <w:tblPrEx/>
        <w:trPr>
          <w:jc w:val="center"/>
        </w:trPr>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spacing w:lineRule="auto" w:line="360"/>
              <w:jc w:val="center"/>
              <w:rPr>
                <w:rFonts w:ascii="宋体" w:cs="宋体" w:hAnsi="宋体"/>
                <w:kern w:val="0"/>
                <w:sz w:val="24"/>
              </w:rPr>
            </w:pPr>
            <w:r>
              <w:rPr>
                <w:rFonts w:ascii="宋体" w:cs="宋体" w:hAnsi="宋体"/>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260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9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r>
      <w:tr>
        <w:tblPrEx/>
        <w:trPr>
          <w:jc w:val="center"/>
        </w:trPr>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spacing w:lineRule="auto" w:line="360"/>
              <w:jc w:val="center"/>
              <w:rPr>
                <w:rFonts w:ascii="宋体" w:cs="宋体" w:hAnsi="宋体"/>
                <w:kern w:val="0"/>
                <w:sz w:val="24"/>
              </w:rPr>
            </w:pPr>
            <w:r>
              <w:rPr>
                <w:rFonts w:ascii="宋体" w:cs="宋体" w:hAnsi="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260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c>
          <w:tcPr>
            <w:tcW w:w="19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pPr>
              <w:pStyle w:val="style0"/>
              <w:keepNext/>
              <w:keepLines/>
              <w:spacing w:lineRule="auto" w:line="360"/>
              <w:jc w:val="center"/>
              <w:outlineLvl w:val="0"/>
              <w:rPr>
                <w:rFonts w:ascii="宋体" w:cs="宋体" w:hAnsi="宋体"/>
                <w:kern w:val="0"/>
                <w:sz w:val="24"/>
              </w:rPr>
            </w:pPr>
          </w:p>
        </w:tc>
      </w:tr>
    </w:tbl>
    <w:p>
      <w:pPr>
        <w:pStyle w:val="style0"/>
        <w:snapToGrid w:val="false"/>
        <w:spacing w:lineRule="auto" w:line="360"/>
        <w:jc w:val="left"/>
        <w:rPr>
          <w:rFonts w:ascii="宋体" w:hAnsi="宋体"/>
          <w:sz w:val="24"/>
        </w:rPr>
      </w:pPr>
      <w:r>
        <w:rPr>
          <w:rFonts w:ascii="宋体" w:hAnsi="宋体" w:hint="eastAsia"/>
          <w:sz w:val="24"/>
        </w:rPr>
        <w:t>注：</w:t>
      </w:r>
    </w:p>
    <w:p>
      <w:pPr>
        <w:pStyle w:val="style0"/>
        <w:snapToGrid w:val="false"/>
        <w:spacing w:lineRule="auto" w:line="360"/>
        <w:ind w:firstLine="480" w:firstLineChars="200"/>
        <w:jc w:val="left"/>
        <w:rPr>
          <w:rFonts w:ascii="宋体" w:hAnsi="宋体"/>
          <w:sz w:val="24"/>
        </w:rPr>
      </w:pPr>
      <w:r>
        <w:rPr>
          <w:rFonts w:ascii="宋体" w:hAnsi="宋体"/>
          <w:sz w:val="24"/>
        </w:rPr>
        <w:t>1.管理关系：是指不具有出资持股关系的其他单位之间存在的管理与被管理关系，如一些上下级关系的事业单位和团体组织。</w:t>
      </w:r>
    </w:p>
    <w:p>
      <w:pPr>
        <w:pStyle w:val="style0"/>
        <w:snapToGrid w:val="false"/>
        <w:spacing w:lineRule="auto" w:line="360"/>
        <w:ind w:firstLine="480" w:firstLineChars="200"/>
        <w:jc w:val="left"/>
        <w:rPr>
          <w:rFonts w:ascii="宋体" w:hAnsi="宋体"/>
          <w:sz w:val="24"/>
        </w:rPr>
      </w:pPr>
      <w:r>
        <w:rPr>
          <w:rFonts w:ascii="宋体" w:hAnsi="宋体"/>
          <w:sz w:val="24"/>
        </w:rPr>
        <w:t>2.</w:t>
      </w:r>
      <w:r>
        <w:rPr>
          <w:rFonts w:ascii="宋体" w:hAnsi="宋体" w:hint="eastAsia"/>
          <w:spacing w:val="-6"/>
          <w:sz w:val="24"/>
        </w:rPr>
        <w:t>本表所指的管理关系仅限于直接管理关系，不包括间接的管理关系。</w:t>
      </w:r>
    </w:p>
    <w:p>
      <w:pPr>
        <w:pStyle w:val="style0"/>
        <w:snapToGrid w:val="false"/>
        <w:spacing w:lineRule="auto" w:line="360"/>
        <w:ind w:firstLine="480" w:firstLineChars="200"/>
        <w:jc w:val="left"/>
        <w:rPr>
          <w:rFonts w:ascii="宋体" w:hAnsi="宋体"/>
          <w:sz w:val="24"/>
        </w:rPr>
      </w:pPr>
      <w:r>
        <w:rPr>
          <w:rFonts w:ascii="宋体" w:hAnsi="宋体"/>
          <w:sz w:val="24"/>
        </w:rPr>
        <w:t>3.供应商不存在直接管理关系的，则在“</w:t>
      </w:r>
      <w:r>
        <w:rPr>
          <w:rFonts w:ascii="宋体" w:cs="宋体" w:hAnsi="宋体" w:hint="eastAsia"/>
          <w:b/>
          <w:bCs/>
          <w:kern w:val="0"/>
          <w:sz w:val="24"/>
        </w:rPr>
        <w:t>直接管理关系单位名称</w:t>
      </w:r>
      <w:r>
        <w:rPr>
          <w:rFonts w:ascii="宋体" w:hAnsi="宋体" w:hint="eastAsia"/>
          <w:sz w:val="24"/>
        </w:rPr>
        <w:t>”中填“无”。</w:t>
      </w:r>
    </w:p>
    <w:p>
      <w:pPr>
        <w:pStyle w:val="style0"/>
        <w:snapToGrid w:val="false"/>
        <w:spacing w:lineRule="auto" w:line="360"/>
        <w:jc w:val="left"/>
        <w:rPr>
          <w:rFonts w:ascii="宋体" w:hAnsi="宋体"/>
          <w:sz w:val="24"/>
        </w:rPr>
      </w:pPr>
    </w:p>
    <w:p>
      <w:pPr>
        <w:pStyle w:val="style0"/>
        <w:snapToGrid w:val="false"/>
        <w:spacing w:lineRule="auto" w:line="360"/>
        <w:jc w:val="left"/>
        <w:rPr>
          <w:rFonts w:ascii="宋体" w:hAnsi="宋体"/>
          <w:sz w:val="24"/>
        </w:rPr>
      </w:pPr>
    </w:p>
    <w:p>
      <w:pPr>
        <w:pStyle w:val="style0"/>
        <w:snapToGrid w:val="false"/>
        <w:spacing w:lineRule="auto" w:line="360"/>
        <w:jc w:val="left"/>
        <w:rPr>
          <w:rFonts w:ascii="宋体" w:hAnsi="宋体"/>
          <w:sz w:val="24"/>
        </w:rPr>
      </w:pPr>
    </w:p>
    <w:p>
      <w:pPr>
        <w:pStyle w:val="style0"/>
        <w:snapToGrid w:val="false"/>
        <w:spacing w:lineRule="auto" w:line="360"/>
        <w:ind w:left="-2" w:leftChars="-1" w:right="-817" w:rightChars="-389"/>
        <w:rPr>
          <w:rFonts w:ascii="宋体" w:hAnsi="宋体"/>
          <w:sz w:val="24"/>
        </w:rPr>
      </w:pPr>
      <w:r>
        <w:rPr>
          <w:rFonts w:ascii="宋体" w:hAnsi="宋体"/>
          <w:sz w:val="24"/>
        </w:rPr>
        <w:t xml:space="preserve">                                  法定代表人或者委托代理人（签字/电子签名）： </w:t>
      </w:r>
    </w:p>
    <w:p>
      <w:pPr>
        <w:pStyle w:val="style0"/>
        <w:snapToGrid w:val="false"/>
        <w:spacing w:lineRule="auto" w:line="360"/>
        <w:ind w:left="-2" w:leftChars="-15" w:right="-817" w:rightChars="-389" w:hanging="29" w:hangingChars="12"/>
        <w:rPr>
          <w:rFonts w:ascii="宋体" w:hAnsi="宋体"/>
          <w:sz w:val="24"/>
        </w:rPr>
      </w:pPr>
      <w:r>
        <w:rPr>
          <w:rFonts w:ascii="宋体" w:hAnsi="宋体"/>
          <w:sz w:val="24"/>
        </w:rPr>
        <w:t xml:space="preserve">                                  投标人名称（电子签章）：</w:t>
      </w:r>
    </w:p>
    <w:p>
      <w:pPr>
        <w:pStyle w:val="style0"/>
        <w:snapToGrid w:val="false"/>
        <w:spacing w:lineRule="auto" w:line="360"/>
        <w:ind w:right="480" w:firstLine="240" w:firstLineChars="100"/>
        <w:jc w:val="left"/>
        <w:rPr>
          <w:rFonts w:ascii="宋体" w:hAnsi="宋体"/>
          <w:szCs w:val="21"/>
        </w:rPr>
      </w:pPr>
      <w:r>
        <w:rPr>
          <w:rFonts w:ascii="宋体" w:hAnsi="宋体"/>
          <w:sz w:val="24"/>
        </w:rPr>
        <w:t xml:space="preserve">                                日期：    年   月   日</w:t>
      </w:r>
    </w:p>
    <w:p>
      <w:pPr>
        <w:pStyle w:val="style0"/>
        <w:snapToGrid w:val="false"/>
        <w:spacing w:beforeLines="50" w:after="50"/>
        <w:jc w:val="left"/>
        <w:rPr>
          <w:rFonts w:ascii="宋体" w:hAnsi="宋体"/>
          <w:b/>
          <w:sz w:val="24"/>
          <w:szCs w:val="20"/>
        </w:rPr>
      </w:pPr>
    </w:p>
    <w:p>
      <w:pPr>
        <w:pStyle w:val="style0"/>
        <w:numPr>
          <w:ilvl w:val="2"/>
          <w:numId w:val="11"/>
        </w:numPr>
        <w:snapToGrid w:val="false"/>
        <w:spacing w:beforeLines="50" w:after="50"/>
        <w:ind w:left="0"/>
        <w:jc w:val="left"/>
        <w:rPr>
          <w:rFonts w:ascii="宋体" w:hAnsi="宋体"/>
          <w:b/>
          <w:sz w:val="24"/>
          <w:szCs w:val="20"/>
        </w:rPr>
      </w:pPr>
      <w:r>
        <w:rPr>
          <w:rFonts w:ascii="宋体" w:hAnsi="宋体"/>
          <w:b/>
          <w:sz w:val="24"/>
        </w:rPr>
        <w:br w:type="page"/>
      </w:r>
      <w:r>
        <w:rPr>
          <w:rFonts w:ascii="宋体" w:hAnsi="宋体" w:hint="eastAsia"/>
          <w:b/>
          <w:sz w:val="24"/>
        </w:rPr>
        <w:t>投标声明</w:t>
      </w:r>
    </w:p>
    <w:p>
      <w:pPr>
        <w:pStyle w:val="style0"/>
        <w:snapToGrid w:val="false"/>
        <w:spacing w:before="50" w:afterLines="50"/>
        <w:jc w:val="left"/>
        <w:rPr>
          <w:rFonts w:ascii="宋体" w:hAnsi="宋体"/>
        </w:rPr>
      </w:pPr>
    </w:p>
    <w:p>
      <w:pPr>
        <w:pStyle w:val="style0"/>
        <w:snapToGrid w:val="false"/>
        <w:spacing w:before="50" w:afterLines="50"/>
        <w:jc w:val="center"/>
        <w:rPr>
          <w:rFonts w:ascii="宋体" w:cs="方正小标宋简体" w:hAnsi="宋体"/>
          <w:bCs/>
          <w:sz w:val="44"/>
          <w:szCs w:val="44"/>
        </w:rPr>
      </w:pPr>
      <w:r>
        <w:rPr>
          <w:rFonts w:ascii="宋体" w:cs="方正小标宋简体" w:hAnsi="宋体" w:hint="eastAsia"/>
          <w:bCs/>
          <w:sz w:val="44"/>
          <w:szCs w:val="44"/>
        </w:rPr>
        <w:t>投标声明</w:t>
      </w:r>
    </w:p>
    <w:p>
      <w:pPr>
        <w:pStyle w:val="style0"/>
        <w:spacing w:lineRule="exact" w:line="400"/>
        <w:jc w:val="left"/>
        <w:contextualSpacing/>
        <w:rPr>
          <w:rFonts w:ascii="宋体" w:hAnsi="宋体"/>
          <w:sz w:val="24"/>
        </w:rPr>
      </w:pPr>
      <w:r>
        <w:rPr>
          <w:rFonts w:ascii="宋体" w:hAnsi="宋体" w:hint="eastAsia"/>
          <w:sz w:val="24"/>
        </w:rPr>
        <w:t>（采购人名称）：</w:t>
      </w:r>
    </w:p>
    <w:p>
      <w:pPr>
        <w:pStyle w:val="style0"/>
        <w:spacing w:lineRule="exact" w:line="400"/>
        <w:ind w:firstLine="523" w:firstLineChars="218"/>
        <w:jc w:val="left"/>
        <w:contextualSpacing/>
        <w:rPr>
          <w:rFonts w:ascii="宋体" w:hAnsi="宋体"/>
          <w:sz w:val="24"/>
        </w:rPr>
      </w:pPr>
      <w:r>
        <w:rPr>
          <w:rFonts w:ascii="宋体" w:hAnsi="宋体" w:hint="eastAsia"/>
          <w:sz w:val="24"/>
        </w:rPr>
        <w:t>我方参加贵单位组织</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 xml:space="preserve"> ）的政府采购活动。我方在此郑重声明：</w:t>
      </w:r>
    </w:p>
    <w:p>
      <w:pPr>
        <w:pStyle w:val="style0"/>
        <w:spacing w:lineRule="exact" w:line="400"/>
        <w:ind w:firstLine="480" w:firstLineChars="200"/>
        <w:jc w:val="left"/>
        <w:contextualSpacing/>
        <w:rPr>
          <w:rFonts w:ascii="宋体" w:hAnsi="宋体"/>
          <w:sz w:val="24"/>
        </w:rPr>
      </w:pPr>
      <w:r>
        <w:rPr>
          <w:rFonts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w:t>
      </w:r>
      <w:r>
        <w:rPr>
          <w:rFonts w:ascii="宋体" w:hAnsi="宋体" w:hint="eastAsia"/>
          <w:sz w:val="24"/>
        </w:rPr>
        <w:t>失信主体、政府采购严重违法失信行为记录名单，完全符合《中华人民共和国政府采购法》第二十二条规定的供应商资格条件，我方对此声明负全部法律责任。</w:t>
      </w:r>
    </w:p>
    <w:p>
      <w:pPr>
        <w:pStyle w:val="style0"/>
        <w:spacing w:lineRule="exact" w:line="400"/>
        <w:ind w:firstLine="480" w:firstLineChars="200"/>
        <w:jc w:val="left"/>
        <w:contextualSpacing/>
        <w:rPr>
          <w:rFonts w:ascii="宋体" w:hAnsi="宋体"/>
          <w:sz w:val="24"/>
        </w:rPr>
      </w:pPr>
      <w:r>
        <w:rPr>
          <w:rFonts w:ascii="宋体" w:hAnsi="宋体"/>
          <w:sz w:val="24"/>
        </w:rPr>
        <w:t>2.我方不是为本次采购项目提供整体设计、规范编制或者项目管理、监理、检测等服务的供应商。</w:t>
      </w:r>
    </w:p>
    <w:p>
      <w:pPr>
        <w:pStyle w:val="style0"/>
        <w:spacing w:lineRule="exact" w:line="400"/>
        <w:ind w:firstLine="480" w:firstLineChars="200"/>
        <w:jc w:val="left"/>
        <w:contextualSpacing/>
        <w:rPr>
          <w:rFonts w:ascii="宋体" w:hAnsi="宋体"/>
          <w:sz w:val="24"/>
        </w:rPr>
      </w:pPr>
      <w:r>
        <w:rPr>
          <w:rFonts w:ascii="宋体" w:hAnsi="宋体"/>
          <w:sz w:val="24"/>
        </w:rPr>
        <w:t xml:space="preserve">3. </w:t>
      </w:r>
      <w:r>
        <w:rPr>
          <w:rFonts w:ascii="宋体" w:hAnsi="宋体" w:hint="eastAsia"/>
          <w:sz w:val="24"/>
        </w:rPr>
        <w:t>我方承诺符合《中华人民共和国政府采购法》第二十二条规定：</w:t>
      </w:r>
    </w:p>
    <w:p>
      <w:pPr>
        <w:pStyle w:val="style0"/>
        <w:spacing w:lineRule="exact" w:line="400"/>
        <w:ind w:firstLine="480" w:firstLineChars="200"/>
        <w:jc w:val="left"/>
        <w:contextualSpacing/>
        <w:rPr>
          <w:rFonts w:ascii="宋体" w:hAnsi="宋体"/>
          <w:sz w:val="24"/>
        </w:rPr>
      </w:pPr>
      <w:r>
        <w:rPr>
          <w:rFonts w:ascii="宋体" w:hAnsi="宋体" w:hint="eastAsia"/>
          <w:sz w:val="24"/>
        </w:rPr>
        <w:t>（一）具有独立承担民事责任的能力；</w:t>
      </w:r>
    </w:p>
    <w:p>
      <w:pPr>
        <w:pStyle w:val="style0"/>
        <w:spacing w:lineRule="exact" w:line="400"/>
        <w:ind w:firstLine="480" w:firstLineChars="200"/>
        <w:jc w:val="left"/>
        <w:contextualSpacing/>
        <w:rPr>
          <w:rFonts w:ascii="宋体" w:hAnsi="宋体"/>
          <w:sz w:val="24"/>
        </w:rPr>
      </w:pPr>
      <w:r>
        <w:rPr>
          <w:rFonts w:ascii="宋体" w:hAnsi="宋体" w:hint="eastAsia"/>
          <w:sz w:val="24"/>
        </w:rPr>
        <w:t>（二）具有良好的商业信誉和健全的财务会计制度；</w:t>
      </w:r>
    </w:p>
    <w:p>
      <w:pPr>
        <w:pStyle w:val="style0"/>
        <w:spacing w:lineRule="exact" w:line="400"/>
        <w:ind w:firstLine="480" w:firstLineChars="200"/>
        <w:jc w:val="left"/>
        <w:contextualSpacing/>
        <w:rPr>
          <w:rFonts w:ascii="宋体" w:hAnsi="宋体"/>
          <w:sz w:val="24"/>
        </w:rPr>
      </w:pPr>
      <w:r>
        <w:rPr>
          <w:rFonts w:ascii="宋体" w:hAnsi="宋体" w:hint="eastAsia"/>
          <w:sz w:val="24"/>
        </w:rPr>
        <w:t>（三）具有履行合同所必需的设备和专业技术能力；</w:t>
      </w:r>
    </w:p>
    <w:p>
      <w:pPr>
        <w:pStyle w:val="style0"/>
        <w:spacing w:lineRule="exact" w:line="400"/>
        <w:ind w:firstLine="480" w:firstLineChars="200"/>
        <w:jc w:val="left"/>
        <w:contextualSpacing/>
        <w:rPr>
          <w:rFonts w:ascii="宋体" w:hAnsi="宋体"/>
          <w:sz w:val="24"/>
        </w:rPr>
      </w:pPr>
      <w:r>
        <w:rPr>
          <w:rFonts w:ascii="宋体" w:hAnsi="宋体" w:hint="eastAsia"/>
          <w:sz w:val="24"/>
        </w:rPr>
        <w:t>（四）有依法缴纳税收和社会保障资金的良好记录；</w:t>
      </w:r>
    </w:p>
    <w:p>
      <w:pPr>
        <w:pStyle w:val="style0"/>
        <w:spacing w:lineRule="exact" w:line="400"/>
        <w:ind w:firstLine="480" w:firstLineChars="200"/>
        <w:jc w:val="left"/>
        <w:contextualSpacing/>
        <w:rPr>
          <w:rFonts w:ascii="宋体" w:hAnsi="宋体"/>
          <w:sz w:val="24"/>
        </w:rPr>
      </w:pPr>
      <w:r>
        <w:rPr>
          <w:rFonts w:ascii="宋体" w:hAnsi="宋体" w:hint="eastAsia"/>
          <w:sz w:val="24"/>
        </w:rPr>
        <w:t>（五）参加政府采购活动前三年内，在经营活动中没有重大违法记录；</w:t>
      </w:r>
    </w:p>
    <w:p>
      <w:pPr>
        <w:pStyle w:val="style0"/>
        <w:spacing w:lineRule="exact" w:line="400"/>
        <w:ind w:firstLine="480" w:firstLineChars="200"/>
        <w:jc w:val="left"/>
        <w:contextualSpacing/>
        <w:rPr>
          <w:rFonts w:ascii="宋体" w:hAnsi="宋体"/>
          <w:sz w:val="24"/>
        </w:rPr>
      </w:pPr>
      <w:r>
        <w:rPr>
          <w:rFonts w:ascii="宋体" w:hAnsi="宋体" w:hint="eastAsia"/>
          <w:sz w:val="24"/>
        </w:rPr>
        <w:t>（六）法律、行政法规规定的其他条件。</w:t>
      </w:r>
    </w:p>
    <w:p>
      <w:pPr>
        <w:pStyle w:val="style0"/>
        <w:spacing w:lineRule="exact" w:line="400"/>
        <w:ind w:firstLine="480" w:firstLineChars="200"/>
        <w:jc w:val="left"/>
        <w:contextualSpacing/>
        <w:rPr>
          <w:rFonts w:ascii="宋体" w:hAnsi="宋体"/>
          <w:sz w:val="24"/>
        </w:rPr>
      </w:pPr>
      <w:r>
        <w:rPr>
          <w:rFonts w:ascii="宋体" w:hAnsi="宋体"/>
          <w:sz w:val="24"/>
        </w:rPr>
        <w:t>4.以上事项如有虚假或者隐瞒，我方愿意承担一切后果，并不再寻求任何旨在减轻或者免除法律责任的辩解。</w:t>
      </w:r>
    </w:p>
    <w:p>
      <w:pPr>
        <w:pStyle w:val="style0"/>
        <w:spacing w:lineRule="exact" w:line="400"/>
        <w:jc w:val="left"/>
        <w:contextualSpacing/>
        <w:rPr>
          <w:rFonts w:ascii="宋体" w:hAnsi="宋体"/>
          <w:sz w:val="24"/>
        </w:rPr>
      </w:pPr>
      <w:r>
        <w:rPr>
          <w:rFonts w:ascii="宋体" w:hAnsi="宋体"/>
          <w:sz w:val="24"/>
        </w:rPr>
        <w:t xml:space="preserve">    特此承诺。</w:t>
      </w:r>
    </w:p>
    <w:p>
      <w:pPr>
        <w:pStyle w:val="style0"/>
        <w:spacing w:lineRule="exact" w:line="400"/>
        <w:jc w:val="left"/>
        <w:contextualSpacing/>
        <w:rPr>
          <w:rFonts w:ascii="宋体" w:hAnsi="宋体"/>
          <w:sz w:val="24"/>
        </w:rPr>
      </w:pPr>
      <w:r>
        <w:rPr>
          <w:rFonts w:ascii="宋体" w:hAnsi="宋体"/>
          <w:sz w:val="24"/>
        </w:rPr>
        <w:t xml:space="preserve">                     法定代表人（签字或者盖章或者电子签名）：</w:t>
      </w:r>
    </w:p>
    <w:p>
      <w:pPr>
        <w:pStyle w:val="style0"/>
        <w:spacing w:lineRule="exact" w:line="400"/>
        <w:jc w:val="left"/>
        <w:contextualSpacing/>
        <w:rPr>
          <w:rFonts w:ascii="宋体" w:hAnsi="宋体"/>
          <w:sz w:val="24"/>
        </w:rPr>
      </w:pPr>
      <w:r>
        <w:rPr>
          <w:rFonts w:ascii="宋体" w:hAnsi="宋体"/>
          <w:sz w:val="24"/>
        </w:rPr>
        <w:t xml:space="preserve">                                         投标人名称（电子签章）：</w:t>
      </w:r>
    </w:p>
    <w:p>
      <w:pPr>
        <w:pStyle w:val="style0"/>
        <w:spacing w:lineRule="exact" w:line="400"/>
        <w:jc w:val="left"/>
        <w:contextualSpacing/>
        <w:rPr>
          <w:rFonts w:ascii="宋体" w:hAnsi="宋体"/>
        </w:rPr>
      </w:pPr>
      <w:r>
        <w:rPr>
          <w:rFonts w:ascii="宋体" w:hAnsi="宋体"/>
          <w:sz w:val="24"/>
        </w:rPr>
        <w:t xml:space="preserve">                                                  年    月    日</w:t>
      </w:r>
    </w:p>
    <w:bookmarkStart w:id="197" w:name="_Toc19686838"/>
    <w:p>
      <w:pPr>
        <w:pStyle w:val="style0"/>
        <w:spacing w:lineRule="exact" w:line="440"/>
        <w:contextualSpacing/>
        <w:rPr>
          <w:rFonts w:ascii="宋体" w:hAnsi="宋体"/>
          <w:b/>
          <w:sz w:val="24"/>
        </w:rPr>
      </w:pPr>
      <w:r>
        <w:rPr>
          <w:rFonts w:ascii="宋体" w:hAnsi="宋体" w:hint="eastAsia"/>
          <w:b/>
          <w:sz w:val="24"/>
        </w:rPr>
        <w:t>注：</w:t>
      </w:r>
      <w:r>
        <w:rPr>
          <w:rFonts w:ascii="宋体" w:hAnsi="宋体"/>
          <w:b/>
          <w:sz w:val="24"/>
        </w:rPr>
        <w:t>1.如为联合体投标，盖章处须加盖联合体牵头人电子签章并由联合体各方法定代表人分别签字或者电子签名，否则投标无效。</w:t>
      </w:r>
    </w:p>
    <w:p>
      <w:pPr>
        <w:pStyle w:val="style0"/>
        <w:spacing w:lineRule="exact" w:line="440"/>
        <w:jc w:val="left"/>
        <w:contextualSpacing/>
        <w:rPr>
          <w:rFonts w:ascii="宋体" w:hAnsi="宋体"/>
          <w:b/>
          <w:sz w:val="24"/>
        </w:rPr>
      </w:pPr>
      <w:r>
        <w:rPr>
          <w:rFonts w:ascii="宋体" w:hAnsi="宋体"/>
          <w:b/>
          <w:sz w:val="24"/>
        </w:rPr>
        <w:t>2</w:t>
      </w:r>
      <w:r>
        <w:rPr>
          <w:rFonts w:ascii="宋体" w:cs="仿宋_GB2312" w:hAnsi="宋体"/>
          <w:sz w:val="24"/>
        </w:rPr>
        <w:t>.法定代表人必须在授权委托书上亲笔签字或者盖章</w:t>
      </w:r>
      <w:r>
        <w:rPr>
          <w:rFonts w:ascii="宋体" w:hAnsi="宋体" w:hint="eastAsia"/>
          <w:sz w:val="24"/>
        </w:rPr>
        <w:t>或者电子签名</w:t>
      </w:r>
      <w:r>
        <w:rPr>
          <w:rFonts w:ascii="宋体" w:cs="仿宋_GB2312" w:hAnsi="宋体" w:hint="eastAsia"/>
          <w:sz w:val="24"/>
        </w:rPr>
        <w:t>，</w:t>
      </w:r>
      <w:r>
        <w:rPr>
          <w:rFonts w:ascii="宋体" w:cs="仿宋_GB2312" w:hAnsi="宋体" w:hint="eastAsia"/>
          <w:b/>
          <w:bCs/>
          <w:sz w:val="24"/>
        </w:rPr>
        <w:t>否则按无效投标处理</w:t>
      </w:r>
      <w:r>
        <w:rPr>
          <w:rFonts w:ascii="宋体" w:cs="仿宋_GB2312" w:hAnsi="宋体" w:hint="eastAsia"/>
          <w:sz w:val="24"/>
        </w:rPr>
        <w:t>；</w:t>
      </w:r>
    </w:p>
    <w:p>
      <w:pPr>
        <w:pStyle w:val="style0"/>
        <w:rPr>
          <w:rFonts w:ascii="宋体" w:hAnsi="宋体"/>
          <w:b/>
          <w:sz w:val="28"/>
          <w:szCs w:val="28"/>
        </w:rPr>
      </w:pPr>
      <w:r>
        <w:rPr>
          <w:rFonts w:ascii="宋体" w:hAnsi="宋体"/>
          <w:b/>
          <w:sz w:val="28"/>
          <w:szCs w:val="28"/>
        </w:rPr>
        <w:br w:type="page"/>
      </w:r>
      <w:r>
        <w:rPr>
          <w:rFonts w:ascii="宋体" w:hAnsi="宋体" w:hint="eastAsia"/>
          <w:b/>
          <w:sz w:val="28"/>
          <w:szCs w:val="28"/>
        </w:rPr>
        <w:t>三、商务文件格式</w:t>
      </w:r>
      <w:bookmarkEnd w:id="197"/>
    </w:p>
    <w:p>
      <w:pPr>
        <w:pStyle w:val="style0"/>
        <w:snapToGrid w:val="false"/>
        <w:spacing w:beforeLines="50" w:after="50" w:lineRule="auto" w:line="360"/>
        <w:jc w:val="left"/>
        <w:rPr>
          <w:rFonts w:ascii="宋体" w:hAnsi="宋体"/>
          <w:b/>
          <w:sz w:val="24"/>
        </w:rPr>
      </w:pPr>
      <w:r>
        <w:rPr>
          <w:rFonts w:ascii="宋体" w:hAnsi="宋体"/>
          <w:b/>
          <w:sz w:val="24"/>
        </w:rPr>
        <w:t xml:space="preserve">1.商务文件封面格式： </w:t>
      </w:r>
    </w:p>
    <w:p>
      <w:pPr>
        <w:pStyle w:val="style0"/>
        <w:snapToGrid w:val="false"/>
        <w:spacing w:beforeLines="50" w:after="50"/>
        <w:jc w:val="center"/>
        <w:rPr>
          <w:rFonts w:ascii="宋体" w:hAnsi="宋体"/>
          <w:bCs/>
          <w:sz w:val="48"/>
          <w:szCs w:val="48"/>
        </w:rPr>
      </w:pPr>
    </w:p>
    <w:p>
      <w:pPr>
        <w:pStyle w:val="style0"/>
        <w:snapToGrid w:val="false"/>
        <w:spacing w:beforeLines="50" w:after="50"/>
        <w:jc w:val="center"/>
        <w:rPr>
          <w:rFonts w:ascii="宋体" w:hAnsi="宋体"/>
          <w:sz w:val="24"/>
        </w:rPr>
      </w:pPr>
      <w:r>
        <w:rPr>
          <w:rFonts w:ascii="宋体" w:hAnsi="宋体" w:hint="eastAsia"/>
          <w:bCs/>
          <w:sz w:val="48"/>
          <w:szCs w:val="48"/>
        </w:rPr>
        <w:t>电子投标文件</w:t>
      </w:r>
    </w:p>
    <w:p>
      <w:pPr>
        <w:pStyle w:val="style0"/>
        <w:snapToGrid w:val="false"/>
        <w:spacing w:beforeLines="50" w:after="50"/>
        <w:jc w:val="center"/>
        <w:rPr>
          <w:rFonts w:ascii="宋体" w:cs="方正小标宋简体" w:hAnsi="宋体"/>
          <w:bCs/>
          <w:sz w:val="44"/>
          <w:szCs w:val="44"/>
        </w:rPr>
      </w:pPr>
    </w:p>
    <w:p>
      <w:pPr>
        <w:pStyle w:val="style0"/>
        <w:snapToGrid w:val="false"/>
        <w:spacing w:beforeLines="50" w:after="50"/>
        <w:jc w:val="center"/>
        <w:rPr>
          <w:rFonts w:ascii="宋体" w:cs="方正小标宋简体" w:hAnsi="宋体"/>
          <w:bCs/>
          <w:sz w:val="44"/>
          <w:szCs w:val="44"/>
        </w:rPr>
      </w:pPr>
      <w:r>
        <w:rPr>
          <w:rFonts w:ascii="宋体" w:cs="方正小标宋简体" w:hAnsi="宋体" w:hint="eastAsia"/>
          <w:bCs/>
          <w:sz w:val="44"/>
          <w:szCs w:val="44"/>
        </w:rPr>
        <w:t>商务文件</w:t>
      </w:r>
    </w:p>
    <w:p>
      <w:pPr>
        <w:pStyle w:val="style0"/>
        <w:snapToGrid w:val="false"/>
        <w:spacing w:beforeLines="50" w:after="50"/>
        <w:rPr>
          <w:rFonts w:ascii="宋体" w:hAnsi="宋体"/>
          <w:bCs/>
          <w:sz w:val="24"/>
          <w:szCs w:val="20"/>
        </w:rPr>
      </w:pPr>
    </w:p>
    <w:p>
      <w:pPr>
        <w:pStyle w:val="style0"/>
        <w:snapToGrid w:val="false"/>
        <w:spacing w:beforeLines="50" w:after="50"/>
        <w:ind w:firstLine="540" w:firstLineChars="225"/>
        <w:rPr>
          <w:rFonts w:ascii="宋体" w:hAnsi="宋体"/>
          <w:bCs/>
          <w:sz w:val="24"/>
        </w:rPr>
      </w:pPr>
      <w:r>
        <w:rPr>
          <w:rFonts w:ascii="宋体" w:hAnsi="宋体" w:hint="eastAsia"/>
          <w:bCs/>
          <w:sz w:val="24"/>
        </w:rPr>
        <w:t>项目名称：</w:t>
      </w:r>
    </w:p>
    <w:p>
      <w:pPr>
        <w:pStyle w:val="style0"/>
        <w:snapToGrid w:val="false"/>
        <w:spacing w:beforeLines="50" w:after="50"/>
        <w:ind w:firstLine="540" w:firstLineChars="225"/>
        <w:rPr>
          <w:rFonts w:ascii="宋体" w:hAnsi="宋体"/>
          <w:bCs/>
          <w:sz w:val="24"/>
          <w:szCs w:val="20"/>
        </w:rPr>
      </w:pPr>
    </w:p>
    <w:p>
      <w:pPr>
        <w:pStyle w:val="style0"/>
        <w:snapToGrid w:val="false"/>
        <w:spacing w:beforeLines="50" w:after="50"/>
        <w:ind w:firstLine="540" w:firstLineChars="225"/>
        <w:rPr>
          <w:rFonts w:ascii="宋体" w:hAnsi="宋体"/>
          <w:bCs/>
          <w:sz w:val="24"/>
        </w:rPr>
      </w:pPr>
      <w:r>
        <w:rPr>
          <w:rFonts w:ascii="宋体" w:hAnsi="宋体" w:hint="eastAsia"/>
          <w:bCs/>
          <w:sz w:val="24"/>
        </w:rPr>
        <w:t>项目编号：</w:t>
      </w:r>
    </w:p>
    <w:p>
      <w:pPr>
        <w:pStyle w:val="style0"/>
        <w:snapToGrid w:val="false"/>
        <w:spacing w:beforeLines="50" w:after="50"/>
        <w:ind w:firstLine="540" w:firstLineChars="225"/>
        <w:rPr>
          <w:rFonts w:ascii="宋体" w:hAnsi="宋体"/>
          <w:bCs/>
          <w:sz w:val="24"/>
          <w:szCs w:val="20"/>
        </w:rPr>
      </w:pPr>
    </w:p>
    <w:p>
      <w:pPr>
        <w:pStyle w:val="style0"/>
        <w:snapToGrid w:val="false"/>
        <w:spacing w:beforeLines="50" w:after="50"/>
        <w:ind w:firstLine="540" w:firstLineChars="225"/>
        <w:rPr>
          <w:rFonts w:ascii="宋体" w:hAnsi="宋体"/>
          <w:bCs/>
          <w:sz w:val="24"/>
        </w:rPr>
      </w:pPr>
      <w:r>
        <w:rPr>
          <w:rFonts w:ascii="宋体" w:hAnsi="宋体" w:hint="eastAsia"/>
          <w:bCs/>
          <w:sz w:val="24"/>
        </w:rPr>
        <w:t>所投分标：</w:t>
      </w:r>
    </w:p>
    <w:p>
      <w:pPr>
        <w:pStyle w:val="style0"/>
        <w:snapToGrid w:val="false"/>
        <w:spacing w:beforeLines="50" w:after="50"/>
        <w:ind w:firstLine="540" w:firstLineChars="225"/>
        <w:rPr>
          <w:rFonts w:ascii="宋体" w:hAnsi="宋体"/>
          <w:bCs/>
          <w:sz w:val="24"/>
          <w:szCs w:val="20"/>
        </w:rPr>
      </w:pPr>
    </w:p>
    <w:p>
      <w:pPr>
        <w:pStyle w:val="style0"/>
        <w:snapToGrid w:val="false"/>
        <w:spacing w:before="50" w:after="50"/>
        <w:ind w:firstLine="540" w:firstLineChars="225"/>
        <w:rPr>
          <w:rFonts w:ascii="宋体" w:hAnsi="宋体"/>
          <w:bCs/>
          <w:sz w:val="24"/>
        </w:rPr>
      </w:pPr>
      <w:r>
        <w:rPr>
          <w:rFonts w:ascii="宋体" w:hAnsi="宋体" w:hint="eastAsia"/>
          <w:bCs/>
          <w:sz w:val="24"/>
        </w:rPr>
        <w:t>投标人名称：</w:t>
      </w:r>
    </w:p>
    <w:p>
      <w:pPr>
        <w:pStyle w:val="style0"/>
        <w:snapToGrid w:val="false"/>
        <w:spacing w:before="50" w:after="50"/>
        <w:ind w:firstLine="540" w:firstLineChars="225"/>
        <w:rPr>
          <w:rFonts w:ascii="宋体" w:hAnsi="宋体"/>
          <w:bCs/>
          <w:sz w:val="24"/>
        </w:rPr>
      </w:pPr>
    </w:p>
    <w:p>
      <w:pPr>
        <w:pStyle w:val="style0"/>
        <w:snapToGrid w:val="false"/>
        <w:spacing w:before="50" w:after="50"/>
        <w:ind w:firstLine="540" w:firstLineChars="225"/>
        <w:rPr>
          <w:rFonts w:ascii="宋体" w:hAnsi="宋体"/>
          <w:bCs/>
          <w:sz w:val="24"/>
        </w:rPr>
      </w:pPr>
      <w:r>
        <w:rPr>
          <w:rFonts w:ascii="宋体" w:hAnsi="宋体" w:hint="eastAsia"/>
          <w:bCs/>
          <w:sz w:val="24"/>
        </w:rPr>
        <w:t>投标人地址：</w:t>
      </w:r>
    </w:p>
    <w:p>
      <w:pPr>
        <w:pStyle w:val="style0"/>
        <w:snapToGrid w:val="false"/>
        <w:spacing w:before="50" w:after="50"/>
        <w:ind w:firstLine="960" w:firstLineChars="400"/>
        <w:rPr>
          <w:rFonts w:ascii="宋体" w:hAnsi="宋体"/>
          <w:bCs/>
          <w:sz w:val="24"/>
        </w:rPr>
      </w:pPr>
    </w:p>
    <w:p>
      <w:pPr>
        <w:pStyle w:val="style0"/>
        <w:snapToGrid w:val="false"/>
        <w:spacing w:beforeLines="50" w:after="50"/>
        <w:ind w:firstLine="645"/>
        <w:rPr>
          <w:rFonts w:ascii="宋体" w:hAnsi="宋体"/>
          <w:sz w:val="24"/>
        </w:rPr>
      </w:pPr>
      <w:r>
        <w:rPr>
          <w:rFonts w:ascii="宋体" w:hAnsi="宋体"/>
          <w:sz w:val="24"/>
        </w:rPr>
        <w:t xml:space="preserve">                        年  月  日</w:t>
      </w:r>
    </w:p>
    <w:p>
      <w:pPr>
        <w:pStyle w:val="style0"/>
        <w:snapToGrid w:val="false"/>
        <w:spacing w:beforeLines="50" w:after="50"/>
        <w:rPr>
          <w:rFonts w:ascii="宋体" w:hAnsi="宋体"/>
          <w:sz w:val="24"/>
          <w:szCs w:val="20"/>
        </w:rPr>
      </w:pPr>
    </w:p>
    <w:p>
      <w:pPr>
        <w:pStyle w:val="style0"/>
        <w:snapToGrid w:val="false"/>
        <w:spacing w:lineRule="auto" w:line="360"/>
        <w:jc w:val="left"/>
        <w:rPr>
          <w:rFonts w:ascii="宋体" w:hAnsi="宋体"/>
          <w:b/>
          <w:sz w:val="24"/>
        </w:rPr>
      </w:pPr>
      <w:r>
        <w:rPr>
          <w:rFonts w:ascii="宋体" w:hAnsi="宋体"/>
          <w:sz w:val="24"/>
          <w:szCs w:val="20"/>
        </w:rPr>
        <w:br w:type="page"/>
      </w:r>
      <w:r>
        <w:rPr>
          <w:rFonts w:ascii="宋体" w:hAnsi="宋体"/>
          <w:b/>
          <w:sz w:val="24"/>
        </w:rPr>
        <w:t>2.商务文件目录</w:t>
      </w:r>
    </w:p>
    <w:p>
      <w:pPr>
        <w:pStyle w:val="style0"/>
        <w:snapToGrid w:val="false"/>
        <w:spacing w:before="50" w:afterLines="50" w:lineRule="auto" w:line="360"/>
        <w:ind w:firstLine="560" w:firstLineChars="200"/>
        <w:jc w:val="left"/>
        <w:rPr>
          <w:rFonts w:ascii="宋体" w:hAnsi="宋体"/>
          <w:b/>
          <w:bCs/>
          <w:sz w:val="32"/>
          <w:szCs w:val="32"/>
        </w:rPr>
      </w:pPr>
      <w:r>
        <w:rPr>
          <w:rFonts w:ascii="宋体" w:hAnsi="宋体" w:hint="eastAsia"/>
          <w:sz w:val="28"/>
          <w:szCs w:val="28"/>
        </w:rPr>
        <w:t>根据招标文件规定及投标人提供的材料自行编写目录。</w:t>
      </w:r>
    </w:p>
    <w:p>
      <w:pPr>
        <w:pStyle w:val="style0"/>
        <w:snapToGrid w:val="false"/>
        <w:spacing w:before="50" w:afterLines="50"/>
        <w:jc w:val="left"/>
        <w:rPr>
          <w:rFonts w:ascii="宋体" w:hAnsi="宋体"/>
        </w:rPr>
      </w:pPr>
    </w:p>
    <w:p>
      <w:pPr>
        <w:pStyle w:val="style0"/>
        <w:snapToGrid w:val="false"/>
        <w:spacing w:beforeLines="50" w:after="50"/>
        <w:jc w:val="left"/>
        <w:rPr>
          <w:rFonts w:ascii="宋体" w:hAnsi="宋体"/>
          <w:b/>
          <w:sz w:val="24"/>
        </w:rPr>
      </w:pPr>
      <w:r>
        <w:rPr>
          <w:rFonts w:ascii="宋体" w:hAnsi="宋体"/>
          <w:b/>
          <w:sz w:val="24"/>
        </w:rPr>
        <w:br w:type="page"/>
      </w:r>
      <w:r>
        <w:rPr>
          <w:rFonts w:ascii="宋体" w:hAnsi="宋体"/>
          <w:b/>
          <w:sz w:val="24"/>
        </w:rPr>
        <w:t>3.投标人参加本项目无围标串标行为的承诺</w:t>
      </w:r>
    </w:p>
    <w:p>
      <w:pPr>
        <w:pStyle w:val="style0"/>
        <w:snapToGrid w:val="false"/>
        <w:spacing w:beforeLines="50" w:after="50"/>
        <w:jc w:val="left"/>
        <w:rPr>
          <w:rFonts w:ascii="宋体" w:hAnsi="宋体"/>
          <w:b/>
          <w:sz w:val="24"/>
        </w:rPr>
      </w:pPr>
    </w:p>
    <w:p>
      <w:pPr>
        <w:pStyle w:val="style0"/>
        <w:spacing w:lineRule="auto" w:line="360"/>
        <w:ind w:left="420"/>
        <w:jc w:val="center"/>
        <w:contextualSpacing/>
        <w:rPr>
          <w:rFonts w:ascii="宋体" w:hAnsi="宋体"/>
          <w:b/>
          <w:sz w:val="24"/>
        </w:rPr>
      </w:pPr>
      <w:r>
        <w:rPr>
          <w:rFonts w:ascii="宋体" w:cs="方正小标宋简体" w:hAnsi="宋体" w:hint="eastAsia"/>
          <w:bCs/>
          <w:spacing w:val="-11"/>
          <w:sz w:val="44"/>
          <w:szCs w:val="44"/>
        </w:rPr>
        <w:t>投标人参加本项目无围标串标行为的承诺函</w:t>
      </w:r>
    </w:p>
    <w:p>
      <w:pPr>
        <w:pStyle w:val="style0"/>
        <w:spacing w:lineRule="exact" w:line="440"/>
        <w:jc w:val="left"/>
        <w:contextualSpacing/>
        <w:rPr>
          <w:rFonts w:ascii="宋体" w:hAnsi="宋体"/>
          <w:b/>
          <w:sz w:val="24"/>
        </w:rPr>
      </w:pPr>
      <w:r>
        <w:rPr>
          <w:rFonts w:ascii="宋体" w:hAnsi="宋体" w:hint="eastAsia"/>
          <w:b/>
          <w:sz w:val="24"/>
        </w:rPr>
        <w:t>一、我方承诺无下列相互串通投标的情形：</w:t>
      </w:r>
    </w:p>
    <w:p>
      <w:pPr>
        <w:pStyle w:val="style0"/>
        <w:spacing w:lineRule="exact" w:line="440"/>
        <w:ind w:firstLine="470" w:firstLineChars="196"/>
        <w:jc w:val="left"/>
        <w:contextualSpacing/>
        <w:rPr>
          <w:rFonts w:ascii="宋体" w:hAnsi="宋体"/>
          <w:sz w:val="24"/>
        </w:rPr>
      </w:pPr>
      <w:r>
        <w:rPr>
          <w:rFonts w:ascii="宋体" w:hAnsi="宋体"/>
          <w:sz w:val="24"/>
        </w:rPr>
        <w:t>1.不同投标人的投标文件由同一单位或者个人编制；</w:t>
      </w:r>
    </w:p>
    <w:p>
      <w:pPr>
        <w:pStyle w:val="style0"/>
        <w:spacing w:lineRule="exact" w:line="440"/>
        <w:ind w:firstLine="470" w:firstLineChars="196"/>
        <w:jc w:val="left"/>
        <w:contextualSpacing/>
        <w:rPr>
          <w:rFonts w:ascii="宋体" w:hAnsi="宋体"/>
          <w:sz w:val="24"/>
        </w:rPr>
      </w:pPr>
      <w:r>
        <w:rPr>
          <w:rFonts w:ascii="宋体" w:hAnsi="宋体"/>
          <w:sz w:val="24"/>
        </w:rPr>
        <w:t>2.不同投标人委托同一单位或者个人办理投标事宜；</w:t>
      </w:r>
    </w:p>
    <w:p>
      <w:pPr>
        <w:pStyle w:val="style0"/>
        <w:spacing w:lineRule="exact" w:line="440"/>
        <w:ind w:firstLine="470" w:firstLineChars="196"/>
        <w:jc w:val="left"/>
        <w:contextualSpacing/>
        <w:rPr>
          <w:rFonts w:ascii="宋体" w:hAnsi="宋体"/>
          <w:sz w:val="24"/>
        </w:rPr>
      </w:pPr>
      <w:r>
        <w:rPr>
          <w:rFonts w:ascii="宋体" w:hAnsi="宋体"/>
          <w:sz w:val="24"/>
        </w:rPr>
        <w:t>3.不同的投标人的投标文件载明的项目管理员为同一个人；</w:t>
      </w:r>
    </w:p>
    <w:p>
      <w:pPr>
        <w:pStyle w:val="style0"/>
        <w:spacing w:lineRule="exact" w:line="440"/>
        <w:ind w:firstLine="470" w:firstLineChars="196"/>
        <w:jc w:val="left"/>
        <w:contextualSpacing/>
        <w:rPr>
          <w:rFonts w:ascii="宋体" w:hAnsi="宋体"/>
          <w:sz w:val="24"/>
        </w:rPr>
      </w:pPr>
      <w:r>
        <w:rPr>
          <w:rFonts w:ascii="宋体" w:hAnsi="宋体"/>
          <w:sz w:val="24"/>
        </w:rPr>
        <w:t>4.不同投标人的投标文件异常一致或者投标报价呈规律性差异；</w:t>
      </w:r>
    </w:p>
    <w:p>
      <w:pPr>
        <w:pStyle w:val="style0"/>
        <w:spacing w:lineRule="exact" w:line="440"/>
        <w:ind w:firstLine="470" w:firstLineChars="196"/>
        <w:jc w:val="left"/>
        <w:contextualSpacing/>
        <w:rPr>
          <w:rFonts w:ascii="宋体" w:hAnsi="宋体"/>
          <w:sz w:val="24"/>
        </w:rPr>
      </w:pPr>
      <w:r>
        <w:rPr>
          <w:rFonts w:ascii="宋体" w:hAnsi="宋体"/>
          <w:sz w:val="24"/>
        </w:rPr>
        <w:t>5.不同投标人的投标文件相互混装；</w:t>
      </w:r>
    </w:p>
    <w:p>
      <w:pPr>
        <w:pStyle w:val="style0"/>
        <w:spacing w:lineRule="exact" w:line="440"/>
        <w:ind w:firstLine="470" w:firstLineChars="196"/>
        <w:jc w:val="left"/>
        <w:contextualSpacing/>
        <w:rPr>
          <w:rFonts w:ascii="宋体" w:hAnsi="宋体"/>
          <w:sz w:val="24"/>
        </w:rPr>
      </w:pPr>
      <w:r>
        <w:rPr>
          <w:rFonts w:ascii="宋体" w:hAnsi="宋体"/>
          <w:sz w:val="24"/>
        </w:rPr>
        <w:t>6.不同投标人的投标保证金从同一单位或者个人账户转出。</w:t>
      </w:r>
    </w:p>
    <w:p>
      <w:pPr>
        <w:pStyle w:val="style0"/>
        <w:spacing w:lineRule="exact" w:line="440"/>
        <w:jc w:val="left"/>
        <w:contextualSpacing/>
        <w:rPr>
          <w:rFonts w:ascii="宋体" w:hAnsi="宋体"/>
          <w:sz w:val="24"/>
        </w:rPr>
      </w:pPr>
      <w:r>
        <w:rPr>
          <w:rFonts w:ascii="宋体" w:hAnsi="宋体" w:hint="eastAsia"/>
          <w:b/>
          <w:sz w:val="24"/>
        </w:rPr>
        <w:t>二、我方承诺无下列恶意串通的情形：</w:t>
      </w:r>
    </w:p>
    <w:p>
      <w:pPr>
        <w:pStyle w:val="style0"/>
        <w:spacing w:lineRule="exact" w:line="440"/>
        <w:ind w:firstLine="470" w:firstLineChars="196"/>
        <w:jc w:val="left"/>
        <w:contextualSpacing/>
        <w:rPr>
          <w:rFonts w:ascii="宋体" w:hAnsi="宋体"/>
          <w:sz w:val="24"/>
        </w:rPr>
      </w:pPr>
      <w:r>
        <w:rPr>
          <w:rFonts w:ascii="宋体" w:hAnsi="宋体"/>
          <w:sz w:val="24"/>
        </w:rPr>
        <w:t>1.投标人直接或者间接从采购人或者采购代理机构处获得其他投标人的相关信息并修改其投标文件或者响应文件；</w:t>
      </w:r>
    </w:p>
    <w:p>
      <w:pPr>
        <w:pStyle w:val="style0"/>
        <w:spacing w:lineRule="exact" w:line="440"/>
        <w:ind w:firstLine="470" w:firstLineChars="196"/>
        <w:jc w:val="left"/>
        <w:contextualSpacing/>
        <w:rPr>
          <w:rFonts w:ascii="宋体" w:hAnsi="宋体"/>
          <w:sz w:val="24"/>
        </w:rPr>
      </w:pPr>
      <w:r>
        <w:rPr>
          <w:rFonts w:ascii="宋体" w:hAnsi="宋体"/>
          <w:sz w:val="24"/>
        </w:rPr>
        <w:t>2.投标人按照采购人或者采购代理机构的授意撤换、修改投标文件或者响应文件；</w:t>
      </w:r>
    </w:p>
    <w:p>
      <w:pPr>
        <w:pStyle w:val="style0"/>
        <w:spacing w:lineRule="exact" w:line="440"/>
        <w:ind w:firstLine="470" w:firstLineChars="196"/>
        <w:jc w:val="left"/>
        <w:contextualSpacing/>
        <w:rPr>
          <w:rFonts w:ascii="宋体" w:hAnsi="宋体"/>
          <w:sz w:val="24"/>
        </w:rPr>
      </w:pPr>
      <w:r>
        <w:rPr>
          <w:rFonts w:ascii="宋体" w:hAnsi="宋体"/>
          <w:sz w:val="24"/>
        </w:rPr>
        <w:t>3.投标人之间协商报价、技术方案等投标文件或者响应文件的实质性内容；</w:t>
      </w:r>
    </w:p>
    <w:p>
      <w:pPr>
        <w:pStyle w:val="style0"/>
        <w:spacing w:lineRule="exact" w:line="440"/>
        <w:ind w:firstLine="470" w:firstLineChars="196"/>
        <w:jc w:val="left"/>
        <w:contextualSpacing/>
        <w:rPr>
          <w:rFonts w:ascii="宋体" w:hAnsi="宋体"/>
          <w:sz w:val="24"/>
        </w:rPr>
      </w:pPr>
      <w:r>
        <w:rPr>
          <w:rFonts w:ascii="宋体" w:hAnsi="宋体"/>
          <w:sz w:val="24"/>
        </w:rPr>
        <w:t>4.属于同一集团、协会、商会等组织成员的投标人按照该组织要求协同参加政府采购活动；</w:t>
      </w:r>
    </w:p>
    <w:p>
      <w:pPr>
        <w:pStyle w:val="style0"/>
        <w:spacing w:lineRule="exact" w:line="440"/>
        <w:ind w:firstLine="470" w:firstLineChars="196"/>
        <w:jc w:val="left"/>
        <w:contextualSpacing/>
        <w:rPr>
          <w:rFonts w:ascii="宋体" w:hAnsi="宋体"/>
          <w:sz w:val="24"/>
        </w:rPr>
      </w:pPr>
      <w:r>
        <w:rPr>
          <w:rFonts w:ascii="宋体" w:hAnsi="宋体"/>
          <w:sz w:val="24"/>
        </w:rPr>
        <w:t>5.投标人之间事先约定一致抬高或者压低投标报价，或者在招标项目中事先约定轮流以高价位或者低价位中标，或者事先约定由某一特定投标人中标，然后再参加投标；</w:t>
      </w:r>
    </w:p>
    <w:p>
      <w:pPr>
        <w:pStyle w:val="style0"/>
        <w:spacing w:lineRule="exact" w:line="440"/>
        <w:ind w:firstLine="470" w:firstLineChars="196"/>
        <w:jc w:val="left"/>
        <w:contextualSpacing/>
        <w:rPr>
          <w:rFonts w:ascii="宋体" w:hAnsi="宋体"/>
          <w:sz w:val="24"/>
        </w:rPr>
      </w:pPr>
      <w:r>
        <w:rPr>
          <w:rFonts w:ascii="宋体" w:hAnsi="宋体"/>
          <w:sz w:val="24"/>
        </w:rPr>
        <w:t>6.投标人之间商定部分投标人放弃参加政府采购活动或者放弃中标；</w:t>
      </w:r>
    </w:p>
    <w:p>
      <w:pPr>
        <w:pStyle w:val="style0"/>
        <w:spacing w:lineRule="exact" w:line="440"/>
        <w:ind w:firstLine="470" w:firstLineChars="196"/>
        <w:jc w:val="left"/>
        <w:contextualSpacing/>
        <w:rPr>
          <w:rFonts w:ascii="宋体" w:hAnsi="宋体"/>
          <w:sz w:val="24"/>
        </w:rPr>
      </w:pPr>
      <w:r>
        <w:rPr>
          <w:rFonts w:ascii="宋体" w:hAnsi="宋体"/>
          <w:sz w:val="24"/>
        </w:rPr>
        <w:t>7.投标人与采购人或者采购代理机构之间、投标人相互之间，为谋求特定投标人中标或者排斥其他投标人的其他串通行为。</w:t>
      </w:r>
    </w:p>
    <w:p>
      <w:pPr>
        <w:pStyle w:val="style0"/>
        <w:spacing w:lineRule="exact" w:line="440"/>
        <w:ind w:firstLine="472" w:firstLineChars="196"/>
        <w:jc w:val="left"/>
        <w:contextualSpacing/>
        <w:rPr>
          <w:rFonts w:ascii="宋体" w:hAnsi="宋体"/>
          <w:b/>
          <w:sz w:val="24"/>
        </w:rPr>
      </w:pPr>
      <w:r>
        <w:rPr>
          <w:rFonts w:ascii="宋体" w:hAnsi="宋体" w:hint="eastAsia"/>
          <w:b/>
          <w:sz w:val="24"/>
        </w:rPr>
        <w:t>以上情形一经核查属实，我方愿意承担一切后果，并不再寻求任何旨在减轻或者免除法律责任的辩解。</w:t>
      </w:r>
    </w:p>
    <w:p>
      <w:pPr>
        <w:pStyle w:val="style0"/>
        <w:spacing w:lineRule="exact" w:line="440"/>
        <w:ind w:firstLine="6840" w:firstLineChars="2850"/>
        <w:contextualSpacing/>
        <w:rPr>
          <w:rFonts w:ascii="宋体" w:hAnsi="宋体"/>
          <w:sz w:val="24"/>
        </w:rPr>
      </w:pPr>
    </w:p>
    <w:p>
      <w:pPr>
        <w:pStyle w:val="style0"/>
        <w:spacing w:lineRule="exact" w:line="440"/>
        <w:ind w:left="900" w:hanging="480"/>
        <w:jc w:val="center"/>
        <w:contextualSpacing/>
        <w:rPr>
          <w:rFonts w:ascii="宋体" w:hAnsi="宋体"/>
          <w:sz w:val="24"/>
        </w:rPr>
      </w:pPr>
      <w:r>
        <w:rPr>
          <w:rFonts w:ascii="宋体" w:hAnsi="宋体" w:hint="eastAsia"/>
          <w:sz w:val="24"/>
        </w:rPr>
        <w:t>投标人名称（电子签章）</w:t>
      </w:r>
    </w:p>
    <w:p>
      <w:pPr>
        <w:pStyle w:val="style0"/>
        <w:spacing w:lineRule="exact" w:line="440"/>
        <w:ind w:left="1025" w:leftChars="488" w:firstLine="3053" w:firstLineChars="1272"/>
        <w:contextualSpacing/>
        <w:rPr>
          <w:rFonts w:ascii="宋体" w:hAnsi="宋体"/>
          <w:sz w:val="24"/>
          <w:szCs w:val="20"/>
        </w:rPr>
      </w:pPr>
      <w:r>
        <w:rPr>
          <w:rFonts w:ascii="宋体" w:hAnsi="宋体" w:hint="eastAsia"/>
          <w:sz w:val="24"/>
          <w:szCs w:val="20"/>
        </w:rPr>
        <w:t>年   月  日</w:t>
      </w:r>
    </w:p>
    <w:p>
      <w:pPr>
        <w:pStyle w:val="style0"/>
        <w:snapToGrid w:val="false"/>
        <w:spacing w:beforeLines="50" w:after="50"/>
        <w:jc w:val="left"/>
        <w:rPr>
          <w:rFonts w:ascii="宋体" w:hAnsi="宋体"/>
          <w:b/>
          <w:sz w:val="24"/>
          <w:szCs w:val="20"/>
        </w:rPr>
      </w:pPr>
      <w:r>
        <w:rPr>
          <w:rFonts w:ascii="宋体" w:hAnsi="宋体"/>
          <w:b/>
          <w:sz w:val="24"/>
        </w:rPr>
        <w:t>4.法定代表人身份证明</w:t>
      </w:r>
    </w:p>
    <w:p>
      <w:pPr>
        <w:pStyle w:val="style0"/>
        <w:spacing w:beforeLines="100" w:afterLines="50"/>
        <w:ind w:left="540"/>
        <w:jc w:val="center"/>
        <w:rPr>
          <w:rFonts w:ascii="宋体" w:hAnsi="宋体"/>
          <w:b/>
          <w:sz w:val="32"/>
          <w:szCs w:val="32"/>
        </w:rPr>
      </w:pPr>
    </w:p>
    <w:p>
      <w:pPr>
        <w:pStyle w:val="style0"/>
        <w:spacing w:beforeLines="100" w:afterLines="50"/>
        <w:ind w:left="540"/>
        <w:jc w:val="center"/>
        <w:rPr>
          <w:rFonts w:ascii="宋体" w:cs="方正小标宋简体" w:hAnsi="宋体"/>
          <w:bCs/>
          <w:sz w:val="44"/>
          <w:szCs w:val="44"/>
        </w:rPr>
      </w:pPr>
      <w:r>
        <w:rPr>
          <w:rFonts w:ascii="宋体" w:cs="方正小标宋简体" w:hAnsi="宋体" w:hint="eastAsia"/>
          <w:bCs/>
          <w:sz w:val="44"/>
          <w:szCs w:val="44"/>
        </w:rPr>
        <w:t>法定代表人身份证明</w:t>
      </w:r>
    </w:p>
    <w:p>
      <w:pPr>
        <w:pStyle w:val="style0"/>
        <w:spacing w:lineRule="exact" w:line="500"/>
        <w:ind w:left="540"/>
        <w:rPr>
          <w:rFonts w:ascii="宋体" w:hAnsi="宋体"/>
          <w:sz w:val="24"/>
        </w:rPr>
      </w:pPr>
      <w:r>
        <w:rPr>
          <w:rFonts w:ascii="宋体" w:hAnsi="宋体" w:hint="eastAsia"/>
          <w:sz w:val="24"/>
        </w:rPr>
        <w:t>投 标 人：</w:t>
      </w:r>
      <w:r>
        <w:rPr>
          <w:rFonts w:ascii="宋体" w:hAnsi="宋体" w:hint="eastAsia"/>
          <w:sz w:val="24"/>
          <w:u w:val="single"/>
        </w:rPr>
        <w:t xml:space="preserve">                                                        </w:t>
      </w:r>
    </w:p>
    <w:p>
      <w:pPr>
        <w:pStyle w:val="style0"/>
        <w:spacing w:lineRule="exact" w:line="500"/>
        <w:ind w:left="540"/>
        <w:rPr>
          <w:rFonts w:ascii="宋体" w:hAnsi="宋体"/>
          <w:sz w:val="24"/>
        </w:rPr>
      </w:pPr>
      <w:r>
        <w:rPr>
          <w:rFonts w:ascii="宋体" w:hAnsi="宋体" w:hint="eastAsia"/>
          <w:sz w:val="24"/>
        </w:rPr>
        <w:t>地    址：</w:t>
      </w:r>
      <w:r>
        <w:rPr>
          <w:rFonts w:ascii="宋体" w:hAnsi="宋体" w:hint="eastAsia"/>
          <w:sz w:val="24"/>
          <w:u w:val="single"/>
        </w:rPr>
        <w:t xml:space="preserve">                                                        </w:t>
      </w:r>
    </w:p>
    <w:p>
      <w:pPr>
        <w:pStyle w:val="style0"/>
        <w:spacing w:lineRule="exact" w:line="500"/>
        <w:ind w:left="540"/>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性      别：</w:t>
      </w:r>
      <w:r>
        <w:rPr>
          <w:rFonts w:ascii="宋体" w:hAnsi="宋体" w:hint="eastAsia"/>
          <w:sz w:val="24"/>
          <w:u w:val="single"/>
        </w:rPr>
        <w:t xml:space="preserve">                </w:t>
      </w:r>
    </w:p>
    <w:p>
      <w:pPr>
        <w:pStyle w:val="style0"/>
        <w:spacing w:lineRule="exact" w:line="500"/>
        <w:ind w:left="540"/>
        <w:rPr>
          <w:rFonts w:ascii="宋体" w:hAnsi="宋体"/>
          <w:sz w:val="24"/>
          <w:u w:val="single"/>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职      务：</w:t>
      </w:r>
      <w:r>
        <w:rPr>
          <w:rFonts w:ascii="宋体" w:hAnsi="宋体" w:hint="eastAsia"/>
          <w:sz w:val="24"/>
          <w:u w:val="single"/>
        </w:rPr>
        <w:t xml:space="preserve">                </w:t>
      </w:r>
    </w:p>
    <w:p>
      <w:pPr>
        <w:pStyle w:val="style0"/>
        <w:spacing w:lineRule="exact" w:line="500"/>
        <w:ind w:left="540"/>
        <w:rPr>
          <w:rFonts w:ascii="宋体" w:hAnsi="宋体"/>
          <w:sz w:val="24"/>
        </w:rPr>
      </w:pPr>
      <w:r>
        <w:rPr>
          <w:rFonts w:ascii="宋体" w:hAnsi="宋体" w:hint="eastAsia"/>
          <w:sz w:val="24"/>
        </w:rPr>
        <w:t>身份证</w:t>
      </w:r>
      <w:r>
        <w:rPr>
          <w:rFonts w:hint="eastAsia"/>
          <w:sz w:val="24"/>
        </w:rPr>
        <w:t>号码：</w:t>
      </w:r>
      <w:r>
        <w:rPr>
          <w:rFonts w:hint="eastAsia"/>
          <w:sz w:val="24"/>
          <w:u w:val="single"/>
        </w:rPr>
        <w:t xml:space="preserve">                                 </w:t>
      </w:r>
    </w:p>
    <w:p>
      <w:pPr>
        <w:pStyle w:val="style0"/>
        <w:spacing w:lineRule="exact" w:line="500"/>
        <w:ind w:left="540"/>
        <w:rPr>
          <w:rFonts w:ascii="宋体" w:hAnsi="宋体"/>
          <w:sz w:val="24"/>
        </w:rPr>
      </w:pPr>
      <w:r>
        <w:rPr>
          <w:rFonts w:ascii="宋体" w:hAnsi="宋体" w:hint="eastAsia"/>
          <w:sz w:val="24"/>
        </w:rPr>
        <w:t>系</w:t>
      </w:r>
      <w:r>
        <w:rPr>
          <w:rFonts w:ascii="宋体" w:hAnsi="宋体" w:hint="eastAsia"/>
          <w:sz w:val="24"/>
          <w:u w:val="single"/>
        </w:rPr>
        <w:t xml:space="preserve">            （投标人名称）              </w:t>
      </w:r>
      <w:r>
        <w:rPr>
          <w:rFonts w:ascii="宋体" w:hAnsi="宋体" w:hint="eastAsia"/>
          <w:sz w:val="24"/>
        </w:rPr>
        <w:t>的法定代表人。</w:t>
      </w:r>
    </w:p>
    <w:p>
      <w:pPr>
        <w:pStyle w:val="style0"/>
        <w:spacing w:lineRule="exact" w:line="500"/>
        <w:ind w:left="540"/>
        <w:rPr>
          <w:rFonts w:ascii="宋体" w:hAnsi="宋体"/>
          <w:sz w:val="24"/>
        </w:rPr>
      </w:pPr>
      <w:r>
        <w:rPr>
          <w:rFonts w:ascii="宋体" w:hAnsi="宋体" w:hint="eastAsia"/>
          <w:sz w:val="24"/>
        </w:rPr>
        <w:t>特此证明。</w:t>
      </w:r>
    </w:p>
    <w:p>
      <w:pPr>
        <w:pStyle w:val="style0"/>
        <w:spacing w:lineRule="exact" w:line="500"/>
        <w:ind w:left="540"/>
        <w:rPr>
          <w:rFonts w:ascii="宋体" w:hAnsi="宋体"/>
          <w:sz w:val="24"/>
        </w:rPr>
      </w:pPr>
    </w:p>
    <w:p>
      <w:pPr>
        <w:pStyle w:val="style0"/>
        <w:spacing w:lineRule="exact" w:line="500"/>
        <w:ind w:left="540"/>
        <w:rPr>
          <w:rFonts w:ascii="宋体" w:hAnsi="宋体"/>
          <w:sz w:val="24"/>
        </w:rPr>
      </w:pPr>
    </w:p>
    <w:p>
      <w:pPr>
        <w:pStyle w:val="style0"/>
        <w:spacing w:lineRule="exact" w:line="500"/>
        <w:ind w:left="540"/>
        <w:rPr>
          <w:rFonts w:ascii="宋体" w:hAnsi="宋体"/>
          <w:sz w:val="24"/>
        </w:rPr>
      </w:pPr>
      <w:r>
        <w:rPr>
          <w:rFonts w:ascii="宋体" w:hAnsi="宋体" w:hint="eastAsia"/>
          <w:sz w:val="24"/>
        </w:rPr>
        <w:t>附件：法定代表人有效身份证正反面复印件</w:t>
      </w:r>
    </w:p>
    <w:p>
      <w:pPr>
        <w:pStyle w:val="style0"/>
        <w:spacing w:lineRule="exact" w:line="500"/>
        <w:ind w:left="540"/>
        <w:rPr>
          <w:rFonts w:ascii="宋体" w:hAnsi="宋体"/>
          <w:sz w:val="24"/>
        </w:rPr>
      </w:pPr>
    </w:p>
    <w:p>
      <w:pPr>
        <w:pStyle w:val="style0"/>
        <w:spacing w:lineRule="exact" w:line="500"/>
        <w:ind w:left="540"/>
        <w:jc w:val="right"/>
        <w:rPr>
          <w:rFonts w:ascii="宋体" w:hAnsi="宋体"/>
          <w:sz w:val="24"/>
        </w:rPr>
      </w:pPr>
      <w:r>
        <w:rPr>
          <w:rFonts w:ascii="宋体" w:hAnsi="宋体" w:hint="eastAsia"/>
          <w:sz w:val="24"/>
        </w:rPr>
        <w:t>投标人名称（电子签章）</w:t>
      </w:r>
    </w:p>
    <w:p>
      <w:pPr>
        <w:pStyle w:val="style0"/>
        <w:spacing w:lineRule="exact" w:line="500"/>
        <w:ind w:left="540"/>
        <w:jc w:val="right"/>
        <w:rPr>
          <w:rFonts w:ascii="宋体" w:hAnsi="宋体"/>
          <w:sz w:val="24"/>
        </w:rPr>
      </w:pPr>
    </w:p>
    <w:p>
      <w:pPr>
        <w:pStyle w:val="style0"/>
        <w:snapToGrid w:val="false"/>
        <w:spacing w:beforeLines="50" w:after="50"/>
        <w:ind w:left="54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pStyle w:val="style0"/>
        <w:snapToGrid w:val="false"/>
        <w:spacing w:beforeLines="50" w:after="50"/>
        <w:jc w:val="center"/>
        <w:rPr>
          <w:rFonts w:ascii="宋体" w:hAnsi="宋体"/>
          <w:b/>
          <w:sz w:val="24"/>
        </w:rPr>
      </w:pPr>
    </w:p>
    <w:p>
      <w:pPr>
        <w:pStyle w:val="style0"/>
        <w:snapToGrid w:val="false"/>
        <w:spacing w:beforeLines="50" w:after="50"/>
        <w:jc w:val="left"/>
        <w:rPr>
          <w:rFonts w:ascii="宋体" w:hAnsi="宋体"/>
          <w:b/>
          <w:sz w:val="24"/>
          <w:szCs w:val="20"/>
        </w:rPr>
      </w:pPr>
      <w:r>
        <w:rPr>
          <w:rFonts w:ascii="宋体" w:hAnsi="宋体" w:hint="eastAsia"/>
          <w:sz w:val="24"/>
        </w:rPr>
        <w:t>注：自然人投标的无需提供</w:t>
      </w:r>
    </w:p>
    <w:p>
      <w:pPr>
        <w:pStyle w:val="style0"/>
        <w:snapToGrid w:val="false"/>
        <w:spacing w:beforeLines="50" w:after="50"/>
        <w:jc w:val="left"/>
        <w:rPr>
          <w:rFonts w:ascii="宋体" w:hAnsi="宋体"/>
          <w:b/>
          <w:sz w:val="24"/>
          <w:szCs w:val="20"/>
        </w:rPr>
      </w:pPr>
      <w:r>
        <w:rPr>
          <w:rFonts w:ascii="宋体" w:hAnsi="宋体"/>
          <w:b/>
          <w:sz w:val="24"/>
        </w:rPr>
        <w:br w:type="page"/>
      </w:r>
      <w:r>
        <w:rPr>
          <w:rFonts w:ascii="宋体" w:hAnsi="宋体"/>
          <w:b/>
          <w:sz w:val="24"/>
        </w:rPr>
        <w:t>5.授权委托书格式</w:t>
      </w:r>
    </w:p>
    <w:p>
      <w:pPr>
        <w:pStyle w:val="style0"/>
        <w:snapToGrid w:val="false"/>
        <w:spacing w:beforeLines="50" w:after="50"/>
        <w:jc w:val="center"/>
        <w:rPr>
          <w:rFonts w:ascii="宋体" w:hAnsi="宋体"/>
          <w:b/>
          <w:sz w:val="44"/>
          <w:szCs w:val="44"/>
        </w:rPr>
      </w:pPr>
    </w:p>
    <w:p>
      <w:pPr>
        <w:pStyle w:val="style0"/>
        <w:spacing w:lineRule="auto" w:line="360"/>
        <w:jc w:val="center"/>
        <w:contextualSpacing/>
        <w:rPr>
          <w:rFonts w:ascii="宋体" w:cs="方正小标宋简体" w:hAnsi="宋体"/>
          <w:bCs/>
          <w:sz w:val="44"/>
          <w:szCs w:val="44"/>
        </w:rPr>
      </w:pPr>
      <w:r>
        <w:rPr>
          <w:rFonts w:ascii="宋体" w:cs="方正小标宋简体" w:hAnsi="宋体" w:hint="eastAsia"/>
          <w:bCs/>
          <w:sz w:val="44"/>
          <w:szCs w:val="44"/>
        </w:rPr>
        <w:t>授权委托书</w:t>
      </w:r>
    </w:p>
    <w:p>
      <w:pPr>
        <w:pStyle w:val="style0"/>
        <w:spacing w:lineRule="auto" w:line="360"/>
        <w:jc w:val="center"/>
        <w:contextualSpacing/>
        <w:rPr>
          <w:rFonts w:ascii="宋体" w:cs="方正小标宋简体" w:hAnsi="宋体"/>
          <w:bCs/>
          <w:sz w:val="32"/>
          <w:szCs w:val="32"/>
        </w:rPr>
      </w:pPr>
      <w:r>
        <w:rPr>
          <w:rFonts w:ascii="宋体" w:cs="方正小标宋简体" w:hAnsi="宋体" w:hint="eastAsia"/>
          <w:bCs/>
          <w:sz w:val="32"/>
          <w:szCs w:val="32"/>
        </w:rPr>
        <w:t>（非联合体投标格式）</w:t>
      </w:r>
    </w:p>
    <w:p>
      <w:pPr>
        <w:pStyle w:val="style0"/>
        <w:spacing w:lineRule="auto" w:line="360"/>
        <w:jc w:val="center"/>
        <w:contextualSpacing/>
        <w:rPr>
          <w:rFonts w:ascii="宋体" w:cs="方正小标宋简体" w:hAnsi="宋体"/>
          <w:bCs/>
          <w:sz w:val="24"/>
        </w:rPr>
      </w:pPr>
      <w:r>
        <w:rPr>
          <w:rFonts w:ascii="宋体" w:cs="方正小标宋简体" w:hAnsi="宋体" w:hint="eastAsia"/>
          <w:bCs/>
          <w:sz w:val="32"/>
          <w:szCs w:val="32"/>
        </w:rPr>
        <w:t>（如有委托时）</w:t>
      </w:r>
    </w:p>
    <w:p>
      <w:pPr>
        <w:pStyle w:val="style0"/>
        <w:spacing w:lineRule="exact" w:line="440"/>
        <w:jc w:val="center"/>
        <w:contextualSpacing/>
        <w:rPr>
          <w:rFonts w:ascii="宋体" w:hAnsi="宋体"/>
          <w:b/>
          <w:sz w:val="24"/>
        </w:rPr>
      </w:pPr>
    </w:p>
    <w:p>
      <w:pPr>
        <w:pStyle w:val="style0"/>
        <w:spacing w:lineRule="exact" w:line="440"/>
        <w:contextualSpacing/>
        <w:rPr>
          <w:rFonts w:ascii="宋体" w:hAnsi="宋体"/>
          <w:b/>
          <w:bCs/>
          <w:sz w:val="24"/>
        </w:rPr>
      </w:pPr>
      <w:r>
        <w:rPr>
          <w:rFonts w:ascii="宋体" w:hAnsi="宋体" w:hint="eastAsia"/>
          <w:bCs/>
          <w:sz w:val="24"/>
        </w:rPr>
        <w:t>致：</w:t>
      </w:r>
      <w:r>
        <w:rPr>
          <w:rFonts w:ascii="宋体" w:hAnsi="宋体" w:hint="eastAsia"/>
          <w:sz w:val="24"/>
          <w:u w:val="single"/>
        </w:rPr>
        <w:t>采购人名称</w:t>
      </w:r>
      <w:r>
        <w:rPr>
          <w:rFonts w:ascii="宋体" w:hAnsi="宋体" w:hint="eastAsia"/>
          <w:sz w:val="24"/>
        </w:rPr>
        <w:t>：</w:t>
      </w:r>
    </w:p>
    <w:p>
      <w:pPr>
        <w:pStyle w:val="style0"/>
        <w:spacing w:lineRule="exact" w:line="440"/>
        <w:ind w:firstLine="566" w:firstLineChars="236"/>
        <w:contextualSpacing/>
        <w:rPr>
          <w:rFonts w:ascii="宋体" w:hAnsi="宋体"/>
          <w:sz w:val="24"/>
        </w:rPr>
      </w:pPr>
      <w:r>
        <w:rPr>
          <w:rFonts w:ascii="宋体" w:hAnsi="宋体" w:hint="eastAsia"/>
          <w:sz w:val="24"/>
        </w:rPr>
        <w:t>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（投标人名称）的法定代表人，现授权委托</w:t>
      </w:r>
      <w:r>
        <w:rPr>
          <w:rFonts w:ascii="宋体" w:hAnsi="宋体" w:hint="eastAsia"/>
          <w:sz w:val="24"/>
          <w:u w:val="single"/>
        </w:rPr>
        <w:t>（姓名）</w:t>
      </w:r>
      <w:r>
        <w:rPr>
          <w:rFonts w:ascii="宋体" w:hAnsi="宋体" w:hint="eastAsia"/>
          <w:sz w:val="24"/>
        </w:rPr>
        <w:t>以我方的名义参加</w:t>
      </w:r>
      <w:r>
        <w:rPr>
          <w:rFonts w:ascii="宋体" w:hAnsi="宋体" w:hint="eastAsia"/>
          <w:sz w:val="24"/>
          <w:u w:val="single"/>
        </w:rPr>
        <w:t xml:space="preserve">              </w:t>
      </w:r>
      <w:r>
        <w:rPr>
          <w:rFonts w:ascii="宋体" w:hAnsi="宋体" w:hint="eastAsia"/>
          <w:sz w:val="24"/>
        </w:rPr>
        <w:t>项目的投标活动，并代表我方全权办理针对上述项目的所有采购程序和环节的具体事务和签署相关文件。</w:t>
      </w:r>
    </w:p>
    <w:p>
      <w:pPr>
        <w:pStyle w:val="style0"/>
        <w:spacing w:lineRule="exact" w:line="440"/>
        <w:contextualSpacing/>
        <w:rPr>
          <w:rFonts w:ascii="宋体" w:hAnsi="宋体"/>
          <w:sz w:val="24"/>
        </w:rPr>
      </w:pPr>
      <w:r>
        <w:rPr>
          <w:rFonts w:ascii="宋体" w:hAnsi="宋体" w:hint="eastAsia"/>
          <w:sz w:val="24"/>
        </w:rPr>
        <w:t xml:space="preserve">    我方对委托代理人的签字或者电子签名事项负全部责任。</w:t>
      </w:r>
    </w:p>
    <w:p>
      <w:pPr>
        <w:pStyle w:val="style0"/>
        <w:spacing w:lineRule="exact" w:line="440"/>
        <w:ind w:firstLine="480"/>
        <w:contextualSpacing/>
        <w:rPr>
          <w:rFonts w:ascii="宋体" w:hAnsi="宋体"/>
          <w:sz w:val="24"/>
        </w:rPr>
      </w:pPr>
      <w:r>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pPr>
        <w:pStyle w:val="style0"/>
        <w:spacing w:lineRule="exact" w:line="440"/>
        <w:ind w:firstLine="480"/>
        <w:contextualSpacing/>
        <w:rPr>
          <w:rFonts w:ascii="宋体" w:hAnsi="宋体"/>
          <w:sz w:val="24"/>
        </w:rPr>
      </w:pPr>
      <w:r>
        <w:rPr>
          <w:rFonts w:ascii="宋体" w:hAnsi="宋体" w:hint="eastAsia"/>
          <w:sz w:val="24"/>
        </w:rPr>
        <w:t>委托代理人无转委托权，特此委托。</w:t>
      </w:r>
    </w:p>
    <w:p>
      <w:pPr>
        <w:pStyle w:val="style0"/>
        <w:spacing w:lineRule="exact" w:line="440"/>
        <w:ind w:firstLine="480"/>
        <w:contextualSpacing/>
        <w:rPr>
          <w:rFonts w:ascii="宋体" w:hAnsi="宋体"/>
          <w:sz w:val="24"/>
        </w:rPr>
      </w:pPr>
      <w:r>
        <w:rPr>
          <w:rFonts w:ascii="宋体" w:hAnsi="宋体" w:hint="eastAsia"/>
          <w:sz w:val="24"/>
        </w:rPr>
        <w:t>附：法定代表人身份证明及委托代理人有效身份证正反面复印件</w:t>
      </w:r>
    </w:p>
    <w:p>
      <w:pPr>
        <w:pStyle w:val="style0"/>
        <w:spacing w:lineRule="exact" w:line="440"/>
        <w:contextualSpacing/>
        <w:rPr>
          <w:rFonts w:ascii="宋体" w:hAnsi="宋体"/>
          <w:sz w:val="24"/>
        </w:rPr>
      </w:pPr>
    </w:p>
    <w:p>
      <w:pPr>
        <w:pStyle w:val="style0"/>
        <w:spacing w:lineRule="exact" w:line="440"/>
        <w:contextualSpacing/>
        <w:rPr>
          <w:rFonts w:ascii="宋体" w:hAnsi="宋体"/>
          <w:sz w:val="24"/>
        </w:rPr>
      </w:pPr>
      <w:r>
        <w:rPr>
          <w:rFonts w:ascii="宋体" w:hAnsi="宋体" w:hint="eastAsia"/>
          <w:sz w:val="24"/>
        </w:rPr>
        <w:t>委托代理人（签字/电子签名）：</w:t>
      </w:r>
      <w:r>
        <w:rPr>
          <w:rFonts w:ascii="宋体" w:hAnsi="宋体" w:hint="eastAsia"/>
          <w:sz w:val="24"/>
          <w:u w:val="single"/>
        </w:rPr>
        <w:t xml:space="preserve">               </w:t>
      </w:r>
      <w:r>
        <w:rPr>
          <w:rFonts w:ascii="宋体" w:hAnsi="宋体" w:hint="eastAsia"/>
          <w:sz w:val="24"/>
        </w:rPr>
        <w:t xml:space="preserve">            </w:t>
      </w:r>
    </w:p>
    <w:p>
      <w:pPr>
        <w:pStyle w:val="style0"/>
        <w:spacing w:lineRule="exact" w:line="440"/>
        <w:contextualSpacing/>
        <w:rPr>
          <w:rFonts w:ascii="宋体" w:hAnsi="宋体"/>
          <w:sz w:val="24"/>
          <w:u w:val="single"/>
        </w:rPr>
      </w:pPr>
      <w:r>
        <w:rPr>
          <w:rFonts w:ascii="宋体" w:hAnsi="宋体" w:hint="eastAsia"/>
          <w:sz w:val="24"/>
        </w:rPr>
        <w:t>委托代理人身份证号码：</w:t>
      </w:r>
      <w:r>
        <w:rPr>
          <w:rFonts w:ascii="宋体" w:hAnsi="宋体" w:hint="eastAsia"/>
          <w:sz w:val="24"/>
          <w:u w:val="single"/>
        </w:rPr>
        <w:t xml:space="preserve">                             </w:t>
      </w:r>
    </w:p>
    <w:p>
      <w:pPr>
        <w:pStyle w:val="style0"/>
        <w:spacing w:lineRule="exact" w:line="440"/>
        <w:contextualSpacing/>
        <w:rPr>
          <w:rFonts w:ascii="宋体" w:hAnsi="宋体"/>
          <w:sz w:val="24"/>
          <w:u w:val="single"/>
        </w:rPr>
      </w:pPr>
      <w:r>
        <w:rPr>
          <w:rFonts w:ascii="宋体" w:hAnsi="宋体" w:hint="eastAsia"/>
          <w:sz w:val="24"/>
        </w:rPr>
        <w:t>法定代表人（签字或者盖章或者电子签名）：</w:t>
      </w:r>
      <w:r>
        <w:rPr>
          <w:rFonts w:ascii="宋体" w:hAnsi="宋体" w:hint="eastAsia"/>
          <w:sz w:val="24"/>
          <w:u w:val="single"/>
        </w:rPr>
        <w:t xml:space="preserve">              </w:t>
      </w:r>
    </w:p>
    <w:p>
      <w:pPr>
        <w:pStyle w:val="style0"/>
        <w:spacing w:lineRule="exact" w:line="440"/>
        <w:contextualSpacing/>
        <w:rPr>
          <w:rFonts w:ascii="宋体" w:hAnsi="宋体"/>
          <w:sz w:val="24"/>
        </w:rPr>
      </w:pPr>
    </w:p>
    <w:p>
      <w:pPr>
        <w:pStyle w:val="style0"/>
        <w:spacing w:lineRule="exact" w:line="440"/>
        <w:jc w:val="center"/>
        <w:contextualSpacing/>
        <w:rPr>
          <w:rFonts w:ascii="宋体" w:hAnsi="宋体"/>
          <w:sz w:val="24"/>
        </w:rPr>
      </w:pPr>
      <w:r>
        <w:rPr>
          <w:rFonts w:ascii="宋体" w:hAnsi="宋体"/>
          <w:sz w:val="24"/>
        </w:rPr>
        <w:t xml:space="preserve">                                                投标人名称（电子签章）：</w:t>
      </w:r>
    </w:p>
    <w:p>
      <w:pPr>
        <w:pStyle w:val="style0"/>
        <w:spacing w:lineRule="exact" w:line="440"/>
        <w:jc w:val="center"/>
        <w:contextualSpacing/>
        <w:rPr>
          <w:rFonts w:ascii="宋体" w:hAnsi="宋体"/>
          <w:sz w:val="24"/>
        </w:rPr>
      </w:pPr>
      <w:r>
        <w:rPr>
          <w:rFonts w:ascii="宋体" w:hAnsi="宋体"/>
          <w:sz w:val="24"/>
        </w:rPr>
        <w:t xml:space="preserve">                                              年    月    日</w:t>
      </w:r>
    </w:p>
    <w:p>
      <w:pPr>
        <w:pStyle w:val="style0"/>
        <w:spacing w:lineRule="exact" w:line="440"/>
        <w:contextualSpacing/>
        <w:rPr>
          <w:rFonts w:ascii="宋体" w:cs="仿宋_GB2312" w:hAnsi="宋体"/>
          <w:sz w:val="24"/>
        </w:rPr>
      </w:pPr>
      <w:r>
        <w:rPr>
          <w:rFonts w:ascii="宋体" w:cs="仿宋_GB2312" w:hAnsi="宋体" w:hint="eastAsia"/>
          <w:sz w:val="24"/>
        </w:rPr>
        <w:t>注：</w:t>
      </w:r>
      <w:r>
        <w:rPr>
          <w:rFonts w:ascii="宋体" w:cs="仿宋_GB2312" w:hAnsi="宋体"/>
          <w:sz w:val="24"/>
        </w:rPr>
        <w:t>1.</w:t>
      </w:r>
      <w:bookmarkStart w:id="198" w:name="_Hlk65851555"/>
      <w:bookmarkStart w:id="199" w:name="_Hlk65851620"/>
      <w:r>
        <w:rPr>
          <w:rFonts w:ascii="宋体" w:cs="仿宋_GB2312" w:hAnsi="宋体" w:hint="eastAsia"/>
          <w:sz w:val="24"/>
        </w:rPr>
        <w:t>法定代表人必须在授权委托书上亲笔签字或者盖章</w:t>
      </w:r>
      <w:r>
        <w:rPr>
          <w:rFonts w:ascii="宋体" w:hAnsi="宋体" w:hint="eastAsia"/>
          <w:sz w:val="24"/>
        </w:rPr>
        <w:t>或者电子签名</w:t>
      </w:r>
      <w:r>
        <w:rPr>
          <w:rFonts w:ascii="宋体" w:cs="仿宋_GB2312" w:hAnsi="宋体" w:hint="eastAsia"/>
          <w:sz w:val="24"/>
        </w:rPr>
        <w:t>，</w:t>
      </w:r>
      <w:bookmarkEnd w:id="198"/>
      <w:r>
        <w:rPr>
          <w:rFonts w:ascii="宋体" w:cs="仿宋_GB2312" w:hAnsi="宋体" w:hint="eastAsia"/>
          <w:sz w:val="24"/>
        </w:rPr>
        <w:t>委托代理人必须在授权委托书上亲笔签字</w:t>
      </w:r>
      <w:r>
        <w:rPr>
          <w:rFonts w:ascii="宋体" w:hAnsi="宋体" w:hint="eastAsia"/>
          <w:sz w:val="24"/>
        </w:rPr>
        <w:t>或者电子签名</w:t>
      </w:r>
      <w:r>
        <w:rPr>
          <w:rFonts w:ascii="宋体" w:cs="仿宋_GB2312" w:hAnsi="宋体" w:hint="eastAsia"/>
          <w:sz w:val="24"/>
        </w:rPr>
        <w:t>，</w:t>
      </w:r>
      <w:r>
        <w:rPr>
          <w:rFonts w:ascii="宋体" w:cs="仿宋_GB2312" w:hAnsi="宋体" w:hint="eastAsia"/>
          <w:b/>
          <w:bCs/>
          <w:sz w:val="24"/>
        </w:rPr>
        <w:t>否则按无效投标处理</w:t>
      </w:r>
      <w:r>
        <w:rPr>
          <w:rFonts w:ascii="宋体" w:cs="仿宋_GB2312" w:hAnsi="宋体" w:hint="eastAsia"/>
          <w:sz w:val="24"/>
        </w:rPr>
        <w:t>；</w:t>
      </w:r>
      <w:bookmarkEnd w:id="199"/>
    </w:p>
    <w:p>
      <w:pPr>
        <w:pStyle w:val="style0"/>
        <w:spacing w:lineRule="exact" w:line="440"/>
        <w:ind w:firstLine="480" w:firstLineChars="200"/>
        <w:jc w:val="left"/>
        <w:contextualSpacing/>
        <w:rPr>
          <w:rFonts w:ascii="宋体" w:hAnsi="宋体"/>
          <w:sz w:val="24"/>
        </w:rPr>
      </w:pPr>
      <w:r>
        <w:rPr>
          <w:rFonts w:ascii="宋体" w:cs="仿宋_GB2312" w:hAnsi="宋体"/>
          <w:sz w:val="24"/>
        </w:rPr>
        <w:t>2.法人、其他组织投标时“我方”是指“我单位”，自然人投标时“我方”是指“本人”。</w:t>
      </w:r>
    </w:p>
    <w:p>
      <w:pPr>
        <w:pStyle w:val="style0"/>
        <w:snapToGrid w:val="false"/>
        <w:spacing w:beforeLines="50" w:after="50"/>
        <w:ind w:firstLine="566" w:firstLineChars="236"/>
        <w:jc w:val="center"/>
        <w:rPr>
          <w:rFonts w:ascii="宋体" w:cs="方正小标宋简体" w:hAnsi="宋体"/>
          <w:sz w:val="44"/>
          <w:szCs w:val="44"/>
        </w:rPr>
      </w:pPr>
      <w:r>
        <w:rPr>
          <w:rFonts w:ascii="宋体" w:hAnsi="宋体"/>
          <w:sz w:val="24"/>
        </w:rPr>
        <w:br w:type="page"/>
      </w:r>
      <w:r>
        <w:rPr>
          <w:rFonts w:ascii="宋体" w:cs="方正小标宋简体" w:hAnsi="宋体" w:hint="eastAsia"/>
          <w:sz w:val="44"/>
          <w:szCs w:val="44"/>
        </w:rPr>
        <w:t>授权委托书</w:t>
      </w:r>
    </w:p>
    <w:p>
      <w:pPr>
        <w:pStyle w:val="style0"/>
        <w:snapToGrid w:val="false"/>
        <w:spacing w:beforeLines="50" w:after="50"/>
        <w:ind w:firstLine="755" w:firstLineChars="236"/>
        <w:jc w:val="center"/>
        <w:rPr>
          <w:rFonts w:ascii="宋体" w:cs="方正小标宋简体" w:hAnsi="宋体"/>
          <w:sz w:val="32"/>
          <w:szCs w:val="32"/>
        </w:rPr>
      </w:pPr>
      <w:r>
        <w:rPr>
          <w:rFonts w:ascii="宋体" w:cs="方正小标宋简体" w:hAnsi="宋体" w:hint="eastAsia"/>
          <w:sz w:val="32"/>
          <w:szCs w:val="32"/>
        </w:rPr>
        <w:t>（联合体投标格式）</w:t>
      </w:r>
    </w:p>
    <w:p>
      <w:pPr>
        <w:pStyle w:val="style0"/>
        <w:snapToGrid w:val="false"/>
        <w:spacing w:beforeLines="50" w:after="50"/>
        <w:ind w:firstLine="755" w:firstLineChars="236"/>
        <w:jc w:val="center"/>
        <w:rPr>
          <w:rFonts w:ascii="宋体" w:cs="方正小标宋简体" w:hAnsi="宋体"/>
          <w:sz w:val="24"/>
        </w:rPr>
      </w:pPr>
      <w:r>
        <w:rPr>
          <w:rFonts w:ascii="宋体" w:cs="方正小标宋简体" w:hAnsi="宋体" w:hint="eastAsia"/>
          <w:sz w:val="32"/>
          <w:szCs w:val="32"/>
        </w:rPr>
        <w:t>（如有委托时）</w:t>
      </w:r>
    </w:p>
    <w:p>
      <w:pPr>
        <w:pStyle w:val="style0"/>
        <w:spacing w:lineRule="exact" w:line="440"/>
        <w:jc w:val="left"/>
        <w:rPr>
          <w:rFonts w:ascii="宋体" w:hAnsi="宋体"/>
          <w:sz w:val="24"/>
        </w:rPr>
      </w:pPr>
      <w:r>
        <w:rPr>
          <w:rFonts w:ascii="宋体" w:hAnsi="宋体" w:hint="eastAsia"/>
          <w:bCs/>
          <w:sz w:val="24"/>
        </w:rPr>
        <w:t>致：</w:t>
      </w:r>
      <w:r>
        <w:rPr>
          <w:rFonts w:ascii="宋体" w:hAnsi="宋体" w:hint="eastAsia"/>
          <w:sz w:val="24"/>
          <w:u w:val="single"/>
        </w:rPr>
        <w:t>采购人名称</w:t>
      </w:r>
      <w:r>
        <w:rPr>
          <w:rFonts w:ascii="宋体" w:hAnsi="宋体" w:hint="eastAsia"/>
          <w:sz w:val="24"/>
        </w:rPr>
        <w:t>：</w:t>
      </w:r>
    </w:p>
    <w:p>
      <w:pPr>
        <w:pStyle w:val="style0"/>
        <w:spacing w:lineRule="exact" w:line="440"/>
        <w:ind w:firstLine="566" w:firstLineChars="236"/>
        <w:rPr>
          <w:rFonts w:ascii="宋体" w:hAnsi="宋体"/>
          <w:sz w:val="24"/>
        </w:rPr>
      </w:pPr>
      <w:r>
        <w:rPr>
          <w:rFonts w:ascii="宋体" w:hAnsi="宋体" w:hint="eastAsia"/>
          <w:sz w:val="24"/>
        </w:rPr>
        <w:t xml:space="preserve">根据 </w:t>
      </w:r>
      <w:r>
        <w:rPr>
          <w:rFonts w:ascii="宋体" w:hAnsi="宋体" w:hint="eastAsia"/>
          <w:sz w:val="24"/>
          <w:u w:val="single"/>
        </w:rPr>
        <w:t xml:space="preserve"> （牵头人名称）</w:t>
      </w:r>
      <w:r>
        <w:rPr>
          <w:rFonts w:ascii="宋体" w:hAnsi="宋体" w:hint="eastAsia"/>
          <w:sz w:val="24"/>
        </w:rPr>
        <w:t>与</w:t>
      </w:r>
      <w:r>
        <w:rPr>
          <w:rFonts w:ascii="宋体" w:hAnsi="宋体" w:hint="eastAsia"/>
          <w:sz w:val="24"/>
          <w:u w:val="single"/>
        </w:rPr>
        <w:t>（联合体其他成员名称）</w:t>
      </w:r>
      <w:r>
        <w:rPr>
          <w:rFonts w:ascii="宋体" w:hAnsi="宋体" w:hint="eastAsia"/>
          <w:sz w:val="24"/>
        </w:rPr>
        <w:t>签订的《联合体投标协议书》的内容，</w:t>
      </w:r>
      <w:r>
        <w:rPr>
          <w:rFonts w:ascii="宋体" w:hAnsi="宋体" w:hint="eastAsia"/>
          <w:sz w:val="24"/>
          <w:u w:val="single"/>
        </w:rPr>
        <w:t>（牵头人名称）</w:t>
      </w:r>
      <w:r>
        <w:rPr>
          <w:rFonts w:ascii="宋体" w:hAnsi="宋体" w:hint="eastAsia"/>
          <w:sz w:val="24"/>
        </w:rPr>
        <w:t>的法定代表人</w:t>
      </w:r>
      <w:r>
        <w:rPr>
          <w:rFonts w:ascii="宋体" w:hAnsi="宋体" w:hint="eastAsia"/>
          <w:sz w:val="24"/>
          <w:u w:val="single"/>
        </w:rPr>
        <w:t>（姓名）</w:t>
      </w:r>
      <w:r>
        <w:rPr>
          <w:rFonts w:ascii="宋体" w:hAnsi="宋体" w:hint="eastAsia"/>
          <w:sz w:val="24"/>
        </w:rPr>
        <w:t>现授权委托</w:t>
      </w:r>
      <w:r>
        <w:rPr>
          <w:rFonts w:ascii="宋体" w:hAnsi="宋体" w:hint="eastAsia"/>
          <w:sz w:val="24"/>
          <w:u w:val="single"/>
        </w:rPr>
        <w:t xml:space="preserve">              （姓名）</w:t>
      </w:r>
      <w:r>
        <w:rPr>
          <w:rFonts w:ascii="宋体" w:hAnsi="宋体" w:hint="eastAsia"/>
          <w:sz w:val="24"/>
        </w:rPr>
        <w:t>以我方的名义参加</w:t>
      </w:r>
      <w:r>
        <w:rPr>
          <w:rFonts w:ascii="宋体" w:hAnsi="宋体" w:hint="eastAsia"/>
          <w:sz w:val="24"/>
          <w:u w:val="single"/>
        </w:rPr>
        <w:t xml:space="preserve">              </w:t>
      </w:r>
      <w:r>
        <w:rPr>
          <w:rFonts w:ascii="宋体" w:hAnsi="宋体" w:hint="eastAsia"/>
          <w:sz w:val="24"/>
        </w:rPr>
        <w:t>项目的投标活动，并代表我方全权办理针对上述项目的所有采购程序和环节的具体事务和签署相关文件。</w:t>
      </w:r>
    </w:p>
    <w:p>
      <w:pPr>
        <w:pStyle w:val="style0"/>
        <w:spacing w:lineRule="exact" w:line="440"/>
        <w:ind w:firstLine="566" w:firstLineChars="236"/>
        <w:rPr>
          <w:rFonts w:ascii="宋体" w:hAnsi="宋体"/>
          <w:sz w:val="24"/>
        </w:rPr>
      </w:pPr>
      <w:r>
        <w:rPr>
          <w:rFonts w:ascii="宋体" w:hAnsi="宋体" w:hint="eastAsia"/>
          <w:sz w:val="24"/>
        </w:rPr>
        <w:t>我方对委托代理人的签字或者电子签名事项负全部责任。</w:t>
      </w:r>
    </w:p>
    <w:p>
      <w:pPr>
        <w:pStyle w:val="style0"/>
        <w:spacing w:lineRule="exact" w:line="440"/>
        <w:ind w:firstLine="566" w:firstLineChars="236"/>
        <w:rPr>
          <w:rFonts w:ascii="宋体" w:hAnsi="宋体"/>
          <w:sz w:val="24"/>
        </w:rPr>
      </w:pPr>
      <w:r>
        <w:rPr>
          <w:rFonts w:ascii="宋体" w:hAnsi="宋体" w:hint="eastAsia"/>
          <w:sz w:val="24"/>
        </w:rPr>
        <w:t>本授权书自签署之日起生效，在撤销授权的书面通知以前，本授权书一直有效。委托代理人在授权书有效期内签署的所有文件不因授权的撤销而失效。</w:t>
      </w:r>
    </w:p>
    <w:p>
      <w:pPr>
        <w:pStyle w:val="style0"/>
        <w:spacing w:lineRule="exact" w:line="440"/>
        <w:ind w:firstLine="566" w:firstLineChars="236"/>
        <w:rPr>
          <w:rFonts w:ascii="宋体" w:hAnsi="宋体"/>
          <w:sz w:val="24"/>
        </w:rPr>
      </w:pPr>
      <w:r>
        <w:rPr>
          <w:rFonts w:ascii="宋体" w:hAnsi="宋体" w:hint="eastAsia"/>
          <w:sz w:val="24"/>
        </w:rPr>
        <w:t>委托代理人无转委托权，特此委托。</w:t>
      </w:r>
    </w:p>
    <w:p>
      <w:pPr>
        <w:pStyle w:val="style0"/>
        <w:spacing w:lineRule="exact" w:line="440"/>
        <w:ind w:firstLine="566" w:firstLineChars="236"/>
        <w:rPr>
          <w:rFonts w:ascii="宋体" w:hAnsi="宋体"/>
          <w:sz w:val="24"/>
        </w:rPr>
      </w:pPr>
      <w:r>
        <w:rPr>
          <w:rFonts w:ascii="宋体" w:hAnsi="宋体" w:hint="eastAsia"/>
          <w:sz w:val="24"/>
        </w:rPr>
        <w:t>附：牵头人法定代表人身份证明及委托代理人有效身份证正反面复印件</w:t>
      </w:r>
    </w:p>
    <w:p>
      <w:pPr>
        <w:pStyle w:val="style0"/>
        <w:spacing w:lineRule="exact" w:line="440"/>
        <w:ind w:firstLine="566" w:firstLineChars="236"/>
        <w:rPr>
          <w:rFonts w:ascii="宋体" w:hAnsi="宋体"/>
          <w:sz w:val="24"/>
        </w:rPr>
      </w:pPr>
    </w:p>
    <w:p>
      <w:pPr>
        <w:pStyle w:val="style0"/>
        <w:spacing w:lineRule="exact" w:line="440"/>
        <w:ind w:firstLine="566" w:firstLineChars="236"/>
        <w:rPr>
          <w:rFonts w:ascii="宋体" w:hAnsi="宋体"/>
          <w:sz w:val="24"/>
        </w:rPr>
      </w:pPr>
      <w:r>
        <w:rPr>
          <w:rFonts w:ascii="宋体" w:hAnsi="宋体" w:hint="eastAsia"/>
          <w:sz w:val="24"/>
        </w:rPr>
        <w:t>牵头人法定代表人（签字或者盖章或者电子签名）：</w:t>
      </w:r>
    </w:p>
    <w:p>
      <w:pPr>
        <w:pStyle w:val="style0"/>
        <w:spacing w:lineRule="exact" w:line="440"/>
        <w:ind w:firstLine="566" w:firstLineChars="236"/>
        <w:rPr>
          <w:rFonts w:ascii="宋体" w:hAnsi="宋体"/>
          <w:sz w:val="24"/>
        </w:rPr>
      </w:pPr>
      <w:r>
        <w:rPr>
          <w:rFonts w:ascii="宋体" w:hAnsi="宋体" w:hint="eastAsia"/>
          <w:sz w:val="24"/>
        </w:rPr>
        <w:t>牵头人（电子签章）：</w:t>
      </w:r>
    </w:p>
    <w:p>
      <w:pPr>
        <w:pStyle w:val="style0"/>
        <w:spacing w:lineRule="exact" w:line="440"/>
        <w:ind w:firstLine="566" w:firstLineChars="236"/>
        <w:rPr>
          <w:rFonts w:ascii="宋体" w:hAnsi="宋体"/>
          <w:sz w:val="24"/>
        </w:rPr>
      </w:pPr>
      <w:r>
        <w:rPr>
          <w:rFonts w:ascii="宋体" w:hAnsi="宋体" w:hint="eastAsia"/>
          <w:sz w:val="24"/>
        </w:rPr>
        <w:t>日期：    年   月   日</w:t>
      </w:r>
    </w:p>
    <w:p>
      <w:pPr>
        <w:pStyle w:val="style0"/>
        <w:spacing w:lineRule="exact" w:line="440"/>
        <w:ind w:firstLine="566" w:firstLineChars="236"/>
        <w:rPr>
          <w:rFonts w:ascii="宋体" w:hAnsi="宋体"/>
          <w:sz w:val="24"/>
        </w:rPr>
      </w:pPr>
    </w:p>
    <w:p>
      <w:pPr>
        <w:pStyle w:val="style0"/>
        <w:spacing w:lineRule="exact" w:line="440"/>
        <w:ind w:firstLine="566" w:firstLineChars="236"/>
        <w:rPr>
          <w:rFonts w:ascii="宋体" w:hAnsi="宋体"/>
          <w:sz w:val="24"/>
        </w:rPr>
      </w:pPr>
      <w:r>
        <w:rPr>
          <w:rFonts w:ascii="宋体" w:hAnsi="宋体" w:hint="eastAsia"/>
          <w:sz w:val="24"/>
        </w:rPr>
        <w:t>被授权人（签字/电子签名）：</w:t>
      </w:r>
    </w:p>
    <w:p>
      <w:pPr>
        <w:pStyle w:val="style0"/>
        <w:spacing w:lineRule="exact" w:line="440"/>
        <w:ind w:firstLine="566" w:firstLineChars="236"/>
        <w:rPr>
          <w:rFonts w:ascii="宋体" w:cs="仿宋_GB2312" w:hAnsi="宋体"/>
          <w:sz w:val="32"/>
          <w:szCs w:val="32"/>
        </w:rPr>
      </w:pPr>
      <w:r>
        <w:rPr>
          <w:rFonts w:ascii="宋体" w:hAnsi="宋体" w:hint="eastAsia"/>
          <w:sz w:val="24"/>
        </w:rPr>
        <w:t>日期：    年   月   日</w:t>
      </w:r>
    </w:p>
    <w:p>
      <w:pPr>
        <w:pStyle w:val="style0"/>
        <w:spacing w:lineRule="exact" w:line="440"/>
        <w:rPr>
          <w:rFonts w:ascii="宋体" w:cs="仿宋_GB2312" w:hAnsi="宋体"/>
          <w:sz w:val="24"/>
        </w:rPr>
      </w:pPr>
      <w:r>
        <w:rPr>
          <w:rFonts w:ascii="宋体" w:cs="仿宋_GB2312" w:hAnsi="宋体" w:hint="eastAsia"/>
          <w:sz w:val="24"/>
        </w:rPr>
        <w:t>注：1. 法定代表人必须在授权委托书上亲笔签字或者盖章</w:t>
      </w:r>
      <w:r>
        <w:rPr>
          <w:rFonts w:ascii="宋体" w:hAnsi="宋体" w:hint="eastAsia"/>
          <w:sz w:val="24"/>
        </w:rPr>
        <w:t>或者电子签名</w:t>
      </w:r>
      <w:r>
        <w:rPr>
          <w:rFonts w:ascii="宋体" w:cs="仿宋_GB2312" w:hAnsi="宋体" w:hint="eastAsia"/>
          <w:sz w:val="24"/>
        </w:rPr>
        <w:t>，委托代理人必须在授权委托书上亲笔签字或者电子签名，</w:t>
      </w:r>
      <w:r>
        <w:rPr>
          <w:rFonts w:ascii="宋体" w:cs="仿宋_GB2312" w:hAnsi="宋体" w:hint="eastAsia"/>
          <w:b/>
          <w:bCs/>
          <w:sz w:val="24"/>
        </w:rPr>
        <w:t>否则按无效投标处理</w:t>
      </w:r>
      <w:r>
        <w:rPr>
          <w:rFonts w:ascii="宋体" w:cs="仿宋_GB2312" w:hAnsi="宋体" w:hint="eastAsia"/>
          <w:sz w:val="24"/>
        </w:rPr>
        <w:t>；</w:t>
      </w:r>
    </w:p>
    <w:p>
      <w:pPr>
        <w:pStyle w:val="style0"/>
        <w:spacing w:lineRule="exact" w:line="440"/>
        <w:ind w:firstLine="480" w:firstLineChars="200"/>
        <w:jc w:val="left"/>
        <w:rPr>
          <w:rFonts w:ascii="宋体" w:cs="仿宋_GB2312" w:hAnsi="宋体"/>
          <w:sz w:val="24"/>
        </w:rPr>
      </w:pPr>
      <w:r>
        <w:rPr>
          <w:rFonts w:ascii="宋体" w:cs="仿宋_GB2312" w:hAnsi="宋体" w:hint="eastAsia"/>
          <w:sz w:val="24"/>
        </w:rPr>
        <w:t>2.本授权委托书应由联合体牵头人的法定代表人按上述规定</w:t>
      </w:r>
      <w:r>
        <w:rPr>
          <w:rFonts w:ascii="宋体" w:hAnsi="宋体" w:hint="eastAsia"/>
          <w:sz w:val="24"/>
        </w:rPr>
        <w:t>签字或者盖章或者电子签名</w:t>
      </w:r>
      <w:r>
        <w:rPr>
          <w:rFonts w:ascii="宋体" w:cs="仿宋_GB2312" w:hAnsi="宋体" w:hint="eastAsia"/>
          <w:sz w:val="24"/>
        </w:rPr>
        <w:t>。</w:t>
      </w:r>
    </w:p>
    <w:p>
      <w:pPr>
        <w:pStyle w:val="style0"/>
        <w:spacing w:lineRule="exact" w:line="440"/>
        <w:ind w:firstLine="480" w:firstLineChars="200"/>
        <w:jc w:val="left"/>
        <w:rPr>
          <w:rFonts w:ascii="宋体" w:hAnsi="宋体"/>
          <w:sz w:val="24"/>
        </w:rPr>
      </w:pPr>
      <w:r>
        <w:rPr>
          <w:rFonts w:ascii="宋体" w:cs="仿宋_GB2312" w:hAnsi="宋体" w:hint="eastAsia"/>
          <w:sz w:val="24"/>
        </w:rPr>
        <w:t>3.法人、其他组织投标时“我方”是指“我单位”，自然人投标时“我方”是指“本人”。</w:t>
      </w:r>
    </w:p>
    <w:p>
      <w:pPr>
        <w:pStyle w:val="style0"/>
        <w:snapToGrid w:val="false"/>
        <w:spacing w:before="50" w:afterLines="50"/>
        <w:ind w:firstLine="480" w:firstLineChars="200"/>
        <w:jc w:val="left"/>
        <w:rPr>
          <w:rFonts w:ascii="宋体" w:hAnsi="宋体"/>
          <w:sz w:val="24"/>
        </w:rPr>
        <w:sectPr>
          <w:footerReference w:type="even" r:id="rId6"/>
          <w:footerReference w:type="default" r:id="rId7"/>
          <w:footerReference w:type="first" r:id="rId8"/>
          <w:pgSz w:w="11906" w:h="16838" w:orient="portrait"/>
          <w:pgMar w:top="1701" w:right="1701" w:bottom="1701" w:left="1701" w:header="851" w:footer="992" w:gutter="0"/>
          <w:cols w:space="720"/>
          <w:titlePg/>
          <w:docGrid w:linePitch="312"/>
        </w:sectPr>
      </w:pPr>
    </w:p>
    <w:p>
      <w:pPr>
        <w:pStyle w:val="style0"/>
        <w:rPr>
          <w:rFonts w:ascii="宋体" w:hAnsi="宋体"/>
          <w:sz w:val="24"/>
        </w:rPr>
      </w:pPr>
    </w:p>
    <w:p>
      <w:pPr>
        <w:pStyle w:val="style0"/>
        <w:rPr>
          <w:rFonts w:ascii="宋体" w:hAnsi="宋体"/>
          <w:b/>
          <w:sz w:val="24"/>
          <w:szCs w:val="20"/>
        </w:rPr>
      </w:pPr>
      <w:r>
        <w:rPr>
          <w:rFonts w:ascii="宋体" w:hAnsi="宋体"/>
          <w:b/>
          <w:sz w:val="24"/>
        </w:rPr>
        <w:t>6.商务要求偏离表格式（注：按项目需求表具体项目修改）</w:t>
      </w:r>
    </w:p>
    <w:p>
      <w:pPr>
        <w:pStyle w:val="style0"/>
        <w:snapToGrid w:val="false"/>
        <w:spacing w:before="50"/>
        <w:jc w:val="left"/>
        <w:rPr>
          <w:rFonts w:ascii="宋体" w:hAnsi="宋体"/>
          <w:sz w:val="24"/>
        </w:rPr>
      </w:pPr>
    </w:p>
    <w:p>
      <w:pPr>
        <w:pStyle w:val="style0"/>
        <w:rPr>
          <w:rFonts w:ascii="宋体" w:hAnsi="宋体"/>
          <w:sz w:val="24"/>
        </w:rPr>
      </w:pPr>
      <w:r>
        <w:rPr>
          <w:rFonts w:ascii="宋体" w:hAnsi="宋体" w:hint="eastAsia"/>
          <w:sz w:val="24"/>
        </w:rPr>
        <w:t>所投分标：分标</w:t>
      </w:r>
    </w:p>
    <w:p>
      <w:pPr>
        <w:pStyle w:val="style0"/>
        <w:snapToGrid w:val="false"/>
        <w:spacing w:before="50"/>
        <w:jc w:val="left"/>
        <w:rPr>
          <w:rFonts w:ascii="宋体" w:hAnsi="宋体"/>
          <w:sz w:val="24"/>
          <w:u w:val="single"/>
        </w:rPr>
      </w:pPr>
    </w:p>
    <w:tbl>
      <w:tblPr>
        <w:tblW w:w="80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8"/>
        <w:gridCol w:w="2552"/>
        <w:gridCol w:w="2172"/>
        <w:gridCol w:w="1443"/>
      </w:tblGrid>
      <w:tr>
        <w:trPr>
          <w:trHeight w:val="642" w:hRule="atLeast"/>
          <w:jc w:val="center"/>
        </w:trPr>
        <w:tc>
          <w:tcPr>
            <w:tcW w:w="1928" w:type="dxa"/>
            <w:tcBorders>
              <w:top w:val="single" w:sz="4" w:space="0" w:color="auto"/>
              <w:left w:val="single" w:sz="4" w:space="0" w:color="auto"/>
              <w:bottom w:val="single" w:sz="4" w:space="0" w:color="auto"/>
              <w:right w:val="single" w:sz="4" w:space="0" w:color="auto"/>
            </w:tcBorders>
          </w:tcPr>
          <w:p>
            <w:pPr>
              <w:pStyle w:val="style0"/>
              <w:snapToGrid w:val="false"/>
              <w:spacing w:beforeLines="50"/>
              <w:jc w:val="center"/>
              <w:rPr>
                <w:rFonts w:ascii="宋体" w:hAnsi="宋体"/>
                <w:sz w:val="24"/>
              </w:rPr>
            </w:pPr>
            <w:r>
              <w:rPr>
                <w:rFonts w:ascii="宋体" w:hAnsi="宋体" w:hint="eastAsia"/>
                <w:sz w:val="24"/>
              </w:rPr>
              <w:t>项目</w:t>
            </w:r>
          </w:p>
        </w:tc>
        <w:tc>
          <w:tcPr>
            <w:tcW w:w="2552" w:type="dxa"/>
            <w:tcBorders>
              <w:top w:val="single" w:sz="4" w:space="0" w:color="auto"/>
              <w:left w:val="single" w:sz="4" w:space="0" w:color="auto"/>
              <w:bottom w:val="single" w:sz="4" w:space="0" w:color="auto"/>
              <w:right w:val="single" w:sz="4" w:space="0" w:color="auto"/>
            </w:tcBorders>
          </w:tcPr>
          <w:p>
            <w:pPr>
              <w:pStyle w:val="style0"/>
              <w:snapToGrid w:val="false"/>
              <w:spacing w:beforeLines="50"/>
              <w:jc w:val="center"/>
              <w:rPr>
                <w:rFonts w:ascii="宋体" w:hAnsi="宋体"/>
                <w:sz w:val="24"/>
              </w:rPr>
            </w:pPr>
            <w:r>
              <w:rPr>
                <w:rFonts w:ascii="宋体" w:hAnsi="宋体" w:hint="eastAsia"/>
                <w:sz w:val="24"/>
              </w:rPr>
              <w:t>招标文件商务要求</w:t>
            </w:r>
          </w:p>
        </w:tc>
        <w:tc>
          <w:tcPr>
            <w:tcW w:w="2172" w:type="dxa"/>
            <w:tcBorders>
              <w:top w:val="single" w:sz="4" w:space="0" w:color="auto"/>
              <w:left w:val="single" w:sz="4" w:space="0" w:color="auto"/>
              <w:bottom w:val="single" w:sz="4" w:space="0" w:color="auto"/>
              <w:right w:val="single" w:sz="4" w:space="0" w:color="auto"/>
            </w:tcBorders>
          </w:tcPr>
          <w:p>
            <w:pPr>
              <w:pStyle w:val="style0"/>
              <w:snapToGrid w:val="false"/>
              <w:spacing w:beforeLines="50"/>
              <w:jc w:val="center"/>
              <w:rPr>
                <w:rFonts w:ascii="宋体" w:hAnsi="宋体"/>
                <w:sz w:val="24"/>
              </w:rPr>
            </w:pPr>
            <w:r>
              <w:rPr>
                <w:rFonts w:ascii="宋体" w:hAnsi="宋体" w:hint="eastAsia"/>
                <w:sz w:val="24"/>
              </w:rPr>
              <w:t>投标人的承诺</w:t>
            </w:r>
          </w:p>
        </w:tc>
        <w:tc>
          <w:tcPr>
            <w:tcW w:w="1443" w:type="dxa"/>
            <w:tcBorders>
              <w:top w:val="single" w:sz="4" w:space="0" w:color="auto"/>
              <w:left w:val="single" w:sz="4" w:space="0" w:color="auto"/>
              <w:bottom w:val="single" w:sz="4" w:space="0" w:color="auto"/>
              <w:right w:val="single" w:sz="4" w:space="0" w:color="auto"/>
            </w:tcBorders>
          </w:tcPr>
          <w:p>
            <w:pPr>
              <w:pStyle w:val="style0"/>
              <w:snapToGrid w:val="false"/>
              <w:spacing w:beforeLines="50"/>
              <w:jc w:val="center"/>
              <w:rPr>
                <w:rFonts w:ascii="宋体" w:hAnsi="宋体"/>
                <w:sz w:val="24"/>
              </w:rPr>
            </w:pPr>
            <w:r>
              <w:rPr>
                <w:rFonts w:ascii="宋体" w:hAnsi="宋体" w:hint="eastAsia"/>
                <w:sz w:val="24"/>
              </w:rPr>
              <w:t>偏离说明</w:t>
            </w:r>
          </w:p>
        </w:tc>
      </w:tr>
      <w:tr>
        <w:tblPrEx/>
        <w:trPr>
          <w:trHeight w:val="719" w:hRule="atLeast"/>
          <w:jc w:val="center"/>
        </w:trPr>
        <w:tc>
          <w:tcPr>
            <w:tcW w:w="192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投标报价要求</w:t>
            </w:r>
          </w:p>
        </w:tc>
        <w:tc>
          <w:tcPr>
            <w:tcW w:w="2552"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jc w:val="center"/>
              <w:outlineLvl w:val="0"/>
              <w:rPr>
                <w:rFonts w:ascii="宋体" w:hAnsi="宋体"/>
                <w:sz w:val="24"/>
              </w:rPr>
            </w:pPr>
          </w:p>
        </w:tc>
        <w:tc>
          <w:tcPr>
            <w:tcW w:w="2172"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jc w:val="center"/>
              <w:outlineLvl w:val="0"/>
              <w:rPr>
                <w:rFonts w:ascii="宋体" w:hAnsi="宋体"/>
                <w:b/>
                <w:bCs/>
                <w:sz w:val="24"/>
              </w:rPr>
            </w:pPr>
          </w:p>
        </w:tc>
        <w:tc>
          <w:tcPr>
            <w:tcW w:w="1443"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jc w:val="center"/>
              <w:outlineLvl w:val="0"/>
              <w:rPr>
                <w:rFonts w:ascii="宋体" w:hAnsi="宋体"/>
                <w:b/>
                <w:bCs/>
                <w:sz w:val="24"/>
              </w:rPr>
            </w:pPr>
          </w:p>
        </w:tc>
      </w:tr>
      <w:tr>
        <w:tblPrEx/>
        <w:trPr>
          <w:trHeight w:val="938" w:hRule="atLeast"/>
          <w:jc w:val="center"/>
        </w:trPr>
        <w:tc>
          <w:tcPr>
            <w:tcW w:w="192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eastAsia="宋体" w:hAnsi="宋体" w:hint="eastAsia"/>
                <w:szCs w:val="21"/>
              </w:rPr>
              <w:t>交付服务成果时间、地点</w:t>
            </w:r>
          </w:p>
        </w:tc>
        <w:tc>
          <w:tcPr>
            <w:tcW w:w="2552"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outlineLvl w:val="0"/>
              <w:rPr>
                <w:rFonts w:ascii="宋体" w:hAnsi="宋体"/>
                <w:sz w:val="24"/>
                <w:u w:val="single"/>
              </w:rPr>
            </w:pPr>
          </w:p>
        </w:tc>
        <w:tc>
          <w:tcPr>
            <w:tcW w:w="2172"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ind w:left="43"/>
              <w:jc w:val="center"/>
              <w:outlineLvl w:val="0"/>
              <w:rPr>
                <w:rFonts w:ascii="宋体" w:hAnsi="宋体"/>
                <w:b/>
                <w:bCs/>
                <w:sz w:val="24"/>
              </w:rPr>
            </w:pPr>
          </w:p>
        </w:tc>
        <w:tc>
          <w:tcPr>
            <w:tcW w:w="1443"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ind w:left="43"/>
              <w:jc w:val="center"/>
              <w:outlineLvl w:val="0"/>
              <w:rPr>
                <w:rFonts w:ascii="宋体" w:hAnsi="宋体"/>
                <w:b/>
                <w:bCs/>
                <w:sz w:val="24"/>
              </w:rPr>
            </w:pPr>
          </w:p>
        </w:tc>
      </w:tr>
      <w:tr>
        <w:tblPrEx/>
        <w:trPr>
          <w:trHeight w:val="938" w:hRule="atLeast"/>
          <w:jc w:val="center"/>
        </w:trPr>
        <w:tc>
          <w:tcPr>
            <w:tcW w:w="192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宋体" w:cs="宋体" w:hAnsi="宋体"/>
                <w:szCs w:val="21"/>
              </w:rPr>
            </w:pPr>
            <w:r>
              <w:rPr>
                <w:rFonts w:ascii="宋体" w:cs="宋体" w:hAnsi="宋体" w:hint="eastAsia"/>
                <w:szCs w:val="21"/>
              </w:rPr>
              <w:t>付款方式</w:t>
            </w:r>
          </w:p>
        </w:tc>
        <w:tc>
          <w:tcPr>
            <w:tcW w:w="2552"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outlineLvl w:val="0"/>
              <w:rPr>
                <w:rFonts w:ascii="宋体" w:hAnsi="宋体"/>
                <w:sz w:val="24"/>
                <w:u w:val="single"/>
              </w:rPr>
            </w:pPr>
          </w:p>
        </w:tc>
        <w:tc>
          <w:tcPr>
            <w:tcW w:w="2172"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ind w:left="43"/>
              <w:jc w:val="center"/>
              <w:outlineLvl w:val="0"/>
              <w:rPr>
                <w:rFonts w:ascii="宋体" w:hAnsi="宋体"/>
                <w:b/>
                <w:bCs/>
                <w:sz w:val="24"/>
              </w:rPr>
            </w:pPr>
          </w:p>
        </w:tc>
        <w:tc>
          <w:tcPr>
            <w:tcW w:w="1443"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ind w:left="43"/>
              <w:jc w:val="center"/>
              <w:outlineLvl w:val="0"/>
              <w:rPr>
                <w:rFonts w:ascii="宋体" w:hAnsi="宋体"/>
                <w:b/>
                <w:bCs/>
                <w:sz w:val="24"/>
              </w:rPr>
            </w:pPr>
          </w:p>
        </w:tc>
      </w:tr>
      <w:tr>
        <w:tblPrEx/>
        <w:trPr>
          <w:jc w:val="center"/>
        </w:trPr>
        <w:tc>
          <w:tcPr>
            <w:tcW w:w="1928"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hAnsi="宋体"/>
                <w:szCs w:val="21"/>
              </w:rPr>
            </w:pPr>
            <w:r>
              <w:rPr>
                <w:rFonts w:ascii="宋体" w:hAnsi="宋体"/>
                <w:szCs w:val="21"/>
              </w:rPr>
              <w:t>……</w:t>
            </w:r>
          </w:p>
        </w:tc>
        <w:tc>
          <w:tcPr>
            <w:tcW w:w="2552"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jc w:val="center"/>
              <w:outlineLvl w:val="0"/>
              <w:rPr>
                <w:rFonts w:ascii="宋体" w:hAnsi="宋体"/>
                <w:sz w:val="24"/>
              </w:rPr>
            </w:pPr>
          </w:p>
        </w:tc>
        <w:tc>
          <w:tcPr>
            <w:tcW w:w="2172"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jc w:val="center"/>
              <w:outlineLvl w:val="0"/>
              <w:rPr>
                <w:rFonts w:ascii="宋体" w:hAnsi="宋体"/>
                <w:b/>
                <w:bCs/>
                <w:sz w:val="24"/>
              </w:rPr>
            </w:pPr>
          </w:p>
        </w:tc>
        <w:tc>
          <w:tcPr>
            <w:tcW w:w="1443" w:type="dxa"/>
            <w:tcBorders>
              <w:top w:val="single" w:sz="4" w:space="0" w:color="auto"/>
              <w:left w:val="single" w:sz="4" w:space="0" w:color="auto"/>
              <w:bottom w:val="single" w:sz="4" w:space="0" w:color="auto"/>
              <w:right w:val="single" w:sz="4" w:space="0" w:color="auto"/>
            </w:tcBorders>
          </w:tcPr>
          <w:p>
            <w:pPr>
              <w:pStyle w:val="style0"/>
              <w:keepNext/>
              <w:keepLines/>
              <w:snapToGrid w:val="false"/>
              <w:spacing w:beforeLines="50" w:lineRule="auto" w:line="576"/>
              <w:jc w:val="center"/>
              <w:outlineLvl w:val="0"/>
              <w:rPr>
                <w:rFonts w:ascii="宋体" w:hAnsi="宋体"/>
                <w:b/>
                <w:bCs/>
                <w:sz w:val="24"/>
              </w:rPr>
            </w:pPr>
          </w:p>
        </w:tc>
      </w:tr>
    </w:tbl>
    <w:p>
      <w:pPr>
        <w:pStyle w:val="style0"/>
        <w:spacing w:lineRule="exact" w:line="520"/>
        <w:rPr>
          <w:rFonts w:ascii="宋体" w:hAnsi="宋体"/>
          <w:spacing w:val="-4"/>
          <w:sz w:val="24"/>
        </w:rPr>
      </w:pPr>
      <w:r>
        <w:rPr>
          <w:rFonts w:ascii="宋体" w:hAnsi="宋体" w:hint="eastAsia"/>
          <w:spacing w:val="-4"/>
          <w:sz w:val="24"/>
        </w:rPr>
        <w:t>注：</w:t>
      </w:r>
    </w:p>
    <w:p>
      <w:pPr>
        <w:pStyle w:val="style0"/>
        <w:spacing w:lineRule="exact" w:line="520"/>
        <w:rPr>
          <w:rFonts w:ascii="宋体" w:cs="仿宋_GB2312" w:hAnsi="宋体"/>
          <w:spacing w:val="-4"/>
          <w:sz w:val="18"/>
          <w:szCs w:val="32"/>
        </w:rPr>
      </w:pPr>
      <w:r>
        <w:rPr>
          <w:rFonts w:ascii="宋体" w:hAnsi="宋体"/>
          <w:spacing w:val="-4"/>
          <w:sz w:val="24"/>
        </w:rPr>
        <w:t xml:space="preserve">1.说明：应对照招标文件“第二章 </w:t>
      </w:r>
      <w:r>
        <w:rPr>
          <w:rFonts w:ascii="宋体" w:hAnsi="宋体" w:hint="eastAsia"/>
          <w:spacing w:val="-4"/>
          <w:sz w:val="24"/>
        </w:rPr>
        <w:t>采购需求”中的商务要求逐条作明确的投标响应，并作出偏离说明。</w:t>
      </w:r>
    </w:p>
    <w:p>
      <w:pPr>
        <w:pStyle w:val="style0"/>
        <w:spacing w:lineRule="exact" w:line="520"/>
        <w:rPr>
          <w:rFonts w:ascii="宋体" w:hAnsi="宋体"/>
          <w:spacing w:val="-4"/>
          <w:sz w:val="24"/>
        </w:rPr>
      </w:pPr>
      <w:r>
        <w:rPr>
          <w:rFonts w:ascii="宋体" w:hAnsi="宋体"/>
          <w:spacing w:val="-4"/>
          <w:sz w:val="24"/>
        </w:rPr>
        <w:t>2.</w:t>
      </w:r>
      <w:r>
        <w:rPr>
          <w:rFonts w:ascii="宋体" w:hAnsi="宋体" w:hint="eastAsia"/>
          <w:spacing w:val="-4"/>
          <w:sz w:val="24"/>
        </w:rPr>
        <w:t>投标人应根据自身的承诺，对照招标文件要求在“偏离说明”中注明“正偏离”、“负偏离”或者“无偏离”。既不属于“正偏离”也不属于“负偏离”即为“无偏离”。</w:t>
      </w:r>
    </w:p>
    <w:p>
      <w:pPr>
        <w:pStyle w:val="style0"/>
        <w:snapToGrid w:val="false"/>
        <w:spacing w:before="50" w:after="50"/>
        <w:rPr>
          <w:rFonts w:ascii="宋体" w:hAnsi="宋体"/>
          <w:sz w:val="24"/>
        </w:rPr>
      </w:pPr>
    </w:p>
    <w:p>
      <w:pPr>
        <w:pStyle w:val="style0"/>
        <w:snapToGrid w:val="false"/>
        <w:spacing w:before="50" w:after="50"/>
        <w:rPr>
          <w:rFonts w:ascii="宋体" w:hAnsi="宋体"/>
          <w:spacing w:val="20"/>
          <w:sz w:val="24"/>
          <w:u w:val="single"/>
        </w:rPr>
      </w:pPr>
      <w:r>
        <w:rPr>
          <w:rFonts w:ascii="宋体" w:hAnsi="宋体" w:hint="eastAsia"/>
          <w:sz w:val="24"/>
        </w:rPr>
        <w:t>法定代表人或者委托代理人</w:t>
      </w:r>
      <w:r>
        <w:rPr>
          <w:rFonts w:ascii="宋体" w:hAnsi="宋体" w:hint="eastAsia"/>
          <w:spacing w:val="20"/>
          <w:sz w:val="24"/>
        </w:rPr>
        <w:t>（签字</w:t>
      </w:r>
      <w:r>
        <w:rPr>
          <w:rFonts w:ascii="宋体" w:hAnsi="宋体"/>
          <w:spacing w:val="20"/>
          <w:sz w:val="24"/>
        </w:rPr>
        <w:t>/电子签名）：</w:t>
      </w:r>
    </w:p>
    <w:p>
      <w:pPr>
        <w:pStyle w:val="style0"/>
        <w:snapToGrid w:val="false"/>
        <w:spacing w:beforeLines="50"/>
        <w:rPr>
          <w:rFonts w:ascii="宋体" w:hAnsi="宋体"/>
          <w:spacing w:val="20"/>
          <w:sz w:val="24"/>
        </w:rPr>
      </w:pPr>
      <w:r>
        <w:rPr>
          <w:rFonts w:ascii="宋体" w:hAnsi="宋体" w:hint="eastAsia"/>
          <w:spacing w:val="20"/>
          <w:sz w:val="24"/>
        </w:rPr>
        <w:t>投标人名称（电子签章）：</w:t>
      </w:r>
    </w:p>
    <w:p>
      <w:pPr>
        <w:pStyle w:val="style0"/>
        <w:snapToGrid w:val="false"/>
        <w:spacing w:beforeLines="50"/>
        <w:rPr>
          <w:rFonts w:ascii="宋体" w:hAnsi="宋体"/>
          <w:sz w:val="24"/>
          <w:szCs w:val="20"/>
        </w:rPr>
      </w:pPr>
      <w:r>
        <w:rPr>
          <w:rFonts w:ascii="宋体" w:hAnsi="宋体" w:hint="eastAsia"/>
          <w:spacing w:val="20"/>
          <w:sz w:val="24"/>
        </w:rPr>
        <w:t>日期：</w:t>
      </w:r>
    </w:p>
    <w:p>
      <w:pPr>
        <w:pStyle w:val="style0"/>
        <w:snapToGrid w:val="false"/>
        <w:spacing w:beforeLines="50"/>
        <w:rPr>
          <w:rFonts w:ascii="宋体" w:hAnsi="宋体"/>
          <w:sz w:val="24"/>
          <w:szCs w:val="20"/>
        </w:rPr>
      </w:pPr>
    </w:p>
    <w:p>
      <w:pPr>
        <w:pStyle w:val="style0"/>
        <w:snapToGrid w:val="false"/>
        <w:spacing w:beforeLines="50" w:after="50"/>
        <w:jc w:val="left"/>
        <w:rPr>
          <w:rFonts w:ascii="宋体" w:hAnsi="宋体"/>
          <w:sz w:val="24"/>
          <w:szCs w:val="20"/>
        </w:rPr>
      </w:pPr>
    </w:p>
    <w:p>
      <w:pPr>
        <w:pStyle w:val="style0"/>
        <w:snapToGrid w:val="false"/>
        <w:spacing w:beforeLines="50" w:after="50"/>
        <w:jc w:val="left"/>
        <w:rPr>
          <w:rFonts w:ascii="宋体" w:hAnsi="宋体"/>
          <w:b/>
          <w:sz w:val="24"/>
        </w:rPr>
      </w:pPr>
      <w:r>
        <w:rPr>
          <w:rFonts w:ascii="宋体" w:hAnsi="宋体"/>
          <w:sz w:val="24"/>
          <w:szCs w:val="20"/>
        </w:rPr>
        <w:br w:type="page"/>
      </w:r>
      <w:r>
        <w:rPr>
          <w:rFonts w:ascii="宋体" w:hAnsi="宋体"/>
          <w:b/>
          <w:sz w:val="24"/>
        </w:rPr>
        <w:t>7.投标人业绩证明材料</w:t>
      </w:r>
    </w:p>
    <w:p>
      <w:pPr>
        <w:pStyle w:val="style0"/>
        <w:snapToGrid w:val="false"/>
        <w:ind w:left="480" w:hanging="480" w:hangingChars="200"/>
        <w:rPr>
          <w:rFonts w:ascii="宋体" w:hAnsi="宋体"/>
          <w:sz w:val="24"/>
        </w:rPr>
      </w:pPr>
    </w:p>
    <w:p>
      <w:pPr>
        <w:pStyle w:val="style0"/>
        <w:snapToGrid w:val="false"/>
        <w:ind w:left="480" w:hanging="480" w:hangingChars="200"/>
        <w:rPr>
          <w:rFonts w:ascii="宋体" w:hAnsi="宋体"/>
          <w:sz w:val="24"/>
        </w:rPr>
      </w:pPr>
      <w:r>
        <w:rPr>
          <w:rFonts w:ascii="宋体" w:hAnsi="宋体" w:hint="eastAsia"/>
          <w:sz w:val="24"/>
        </w:rPr>
        <w:t>投标人业绩情况一览表格式：</w:t>
      </w:r>
    </w:p>
    <w:tbl>
      <w:tblPr>
        <w:tblW w:w="80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32"/>
        <w:gridCol w:w="1770"/>
        <w:gridCol w:w="1770"/>
        <w:gridCol w:w="2331"/>
      </w:tblGrid>
      <w:tr>
        <w:trPr>
          <w:cantSplit/>
          <w:trHeight w:val="487" w:hRule="atLeast"/>
        </w:trPr>
        <w:tc>
          <w:tcPr>
            <w:tcW w:w="2132" w:type="dxa"/>
            <w:vMerge w:val="restart"/>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240"/>
              <w:jc w:val="center"/>
              <w:rPr>
                <w:rFonts w:ascii="宋体" w:hAnsi="宋体"/>
                <w:sz w:val="24"/>
              </w:rPr>
            </w:pPr>
            <w:r>
              <w:rPr>
                <w:rFonts w:ascii="宋体" w:hAnsi="宋体" w:hint="eastAsia"/>
                <w:sz w:val="24"/>
              </w:rPr>
              <w:t>采购人名称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240"/>
              <w:jc w:val="center"/>
              <w:rPr>
                <w:rFonts w:ascii="宋体" w:hAnsi="宋体"/>
                <w:sz w:val="24"/>
              </w:rPr>
            </w:pPr>
            <w:r>
              <w:rPr>
                <w:rFonts w:ascii="宋体" w:hAnsi="宋体" w:hint="eastAsia"/>
                <w:sz w:val="24"/>
              </w:rPr>
              <w:t>项目名称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240"/>
              <w:jc w:val="center"/>
              <w:rPr>
                <w:rFonts w:ascii="宋体" w:hAnsi="宋体"/>
                <w:sz w:val="24"/>
              </w:rPr>
            </w:pPr>
            <w:r>
              <w:rPr>
                <w:rFonts w:ascii="宋体" w:hAnsi="宋体" w:hint="eastAsia"/>
                <w:sz w:val="24"/>
              </w:rPr>
              <w:t>合同金额</w:t>
            </w:r>
          </w:p>
          <w:p>
            <w:pPr>
              <w:pStyle w:val="style0"/>
              <w:snapToGrid w:val="false"/>
              <w:spacing w:lineRule="exact" w:line="240"/>
              <w:jc w:val="center"/>
              <w:rPr>
                <w:rFonts w:ascii="宋体" w:hAnsi="宋体"/>
                <w:sz w:val="24"/>
              </w:rPr>
            </w:pPr>
            <w:r>
              <w:rPr>
                <w:rFonts w:ascii="宋体" w:hAnsi="宋体" w:hint="eastAsia"/>
                <w:sz w:val="24"/>
              </w:rPr>
              <w:t>（万元）</w:t>
            </w:r>
          </w:p>
        </w:tc>
        <w:tc>
          <w:tcPr>
            <w:tcW w:w="2331" w:type="dxa"/>
            <w:vMerge w:val="restart"/>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240"/>
              <w:jc w:val="center"/>
              <w:rPr>
                <w:rFonts w:ascii="宋体" w:hAnsi="宋体"/>
                <w:sz w:val="24"/>
              </w:rPr>
            </w:pPr>
            <w:r>
              <w:rPr>
                <w:rFonts w:ascii="宋体" w:hAnsi="宋体" w:hint="eastAsia"/>
                <w:sz w:val="24"/>
              </w:rPr>
              <w:t>采购人联系人及</w:t>
            </w:r>
          </w:p>
          <w:p>
            <w:pPr>
              <w:pStyle w:val="style0"/>
              <w:snapToGrid w:val="false"/>
              <w:spacing w:lineRule="exact" w:line="240"/>
              <w:jc w:val="center"/>
              <w:rPr>
                <w:rFonts w:ascii="宋体" w:hAnsi="宋体"/>
                <w:sz w:val="24"/>
              </w:rPr>
            </w:pPr>
            <w:r>
              <w:rPr>
                <w:rFonts w:ascii="宋体" w:hAnsi="宋体" w:hint="eastAsia"/>
                <w:sz w:val="24"/>
              </w:rPr>
              <w:t>联系电话</w:t>
            </w:r>
          </w:p>
        </w:tc>
      </w:tr>
      <w:tr>
        <w:tblPrEx/>
        <w:trPr>
          <w:cantSplit/>
          <w:trHeight w:val="836" w:hRule="atLeast"/>
        </w:trPr>
        <w:tc>
          <w:tcPr>
            <w:tcW w:w="2132" w:type="dxa"/>
            <w:vMerge w:val="continue"/>
            <w:tcBorders>
              <w:top w:val="single" w:sz="4" w:space="0" w:color="auto"/>
              <w:left w:val="single" w:sz="4" w:space="0" w:color="auto"/>
              <w:bottom w:val="single" w:sz="4" w:space="0" w:color="auto"/>
              <w:right w:val="single" w:sz="4" w:space="0" w:color="auto"/>
            </w:tcBorders>
            <w:vAlign w:val="center"/>
          </w:tcPr>
          <w:p>
            <w:pPr>
              <w:pStyle w:val="style0"/>
              <w:spacing w:lineRule="auto" w:line="576"/>
              <w:jc w:val="left"/>
              <w:outlineLvl w:val="0"/>
              <w:rPr>
                <w:rFonts w:ascii="宋体" w:hAnsi="宋体"/>
                <w:sz w:val="24"/>
              </w:rPr>
            </w:pPr>
          </w:p>
        </w:tc>
        <w:tc>
          <w:tcPr>
            <w:tcW w:w="1770" w:type="dxa"/>
            <w:vMerge w:val="continue"/>
            <w:tcBorders>
              <w:top w:val="single" w:sz="4" w:space="0" w:color="auto"/>
              <w:left w:val="single" w:sz="4" w:space="0" w:color="auto"/>
              <w:bottom w:val="single" w:sz="4" w:space="0" w:color="auto"/>
              <w:right w:val="single" w:sz="4" w:space="0" w:color="auto"/>
            </w:tcBorders>
            <w:vAlign w:val="center"/>
          </w:tcPr>
          <w:p>
            <w:pPr>
              <w:pStyle w:val="style0"/>
              <w:spacing w:lineRule="auto" w:line="576"/>
              <w:jc w:val="left"/>
              <w:outlineLvl w:val="0"/>
              <w:rPr>
                <w:rFonts w:ascii="宋体" w:hAnsi="宋体"/>
                <w:sz w:val="24"/>
              </w:rPr>
            </w:pPr>
          </w:p>
        </w:tc>
        <w:tc>
          <w:tcPr>
            <w:tcW w:w="1770" w:type="dxa"/>
            <w:vMerge w:val="continue"/>
            <w:tcBorders>
              <w:top w:val="single" w:sz="4" w:space="0" w:color="auto"/>
              <w:left w:val="single" w:sz="4" w:space="0" w:color="auto"/>
              <w:bottom w:val="single" w:sz="4" w:space="0" w:color="auto"/>
              <w:right w:val="single" w:sz="4" w:space="0" w:color="auto"/>
            </w:tcBorders>
            <w:vAlign w:val="center"/>
          </w:tcPr>
          <w:p>
            <w:pPr>
              <w:pStyle w:val="style0"/>
              <w:spacing w:lineRule="auto" w:line="576"/>
              <w:jc w:val="left"/>
              <w:outlineLvl w:val="0"/>
              <w:rPr>
                <w:rFonts w:ascii="宋体" w:hAnsi="宋体"/>
                <w:sz w:val="24"/>
              </w:rPr>
            </w:pPr>
          </w:p>
        </w:tc>
        <w:tc>
          <w:tcPr>
            <w:tcW w:w="2331" w:type="dxa"/>
            <w:vMerge w:val="continue"/>
            <w:tcBorders>
              <w:top w:val="single" w:sz="4" w:space="0" w:color="auto"/>
              <w:left w:val="single" w:sz="4" w:space="0" w:color="auto"/>
              <w:bottom w:val="single" w:sz="4" w:space="0" w:color="auto"/>
              <w:right w:val="single" w:sz="4" w:space="0" w:color="auto"/>
            </w:tcBorders>
            <w:vAlign w:val="center"/>
          </w:tcPr>
          <w:p>
            <w:pPr>
              <w:pStyle w:val="style0"/>
              <w:spacing w:lineRule="auto" w:line="576"/>
              <w:jc w:val="left"/>
              <w:outlineLvl w:val="0"/>
              <w:rPr>
                <w:rFonts w:ascii="宋体" w:hAnsi="宋体"/>
                <w:sz w:val="24"/>
              </w:rPr>
            </w:pPr>
          </w:p>
        </w:tc>
      </w:tr>
      <w:tr>
        <w:tblPrEx/>
        <w:trPr>
          <w:trHeight w:val="649" w:hRule="atLeast"/>
        </w:trPr>
        <w:tc>
          <w:tcPr>
            <w:tcW w:w="2132" w:type="dxa"/>
            <w:tcBorders>
              <w:top w:val="single" w:sz="4" w:space="0" w:color="auto"/>
              <w:left w:val="single" w:sz="4" w:space="0" w:color="auto"/>
              <w:bottom w:val="single" w:sz="4" w:space="0" w:color="auto"/>
              <w:right w:val="single" w:sz="4" w:space="0" w:color="auto"/>
            </w:tcBorders>
          </w:tcPr>
          <w:p>
            <w:pPr>
              <w:pStyle w:val="style0"/>
              <w:snapToGrid w:val="false"/>
              <w:spacing w:lineRule="exact" w:line="240"/>
              <w:jc w:val="left"/>
              <w:outlineLvl w:val="0"/>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pPr>
              <w:pStyle w:val="style0"/>
              <w:snapToGrid w:val="false"/>
              <w:spacing w:lineRule="exact" w:line="240"/>
              <w:jc w:val="left"/>
              <w:outlineLvl w:val="0"/>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pPr>
              <w:pStyle w:val="style0"/>
              <w:snapToGrid w:val="false"/>
              <w:spacing w:lineRule="exact" w:line="240"/>
              <w:jc w:val="left"/>
              <w:outlineLvl w:val="0"/>
              <w:rPr>
                <w:rFonts w:ascii="宋体" w:hAnsi="宋体"/>
                <w:sz w:val="24"/>
              </w:rPr>
            </w:pPr>
          </w:p>
        </w:tc>
        <w:tc>
          <w:tcPr>
            <w:tcW w:w="2331" w:type="dxa"/>
            <w:tcBorders>
              <w:top w:val="single" w:sz="4" w:space="0" w:color="auto"/>
              <w:left w:val="single" w:sz="4" w:space="0" w:color="auto"/>
              <w:bottom w:val="single" w:sz="4" w:space="0" w:color="auto"/>
              <w:right w:val="single" w:sz="4" w:space="0" w:color="auto"/>
            </w:tcBorders>
          </w:tcPr>
          <w:p>
            <w:pPr>
              <w:pStyle w:val="style0"/>
              <w:snapToGrid w:val="false"/>
              <w:spacing w:lineRule="exact" w:line="240"/>
              <w:jc w:val="left"/>
              <w:outlineLvl w:val="0"/>
              <w:rPr>
                <w:rFonts w:ascii="宋体" w:hAnsi="宋体"/>
                <w:sz w:val="24"/>
              </w:rPr>
            </w:pPr>
          </w:p>
        </w:tc>
      </w:tr>
      <w:tr>
        <w:tblPrEx/>
        <w:trPr/>
        <w:tc>
          <w:tcPr>
            <w:tcW w:w="2132"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c>
          <w:tcPr>
            <w:tcW w:w="1770"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c>
          <w:tcPr>
            <w:tcW w:w="2331"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r>
      <w:tr>
        <w:tblPrEx/>
        <w:trPr>
          <w:trHeight w:val="710" w:hRule="atLeast"/>
        </w:trPr>
        <w:tc>
          <w:tcPr>
            <w:tcW w:w="2132"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c>
          <w:tcPr>
            <w:tcW w:w="1770"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c>
          <w:tcPr>
            <w:tcW w:w="2331"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r>
      <w:tr>
        <w:tblPrEx/>
        <w:trPr/>
        <w:tc>
          <w:tcPr>
            <w:tcW w:w="2132"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c>
          <w:tcPr>
            <w:tcW w:w="1770"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c>
          <w:tcPr>
            <w:tcW w:w="2331"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r>
      <w:tr>
        <w:tblPrEx/>
        <w:trPr/>
        <w:tc>
          <w:tcPr>
            <w:tcW w:w="2132"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c>
          <w:tcPr>
            <w:tcW w:w="1770"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c>
          <w:tcPr>
            <w:tcW w:w="2331" w:type="dxa"/>
            <w:tcBorders>
              <w:top w:val="single" w:sz="4" w:space="0" w:color="auto"/>
              <w:left w:val="single" w:sz="4" w:space="0" w:color="auto"/>
              <w:bottom w:val="single" w:sz="4" w:space="0" w:color="auto"/>
              <w:right w:val="single" w:sz="4" w:space="0" w:color="auto"/>
            </w:tcBorders>
          </w:tcPr>
          <w:p>
            <w:pPr>
              <w:pStyle w:val="style0"/>
              <w:snapToGrid w:val="false"/>
              <w:spacing w:before="50" w:afterLines="50" w:lineRule="exact" w:line="400"/>
              <w:jc w:val="left"/>
              <w:outlineLvl w:val="0"/>
              <w:rPr>
                <w:rFonts w:ascii="宋体" w:hAnsi="宋体"/>
                <w:b/>
                <w:bCs/>
                <w:sz w:val="24"/>
              </w:rPr>
            </w:pPr>
          </w:p>
        </w:tc>
      </w:tr>
    </w:tbl>
    <w:p>
      <w:pPr>
        <w:pStyle w:val="style0"/>
        <w:spacing w:lineRule="auto" w:line="360"/>
        <w:contextualSpacing/>
        <w:rPr>
          <w:rFonts w:ascii="宋体" w:cs="Arial" w:hAnsi="宋体"/>
          <w:sz w:val="24"/>
        </w:rPr>
      </w:pPr>
    </w:p>
    <w:p>
      <w:pPr>
        <w:pStyle w:val="style0"/>
        <w:spacing w:lineRule="auto" w:line="360"/>
        <w:contextualSpacing/>
        <w:rPr>
          <w:rFonts w:ascii="宋体" w:cs="Arial" w:hAnsi="宋体"/>
          <w:sz w:val="24"/>
        </w:rPr>
      </w:pPr>
      <w:r>
        <w:rPr>
          <w:rFonts w:ascii="宋体" w:cs="Arial" w:hAnsi="宋体" w:hint="eastAsia"/>
          <w:sz w:val="24"/>
        </w:rPr>
        <w:t>注：</w:t>
      </w:r>
      <w:r>
        <w:rPr>
          <w:rFonts w:ascii="宋体" w:cs="Arial" w:hAnsi="宋体" w:hint="eastAsia"/>
          <w:sz w:val="24"/>
          <w:szCs w:val="20"/>
        </w:rPr>
        <w:t>投标人根据评标标准具体要求附业绩证明材料。</w:t>
      </w:r>
    </w:p>
    <w:p>
      <w:pPr>
        <w:pStyle w:val="style0"/>
        <w:spacing w:lineRule="auto" w:line="360"/>
        <w:jc w:val="left"/>
        <w:contextualSpacing/>
        <w:rPr>
          <w:rFonts w:ascii="宋体" w:cs="Arial" w:hAnsi="宋体"/>
          <w:sz w:val="24"/>
          <w:u w:val="single"/>
        </w:rPr>
      </w:pPr>
      <w:r>
        <w:rPr>
          <w:rFonts w:ascii="宋体" w:cs="Arial" w:hAnsi="宋体" w:hint="eastAsia"/>
          <w:sz w:val="24"/>
        </w:rPr>
        <w:t>法定代表人或者委托代理人（签字</w:t>
      </w:r>
      <w:r>
        <w:rPr>
          <w:rFonts w:ascii="宋体" w:cs="Arial" w:hAnsi="宋体"/>
          <w:sz w:val="24"/>
        </w:rPr>
        <w:t>/电子签名）：</w:t>
      </w:r>
      <w:r>
        <w:rPr>
          <w:rFonts w:ascii="宋体" w:cs="Arial" w:hAnsi="宋体" w:hint="eastAsia"/>
          <w:sz w:val="24"/>
          <w:u w:val="single"/>
        </w:rPr>
        <w:t>　　　　　</w:t>
      </w:r>
    </w:p>
    <w:p>
      <w:pPr>
        <w:pStyle w:val="style0"/>
        <w:spacing w:lineRule="auto" w:line="360"/>
        <w:ind w:right="480"/>
        <w:jc w:val="left"/>
        <w:contextualSpacing/>
        <w:rPr>
          <w:rFonts w:ascii="宋体" w:hAnsi="宋体"/>
          <w:sz w:val="24"/>
          <w:szCs w:val="20"/>
        </w:rPr>
      </w:pPr>
      <w:r>
        <w:rPr>
          <w:rFonts w:ascii="宋体" w:cs="Arial" w:hAnsi="宋体" w:hint="eastAsia"/>
          <w:sz w:val="24"/>
        </w:rPr>
        <w:t>投标人名称（电子签章）：</w:t>
      </w:r>
      <w:r>
        <w:rPr>
          <w:rFonts w:ascii="宋体" w:hAnsi="宋体"/>
          <w:sz w:val="24"/>
        </w:rPr>
        <w:t xml:space="preserve">                                                              年    月    日</w:t>
      </w:r>
    </w:p>
    <w:p>
      <w:pPr>
        <w:pStyle w:val="style0"/>
        <w:snapToGrid w:val="false"/>
        <w:spacing w:before="50"/>
        <w:ind w:firstLine="480" w:firstLineChars="200"/>
        <w:jc w:val="left"/>
        <w:rPr>
          <w:rFonts w:ascii="宋体" w:hAnsi="宋体"/>
          <w:sz w:val="24"/>
          <w:szCs w:val="20"/>
        </w:rPr>
      </w:pPr>
    </w:p>
    <w:p>
      <w:pPr>
        <w:pStyle w:val="style0"/>
        <w:snapToGrid w:val="false"/>
        <w:spacing w:before="50"/>
        <w:jc w:val="left"/>
        <w:rPr>
          <w:rFonts w:ascii="宋体" w:hAnsi="宋体"/>
          <w:sz w:val="24"/>
        </w:rPr>
      </w:pPr>
    </w:p>
    <w:p>
      <w:pPr>
        <w:pStyle w:val="style0"/>
        <w:snapToGrid w:val="false"/>
        <w:spacing w:beforeLines="50"/>
        <w:rPr>
          <w:rFonts w:ascii="宋体" w:hAnsi="宋体"/>
          <w:sz w:val="24"/>
          <w:szCs w:val="20"/>
        </w:rPr>
        <w:sectPr>
          <w:pgSz w:w="11906" w:h="16838" w:orient="portrait"/>
          <w:pgMar w:top="1440" w:right="1797" w:bottom="1440" w:left="1797" w:header="851" w:footer="992" w:gutter="0"/>
          <w:cols w:space="720"/>
          <w:docGrid w:linePitch="312"/>
        </w:sectPr>
      </w:pPr>
    </w:p>
    <w:p>
      <w:pPr>
        <w:pStyle w:val="style0"/>
        <w:rPr>
          <w:rFonts w:ascii="宋体" w:hAnsi="宋体"/>
          <w:b/>
          <w:sz w:val="28"/>
          <w:szCs w:val="28"/>
        </w:rPr>
      </w:pPr>
      <w:r>
        <w:rPr>
          <w:rFonts w:ascii="宋体" w:hAnsi="宋体" w:hint="eastAsia"/>
          <w:b/>
          <w:sz w:val="28"/>
          <w:szCs w:val="28"/>
        </w:rPr>
        <w:t>四、技术文件格式</w:t>
      </w:r>
    </w:p>
    <w:p>
      <w:pPr>
        <w:pStyle w:val="style0"/>
        <w:snapToGrid w:val="false"/>
        <w:spacing w:beforeLines="50" w:after="50"/>
        <w:ind w:left="142"/>
        <w:jc w:val="left"/>
        <w:rPr>
          <w:rFonts w:ascii="宋体" w:hAnsi="宋体"/>
          <w:b/>
          <w:sz w:val="24"/>
        </w:rPr>
      </w:pPr>
      <w:r>
        <w:rPr>
          <w:rFonts w:ascii="宋体" w:hAnsi="宋体"/>
          <w:b/>
          <w:sz w:val="24"/>
        </w:rPr>
        <w:t xml:space="preserve">1. 技术文件封面格式： </w:t>
      </w:r>
    </w:p>
    <w:p>
      <w:pPr>
        <w:pStyle w:val="style0"/>
        <w:snapToGrid w:val="false"/>
        <w:spacing w:beforeLines="50" w:after="50" w:lineRule="auto" w:line="360"/>
        <w:ind w:left="142"/>
        <w:jc w:val="center"/>
        <w:rPr>
          <w:rFonts w:ascii="宋体" w:hAnsi="宋体"/>
          <w:bCs/>
          <w:sz w:val="48"/>
          <w:szCs w:val="48"/>
        </w:rPr>
      </w:pPr>
      <w:r>
        <w:rPr>
          <w:rFonts w:ascii="宋体" w:hAnsi="宋体" w:hint="eastAsia"/>
          <w:bCs/>
          <w:sz w:val="48"/>
          <w:szCs w:val="48"/>
        </w:rPr>
        <w:t>电子投标文件</w:t>
      </w:r>
    </w:p>
    <w:p>
      <w:pPr>
        <w:pStyle w:val="style0"/>
        <w:snapToGrid w:val="false"/>
        <w:spacing w:beforeLines="50" w:after="50"/>
        <w:jc w:val="center"/>
        <w:rPr>
          <w:rFonts w:ascii="宋体" w:hAnsi="宋体"/>
          <w:b/>
          <w:bCs/>
          <w:sz w:val="32"/>
          <w:szCs w:val="32"/>
        </w:rPr>
      </w:pPr>
      <w:r>
        <w:rPr>
          <w:rFonts w:ascii="宋体" w:hAnsi="宋体" w:hint="eastAsia"/>
          <w:b/>
          <w:bCs/>
          <w:sz w:val="32"/>
          <w:szCs w:val="32"/>
        </w:rPr>
        <w:t>技术文件</w:t>
      </w:r>
    </w:p>
    <w:p>
      <w:pPr>
        <w:pStyle w:val="style0"/>
        <w:snapToGrid w:val="false"/>
        <w:spacing w:beforeLines="50" w:after="50"/>
        <w:rPr>
          <w:rFonts w:ascii="宋体" w:hAnsi="宋体"/>
          <w:bCs/>
          <w:sz w:val="24"/>
          <w:szCs w:val="20"/>
        </w:rPr>
      </w:pPr>
    </w:p>
    <w:p>
      <w:pPr>
        <w:pStyle w:val="style0"/>
        <w:snapToGrid w:val="false"/>
        <w:spacing w:beforeLines="50" w:after="50" w:lineRule="exact" w:line="400"/>
        <w:ind w:firstLine="360" w:firstLineChars="150"/>
        <w:rPr>
          <w:rFonts w:ascii="宋体" w:hAnsi="宋体"/>
          <w:bCs/>
          <w:sz w:val="24"/>
          <w:szCs w:val="20"/>
        </w:rPr>
      </w:pPr>
      <w:r>
        <w:rPr>
          <w:rFonts w:ascii="宋体" w:hAnsi="宋体" w:hint="eastAsia"/>
          <w:bCs/>
          <w:sz w:val="24"/>
        </w:rPr>
        <w:t>项目名称：</w:t>
      </w:r>
    </w:p>
    <w:p>
      <w:pPr>
        <w:pStyle w:val="style0"/>
        <w:snapToGrid w:val="false"/>
        <w:spacing w:beforeLines="50" w:after="50" w:lineRule="exact" w:line="400"/>
        <w:ind w:firstLine="360" w:firstLineChars="150"/>
        <w:rPr>
          <w:rFonts w:ascii="宋体" w:hAnsi="宋体"/>
          <w:bCs/>
          <w:sz w:val="24"/>
        </w:rPr>
      </w:pPr>
      <w:r>
        <w:rPr>
          <w:rFonts w:ascii="宋体" w:hAnsi="宋体" w:hint="eastAsia"/>
          <w:bCs/>
          <w:sz w:val="24"/>
        </w:rPr>
        <w:t>项目编号：</w:t>
      </w:r>
    </w:p>
    <w:p>
      <w:pPr>
        <w:pStyle w:val="style0"/>
        <w:snapToGrid w:val="false"/>
        <w:spacing w:beforeLines="50" w:after="50" w:lineRule="exact" w:line="400"/>
        <w:ind w:firstLine="360" w:firstLineChars="150"/>
        <w:rPr>
          <w:rFonts w:ascii="宋体" w:hAnsi="宋体"/>
          <w:bCs/>
          <w:sz w:val="24"/>
        </w:rPr>
      </w:pPr>
      <w:r>
        <w:rPr>
          <w:rFonts w:ascii="宋体" w:hAnsi="宋体" w:hint="eastAsia"/>
          <w:bCs/>
          <w:sz w:val="24"/>
        </w:rPr>
        <w:t>所投分标：</w:t>
      </w:r>
    </w:p>
    <w:p>
      <w:pPr>
        <w:pStyle w:val="style0"/>
        <w:snapToGrid w:val="false"/>
        <w:spacing w:beforeLines="50" w:after="50" w:lineRule="exact" w:line="400"/>
        <w:ind w:firstLine="360" w:firstLineChars="150"/>
        <w:rPr>
          <w:rFonts w:ascii="宋体" w:hAnsi="宋体"/>
          <w:bCs/>
          <w:sz w:val="24"/>
        </w:rPr>
      </w:pPr>
      <w:r>
        <w:rPr>
          <w:rFonts w:ascii="宋体" w:hAnsi="宋体" w:hint="eastAsia"/>
          <w:bCs/>
          <w:sz w:val="24"/>
        </w:rPr>
        <w:t>投标人名称：</w:t>
      </w:r>
    </w:p>
    <w:p>
      <w:pPr>
        <w:pStyle w:val="style0"/>
        <w:snapToGrid w:val="false"/>
        <w:spacing w:beforeLines="50" w:after="50" w:lineRule="exact" w:line="400"/>
        <w:ind w:firstLine="360" w:firstLineChars="150"/>
        <w:rPr>
          <w:rFonts w:ascii="宋体" w:hAnsi="宋体"/>
          <w:bCs/>
          <w:sz w:val="24"/>
        </w:rPr>
      </w:pPr>
      <w:r>
        <w:rPr>
          <w:rFonts w:ascii="宋体" w:hAnsi="宋体" w:hint="eastAsia"/>
          <w:bCs/>
          <w:sz w:val="24"/>
        </w:rPr>
        <w:t>投标人地址：</w:t>
      </w:r>
    </w:p>
    <w:p>
      <w:pPr>
        <w:pStyle w:val="style0"/>
        <w:snapToGrid w:val="false"/>
        <w:spacing w:beforeLines="50" w:after="50"/>
        <w:ind w:firstLine="645"/>
        <w:jc w:val="center"/>
        <w:rPr>
          <w:rFonts w:ascii="宋体" w:hAnsi="宋体"/>
          <w:sz w:val="24"/>
        </w:rPr>
      </w:pPr>
      <w:r>
        <w:rPr>
          <w:rFonts w:ascii="宋体" w:hAnsi="宋体"/>
          <w:sz w:val="24"/>
        </w:rPr>
        <w:t xml:space="preserve">                        年    月    日</w:t>
      </w:r>
    </w:p>
    <w:p>
      <w:pPr>
        <w:pStyle w:val="style0"/>
        <w:snapToGrid w:val="false"/>
        <w:spacing w:beforeLines="50" w:after="50"/>
        <w:ind w:firstLine="645"/>
        <w:jc w:val="center"/>
        <w:rPr>
          <w:rFonts w:ascii="宋体" w:hAnsi="宋体"/>
          <w:sz w:val="24"/>
          <w:szCs w:val="20"/>
        </w:rPr>
      </w:pPr>
    </w:p>
    <w:p>
      <w:pPr>
        <w:pStyle w:val="style0"/>
        <w:snapToGrid w:val="false"/>
        <w:spacing w:beforeLines="50" w:after="50"/>
        <w:ind w:left="142"/>
        <w:jc w:val="left"/>
        <w:rPr>
          <w:rFonts w:ascii="宋体" w:hAnsi="宋体"/>
          <w:b/>
          <w:sz w:val="24"/>
        </w:rPr>
      </w:pPr>
      <w:r>
        <w:rPr>
          <w:rFonts w:ascii="宋体" w:hAnsi="宋体"/>
          <w:b/>
          <w:bCs/>
          <w:sz w:val="24"/>
        </w:rPr>
        <w:br w:type="page"/>
      </w:r>
      <w:r>
        <w:rPr>
          <w:rFonts w:ascii="宋体" w:hAnsi="宋体"/>
          <w:b/>
          <w:sz w:val="24"/>
        </w:rPr>
        <w:t>2.技术文件目录</w:t>
      </w:r>
    </w:p>
    <w:p>
      <w:pPr>
        <w:pStyle w:val="style0"/>
        <w:snapToGrid w:val="false"/>
        <w:spacing w:before="50" w:afterLines="50" w:lineRule="auto" w:line="360"/>
        <w:ind w:firstLine="560" w:firstLineChars="200"/>
        <w:jc w:val="left"/>
        <w:rPr>
          <w:rFonts w:ascii="宋体" w:hAnsi="宋体"/>
          <w:sz w:val="28"/>
          <w:szCs w:val="28"/>
        </w:rPr>
      </w:pPr>
      <w:r>
        <w:rPr>
          <w:rFonts w:ascii="宋体" w:hAnsi="宋体" w:hint="eastAsia"/>
          <w:sz w:val="28"/>
          <w:szCs w:val="28"/>
        </w:rPr>
        <w:t>根据招标文件规定及投标人提供的材料自行编写目录。</w:t>
      </w:r>
    </w:p>
    <w:p>
      <w:pPr>
        <w:pStyle w:val="style0"/>
        <w:snapToGrid w:val="false"/>
        <w:spacing w:beforeLines="50" w:after="50"/>
        <w:ind w:left="142"/>
        <w:jc w:val="left"/>
        <w:rPr>
          <w:rFonts w:ascii="宋体" w:hAnsi="宋体"/>
          <w:b/>
          <w:sz w:val="24"/>
        </w:rPr>
      </w:pPr>
      <w:r>
        <w:rPr>
          <w:rFonts w:ascii="宋体" w:hAnsi="宋体"/>
          <w:b/>
          <w:sz w:val="24"/>
        </w:rPr>
        <w:br w:type="page"/>
      </w:r>
      <w:r>
        <w:rPr>
          <w:rFonts w:ascii="宋体" w:hAnsi="宋体"/>
          <w:b/>
          <w:sz w:val="24"/>
        </w:rPr>
        <w:t xml:space="preserve">3. </w:t>
      </w:r>
      <w:r>
        <w:rPr>
          <w:rFonts w:ascii="宋体" w:hAnsi="宋体" w:hint="eastAsia"/>
          <w:b/>
          <w:sz w:val="24"/>
        </w:rPr>
        <w:t>技术要求偏离表格式</w:t>
      </w:r>
    </w:p>
    <w:p>
      <w:pPr>
        <w:pStyle w:val="style0"/>
        <w:snapToGrid w:val="false"/>
        <w:spacing w:beforeLines="50" w:after="50"/>
        <w:ind w:left="142"/>
        <w:jc w:val="left"/>
        <w:rPr>
          <w:rFonts w:ascii="宋体" w:hAnsi="宋体"/>
          <w:b/>
          <w:sz w:val="24"/>
        </w:rPr>
      </w:pPr>
    </w:p>
    <w:p>
      <w:pPr>
        <w:pStyle w:val="style0"/>
        <w:snapToGrid w:val="false"/>
        <w:spacing w:beforeLines="50" w:after="50"/>
        <w:ind w:left="142"/>
        <w:jc w:val="center"/>
        <w:rPr>
          <w:rFonts w:ascii="宋体" w:hAnsi="宋体"/>
          <w:b/>
          <w:sz w:val="32"/>
          <w:szCs w:val="32"/>
        </w:rPr>
      </w:pPr>
      <w:r>
        <w:rPr>
          <w:rFonts w:ascii="宋体" w:hAnsi="宋体" w:hint="eastAsia"/>
          <w:b/>
          <w:sz w:val="32"/>
          <w:szCs w:val="32"/>
        </w:rPr>
        <w:t>技术要求偏离表</w:t>
      </w:r>
    </w:p>
    <w:p>
      <w:pPr>
        <w:pStyle w:val="style0"/>
        <w:rPr>
          <w:rFonts w:ascii="宋体" w:hAnsi="宋体"/>
          <w:sz w:val="24"/>
        </w:rPr>
      </w:pPr>
      <w:r>
        <w:rPr>
          <w:rFonts w:ascii="宋体" w:hAnsi="宋体" w:hint="eastAsia"/>
          <w:sz w:val="24"/>
        </w:rPr>
        <w:t>所投分标：分标</w:t>
      </w: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1617"/>
        <w:gridCol w:w="1811"/>
      </w:tblGrid>
      <w:tr>
        <w:trPr>
          <w:trHeight w:val="643" w:hRule="atLeast"/>
          <w:jc w:val="center"/>
        </w:trPr>
        <w:tc>
          <w:tcPr>
            <w:tcW w:w="852" w:type="dxa"/>
            <w:tcBorders/>
            <w:vAlign w:val="center"/>
          </w:tcPr>
          <w:p>
            <w:pPr>
              <w:pStyle w:val="style0"/>
              <w:spacing w:lineRule="exact" w:line="400"/>
              <w:jc w:val="center"/>
              <w:rPr>
                <w:rFonts w:ascii="宋体" w:cs="Courier New" w:hAnsi="宋体"/>
                <w:sz w:val="24"/>
              </w:rPr>
            </w:pPr>
            <w:r>
              <w:rPr>
                <w:rFonts w:ascii="宋体" w:cs="Courier New" w:hAnsi="宋体" w:hint="eastAsia"/>
                <w:sz w:val="24"/>
              </w:rPr>
              <w:t>项号</w:t>
            </w:r>
          </w:p>
        </w:tc>
        <w:tc>
          <w:tcPr>
            <w:tcW w:w="2143" w:type="dxa"/>
            <w:tcBorders/>
            <w:vAlign w:val="center"/>
          </w:tcPr>
          <w:p>
            <w:pPr>
              <w:pStyle w:val="style0"/>
              <w:spacing w:lineRule="exact" w:line="400"/>
              <w:jc w:val="center"/>
              <w:rPr>
                <w:rFonts w:ascii="宋体" w:cs="Courier New" w:hAnsi="宋体"/>
                <w:sz w:val="24"/>
              </w:rPr>
            </w:pPr>
            <w:r>
              <w:rPr>
                <w:rFonts w:ascii="宋体" w:cs="Courier New" w:hAnsi="宋体" w:hint="eastAsia"/>
                <w:sz w:val="24"/>
              </w:rPr>
              <w:t>标的的名称</w:t>
            </w:r>
          </w:p>
        </w:tc>
        <w:tc>
          <w:tcPr>
            <w:tcW w:w="1834" w:type="dxa"/>
            <w:tcBorders/>
            <w:vAlign w:val="center"/>
          </w:tcPr>
          <w:p>
            <w:pPr>
              <w:pStyle w:val="style0"/>
              <w:spacing w:lineRule="exact" w:line="400"/>
              <w:jc w:val="center"/>
              <w:rPr>
                <w:rFonts w:ascii="宋体" w:cs="Courier New" w:hAnsi="宋体"/>
                <w:sz w:val="24"/>
              </w:rPr>
            </w:pPr>
            <w:r>
              <w:rPr>
                <w:rFonts w:ascii="宋体" w:cs="Courier New" w:hAnsi="宋体" w:hint="eastAsia"/>
                <w:sz w:val="24"/>
              </w:rPr>
              <w:t>技术要求</w:t>
            </w:r>
          </w:p>
        </w:tc>
        <w:tc>
          <w:tcPr>
            <w:tcW w:w="1617" w:type="dxa"/>
            <w:tcBorders/>
            <w:vAlign w:val="center"/>
          </w:tcPr>
          <w:p>
            <w:pPr>
              <w:pStyle w:val="style0"/>
              <w:spacing w:lineRule="exact" w:line="400"/>
              <w:jc w:val="center"/>
              <w:rPr>
                <w:rFonts w:ascii="宋体" w:cs="Courier New" w:hAnsi="宋体"/>
                <w:sz w:val="24"/>
              </w:rPr>
            </w:pPr>
            <w:r>
              <w:rPr>
                <w:rFonts w:ascii="宋体" w:cs="Courier New" w:hAnsi="宋体" w:hint="eastAsia"/>
                <w:sz w:val="24"/>
              </w:rPr>
              <w:t>投标响应</w:t>
            </w:r>
          </w:p>
        </w:tc>
        <w:tc>
          <w:tcPr>
            <w:tcW w:w="1811" w:type="dxa"/>
            <w:tcBorders/>
            <w:vAlign w:val="center"/>
          </w:tcPr>
          <w:p>
            <w:pPr>
              <w:pStyle w:val="style0"/>
              <w:spacing w:lineRule="exact" w:line="400"/>
              <w:jc w:val="center"/>
              <w:rPr>
                <w:rFonts w:ascii="宋体" w:cs="Courier New" w:hAnsi="宋体"/>
                <w:sz w:val="24"/>
              </w:rPr>
            </w:pPr>
            <w:r>
              <w:rPr>
                <w:rFonts w:ascii="宋体" w:cs="Courier New" w:hAnsi="宋体" w:hint="eastAsia"/>
                <w:sz w:val="24"/>
              </w:rPr>
              <w:t>偏离说明</w:t>
            </w:r>
          </w:p>
        </w:tc>
      </w:tr>
      <w:tr>
        <w:tblPrEx/>
        <w:trPr>
          <w:jc w:val="center"/>
        </w:trPr>
        <w:tc>
          <w:tcPr>
            <w:tcW w:w="852" w:type="dxa"/>
            <w:tcBorders/>
          </w:tcPr>
          <w:p>
            <w:pPr>
              <w:pStyle w:val="style0"/>
              <w:spacing w:lineRule="exact" w:line="600"/>
              <w:jc w:val="center"/>
              <w:outlineLvl w:val="0"/>
              <w:rPr>
                <w:rFonts w:ascii="宋体" w:cs="Courier New" w:hAnsi="宋体"/>
                <w:sz w:val="24"/>
              </w:rPr>
            </w:pPr>
          </w:p>
        </w:tc>
        <w:tc>
          <w:tcPr>
            <w:tcW w:w="2143" w:type="dxa"/>
            <w:tcBorders/>
            <w:vAlign w:val="center"/>
          </w:tcPr>
          <w:p>
            <w:pPr>
              <w:pStyle w:val="style0"/>
              <w:spacing w:lineRule="exact" w:line="600"/>
              <w:jc w:val="center"/>
              <w:outlineLvl w:val="0"/>
              <w:rPr>
                <w:rFonts w:ascii="宋体" w:cs="Courier New" w:hAnsi="宋体"/>
                <w:sz w:val="24"/>
              </w:rPr>
            </w:pPr>
          </w:p>
        </w:tc>
        <w:tc>
          <w:tcPr>
            <w:tcW w:w="1834" w:type="dxa"/>
            <w:tcBorders/>
            <w:vAlign w:val="center"/>
          </w:tcPr>
          <w:p>
            <w:pPr>
              <w:pStyle w:val="style0"/>
              <w:spacing w:lineRule="exact" w:line="600"/>
              <w:jc w:val="center"/>
              <w:outlineLvl w:val="0"/>
              <w:rPr>
                <w:rFonts w:ascii="宋体" w:cs="Courier New" w:hAnsi="宋体"/>
                <w:sz w:val="24"/>
              </w:rPr>
            </w:pPr>
          </w:p>
        </w:tc>
        <w:tc>
          <w:tcPr>
            <w:tcW w:w="1617" w:type="dxa"/>
            <w:tcBorders/>
            <w:vAlign w:val="center"/>
          </w:tcPr>
          <w:p>
            <w:pPr>
              <w:pStyle w:val="style0"/>
              <w:spacing w:lineRule="exact" w:line="600"/>
              <w:jc w:val="center"/>
              <w:outlineLvl w:val="0"/>
              <w:rPr>
                <w:rFonts w:ascii="宋体" w:cs="Courier New" w:hAnsi="宋体"/>
                <w:sz w:val="24"/>
              </w:rPr>
            </w:pPr>
          </w:p>
        </w:tc>
        <w:tc>
          <w:tcPr>
            <w:tcW w:w="1811" w:type="dxa"/>
            <w:tcBorders/>
            <w:vAlign w:val="center"/>
          </w:tcPr>
          <w:p>
            <w:pPr>
              <w:pStyle w:val="style0"/>
              <w:spacing w:lineRule="exact" w:line="600"/>
              <w:jc w:val="center"/>
              <w:outlineLvl w:val="0"/>
              <w:rPr>
                <w:rFonts w:ascii="宋体" w:cs="Courier New" w:hAnsi="宋体"/>
                <w:sz w:val="24"/>
              </w:rPr>
            </w:pPr>
          </w:p>
        </w:tc>
      </w:tr>
      <w:tr>
        <w:tblPrEx/>
        <w:trPr>
          <w:jc w:val="center"/>
        </w:trPr>
        <w:tc>
          <w:tcPr>
            <w:tcW w:w="852" w:type="dxa"/>
            <w:tcBorders/>
          </w:tcPr>
          <w:p>
            <w:pPr>
              <w:pStyle w:val="style0"/>
              <w:spacing w:lineRule="exact" w:line="600"/>
              <w:outlineLvl w:val="0"/>
              <w:rPr>
                <w:rFonts w:ascii="宋体" w:cs="Courier New" w:hAnsi="宋体"/>
                <w:sz w:val="24"/>
              </w:rPr>
            </w:pPr>
          </w:p>
        </w:tc>
        <w:tc>
          <w:tcPr>
            <w:tcW w:w="2143" w:type="dxa"/>
            <w:tcBorders/>
          </w:tcPr>
          <w:p>
            <w:pPr>
              <w:pStyle w:val="style0"/>
              <w:spacing w:lineRule="exact" w:line="600"/>
              <w:outlineLvl w:val="0"/>
              <w:rPr>
                <w:rFonts w:ascii="宋体" w:cs="Courier New" w:hAnsi="宋体"/>
                <w:sz w:val="24"/>
              </w:rPr>
            </w:pPr>
          </w:p>
        </w:tc>
        <w:tc>
          <w:tcPr>
            <w:tcW w:w="1834" w:type="dxa"/>
            <w:tcBorders/>
          </w:tcPr>
          <w:p>
            <w:pPr>
              <w:pStyle w:val="style0"/>
              <w:spacing w:lineRule="exact" w:line="600"/>
              <w:outlineLvl w:val="0"/>
              <w:rPr>
                <w:rFonts w:ascii="宋体" w:cs="Courier New" w:hAnsi="宋体"/>
                <w:sz w:val="24"/>
              </w:rPr>
            </w:pPr>
          </w:p>
        </w:tc>
        <w:tc>
          <w:tcPr>
            <w:tcW w:w="1617" w:type="dxa"/>
            <w:tcBorders/>
          </w:tcPr>
          <w:p>
            <w:pPr>
              <w:pStyle w:val="style0"/>
              <w:spacing w:lineRule="exact" w:line="600"/>
              <w:outlineLvl w:val="0"/>
              <w:rPr>
                <w:rFonts w:ascii="宋体" w:cs="Courier New" w:hAnsi="宋体"/>
                <w:sz w:val="24"/>
              </w:rPr>
            </w:pPr>
          </w:p>
        </w:tc>
        <w:tc>
          <w:tcPr>
            <w:tcW w:w="1811" w:type="dxa"/>
            <w:tcBorders/>
          </w:tcPr>
          <w:p>
            <w:pPr>
              <w:pStyle w:val="style0"/>
              <w:spacing w:lineRule="exact" w:line="600"/>
              <w:outlineLvl w:val="0"/>
              <w:rPr>
                <w:rFonts w:ascii="宋体" w:cs="Courier New" w:hAnsi="宋体"/>
                <w:sz w:val="24"/>
              </w:rPr>
            </w:pPr>
          </w:p>
        </w:tc>
      </w:tr>
      <w:tr>
        <w:tblPrEx/>
        <w:trPr>
          <w:jc w:val="center"/>
        </w:trPr>
        <w:tc>
          <w:tcPr>
            <w:tcW w:w="852" w:type="dxa"/>
            <w:tcBorders/>
          </w:tcPr>
          <w:p>
            <w:pPr>
              <w:pStyle w:val="style0"/>
              <w:spacing w:lineRule="exact" w:line="600"/>
              <w:outlineLvl w:val="0"/>
              <w:rPr>
                <w:rFonts w:ascii="宋体" w:cs="Courier New" w:hAnsi="宋体"/>
                <w:sz w:val="24"/>
              </w:rPr>
            </w:pPr>
          </w:p>
        </w:tc>
        <w:tc>
          <w:tcPr>
            <w:tcW w:w="2143" w:type="dxa"/>
            <w:tcBorders/>
          </w:tcPr>
          <w:p>
            <w:pPr>
              <w:pStyle w:val="style0"/>
              <w:spacing w:lineRule="exact" w:line="600"/>
              <w:outlineLvl w:val="0"/>
              <w:rPr>
                <w:rFonts w:ascii="宋体" w:cs="Courier New" w:hAnsi="宋体"/>
                <w:sz w:val="24"/>
              </w:rPr>
            </w:pPr>
          </w:p>
        </w:tc>
        <w:tc>
          <w:tcPr>
            <w:tcW w:w="1834" w:type="dxa"/>
            <w:tcBorders/>
          </w:tcPr>
          <w:p>
            <w:pPr>
              <w:pStyle w:val="style0"/>
              <w:spacing w:lineRule="exact" w:line="600"/>
              <w:outlineLvl w:val="0"/>
              <w:rPr>
                <w:rFonts w:ascii="宋体" w:cs="Courier New" w:hAnsi="宋体"/>
                <w:sz w:val="24"/>
              </w:rPr>
            </w:pPr>
          </w:p>
        </w:tc>
        <w:tc>
          <w:tcPr>
            <w:tcW w:w="1617" w:type="dxa"/>
            <w:tcBorders/>
          </w:tcPr>
          <w:p>
            <w:pPr>
              <w:pStyle w:val="style0"/>
              <w:spacing w:lineRule="exact" w:line="600"/>
              <w:outlineLvl w:val="0"/>
              <w:rPr>
                <w:rFonts w:ascii="宋体" w:cs="Courier New" w:hAnsi="宋体"/>
                <w:sz w:val="24"/>
              </w:rPr>
            </w:pPr>
          </w:p>
        </w:tc>
        <w:tc>
          <w:tcPr>
            <w:tcW w:w="1811" w:type="dxa"/>
            <w:tcBorders/>
          </w:tcPr>
          <w:p>
            <w:pPr>
              <w:pStyle w:val="style0"/>
              <w:spacing w:lineRule="exact" w:line="600"/>
              <w:outlineLvl w:val="0"/>
              <w:rPr>
                <w:rFonts w:ascii="宋体" w:cs="Courier New" w:hAnsi="宋体"/>
                <w:sz w:val="24"/>
              </w:rPr>
            </w:pPr>
          </w:p>
        </w:tc>
      </w:tr>
      <w:tr>
        <w:tblPrEx/>
        <w:trPr>
          <w:jc w:val="center"/>
        </w:trPr>
        <w:tc>
          <w:tcPr>
            <w:tcW w:w="852" w:type="dxa"/>
            <w:tcBorders/>
          </w:tcPr>
          <w:p>
            <w:pPr>
              <w:pStyle w:val="style0"/>
              <w:spacing w:lineRule="exact" w:line="600"/>
              <w:outlineLvl w:val="0"/>
              <w:rPr>
                <w:rFonts w:ascii="宋体" w:cs="Courier New" w:hAnsi="宋体"/>
                <w:sz w:val="24"/>
              </w:rPr>
            </w:pPr>
          </w:p>
        </w:tc>
        <w:tc>
          <w:tcPr>
            <w:tcW w:w="2143" w:type="dxa"/>
            <w:tcBorders/>
          </w:tcPr>
          <w:p>
            <w:pPr>
              <w:pStyle w:val="style0"/>
              <w:spacing w:lineRule="exact" w:line="600"/>
              <w:outlineLvl w:val="0"/>
              <w:rPr>
                <w:rFonts w:ascii="宋体" w:cs="Courier New" w:hAnsi="宋体"/>
                <w:sz w:val="24"/>
              </w:rPr>
            </w:pPr>
          </w:p>
        </w:tc>
        <w:tc>
          <w:tcPr>
            <w:tcW w:w="1834" w:type="dxa"/>
            <w:tcBorders/>
          </w:tcPr>
          <w:p>
            <w:pPr>
              <w:pStyle w:val="style0"/>
              <w:spacing w:lineRule="exact" w:line="600"/>
              <w:outlineLvl w:val="0"/>
              <w:rPr>
                <w:rFonts w:ascii="宋体" w:cs="Courier New" w:hAnsi="宋体"/>
                <w:sz w:val="24"/>
              </w:rPr>
            </w:pPr>
          </w:p>
        </w:tc>
        <w:tc>
          <w:tcPr>
            <w:tcW w:w="1617" w:type="dxa"/>
            <w:tcBorders/>
          </w:tcPr>
          <w:p>
            <w:pPr>
              <w:pStyle w:val="style0"/>
              <w:spacing w:lineRule="exact" w:line="600"/>
              <w:outlineLvl w:val="0"/>
              <w:rPr>
                <w:rFonts w:ascii="宋体" w:cs="Courier New" w:hAnsi="宋体"/>
                <w:sz w:val="24"/>
              </w:rPr>
            </w:pPr>
          </w:p>
        </w:tc>
        <w:tc>
          <w:tcPr>
            <w:tcW w:w="1811" w:type="dxa"/>
            <w:tcBorders/>
          </w:tcPr>
          <w:p>
            <w:pPr>
              <w:pStyle w:val="style0"/>
              <w:spacing w:lineRule="exact" w:line="600"/>
              <w:outlineLvl w:val="0"/>
              <w:rPr>
                <w:rFonts w:ascii="宋体" w:cs="Courier New" w:hAnsi="宋体"/>
                <w:sz w:val="24"/>
              </w:rPr>
            </w:pPr>
          </w:p>
        </w:tc>
      </w:tr>
      <w:tr>
        <w:tblPrEx/>
        <w:trPr>
          <w:jc w:val="center"/>
        </w:trPr>
        <w:tc>
          <w:tcPr>
            <w:tcW w:w="852" w:type="dxa"/>
            <w:tcBorders/>
          </w:tcPr>
          <w:p>
            <w:pPr>
              <w:pStyle w:val="style0"/>
              <w:spacing w:lineRule="exact" w:line="600"/>
              <w:outlineLvl w:val="0"/>
              <w:rPr>
                <w:rFonts w:ascii="宋体" w:cs="Courier New" w:hAnsi="宋体"/>
                <w:sz w:val="24"/>
              </w:rPr>
            </w:pPr>
          </w:p>
        </w:tc>
        <w:tc>
          <w:tcPr>
            <w:tcW w:w="2143" w:type="dxa"/>
            <w:tcBorders/>
          </w:tcPr>
          <w:p>
            <w:pPr>
              <w:pStyle w:val="style0"/>
              <w:spacing w:lineRule="exact" w:line="600"/>
              <w:outlineLvl w:val="0"/>
              <w:rPr>
                <w:rFonts w:ascii="宋体" w:cs="Courier New" w:hAnsi="宋体"/>
                <w:sz w:val="24"/>
              </w:rPr>
            </w:pPr>
          </w:p>
        </w:tc>
        <w:tc>
          <w:tcPr>
            <w:tcW w:w="1834" w:type="dxa"/>
            <w:tcBorders/>
          </w:tcPr>
          <w:p>
            <w:pPr>
              <w:pStyle w:val="style0"/>
              <w:spacing w:lineRule="exact" w:line="600"/>
              <w:outlineLvl w:val="0"/>
              <w:rPr>
                <w:rFonts w:ascii="宋体" w:cs="Courier New" w:hAnsi="宋体"/>
                <w:sz w:val="24"/>
              </w:rPr>
            </w:pPr>
          </w:p>
        </w:tc>
        <w:tc>
          <w:tcPr>
            <w:tcW w:w="1617" w:type="dxa"/>
            <w:tcBorders/>
          </w:tcPr>
          <w:p>
            <w:pPr>
              <w:pStyle w:val="style0"/>
              <w:spacing w:lineRule="exact" w:line="600"/>
              <w:outlineLvl w:val="0"/>
              <w:rPr>
                <w:rFonts w:ascii="宋体" w:cs="Courier New" w:hAnsi="宋体"/>
                <w:sz w:val="24"/>
              </w:rPr>
            </w:pPr>
          </w:p>
        </w:tc>
        <w:tc>
          <w:tcPr>
            <w:tcW w:w="1811" w:type="dxa"/>
            <w:tcBorders/>
          </w:tcPr>
          <w:p>
            <w:pPr>
              <w:pStyle w:val="style0"/>
              <w:spacing w:lineRule="exact" w:line="600"/>
              <w:outlineLvl w:val="0"/>
              <w:rPr>
                <w:rFonts w:ascii="宋体" w:cs="Courier New" w:hAnsi="宋体"/>
                <w:sz w:val="24"/>
              </w:rPr>
            </w:pPr>
          </w:p>
        </w:tc>
      </w:tr>
      <w:tr>
        <w:tblPrEx/>
        <w:trPr>
          <w:jc w:val="center"/>
        </w:trPr>
        <w:tc>
          <w:tcPr>
            <w:tcW w:w="852" w:type="dxa"/>
            <w:tcBorders/>
          </w:tcPr>
          <w:p>
            <w:pPr>
              <w:pStyle w:val="style0"/>
              <w:spacing w:lineRule="exact" w:line="600"/>
              <w:outlineLvl w:val="0"/>
              <w:rPr>
                <w:rFonts w:ascii="宋体" w:cs="Courier New" w:hAnsi="宋体"/>
                <w:sz w:val="24"/>
              </w:rPr>
            </w:pPr>
          </w:p>
        </w:tc>
        <w:tc>
          <w:tcPr>
            <w:tcW w:w="2143" w:type="dxa"/>
            <w:tcBorders/>
          </w:tcPr>
          <w:p>
            <w:pPr>
              <w:pStyle w:val="style0"/>
              <w:spacing w:lineRule="exact" w:line="600"/>
              <w:outlineLvl w:val="0"/>
              <w:rPr>
                <w:rFonts w:ascii="宋体" w:cs="Courier New" w:hAnsi="宋体"/>
                <w:sz w:val="24"/>
              </w:rPr>
            </w:pPr>
          </w:p>
        </w:tc>
        <w:tc>
          <w:tcPr>
            <w:tcW w:w="1834" w:type="dxa"/>
            <w:tcBorders/>
          </w:tcPr>
          <w:p>
            <w:pPr>
              <w:pStyle w:val="style0"/>
              <w:spacing w:lineRule="exact" w:line="600"/>
              <w:outlineLvl w:val="0"/>
              <w:rPr>
                <w:rFonts w:ascii="宋体" w:cs="Courier New" w:hAnsi="宋体"/>
                <w:sz w:val="24"/>
              </w:rPr>
            </w:pPr>
          </w:p>
        </w:tc>
        <w:tc>
          <w:tcPr>
            <w:tcW w:w="1617" w:type="dxa"/>
            <w:tcBorders/>
          </w:tcPr>
          <w:p>
            <w:pPr>
              <w:pStyle w:val="style0"/>
              <w:spacing w:lineRule="exact" w:line="600"/>
              <w:outlineLvl w:val="0"/>
              <w:rPr>
                <w:rFonts w:ascii="宋体" w:cs="Courier New" w:hAnsi="宋体"/>
                <w:sz w:val="24"/>
              </w:rPr>
            </w:pPr>
          </w:p>
        </w:tc>
        <w:tc>
          <w:tcPr>
            <w:tcW w:w="1811" w:type="dxa"/>
            <w:tcBorders/>
          </w:tcPr>
          <w:p>
            <w:pPr>
              <w:pStyle w:val="style0"/>
              <w:spacing w:lineRule="exact" w:line="600"/>
              <w:outlineLvl w:val="0"/>
              <w:rPr>
                <w:rFonts w:ascii="宋体" w:cs="Courier New" w:hAnsi="宋体"/>
                <w:sz w:val="24"/>
              </w:rPr>
            </w:pPr>
          </w:p>
        </w:tc>
      </w:tr>
    </w:tbl>
    <w:p>
      <w:pPr>
        <w:pStyle w:val="style0"/>
        <w:spacing w:after="120"/>
        <w:rPr>
          <w:rFonts w:ascii="宋体" w:hAnsi="宋体"/>
          <w:sz w:val="16"/>
          <w:szCs w:val="16"/>
        </w:rPr>
      </w:pPr>
      <w:r>
        <w:rPr>
          <w:rFonts w:ascii="宋体" w:hAnsi="宋体" w:hint="eastAsia"/>
          <w:sz w:val="16"/>
          <w:szCs w:val="16"/>
        </w:rPr>
        <w:t>注：</w:t>
      </w:r>
    </w:p>
    <w:p>
      <w:pPr>
        <w:pStyle w:val="style0"/>
        <w:spacing w:lineRule="auto" w:line="360"/>
        <w:rPr>
          <w:rFonts w:ascii="宋体" w:cs="仿宋_GB2312" w:hAnsi="宋体"/>
          <w:spacing w:val="-4"/>
          <w:sz w:val="18"/>
          <w:szCs w:val="32"/>
        </w:rPr>
      </w:pPr>
      <w:r>
        <w:rPr>
          <w:rFonts w:ascii="宋体" w:hAnsi="宋体"/>
          <w:spacing w:val="-4"/>
          <w:sz w:val="24"/>
        </w:rPr>
        <w:t xml:space="preserve">1. </w:t>
      </w:r>
      <w:r>
        <w:rPr>
          <w:rFonts w:ascii="宋体" w:hAnsi="宋体" w:hint="eastAsia"/>
          <w:spacing w:val="-4"/>
          <w:sz w:val="24"/>
        </w:rPr>
        <w:t>说明：应对照招标文件“第二章采购需求”中的“技术要求”逐条作明确的投标响应，并作出偏离说明。</w:t>
      </w:r>
    </w:p>
    <w:p>
      <w:pPr>
        <w:pStyle w:val="style0"/>
        <w:spacing w:after="120" w:lineRule="auto" w:line="360"/>
        <w:rPr>
          <w:rFonts w:ascii="宋体" w:hAnsi="宋体"/>
          <w:spacing w:val="-4"/>
          <w:sz w:val="24"/>
        </w:rPr>
      </w:pPr>
      <w:r>
        <w:rPr>
          <w:rFonts w:ascii="宋体" w:hAnsi="宋体"/>
          <w:spacing w:val="-4"/>
          <w:sz w:val="24"/>
        </w:rPr>
        <w:t>2.</w:t>
      </w:r>
      <w:r>
        <w:rPr>
          <w:rFonts w:ascii="宋体" w:hAnsi="宋体" w:hint="eastAsia"/>
          <w:spacing w:val="-4"/>
          <w:sz w:val="24"/>
        </w:rPr>
        <w:t>投标人根据投标货物的性能指标，对照招标文件技术要求，在“偏离说明”中注明“正偏离”、“负偏离”或者“无偏离”。既不属于“正偏离”也不属于“负偏离”即为“无偏离”。</w:t>
      </w:r>
    </w:p>
    <w:p>
      <w:pPr>
        <w:pStyle w:val="style0"/>
        <w:snapToGrid w:val="false"/>
        <w:spacing w:before="50" w:after="50" w:lineRule="auto" w:line="360"/>
        <w:rPr>
          <w:rFonts w:ascii="宋体" w:hAnsi="宋体"/>
          <w:sz w:val="24"/>
        </w:rPr>
      </w:pPr>
    </w:p>
    <w:p>
      <w:pPr>
        <w:pStyle w:val="style0"/>
        <w:snapToGrid w:val="false"/>
        <w:spacing w:before="50" w:after="50" w:lineRule="auto" w:line="360"/>
        <w:rPr>
          <w:rFonts w:ascii="宋体" w:hAnsi="宋体"/>
          <w:spacing w:val="20"/>
          <w:sz w:val="24"/>
          <w:u w:val="single"/>
        </w:rPr>
      </w:pPr>
      <w:r>
        <w:rPr>
          <w:rFonts w:ascii="宋体" w:hAnsi="宋体" w:hint="eastAsia"/>
          <w:sz w:val="24"/>
        </w:rPr>
        <w:t>法定代表人或者委托代理人</w:t>
      </w:r>
      <w:r>
        <w:rPr>
          <w:rFonts w:ascii="宋体" w:hAnsi="宋体" w:hint="eastAsia"/>
          <w:spacing w:val="20"/>
          <w:sz w:val="24"/>
        </w:rPr>
        <w:t>（签字</w:t>
      </w:r>
      <w:r>
        <w:rPr>
          <w:rFonts w:ascii="宋体" w:hAnsi="宋体"/>
          <w:spacing w:val="20"/>
          <w:sz w:val="24"/>
        </w:rPr>
        <w:t>/电子签名）：</w:t>
      </w:r>
    </w:p>
    <w:p>
      <w:pPr>
        <w:pStyle w:val="style0"/>
        <w:snapToGrid w:val="false"/>
        <w:spacing w:before="50" w:after="50" w:lineRule="auto" w:line="360"/>
        <w:rPr>
          <w:rFonts w:ascii="宋体" w:hAnsi="宋体"/>
          <w:spacing w:val="20"/>
          <w:sz w:val="24"/>
        </w:rPr>
      </w:pPr>
      <w:r>
        <w:rPr>
          <w:rFonts w:ascii="宋体" w:hAnsi="宋体" w:hint="eastAsia"/>
          <w:spacing w:val="20"/>
          <w:sz w:val="24"/>
        </w:rPr>
        <w:t>投标人名称（电子签章）：</w:t>
      </w:r>
    </w:p>
    <w:p>
      <w:pPr>
        <w:pStyle w:val="style0"/>
        <w:snapToGrid w:val="false"/>
        <w:spacing w:before="50" w:after="50" w:lineRule="auto" w:line="360"/>
        <w:rPr>
          <w:rFonts w:ascii="宋体" w:hAnsi="宋体"/>
          <w:spacing w:val="20"/>
          <w:sz w:val="24"/>
          <w:u w:val="single"/>
        </w:rPr>
      </w:pPr>
      <w:r>
        <w:rPr>
          <w:rFonts w:ascii="宋体" w:hAnsi="宋体" w:hint="eastAsia"/>
          <w:spacing w:val="20"/>
          <w:sz w:val="24"/>
        </w:rPr>
        <w:t>日期：</w:t>
      </w:r>
    </w:p>
    <w:p>
      <w:pPr>
        <w:pStyle w:val="style0"/>
        <w:snapToGrid w:val="false"/>
        <w:spacing w:before="50" w:after="50" w:lineRule="auto" w:line="360"/>
        <w:rPr>
          <w:rFonts w:ascii="宋体" w:hAnsi="宋体"/>
          <w:spacing w:val="20"/>
          <w:sz w:val="24"/>
          <w:u w:val="single"/>
        </w:rPr>
      </w:pPr>
    </w:p>
    <w:p>
      <w:pPr>
        <w:pStyle w:val="style0"/>
        <w:snapToGrid w:val="false"/>
        <w:spacing w:beforeLines="50" w:after="50"/>
        <w:ind w:left="142"/>
        <w:jc w:val="left"/>
        <w:rPr>
          <w:rFonts w:ascii="宋体" w:hAnsi="宋体"/>
          <w:b/>
          <w:sz w:val="24"/>
        </w:rPr>
      </w:pPr>
      <w:r>
        <w:rPr>
          <w:rFonts w:ascii="宋体" w:hAnsi="宋体"/>
          <w:b/>
          <w:sz w:val="24"/>
        </w:rPr>
        <w:br w:type="page"/>
      </w:r>
      <w:r>
        <w:rPr>
          <w:rFonts w:ascii="宋体" w:hAnsi="宋体"/>
          <w:b/>
          <w:sz w:val="24"/>
        </w:rPr>
        <w:t xml:space="preserve">4. </w:t>
      </w:r>
      <w:r>
        <w:rPr>
          <w:rFonts w:ascii="宋体" w:hAnsi="宋体" w:hint="eastAsia"/>
          <w:b/>
          <w:sz w:val="24"/>
        </w:rPr>
        <w:t>项目实施人员一览表格式</w:t>
      </w:r>
    </w:p>
    <w:p>
      <w:pPr>
        <w:pStyle w:val="style0"/>
        <w:snapToGrid w:val="false"/>
        <w:spacing w:beforeLines="50" w:after="50"/>
        <w:ind w:left="142"/>
        <w:jc w:val="left"/>
        <w:rPr>
          <w:rFonts w:ascii="宋体" w:hAnsi="宋体"/>
          <w:b/>
          <w:sz w:val="24"/>
        </w:rPr>
      </w:pPr>
    </w:p>
    <w:p>
      <w:pPr>
        <w:pStyle w:val="style0"/>
        <w:snapToGrid w:val="false"/>
        <w:spacing w:beforeLines="50" w:after="50"/>
        <w:ind w:left="142"/>
        <w:jc w:val="center"/>
        <w:rPr>
          <w:rFonts w:ascii="宋体" w:hAnsi="宋体"/>
          <w:b/>
          <w:sz w:val="32"/>
          <w:szCs w:val="32"/>
        </w:rPr>
      </w:pPr>
      <w:r>
        <w:rPr>
          <w:rFonts w:ascii="宋体" w:hAnsi="宋体" w:hint="eastAsia"/>
          <w:b/>
          <w:sz w:val="32"/>
          <w:szCs w:val="32"/>
        </w:rPr>
        <w:t>项目实施人员一览表</w:t>
      </w:r>
    </w:p>
    <w:p>
      <w:pPr>
        <w:pStyle w:val="style0"/>
        <w:rPr>
          <w:rFonts w:ascii="宋体" w:hAnsi="宋体"/>
          <w:sz w:val="24"/>
        </w:rPr>
      </w:pPr>
      <w:r>
        <w:rPr>
          <w:rFonts w:ascii="宋体" w:hAnsi="宋体" w:hint="eastAsia"/>
          <w:sz w:val="24"/>
        </w:rPr>
        <w:t>所投分标：分标</w:t>
      </w:r>
    </w:p>
    <w:tbl>
      <w:tblPr>
        <w:tblW w:w="7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452"/>
        <w:gridCol w:w="1823"/>
      </w:tblGrid>
      <w:tr>
        <w:trPr/>
        <w:tc>
          <w:tcPr>
            <w:tcW w:w="817" w:type="dxa"/>
            <w:tcBorders/>
            <w:vAlign w:val="center"/>
          </w:tcPr>
          <w:p>
            <w:pPr>
              <w:pStyle w:val="style0"/>
              <w:snapToGrid w:val="false"/>
              <w:spacing w:before="50" w:afterLines="50"/>
              <w:jc w:val="center"/>
              <w:rPr>
                <w:rFonts w:ascii="宋体" w:hAnsi="宋体"/>
                <w:sz w:val="24"/>
                <w:szCs w:val="20"/>
              </w:rPr>
            </w:pPr>
            <w:r>
              <w:rPr>
                <w:rFonts w:ascii="宋体" w:hAnsi="宋体" w:hint="eastAsia"/>
                <w:sz w:val="24"/>
                <w:szCs w:val="20"/>
              </w:rPr>
              <w:t>姓名</w:t>
            </w:r>
          </w:p>
        </w:tc>
        <w:tc>
          <w:tcPr>
            <w:tcW w:w="709" w:type="dxa"/>
            <w:tcBorders/>
            <w:vAlign w:val="center"/>
          </w:tcPr>
          <w:p>
            <w:pPr>
              <w:pStyle w:val="style0"/>
              <w:snapToGrid w:val="false"/>
              <w:spacing w:before="50" w:afterLines="50"/>
              <w:jc w:val="center"/>
              <w:rPr>
                <w:rFonts w:ascii="宋体" w:hAnsi="宋体"/>
                <w:sz w:val="24"/>
                <w:szCs w:val="20"/>
              </w:rPr>
            </w:pPr>
            <w:r>
              <w:rPr>
                <w:rFonts w:ascii="宋体" w:hAnsi="宋体" w:hint="eastAsia"/>
                <w:sz w:val="24"/>
                <w:szCs w:val="20"/>
              </w:rPr>
              <w:t>职务</w:t>
            </w:r>
          </w:p>
        </w:tc>
        <w:tc>
          <w:tcPr>
            <w:tcW w:w="1701" w:type="dxa"/>
            <w:tcBorders/>
            <w:vAlign w:val="center"/>
          </w:tcPr>
          <w:p>
            <w:pPr>
              <w:pStyle w:val="style0"/>
              <w:snapToGrid w:val="false"/>
              <w:spacing w:before="50" w:afterLines="50"/>
              <w:jc w:val="center"/>
              <w:rPr>
                <w:rFonts w:ascii="宋体" w:hAnsi="宋体"/>
                <w:sz w:val="24"/>
                <w:szCs w:val="20"/>
              </w:rPr>
            </w:pPr>
            <w:r>
              <w:rPr>
                <w:rFonts w:ascii="宋体" w:hAnsi="宋体" w:hint="eastAsia"/>
                <w:sz w:val="24"/>
                <w:szCs w:val="20"/>
              </w:rPr>
              <w:t>专业技术资格（职称）或者职业资格或者执业资格证或者其他证书</w:t>
            </w:r>
          </w:p>
        </w:tc>
        <w:tc>
          <w:tcPr>
            <w:tcW w:w="1420" w:type="dxa"/>
            <w:tcBorders/>
            <w:vAlign w:val="center"/>
          </w:tcPr>
          <w:p>
            <w:pPr>
              <w:pStyle w:val="style0"/>
              <w:snapToGrid w:val="false"/>
              <w:spacing w:before="50" w:afterLines="50"/>
              <w:jc w:val="center"/>
              <w:rPr>
                <w:rFonts w:ascii="宋体" w:hAnsi="宋体"/>
                <w:sz w:val="24"/>
                <w:szCs w:val="20"/>
              </w:rPr>
            </w:pPr>
            <w:r>
              <w:rPr>
                <w:rFonts w:ascii="宋体" w:hAnsi="宋体" w:hint="eastAsia"/>
                <w:sz w:val="24"/>
                <w:szCs w:val="20"/>
              </w:rPr>
              <w:t>证书编号</w:t>
            </w:r>
          </w:p>
        </w:tc>
        <w:tc>
          <w:tcPr>
            <w:tcW w:w="1452" w:type="dxa"/>
            <w:tcBorders/>
            <w:vAlign w:val="center"/>
          </w:tcPr>
          <w:p>
            <w:pPr>
              <w:pStyle w:val="style0"/>
              <w:snapToGrid w:val="false"/>
              <w:spacing w:before="50" w:afterLines="50"/>
              <w:jc w:val="center"/>
              <w:rPr>
                <w:rFonts w:ascii="宋体" w:hAnsi="宋体"/>
                <w:sz w:val="24"/>
                <w:szCs w:val="20"/>
              </w:rPr>
            </w:pPr>
            <w:r>
              <w:rPr>
                <w:rFonts w:ascii="宋体" w:hAnsi="宋体" w:hint="eastAsia"/>
                <w:sz w:val="24"/>
                <w:szCs w:val="20"/>
              </w:rPr>
              <w:t>参加本单位</w:t>
            </w:r>
          </w:p>
          <w:p>
            <w:pPr>
              <w:pStyle w:val="style0"/>
              <w:snapToGrid w:val="false"/>
              <w:spacing w:before="50" w:afterLines="50"/>
              <w:jc w:val="center"/>
              <w:rPr>
                <w:rFonts w:ascii="宋体" w:hAnsi="宋体"/>
                <w:sz w:val="24"/>
                <w:szCs w:val="20"/>
              </w:rPr>
            </w:pPr>
            <w:r>
              <w:rPr>
                <w:rFonts w:ascii="宋体" w:hAnsi="宋体" w:hint="eastAsia"/>
                <w:sz w:val="24"/>
                <w:szCs w:val="20"/>
              </w:rPr>
              <w:t>工作时间</w:t>
            </w:r>
          </w:p>
        </w:tc>
        <w:tc>
          <w:tcPr>
            <w:tcW w:w="1823" w:type="dxa"/>
            <w:tcBorders/>
            <w:vAlign w:val="center"/>
          </w:tcPr>
          <w:p>
            <w:pPr>
              <w:pStyle w:val="style0"/>
              <w:snapToGrid w:val="false"/>
              <w:spacing w:before="50" w:afterLines="50"/>
              <w:jc w:val="center"/>
              <w:rPr>
                <w:rFonts w:ascii="宋体" w:hAnsi="宋体"/>
                <w:sz w:val="24"/>
                <w:szCs w:val="20"/>
              </w:rPr>
            </w:pPr>
            <w:r>
              <w:rPr>
                <w:rFonts w:ascii="宋体" w:hAnsi="宋体" w:hint="eastAsia"/>
                <w:sz w:val="24"/>
                <w:szCs w:val="20"/>
              </w:rPr>
              <w:t>劳动合同编号</w:t>
            </w:r>
          </w:p>
        </w:tc>
      </w:tr>
      <w:tr>
        <w:tblPrEx/>
        <w:trPr/>
        <w:tc>
          <w:tcPr>
            <w:tcW w:w="817" w:type="dxa"/>
            <w:tcBorders/>
            <w:vAlign w:val="center"/>
          </w:tcPr>
          <w:p>
            <w:pPr>
              <w:pStyle w:val="style0"/>
              <w:snapToGrid w:val="false"/>
              <w:spacing w:before="50" w:afterLines="50" w:lineRule="auto" w:line="576"/>
              <w:jc w:val="center"/>
              <w:outlineLvl w:val="0"/>
              <w:rPr>
                <w:rFonts w:ascii="宋体" w:hAnsi="宋体"/>
                <w:sz w:val="24"/>
                <w:szCs w:val="20"/>
              </w:rPr>
            </w:pPr>
          </w:p>
        </w:tc>
        <w:tc>
          <w:tcPr>
            <w:tcW w:w="709"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701"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420"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452"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823" w:type="dxa"/>
            <w:tcBorders/>
            <w:vAlign w:val="center"/>
          </w:tcPr>
          <w:p>
            <w:pPr>
              <w:pStyle w:val="style0"/>
              <w:snapToGrid w:val="false"/>
              <w:spacing w:before="50" w:afterLines="50" w:lineRule="auto" w:line="576"/>
              <w:jc w:val="center"/>
              <w:outlineLvl w:val="0"/>
              <w:rPr>
                <w:rFonts w:ascii="宋体" w:hAnsi="宋体"/>
                <w:b/>
                <w:bCs/>
                <w:sz w:val="24"/>
                <w:szCs w:val="20"/>
              </w:rPr>
            </w:pPr>
          </w:p>
        </w:tc>
      </w:tr>
      <w:tr>
        <w:tblPrEx/>
        <w:trPr/>
        <w:tc>
          <w:tcPr>
            <w:tcW w:w="817" w:type="dxa"/>
            <w:tcBorders/>
            <w:vAlign w:val="center"/>
          </w:tcPr>
          <w:p>
            <w:pPr>
              <w:pStyle w:val="style0"/>
              <w:snapToGrid w:val="false"/>
              <w:spacing w:before="50" w:afterLines="50" w:lineRule="auto" w:line="576"/>
              <w:jc w:val="center"/>
              <w:outlineLvl w:val="0"/>
              <w:rPr>
                <w:rFonts w:ascii="宋体" w:hAnsi="宋体"/>
                <w:sz w:val="24"/>
                <w:szCs w:val="20"/>
              </w:rPr>
            </w:pPr>
          </w:p>
        </w:tc>
        <w:tc>
          <w:tcPr>
            <w:tcW w:w="709"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701"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420"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452"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823" w:type="dxa"/>
            <w:tcBorders/>
            <w:vAlign w:val="center"/>
          </w:tcPr>
          <w:p>
            <w:pPr>
              <w:pStyle w:val="style0"/>
              <w:snapToGrid w:val="false"/>
              <w:spacing w:before="50" w:afterLines="50" w:lineRule="auto" w:line="576"/>
              <w:jc w:val="center"/>
              <w:outlineLvl w:val="0"/>
              <w:rPr>
                <w:rFonts w:ascii="宋体" w:hAnsi="宋体"/>
                <w:b/>
                <w:bCs/>
                <w:sz w:val="24"/>
                <w:szCs w:val="20"/>
              </w:rPr>
            </w:pPr>
          </w:p>
        </w:tc>
      </w:tr>
      <w:tr>
        <w:tblPrEx/>
        <w:trPr/>
        <w:tc>
          <w:tcPr>
            <w:tcW w:w="817" w:type="dxa"/>
            <w:tcBorders/>
            <w:vAlign w:val="center"/>
          </w:tcPr>
          <w:p>
            <w:pPr>
              <w:pStyle w:val="style0"/>
              <w:snapToGrid w:val="false"/>
              <w:spacing w:before="50" w:afterLines="50" w:lineRule="auto" w:line="576"/>
              <w:jc w:val="center"/>
              <w:outlineLvl w:val="0"/>
              <w:rPr>
                <w:rFonts w:ascii="宋体" w:hAnsi="宋体"/>
                <w:sz w:val="24"/>
                <w:szCs w:val="20"/>
              </w:rPr>
            </w:pPr>
          </w:p>
        </w:tc>
        <w:tc>
          <w:tcPr>
            <w:tcW w:w="709"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701"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420"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452" w:type="dxa"/>
            <w:tcBorders/>
            <w:vAlign w:val="center"/>
          </w:tcPr>
          <w:p>
            <w:pPr>
              <w:pStyle w:val="style0"/>
              <w:snapToGrid w:val="false"/>
              <w:spacing w:before="50" w:afterLines="50" w:lineRule="auto" w:line="576"/>
              <w:jc w:val="center"/>
              <w:outlineLvl w:val="0"/>
              <w:rPr>
                <w:rFonts w:ascii="宋体" w:hAnsi="宋体"/>
                <w:b/>
                <w:bCs/>
                <w:sz w:val="24"/>
                <w:szCs w:val="20"/>
              </w:rPr>
            </w:pPr>
          </w:p>
        </w:tc>
        <w:tc>
          <w:tcPr>
            <w:tcW w:w="1823" w:type="dxa"/>
            <w:tcBorders/>
            <w:vAlign w:val="center"/>
          </w:tcPr>
          <w:p>
            <w:pPr>
              <w:pStyle w:val="style0"/>
              <w:snapToGrid w:val="false"/>
              <w:spacing w:before="50" w:afterLines="50" w:lineRule="auto" w:line="576"/>
              <w:jc w:val="center"/>
              <w:outlineLvl w:val="0"/>
              <w:rPr>
                <w:rFonts w:ascii="宋体" w:hAnsi="宋体"/>
                <w:b/>
                <w:bCs/>
                <w:sz w:val="24"/>
                <w:szCs w:val="20"/>
              </w:rPr>
            </w:pPr>
          </w:p>
        </w:tc>
      </w:tr>
    </w:tbl>
    <w:p>
      <w:pPr>
        <w:pStyle w:val="style0"/>
        <w:snapToGrid w:val="false"/>
        <w:spacing w:before="50" w:afterLines="50"/>
        <w:jc w:val="left"/>
        <w:rPr>
          <w:rFonts w:ascii="宋体" w:hAnsi="宋体"/>
          <w:sz w:val="24"/>
          <w:szCs w:val="20"/>
        </w:rPr>
      </w:pPr>
    </w:p>
    <w:p>
      <w:pPr>
        <w:pStyle w:val="style0"/>
        <w:spacing w:lineRule="auto" w:line="360"/>
        <w:jc w:val="left"/>
        <w:contextualSpacing/>
        <w:rPr>
          <w:rFonts w:ascii="宋体" w:hAnsi="宋体"/>
          <w:sz w:val="24"/>
          <w:szCs w:val="20"/>
        </w:rPr>
      </w:pPr>
      <w:r>
        <w:rPr>
          <w:rFonts w:ascii="宋体" w:hAnsi="宋体" w:hint="eastAsia"/>
          <w:sz w:val="24"/>
          <w:szCs w:val="20"/>
        </w:rPr>
        <w:t>注：</w:t>
      </w:r>
    </w:p>
    <w:p>
      <w:pPr>
        <w:pStyle w:val="style0"/>
        <w:spacing w:lineRule="auto" w:line="360"/>
        <w:jc w:val="left"/>
        <w:contextualSpacing/>
        <w:rPr>
          <w:rFonts w:ascii="宋体" w:hAnsi="宋体"/>
          <w:sz w:val="24"/>
          <w:szCs w:val="20"/>
        </w:rPr>
      </w:pPr>
      <w:r>
        <w:rPr>
          <w:rFonts w:ascii="宋体" w:hAnsi="宋体"/>
          <w:sz w:val="24"/>
          <w:szCs w:val="20"/>
        </w:rPr>
        <w:t>1.</w:t>
      </w:r>
      <w:r>
        <w:rPr>
          <w:rFonts w:ascii="宋体" w:hAnsi="宋体" w:hint="eastAsia"/>
          <w:sz w:val="24"/>
          <w:szCs w:val="20"/>
        </w:rPr>
        <w:t>在填写时，如本表格不适合投标单位的实际情况，可根据本表格式自行制表填写。</w:t>
      </w:r>
    </w:p>
    <w:p>
      <w:pPr>
        <w:pStyle w:val="style0"/>
        <w:spacing w:lineRule="auto" w:line="360"/>
        <w:jc w:val="left"/>
        <w:contextualSpacing/>
        <w:rPr>
          <w:rFonts w:ascii="宋体" w:hAnsi="宋体"/>
          <w:sz w:val="24"/>
          <w:szCs w:val="20"/>
        </w:rPr>
      </w:pPr>
      <w:r>
        <w:rPr>
          <w:rFonts w:ascii="宋体" w:hAnsi="宋体"/>
          <w:sz w:val="24"/>
          <w:szCs w:val="20"/>
        </w:rPr>
        <w:t>2.</w:t>
      </w:r>
      <w:r>
        <w:rPr>
          <w:rFonts w:ascii="宋体" w:hAnsi="宋体" w:hint="eastAsia"/>
          <w:sz w:val="24"/>
          <w:szCs w:val="20"/>
        </w:rPr>
        <w:t>投标人应当附本表所列证书的复印件并加盖投标人公章。</w:t>
      </w:r>
    </w:p>
    <w:p>
      <w:pPr>
        <w:pStyle w:val="style0"/>
        <w:spacing w:lineRule="auto" w:line="360"/>
        <w:jc w:val="left"/>
        <w:contextualSpacing/>
        <w:rPr>
          <w:rFonts w:ascii="宋体" w:hAnsi="宋体"/>
          <w:sz w:val="24"/>
          <w:szCs w:val="20"/>
        </w:rPr>
      </w:pPr>
    </w:p>
    <w:p>
      <w:pPr>
        <w:pStyle w:val="style0"/>
        <w:spacing w:lineRule="auto" w:line="360"/>
        <w:jc w:val="left"/>
        <w:contextualSpacing/>
        <w:rPr>
          <w:rFonts w:ascii="宋体" w:hAnsi="宋体"/>
          <w:sz w:val="24"/>
          <w:szCs w:val="20"/>
        </w:rPr>
      </w:pPr>
    </w:p>
    <w:p>
      <w:pPr>
        <w:pStyle w:val="style0"/>
        <w:spacing w:lineRule="auto" w:line="360"/>
        <w:contextualSpacing/>
        <w:rPr>
          <w:rFonts w:ascii="宋体" w:hAnsi="宋体"/>
          <w:spacing w:val="20"/>
          <w:sz w:val="24"/>
          <w:szCs w:val="20"/>
          <w:u w:val="single"/>
        </w:rPr>
      </w:pPr>
      <w:r>
        <w:rPr>
          <w:rFonts w:ascii="宋体" w:hAnsi="宋体" w:hint="eastAsia"/>
          <w:sz w:val="24"/>
        </w:rPr>
        <w:t>法定代表人或者委托代理人</w:t>
      </w:r>
      <w:r>
        <w:rPr>
          <w:rFonts w:ascii="宋体" w:hAnsi="宋体" w:hint="eastAsia"/>
          <w:spacing w:val="20"/>
          <w:sz w:val="24"/>
        </w:rPr>
        <w:t>（签字</w:t>
      </w:r>
      <w:r>
        <w:rPr>
          <w:rFonts w:ascii="宋体" w:hAnsi="宋体"/>
          <w:spacing w:val="20"/>
          <w:sz w:val="24"/>
        </w:rPr>
        <w:t>/电子签名）：</w:t>
      </w:r>
    </w:p>
    <w:p>
      <w:pPr>
        <w:pStyle w:val="style0"/>
        <w:spacing w:lineRule="auto" w:line="360"/>
        <w:jc w:val="left"/>
        <w:contextualSpacing/>
        <w:rPr>
          <w:rFonts w:ascii="宋体" w:hAnsi="宋体"/>
          <w:spacing w:val="20"/>
          <w:sz w:val="24"/>
        </w:rPr>
      </w:pPr>
      <w:r>
        <w:rPr>
          <w:rFonts w:ascii="宋体" w:hAnsi="宋体" w:hint="eastAsia"/>
          <w:spacing w:val="20"/>
          <w:sz w:val="24"/>
        </w:rPr>
        <w:t>投标人名称（电子签章）：</w:t>
      </w:r>
    </w:p>
    <w:p>
      <w:pPr>
        <w:pStyle w:val="style0"/>
        <w:spacing w:lineRule="auto" w:line="360"/>
        <w:jc w:val="left"/>
        <w:contextualSpacing/>
        <w:rPr>
          <w:rFonts w:ascii="宋体" w:hAnsi="宋体"/>
          <w:sz w:val="24"/>
          <w:szCs w:val="20"/>
        </w:rPr>
      </w:pPr>
      <w:r>
        <w:rPr>
          <w:rFonts w:ascii="宋体" w:hAnsi="宋体" w:hint="eastAsia"/>
          <w:spacing w:val="20"/>
          <w:sz w:val="24"/>
        </w:rPr>
        <w:t>日期：</w:t>
      </w:r>
    </w:p>
    <w:p>
      <w:pPr>
        <w:pStyle w:val="style0"/>
        <w:snapToGrid w:val="false"/>
        <w:spacing w:before="50" w:afterLines="50"/>
        <w:jc w:val="left"/>
        <w:rPr>
          <w:rFonts w:ascii="宋体" w:hAnsi="宋体"/>
          <w:sz w:val="24"/>
          <w:szCs w:val="20"/>
        </w:rPr>
      </w:pPr>
    </w:p>
    <w:p>
      <w:pPr>
        <w:pStyle w:val="style0"/>
        <w:snapToGrid w:val="false"/>
        <w:spacing w:beforeLines="50" w:after="50"/>
        <w:ind w:left="142"/>
        <w:jc w:val="left"/>
        <w:rPr>
          <w:rFonts w:ascii="宋体" w:hAnsi="宋体"/>
          <w:b/>
          <w:sz w:val="28"/>
          <w:szCs w:val="28"/>
        </w:rPr>
      </w:pPr>
      <w:r>
        <w:rPr>
          <w:rFonts w:ascii="宋体" w:hAnsi="宋体"/>
          <w:b/>
          <w:sz w:val="24"/>
        </w:rPr>
        <w:br w:type="page"/>
      </w:r>
      <w:r>
        <w:rPr>
          <w:rFonts w:ascii="宋体" w:hAnsi="宋体" w:hint="eastAsia"/>
          <w:b/>
          <w:sz w:val="28"/>
          <w:szCs w:val="28"/>
        </w:rPr>
        <w:t>五、其他文书、文件格式</w:t>
      </w:r>
    </w:p>
    <w:p>
      <w:pPr>
        <w:pStyle w:val="style0"/>
        <w:snapToGrid w:val="false"/>
        <w:spacing w:beforeLines="50" w:after="50"/>
        <w:ind w:left="142"/>
        <w:jc w:val="left"/>
        <w:rPr>
          <w:rFonts w:ascii="宋体" w:hAnsi="宋体"/>
          <w:b/>
          <w:spacing w:val="20"/>
          <w:sz w:val="24"/>
        </w:rPr>
      </w:pPr>
      <w:r>
        <w:rPr>
          <w:rFonts w:ascii="宋体" w:hAnsi="宋体"/>
          <w:b/>
          <w:spacing w:val="20"/>
          <w:sz w:val="24"/>
        </w:rPr>
        <w:t>1.联合投标协议书格式</w:t>
      </w:r>
    </w:p>
    <w:p>
      <w:pPr>
        <w:pStyle w:val="style0"/>
        <w:overflowPunct w:val="false"/>
        <w:ind w:firstLine="420"/>
        <w:jc w:val="center"/>
        <w:rPr>
          <w:rFonts w:ascii="宋体" w:cs="方正小标宋简体" w:hAnsi="宋体"/>
          <w:sz w:val="44"/>
          <w:szCs w:val="44"/>
        </w:rPr>
      </w:pPr>
      <w:r>
        <w:rPr>
          <w:rFonts w:ascii="宋体" w:cs="方正小标宋简体" w:hAnsi="宋体" w:hint="eastAsia"/>
          <w:sz w:val="44"/>
          <w:szCs w:val="44"/>
        </w:rPr>
        <w:t>联合体协议书</w:t>
      </w:r>
    </w:p>
    <w:p>
      <w:pPr>
        <w:pStyle w:val="style0"/>
        <w:overflowPunct w:val="false"/>
        <w:ind w:firstLine="420"/>
        <w:rPr>
          <w:rFonts w:ascii="宋体" w:hAnsi="宋体"/>
          <w:sz w:val="24"/>
          <w:szCs w:val="20"/>
        </w:rPr>
      </w:pPr>
    </w:p>
    <w:p>
      <w:pPr>
        <w:pStyle w:val="style0"/>
        <w:overflowPunct w:val="false"/>
        <w:spacing w:lineRule="auto" w:line="360"/>
        <w:ind w:firstLine="420"/>
        <w:contextualSpacing/>
        <w:rPr>
          <w:rFonts w:ascii="宋体" w:hAnsi="宋体"/>
          <w:sz w:val="24"/>
          <w:szCs w:val="20"/>
        </w:rPr>
      </w:pPr>
      <w:r>
        <w:rPr>
          <w:rFonts w:ascii="宋体" w:hAnsi="宋体"/>
          <w:sz w:val="24"/>
          <w:szCs w:val="20"/>
          <w:u w:val="single"/>
        </w:rPr>
        <w:tab/>
      </w:r>
      <w:r>
        <w:rPr>
          <w:rFonts w:ascii="宋体" w:hAnsi="宋体" w:hint="eastAsia"/>
          <w:sz w:val="24"/>
          <w:szCs w:val="20"/>
        </w:rPr>
        <w:t>（所有成员单位名称）自愿组成</w:t>
      </w:r>
      <w:r>
        <w:rPr>
          <w:rFonts w:ascii="宋体" w:hAnsi="宋体"/>
          <w:sz w:val="24"/>
          <w:szCs w:val="20"/>
          <w:u w:val="single"/>
        </w:rPr>
        <w:tab/>
      </w:r>
      <w:r>
        <w:rPr>
          <w:rFonts w:ascii="宋体" w:hAnsi="宋体" w:hint="eastAsia"/>
          <w:sz w:val="24"/>
          <w:szCs w:val="20"/>
        </w:rPr>
        <w:t>（联合体名称）联合体，共同参加</w:t>
      </w:r>
      <w:r>
        <w:rPr>
          <w:rFonts w:ascii="宋体" w:hAnsi="宋体"/>
          <w:sz w:val="24"/>
          <w:szCs w:val="20"/>
          <w:u w:val="single"/>
        </w:rPr>
        <w:tab/>
      </w:r>
      <w:r>
        <w:rPr>
          <w:rFonts w:ascii="宋体" w:hAnsi="宋体" w:hint="eastAsia"/>
          <w:sz w:val="24"/>
          <w:szCs w:val="20"/>
          <w:u w:val="single"/>
        </w:rPr>
        <w:t>（项目名称）</w:t>
      </w:r>
      <w:r>
        <w:rPr>
          <w:rFonts w:ascii="宋体" w:hAnsi="宋体" w:hint="eastAsia"/>
          <w:sz w:val="24"/>
          <w:szCs w:val="20"/>
        </w:rPr>
        <w:t>采购招标项目投标。现就联合体投标事宜订立如下协议。</w:t>
      </w:r>
    </w:p>
    <w:p>
      <w:pPr>
        <w:pStyle w:val="style0"/>
        <w:overflowPunct w:val="false"/>
        <w:spacing w:lineRule="auto" w:line="360"/>
        <w:ind w:firstLine="420" w:firstLineChars="175"/>
        <w:contextualSpacing/>
        <w:rPr>
          <w:rFonts w:ascii="宋体" w:hAnsi="宋体"/>
          <w:sz w:val="24"/>
          <w:szCs w:val="20"/>
        </w:rPr>
      </w:pPr>
      <w:r>
        <w:rPr>
          <w:rFonts w:ascii="宋体" w:hAnsi="宋体"/>
          <w:sz w:val="24"/>
          <w:szCs w:val="20"/>
        </w:rPr>
        <w:t xml:space="preserve">1.  </w:t>
      </w:r>
      <w:r>
        <w:rPr>
          <w:rFonts w:ascii="宋体" w:hAnsi="宋体"/>
          <w:sz w:val="24"/>
          <w:szCs w:val="20"/>
          <w:u w:val="single"/>
        </w:rPr>
        <w:tab/>
      </w:r>
      <w:r>
        <w:rPr>
          <w:rFonts w:ascii="宋体" w:hAnsi="宋体" w:hint="eastAsia"/>
          <w:sz w:val="24"/>
          <w:szCs w:val="20"/>
        </w:rPr>
        <w:t>（某成员单位名称）为</w:t>
      </w:r>
      <w:r>
        <w:rPr>
          <w:rFonts w:ascii="宋体" w:hAnsi="宋体"/>
          <w:sz w:val="24"/>
          <w:szCs w:val="20"/>
          <w:u w:val="single"/>
        </w:rPr>
        <w:tab/>
      </w:r>
      <w:r>
        <w:rPr>
          <w:rFonts w:ascii="宋体" w:hAnsi="宋体" w:hint="eastAsia"/>
          <w:sz w:val="24"/>
          <w:szCs w:val="20"/>
        </w:rPr>
        <w:t>（联合体名称）牵头人。</w:t>
      </w:r>
    </w:p>
    <w:p>
      <w:pPr>
        <w:pStyle w:val="style0"/>
        <w:overflowPunct w:val="false"/>
        <w:spacing w:lineRule="auto" w:line="360"/>
        <w:ind w:firstLine="420" w:firstLineChars="175"/>
        <w:contextualSpacing/>
        <w:rPr>
          <w:rFonts w:ascii="宋体" w:hAnsi="宋体"/>
          <w:sz w:val="24"/>
          <w:szCs w:val="20"/>
        </w:rPr>
      </w:pPr>
      <w:r>
        <w:rPr>
          <w:rFonts w:ascii="宋体" w:hAnsi="宋体"/>
          <w:sz w:val="24"/>
          <w:szCs w:val="20"/>
        </w:rPr>
        <w:t>2.</w:t>
      </w:r>
      <w:r>
        <w:rPr>
          <w:rFonts w:ascii="宋体" w:hAnsi="宋体" w:hint="eastAsia"/>
          <w:sz w:val="24"/>
          <w:szCs w:val="20"/>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pPr>
        <w:pStyle w:val="style0"/>
        <w:overflowPunct w:val="false"/>
        <w:spacing w:lineRule="auto" w:line="360"/>
        <w:ind w:firstLine="420" w:firstLineChars="175"/>
        <w:contextualSpacing/>
        <w:rPr>
          <w:rFonts w:ascii="宋体" w:hAnsi="宋体"/>
          <w:sz w:val="24"/>
          <w:szCs w:val="20"/>
        </w:rPr>
      </w:pPr>
      <w:r>
        <w:rPr>
          <w:rFonts w:ascii="宋体" w:hAnsi="宋体"/>
          <w:sz w:val="24"/>
          <w:szCs w:val="20"/>
        </w:rPr>
        <w:t>3.</w:t>
      </w:r>
      <w:r>
        <w:rPr>
          <w:rFonts w:ascii="宋体" w:hAnsi="宋体" w:hint="eastAsia"/>
          <w:sz w:val="24"/>
          <w:szCs w:val="20"/>
        </w:rPr>
        <w:t>联合体牵头人在本项目中签署和盖章的一切文件和处理的一切事宜，联合体各成员均予以承认。联合体各成员将严格按照招标文件、投标文件和合同的要求全面履行义务，并向招标人承担连带责任。</w:t>
      </w:r>
    </w:p>
    <w:p>
      <w:pPr>
        <w:pStyle w:val="style0"/>
        <w:overflowPunct w:val="false"/>
        <w:spacing w:lineRule="auto" w:line="360"/>
        <w:ind w:firstLine="420" w:firstLineChars="175"/>
        <w:contextualSpacing/>
        <w:rPr>
          <w:rFonts w:ascii="宋体" w:hAnsi="宋体"/>
          <w:sz w:val="24"/>
          <w:szCs w:val="20"/>
        </w:rPr>
      </w:pPr>
      <w:r>
        <w:rPr>
          <w:rFonts w:ascii="宋体" w:hAnsi="宋体"/>
          <w:sz w:val="24"/>
          <w:szCs w:val="20"/>
        </w:rPr>
        <w:t>4.</w:t>
      </w:r>
      <w:r>
        <w:rPr>
          <w:rFonts w:ascii="宋体" w:hAnsi="宋体" w:hint="eastAsia"/>
          <w:sz w:val="24"/>
          <w:szCs w:val="20"/>
        </w:rPr>
        <w:t>联合体各成员单位内部的职责分工如下：</w:t>
      </w:r>
      <w:r>
        <w:rPr>
          <w:rFonts w:ascii="宋体" w:hAnsi="宋体"/>
          <w:sz w:val="24"/>
          <w:szCs w:val="20"/>
          <w:u w:val="single"/>
        </w:rPr>
        <w:tab/>
      </w:r>
      <w:r>
        <w:rPr>
          <w:rFonts w:ascii="宋体" w:hAnsi="宋体" w:hint="eastAsia"/>
          <w:sz w:val="24"/>
          <w:szCs w:val="20"/>
        </w:rPr>
        <w:t>。</w:t>
      </w:r>
    </w:p>
    <w:p>
      <w:pPr>
        <w:pStyle w:val="style0"/>
        <w:overflowPunct w:val="false"/>
        <w:spacing w:lineRule="auto" w:line="360"/>
        <w:ind w:firstLine="420" w:firstLineChars="175"/>
        <w:contextualSpacing/>
        <w:rPr>
          <w:rFonts w:ascii="宋体" w:hAnsi="宋体"/>
          <w:sz w:val="24"/>
          <w:szCs w:val="20"/>
        </w:rPr>
      </w:pPr>
      <w:r>
        <w:rPr>
          <w:rFonts w:ascii="宋体" w:hAnsi="宋体"/>
          <w:sz w:val="24"/>
          <w:szCs w:val="20"/>
        </w:rPr>
        <w:t>5.</w:t>
      </w:r>
      <w:r>
        <w:rPr>
          <w:rFonts w:ascii="宋体" w:hAnsi="宋体" w:hint="eastAsia"/>
          <w:sz w:val="24"/>
          <w:szCs w:val="20"/>
        </w:rPr>
        <w:t>本协议书自所有成员单位法定代表人或者其委托代理人签字（或者电子签名）或者盖公章之日起生效，合同履行完毕后自动失效。</w:t>
      </w:r>
    </w:p>
    <w:p>
      <w:pPr>
        <w:pStyle w:val="style0"/>
        <w:overflowPunct w:val="false"/>
        <w:spacing w:lineRule="auto" w:line="360"/>
        <w:ind w:firstLine="420" w:firstLineChars="175"/>
        <w:contextualSpacing/>
        <w:rPr>
          <w:rFonts w:ascii="宋体" w:hAnsi="宋体"/>
          <w:sz w:val="24"/>
          <w:szCs w:val="20"/>
        </w:rPr>
      </w:pPr>
      <w:r>
        <w:rPr>
          <w:rFonts w:ascii="宋体" w:hAnsi="宋体"/>
          <w:sz w:val="24"/>
          <w:szCs w:val="20"/>
        </w:rPr>
        <w:t>6.</w:t>
      </w:r>
      <w:r>
        <w:rPr>
          <w:rFonts w:ascii="宋体" w:hAnsi="宋体" w:hint="eastAsia"/>
          <w:sz w:val="24"/>
          <w:szCs w:val="20"/>
        </w:rPr>
        <w:t>本协议书一式</w:t>
      </w:r>
      <w:r>
        <w:rPr>
          <w:rFonts w:ascii="宋体" w:hAnsi="宋体"/>
          <w:sz w:val="24"/>
          <w:szCs w:val="20"/>
          <w:u w:val="single"/>
        </w:rPr>
        <w:tab/>
      </w:r>
      <w:r>
        <w:rPr>
          <w:rFonts w:ascii="宋体" w:hAnsi="宋体" w:hint="eastAsia"/>
          <w:sz w:val="24"/>
          <w:szCs w:val="20"/>
        </w:rPr>
        <w:t>份，联合体成员和招标人各执一份。</w:t>
      </w:r>
    </w:p>
    <w:p>
      <w:pPr>
        <w:pStyle w:val="style0"/>
        <w:overflowPunct w:val="false"/>
        <w:spacing w:lineRule="auto" w:line="360"/>
        <w:ind w:firstLine="420" w:firstLineChars="175"/>
        <w:contextualSpacing/>
        <w:rPr>
          <w:rFonts w:ascii="宋体" w:hAnsi="宋体"/>
          <w:sz w:val="24"/>
          <w:szCs w:val="20"/>
        </w:rPr>
      </w:pPr>
      <w:r>
        <w:rPr>
          <w:rFonts w:ascii="宋体" w:hAnsi="宋体" w:hint="eastAsia"/>
          <w:sz w:val="24"/>
          <w:szCs w:val="20"/>
        </w:rPr>
        <w:t>注：本协议书由法定代表人签字或者电子签名的，应附法定代表人身份证明；由委托代理人签字或者电子签名的，应附授权委托书。</w:t>
      </w:r>
    </w:p>
    <w:p>
      <w:pPr>
        <w:pStyle w:val="style0"/>
        <w:overflowPunct w:val="false"/>
        <w:spacing w:lineRule="auto" w:line="360"/>
        <w:ind w:firstLine="420" w:firstLineChars="175"/>
        <w:contextualSpacing/>
        <w:rPr>
          <w:rFonts w:ascii="宋体" w:hAnsi="宋体"/>
          <w:sz w:val="24"/>
          <w:szCs w:val="20"/>
        </w:rPr>
      </w:pPr>
    </w:p>
    <w:p>
      <w:pPr>
        <w:pStyle w:val="style0"/>
        <w:overflowPunct w:val="false"/>
        <w:spacing w:lineRule="auto" w:line="360"/>
        <w:ind w:firstLine="420" w:firstLineChars="175"/>
        <w:contextualSpacing/>
        <w:rPr>
          <w:rFonts w:ascii="宋体" w:hAnsi="宋体"/>
          <w:sz w:val="24"/>
          <w:szCs w:val="20"/>
        </w:rPr>
      </w:pPr>
      <w:r>
        <w:rPr>
          <w:rFonts w:ascii="宋体" w:hAnsi="宋体" w:hint="eastAsia"/>
          <w:sz w:val="24"/>
          <w:szCs w:val="20"/>
        </w:rPr>
        <w:t>联合体牵头人名称（电子签章）：</w:t>
      </w:r>
    </w:p>
    <w:p>
      <w:pPr>
        <w:pStyle w:val="style0"/>
        <w:overflowPunct w:val="false"/>
        <w:spacing w:lineRule="auto" w:line="360"/>
        <w:ind w:firstLine="420" w:firstLineChars="175"/>
        <w:contextualSpacing/>
        <w:rPr>
          <w:rFonts w:ascii="宋体" w:hAnsi="宋体"/>
          <w:sz w:val="24"/>
          <w:szCs w:val="20"/>
        </w:rPr>
      </w:pPr>
      <w:r>
        <w:rPr>
          <w:rFonts w:ascii="宋体" w:hAnsi="宋体" w:hint="eastAsia"/>
          <w:sz w:val="24"/>
          <w:szCs w:val="20"/>
        </w:rPr>
        <w:t>法定代表人或者其委托代理人：</w:t>
      </w:r>
      <w:r>
        <w:rPr>
          <w:rFonts w:ascii="宋体" w:hAnsi="宋体"/>
          <w:sz w:val="24"/>
          <w:szCs w:val="20"/>
        </w:rPr>
        <w:tab/>
      </w:r>
      <w:r>
        <w:rPr>
          <w:rFonts w:ascii="宋体" w:hAnsi="宋体" w:hint="eastAsia"/>
          <w:sz w:val="24"/>
          <w:szCs w:val="20"/>
        </w:rPr>
        <w:t>（签字</w:t>
      </w:r>
      <w:r>
        <w:rPr>
          <w:rFonts w:ascii="宋体" w:hAnsi="宋体"/>
          <w:sz w:val="24"/>
          <w:szCs w:val="20"/>
        </w:rPr>
        <w:t>/电子签名）</w:t>
      </w:r>
    </w:p>
    <w:p>
      <w:pPr>
        <w:pStyle w:val="style0"/>
        <w:overflowPunct w:val="false"/>
        <w:spacing w:lineRule="auto" w:line="360"/>
        <w:ind w:firstLine="420" w:firstLineChars="175"/>
        <w:contextualSpacing/>
        <w:rPr>
          <w:rFonts w:ascii="宋体" w:hAnsi="宋体"/>
          <w:sz w:val="24"/>
          <w:szCs w:val="20"/>
        </w:rPr>
      </w:pPr>
    </w:p>
    <w:p>
      <w:pPr>
        <w:pStyle w:val="style0"/>
        <w:overflowPunct w:val="false"/>
        <w:spacing w:lineRule="auto" w:line="360"/>
        <w:ind w:firstLine="420" w:firstLineChars="175"/>
        <w:contextualSpacing/>
        <w:rPr>
          <w:rFonts w:ascii="宋体" w:hAnsi="宋体"/>
          <w:sz w:val="24"/>
          <w:szCs w:val="20"/>
        </w:rPr>
      </w:pPr>
      <w:r>
        <w:rPr>
          <w:rFonts w:ascii="宋体" w:hAnsi="宋体" w:hint="eastAsia"/>
          <w:sz w:val="24"/>
          <w:szCs w:val="20"/>
        </w:rPr>
        <w:t>联合体成员名称（</w:t>
      </w:r>
      <w:r>
        <w:rPr>
          <w:rFonts w:ascii="宋体" w:hAnsi="宋体"/>
          <w:sz w:val="24"/>
          <w:szCs w:val="20"/>
        </w:rPr>
        <w:t>盖公章</w:t>
      </w:r>
      <w:r>
        <w:rPr>
          <w:rFonts w:ascii="宋体" w:hAnsi="宋体" w:hint="eastAsia"/>
          <w:sz w:val="24"/>
          <w:szCs w:val="20"/>
        </w:rPr>
        <w:t>）：</w:t>
      </w:r>
    </w:p>
    <w:p>
      <w:pPr>
        <w:pStyle w:val="style0"/>
        <w:overflowPunct w:val="false"/>
        <w:spacing w:lineRule="auto" w:line="360"/>
        <w:ind w:firstLine="420" w:firstLineChars="175"/>
        <w:contextualSpacing/>
        <w:rPr>
          <w:rFonts w:ascii="宋体" w:hAnsi="宋体"/>
          <w:sz w:val="24"/>
          <w:szCs w:val="20"/>
        </w:rPr>
      </w:pPr>
      <w:r>
        <w:rPr>
          <w:rFonts w:ascii="宋体" w:hAnsi="宋体" w:hint="eastAsia"/>
          <w:sz w:val="24"/>
          <w:szCs w:val="20"/>
        </w:rPr>
        <w:t>法定代表人或者其委托代理人：</w:t>
      </w:r>
      <w:r>
        <w:rPr>
          <w:rFonts w:ascii="宋体" w:hAnsi="宋体"/>
          <w:sz w:val="24"/>
          <w:szCs w:val="20"/>
        </w:rPr>
        <w:tab/>
      </w:r>
      <w:r>
        <w:rPr>
          <w:rFonts w:ascii="宋体" w:hAnsi="宋体" w:hint="eastAsia"/>
          <w:sz w:val="24"/>
          <w:szCs w:val="20"/>
        </w:rPr>
        <w:t>（签字</w:t>
      </w:r>
      <w:r>
        <w:rPr>
          <w:rFonts w:ascii="宋体" w:hAnsi="宋体"/>
          <w:sz w:val="24"/>
          <w:szCs w:val="20"/>
        </w:rPr>
        <w:t>/电子签名）</w:t>
      </w:r>
    </w:p>
    <w:p>
      <w:pPr>
        <w:pStyle w:val="style0"/>
        <w:overflowPunct w:val="false"/>
        <w:spacing w:lineRule="auto" w:line="360"/>
        <w:ind w:firstLine="420" w:firstLineChars="175"/>
        <w:contextualSpacing/>
        <w:rPr>
          <w:rFonts w:ascii="宋体" w:hAnsi="宋体"/>
          <w:sz w:val="24"/>
          <w:szCs w:val="20"/>
        </w:rPr>
      </w:pPr>
    </w:p>
    <w:p>
      <w:pPr>
        <w:pStyle w:val="style0"/>
        <w:widowControl/>
        <w:jc w:val="left"/>
        <w:rPr>
          <w:rFonts w:ascii="宋体" w:hAnsi="宋体"/>
          <w:sz w:val="24"/>
          <w:szCs w:val="20"/>
        </w:rPr>
      </w:pPr>
      <w:r>
        <w:rPr>
          <w:rFonts w:ascii="宋体" w:hAnsi="宋体"/>
          <w:sz w:val="24"/>
          <w:szCs w:val="20"/>
        </w:rPr>
        <w:tab/>
      </w:r>
      <w:r>
        <w:rPr>
          <w:rFonts w:ascii="宋体" w:hAnsi="宋体" w:hint="eastAsia"/>
          <w:sz w:val="24"/>
          <w:szCs w:val="20"/>
        </w:rPr>
        <w:t>年</w:t>
      </w:r>
      <w:r>
        <w:rPr>
          <w:rFonts w:ascii="宋体" w:hAnsi="宋体"/>
          <w:sz w:val="24"/>
          <w:szCs w:val="20"/>
        </w:rPr>
        <w:tab/>
      </w:r>
      <w:r>
        <w:rPr>
          <w:rFonts w:ascii="宋体" w:hAnsi="宋体" w:hint="eastAsia"/>
          <w:sz w:val="24"/>
          <w:szCs w:val="20"/>
        </w:rPr>
        <w:t>月</w:t>
      </w:r>
      <w:r>
        <w:rPr>
          <w:rFonts w:ascii="宋体" w:hAnsi="宋体"/>
          <w:sz w:val="24"/>
          <w:szCs w:val="20"/>
        </w:rPr>
        <w:tab/>
      </w:r>
      <w:r>
        <w:rPr>
          <w:rFonts w:ascii="宋体" w:hAnsi="宋体" w:hint="eastAsia"/>
          <w:sz w:val="24"/>
          <w:szCs w:val="20"/>
        </w:rPr>
        <w:t>日</w:t>
      </w:r>
      <w:r>
        <w:rPr>
          <w:rFonts w:ascii="宋体" w:hAnsi="宋体"/>
          <w:sz w:val="24"/>
          <w:szCs w:val="20"/>
        </w:rPr>
        <w:br w:type="page"/>
      </w:r>
    </w:p>
    <w:p>
      <w:pPr>
        <w:pStyle w:val="style0"/>
        <w:snapToGrid w:val="false"/>
        <w:spacing w:beforeLines="50" w:after="50"/>
        <w:jc w:val="left"/>
        <w:rPr>
          <w:rFonts w:ascii="宋体" w:hAnsi="宋体"/>
        </w:rPr>
      </w:pPr>
      <w:r>
        <w:rPr>
          <w:rFonts w:ascii="宋体" w:hAnsi="宋体"/>
          <w:b/>
          <w:sz w:val="24"/>
        </w:rPr>
        <w:t>2.中小企业声明函格式</w:t>
      </w:r>
    </w:p>
    <w:p>
      <w:pPr>
        <w:pStyle w:val="style0"/>
        <w:rPr>
          <w:rFonts w:ascii="宋体" w:hAnsi="宋体"/>
        </w:rPr>
      </w:pPr>
    </w:p>
    <w:p>
      <w:pPr>
        <w:pStyle w:val="style0"/>
        <w:jc w:val="center"/>
        <w:rPr>
          <w:rFonts w:ascii="宋体" w:cs="方正小标宋简体" w:hAnsi="宋体"/>
          <w:sz w:val="44"/>
          <w:szCs w:val="44"/>
        </w:rPr>
      </w:pPr>
      <w:r>
        <w:rPr>
          <w:rFonts w:ascii="宋体" w:cs="方正小标宋简体" w:hAnsi="宋体" w:hint="eastAsia"/>
          <w:sz w:val="44"/>
          <w:szCs w:val="44"/>
        </w:rPr>
        <w:t>中小企业声明函（服务）</w:t>
      </w:r>
    </w:p>
    <w:p>
      <w:pPr>
        <w:pStyle w:val="style0"/>
        <w:spacing w:before="2" w:lineRule="exact" w:line="500"/>
        <w:rPr>
          <w:rFonts w:ascii="宋体" w:cs="宋体" w:hAnsi="宋体"/>
          <w:b/>
          <w:bCs/>
          <w:sz w:val="27"/>
          <w:szCs w:val="27"/>
        </w:rPr>
      </w:pPr>
    </w:p>
    <w:p>
      <w:pPr>
        <w:pStyle w:val="style0"/>
        <w:spacing w:after="120" w:lineRule="exact" w:line="480"/>
        <w:ind w:right="142" w:firstLine="706" w:firstLineChars="294"/>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ascii="宋体" w:hAnsi="宋体" w:hint="eastAsia"/>
          <w:sz w:val="24"/>
        </w:rPr>
        <w:t>服务全部由符合政策要求的中小企业承接。相关企业（含联合体中的中小企业、签订分包意向协议的中小企业）的具体情况如下：</w:t>
      </w:r>
    </w:p>
    <w:p>
      <w:pPr>
        <w:pStyle w:val="style0"/>
        <w:tabs>
          <w:tab w:val="left" w:leader="none" w:pos="1384"/>
          <w:tab w:val="left" w:leader="none" w:pos="4562"/>
          <w:tab w:val="left" w:leader="none" w:pos="6803"/>
        </w:tabs>
        <w:spacing w:before="13" w:lineRule="exact" w:line="480"/>
        <w:ind w:right="142" w:firstLine="773" w:firstLineChars="322"/>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ascii="宋体" w:hAnsi="宋体" w:hint="eastAsia"/>
          <w:sz w:val="24"/>
          <w:u w:val="single"/>
        </w:rPr>
        <w:t>行</w:t>
      </w:r>
      <w:r>
        <w:rPr>
          <w:rFonts w:ascii="宋体" w:hAnsi="宋体"/>
          <w:sz w:val="24"/>
          <w:u w:val="single"/>
        </w:rPr>
        <w:t>业）</w:t>
      </w:r>
      <w:r>
        <w:rPr>
          <w:rFonts w:ascii="宋体" w:hAnsi="宋体"/>
          <w:sz w:val="24"/>
        </w:rPr>
        <w:t>；</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万元</w:t>
      </w:r>
      <w:r>
        <w:rPr>
          <w:rFonts w:ascii="宋体" w:hAnsi="宋体"/>
          <w:sz w:val="24"/>
        </w:rPr>
        <w:t>，属于</w:t>
      </w:r>
      <w:r>
        <w:rPr>
          <w:rFonts w:ascii="宋体" w:hAnsi="宋体"/>
          <w:sz w:val="24"/>
          <w:u w:val="single"/>
        </w:rPr>
        <w:t>（中型企业、</w:t>
      </w:r>
      <w:r>
        <w:rPr>
          <w:rFonts w:ascii="宋体" w:hAnsi="宋体" w:hint="eastAsia"/>
          <w:sz w:val="24"/>
          <w:u w:val="single"/>
        </w:rPr>
        <w:t>小型企业、微型企业）</w:t>
      </w:r>
      <w:r>
        <w:rPr>
          <w:rFonts w:ascii="宋体" w:hAnsi="宋体" w:hint="eastAsia"/>
          <w:sz w:val="24"/>
        </w:rPr>
        <w:t>；</w:t>
      </w:r>
    </w:p>
    <w:p>
      <w:pPr>
        <w:pStyle w:val="style0"/>
        <w:tabs>
          <w:tab w:val="left" w:leader="none" w:pos="1065"/>
          <w:tab w:val="left" w:leader="none" w:pos="4262"/>
          <w:tab w:val="left" w:leader="none" w:pos="6477"/>
        </w:tabs>
        <w:spacing w:before="20" w:lineRule="exact" w:line="480"/>
        <w:ind w:right="84" w:firstLine="773" w:firstLineChars="322"/>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ascii="宋体" w:hAnsi="宋体" w:hint="eastAsia"/>
          <w:sz w:val="24"/>
          <w:u w:val="single"/>
        </w:rPr>
        <w:t>行业</w:t>
      </w:r>
      <w:r>
        <w:rPr>
          <w:rFonts w:ascii="宋体" w:hAnsi="宋体"/>
          <w:sz w:val="24"/>
          <w:u w:val="single"/>
        </w:rPr>
        <w:t>）</w:t>
      </w:r>
      <w:r>
        <w:rPr>
          <w:rFonts w:ascii="宋体" w:hAnsi="宋体"/>
          <w:sz w:val="24"/>
        </w:rPr>
        <w:t>；</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万元</w:t>
      </w:r>
      <w:r>
        <w:rPr>
          <w:rFonts w:ascii="宋体" w:hAnsi="宋体"/>
          <w:sz w:val="24"/>
        </w:rPr>
        <w:t>，属于</w:t>
      </w:r>
      <w:r>
        <w:rPr>
          <w:rFonts w:ascii="宋体" w:hAnsi="宋体"/>
          <w:sz w:val="24"/>
          <w:u w:val="single"/>
        </w:rPr>
        <w:t>（中型企业、</w:t>
      </w:r>
      <w:r>
        <w:rPr>
          <w:rFonts w:ascii="宋体" w:hAnsi="宋体" w:hint="eastAsia"/>
          <w:sz w:val="24"/>
          <w:u w:val="single"/>
        </w:rPr>
        <w:t>小型企业、微型企业）</w:t>
      </w:r>
      <w:r>
        <w:rPr>
          <w:rFonts w:ascii="宋体" w:hAnsi="宋体" w:hint="eastAsia"/>
          <w:sz w:val="24"/>
        </w:rPr>
        <w:t>；</w:t>
      </w:r>
    </w:p>
    <w:p>
      <w:pPr>
        <w:pStyle w:val="style0"/>
        <w:spacing w:after="120" w:lineRule="exact" w:line="480"/>
        <w:ind w:left="142" w:right="142"/>
        <w:contextualSpacing/>
        <w:rPr>
          <w:rFonts w:ascii="宋体" w:hAnsi="宋体"/>
          <w:kern w:val="24"/>
        </w:rPr>
      </w:pPr>
      <w:r>
        <w:rPr>
          <w:rFonts w:ascii="宋体" w:hAnsi="宋体"/>
          <w:kern w:val="24"/>
        </w:rPr>
        <w:t xml:space="preserve">…… </w:t>
      </w:r>
    </w:p>
    <w:p>
      <w:pPr>
        <w:pStyle w:val="style0"/>
        <w:spacing w:after="120" w:lineRule="exact" w:line="480"/>
        <w:ind w:left="-405" w:leftChars="-193" w:right="142" w:firstLine="397" w:firstLineChars="189"/>
        <w:contextualSpacing/>
        <w:rPr>
          <w:rFonts w:ascii="宋体" w:hAnsi="宋体"/>
          <w:kern w:val="24"/>
        </w:rPr>
      </w:pPr>
      <w:r>
        <w:rPr>
          <w:rFonts w:ascii="宋体" w:hAnsi="宋体"/>
          <w:kern w:val="24"/>
        </w:rPr>
        <w:t>以上企业，不属于大企业的分支机构，不存在控股股东为大企业的情形，也不存在与大企业的负责人为同一人的情形。</w:t>
      </w:r>
    </w:p>
    <w:p>
      <w:pPr>
        <w:pStyle w:val="style0"/>
        <w:spacing w:after="120" w:lineRule="exact" w:line="480"/>
        <w:ind w:left="-426" w:right="142" w:firstLine="567"/>
        <w:contextualSpacing/>
        <w:rPr>
          <w:rFonts w:ascii="宋体" w:hAnsi="宋体"/>
          <w:kern w:val="24"/>
        </w:rPr>
      </w:pPr>
      <w:r>
        <w:rPr>
          <w:rFonts w:ascii="宋体" w:hAnsi="宋体"/>
          <w:kern w:val="24"/>
        </w:rPr>
        <w:t>本企业对上述声明内容的真实性负责。如有虚假，将依法承担相应责任。</w:t>
      </w:r>
    </w:p>
    <w:p>
      <w:pPr>
        <w:pStyle w:val="style0"/>
        <w:spacing w:after="120" w:lineRule="auto" w:line="360"/>
        <w:ind w:left="3960" w:right="1808"/>
        <w:contextualSpacing/>
        <w:rPr>
          <w:rFonts w:ascii="宋体" w:hAnsi="宋体"/>
          <w:kern w:val="24"/>
        </w:rPr>
      </w:pPr>
    </w:p>
    <w:p>
      <w:pPr>
        <w:pStyle w:val="style0"/>
        <w:spacing w:after="120" w:lineRule="auto" w:line="360"/>
        <w:ind w:left="3960" w:right="1808"/>
        <w:contextualSpacing/>
        <w:rPr>
          <w:rFonts w:ascii="宋体" w:hAnsi="宋体"/>
          <w:kern w:val="24"/>
        </w:rPr>
      </w:pPr>
      <w:r>
        <w:rPr>
          <w:rFonts w:ascii="宋体" w:hAnsi="宋体"/>
          <w:kern w:val="24"/>
        </w:rPr>
        <w:t>企业名称（</w:t>
      </w:r>
      <w:r>
        <w:rPr>
          <w:rFonts w:ascii="宋体" w:hAnsi="宋体" w:hint="eastAsia"/>
          <w:kern w:val="24"/>
        </w:rPr>
        <w:t>电子签章</w:t>
      </w:r>
      <w:r>
        <w:rPr>
          <w:rFonts w:ascii="宋体" w:hAnsi="宋体"/>
          <w:kern w:val="24"/>
        </w:rPr>
        <w:t xml:space="preserve">）： </w:t>
      </w:r>
    </w:p>
    <w:p>
      <w:pPr>
        <w:pStyle w:val="style0"/>
        <w:spacing w:after="120" w:lineRule="auto" w:line="360"/>
        <w:ind w:left="3960" w:right="1808"/>
        <w:contextualSpacing/>
        <w:rPr>
          <w:rFonts w:ascii="宋体" w:hAnsi="宋体"/>
          <w:kern w:val="24"/>
        </w:rPr>
      </w:pPr>
      <w:r>
        <w:rPr>
          <w:rFonts w:ascii="宋体" w:hAnsi="宋体"/>
          <w:kern w:val="24"/>
        </w:rPr>
        <w:t>日期：</w:t>
      </w:r>
    </w:p>
    <w:p>
      <w:pPr>
        <w:pStyle w:val="style0"/>
        <w:spacing w:after="120" w:lineRule="auto" w:line="360"/>
        <w:ind w:left="3960" w:right="1808"/>
        <w:contextualSpacing/>
        <w:rPr>
          <w:rFonts w:ascii="宋体" w:hAnsi="宋体"/>
          <w:kern w:val="24"/>
        </w:rPr>
      </w:pPr>
    </w:p>
    <w:p>
      <w:pPr>
        <w:pStyle w:val="style0"/>
        <w:spacing w:after="120" w:lineRule="auto" w:line="360"/>
        <w:ind w:left="3960" w:right="1808"/>
        <w:contextualSpacing/>
        <w:rPr>
          <w:rFonts w:ascii="宋体" w:hAnsi="宋体"/>
          <w:kern w:val="24"/>
        </w:rPr>
      </w:pPr>
    </w:p>
    <w:p>
      <w:pPr>
        <w:pStyle w:val="style0"/>
        <w:spacing w:after="120" w:lineRule="auto" w:line="360"/>
        <w:ind w:left="3960" w:right="1808"/>
        <w:contextualSpacing/>
        <w:rPr>
          <w:rFonts w:ascii="宋体" w:hAnsi="宋体"/>
          <w:kern w:val="24"/>
        </w:rPr>
      </w:pPr>
    </w:p>
    <w:p>
      <w:pPr>
        <w:pStyle w:val="style0"/>
        <w:spacing w:after="120" w:lineRule="auto" w:line="360"/>
        <w:ind w:left="-426" w:right="142" w:firstLine="567"/>
        <w:contextualSpacing/>
        <w:rPr>
          <w:rFonts w:ascii="宋体" w:hAnsi="宋体"/>
          <w:kern w:val="24"/>
        </w:rPr>
      </w:pPr>
      <w:r>
        <w:rPr>
          <w:rFonts w:ascii="宋体" w:hAnsi="宋体" w:hint="eastAsia"/>
          <w:kern w:val="24"/>
        </w:rPr>
        <w:t>注：享受《政府采购促进中小企业发展管理办法》（财库〔</w:t>
      </w:r>
      <w:r>
        <w:rPr>
          <w:rFonts w:ascii="宋体" w:hAnsi="宋体"/>
          <w:kern w:val="24"/>
        </w:rPr>
        <w:t>2020〕46号）规定的中小企业扶持政策的，采购人、采购代理机构应当随中标结果公开中标人的《中小企业声明函》。从业人员、营业收入、资产总额填报上一年度数据，无上一年度数据的新成立企业可不填报。</w:t>
      </w:r>
    </w:p>
    <w:p>
      <w:pPr>
        <w:pStyle w:val="style0"/>
        <w:snapToGrid w:val="false"/>
        <w:spacing w:beforeLines="50" w:after="50"/>
        <w:ind w:left="142"/>
        <w:jc w:val="left"/>
        <w:rPr>
          <w:rFonts w:ascii="宋体" w:hAnsi="宋体"/>
          <w:b/>
          <w:sz w:val="24"/>
        </w:rPr>
      </w:pPr>
      <w:r>
        <w:rPr>
          <w:rFonts w:ascii="宋体" w:hAnsi="宋体"/>
          <w:b/>
          <w:sz w:val="24"/>
        </w:rPr>
        <w:br w:type="page"/>
      </w:r>
      <w:r>
        <w:rPr>
          <w:rFonts w:ascii="宋体" w:hAnsi="宋体"/>
          <w:b/>
          <w:sz w:val="24"/>
        </w:rPr>
        <w:t>3.残疾人福利性单位声明函格式</w:t>
      </w:r>
    </w:p>
    <w:p>
      <w:pPr>
        <w:pStyle w:val="style0"/>
        <w:spacing w:lineRule="exact" w:line="588"/>
        <w:jc w:val="center"/>
        <w:rPr>
          <w:rFonts w:ascii="宋体" w:hAnsi="宋体"/>
          <w:b/>
          <w:spacing w:val="6"/>
          <w:sz w:val="32"/>
          <w:szCs w:val="32"/>
        </w:rPr>
      </w:pPr>
    </w:p>
    <w:p>
      <w:pPr>
        <w:pStyle w:val="style0"/>
        <w:spacing w:lineRule="exact" w:line="588"/>
        <w:jc w:val="center"/>
        <w:rPr>
          <w:rFonts w:ascii="宋体" w:cs="方正小标宋简体" w:hAnsi="宋体"/>
          <w:bCs/>
          <w:spacing w:val="6"/>
          <w:sz w:val="44"/>
          <w:szCs w:val="44"/>
        </w:rPr>
      </w:pPr>
      <w:r>
        <w:rPr>
          <w:rFonts w:ascii="宋体" w:cs="方正小标宋简体" w:hAnsi="宋体" w:hint="eastAsia"/>
          <w:bCs/>
          <w:spacing w:val="6"/>
          <w:sz w:val="44"/>
          <w:szCs w:val="44"/>
        </w:rPr>
        <w:t>残疾人福利性单位声明函</w:t>
      </w:r>
    </w:p>
    <w:p>
      <w:pPr>
        <w:pStyle w:val="style0"/>
        <w:spacing w:lineRule="auto" w:line="360"/>
        <w:contextualSpacing/>
        <w:rPr>
          <w:rFonts w:ascii="宋体" w:hAnsi="宋体"/>
          <w:bCs/>
          <w:spacing w:val="6"/>
          <w:sz w:val="30"/>
          <w:szCs w:val="30"/>
        </w:rPr>
      </w:pPr>
    </w:p>
    <w:p>
      <w:pPr>
        <w:pStyle w:val="style0"/>
        <w:spacing w:lineRule="auto" w:line="360"/>
        <w:ind w:firstLine="504" w:firstLineChars="200"/>
        <w:contextualSpacing/>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w:t>
      </w:r>
      <w:r>
        <w:rPr>
          <w:rFonts w:ascii="宋体" w:hAnsi="宋体" w:hint="eastAsia"/>
          <w:spacing w:val="-6"/>
          <w:sz w:val="24"/>
        </w:rPr>
        <w:t>疾人福利性单位制造的货物（不包括使用非残疾人福利性单位注册商标的货物）。</w:t>
      </w:r>
    </w:p>
    <w:p>
      <w:pPr>
        <w:pStyle w:val="style0"/>
        <w:spacing w:lineRule="auto" w:line="360"/>
        <w:ind w:firstLine="504" w:firstLineChars="200"/>
        <w:contextualSpacing/>
        <w:rPr>
          <w:rFonts w:ascii="宋体" w:hAnsi="宋体"/>
          <w:spacing w:val="6"/>
          <w:sz w:val="24"/>
        </w:rPr>
      </w:pPr>
      <w:r>
        <w:rPr>
          <w:rFonts w:ascii="宋体" w:hAnsi="宋体" w:hint="eastAsia"/>
          <w:spacing w:val="6"/>
          <w:sz w:val="24"/>
        </w:rPr>
        <w:t>本单位对上述声明的真实性负责。如有虚假，将依法承担相应责任。</w:t>
      </w:r>
    </w:p>
    <w:p>
      <w:pPr>
        <w:pStyle w:val="style0"/>
        <w:spacing w:lineRule="auto" w:line="360"/>
        <w:ind w:firstLine="504" w:firstLineChars="200"/>
        <w:contextualSpacing/>
        <w:rPr>
          <w:rFonts w:ascii="宋体" w:hAnsi="宋体"/>
          <w:spacing w:val="6"/>
          <w:sz w:val="24"/>
        </w:rPr>
      </w:pPr>
    </w:p>
    <w:p>
      <w:pPr>
        <w:pStyle w:val="style0"/>
        <w:spacing w:lineRule="auto" w:line="360"/>
        <w:ind w:firstLine="504" w:firstLineChars="200"/>
        <w:contextualSpacing/>
        <w:rPr>
          <w:rFonts w:ascii="宋体" w:hAnsi="宋体"/>
          <w:spacing w:val="6"/>
          <w:sz w:val="24"/>
        </w:rPr>
      </w:pPr>
    </w:p>
    <w:p>
      <w:pPr>
        <w:pStyle w:val="style0"/>
        <w:tabs>
          <w:tab w:val="left" w:leader="none" w:pos="4860"/>
        </w:tabs>
        <w:spacing w:lineRule="auto" w:line="360"/>
        <w:ind w:right="1560" w:firstLine="504" w:firstLineChars="200"/>
        <w:jc w:val="center"/>
        <w:contextualSpacing/>
        <w:rPr>
          <w:rFonts w:ascii="宋体" w:hAnsi="宋体"/>
          <w:spacing w:val="6"/>
          <w:sz w:val="24"/>
        </w:rPr>
      </w:pPr>
      <w:r>
        <w:rPr>
          <w:rFonts w:ascii="宋体" w:hAnsi="宋体" w:hint="eastAsia"/>
          <w:spacing w:val="6"/>
          <w:sz w:val="24"/>
        </w:rPr>
        <w:t>单位名称（电子签章）：</w:t>
      </w:r>
    </w:p>
    <w:p>
      <w:pPr>
        <w:pStyle w:val="style0"/>
        <w:tabs>
          <w:tab w:val="left" w:leader="none" w:pos="4860"/>
        </w:tabs>
        <w:spacing w:lineRule="auto" w:line="360"/>
        <w:ind w:right="1560" w:firstLine="504" w:firstLineChars="200"/>
        <w:jc w:val="center"/>
        <w:contextualSpacing/>
        <w:rPr>
          <w:rFonts w:ascii="宋体" w:hAnsi="宋体"/>
          <w:spacing w:val="6"/>
          <w:sz w:val="24"/>
        </w:rPr>
      </w:pPr>
      <w:r>
        <w:rPr>
          <w:rFonts w:ascii="宋体" w:hAnsi="宋体" w:hint="eastAsia"/>
          <w:spacing w:val="6"/>
          <w:sz w:val="24"/>
        </w:rPr>
        <w:t>日期：</w:t>
      </w:r>
    </w:p>
    <w:p>
      <w:pPr>
        <w:pStyle w:val="style0"/>
        <w:spacing w:lineRule="auto" w:line="360"/>
        <w:contextualSpacing/>
        <w:rPr>
          <w:rFonts w:ascii="宋体" w:hAnsi="宋体"/>
          <w:sz w:val="24"/>
        </w:rPr>
      </w:pPr>
    </w:p>
    <w:p>
      <w:pPr>
        <w:pStyle w:val="style0"/>
        <w:spacing w:lineRule="auto" w:line="360"/>
        <w:contextualSpacing/>
        <w:rPr>
          <w:rFonts w:ascii="宋体" w:hAnsi="宋体"/>
          <w:sz w:val="24"/>
        </w:rPr>
      </w:pPr>
    </w:p>
    <w:p>
      <w:pPr>
        <w:pStyle w:val="style0"/>
        <w:spacing w:lineRule="auto" w:line="360"/>
        <w:contextualSpacing/>
        <w:rPr>
          <w:rFonts w:ascii="宋体" w:hAnsi="宋体"/>
          <w:sz w:val="24"/>
        </w:rPr>
      </w:pPr>
    </w:p>
    <w:p>
      <w:pPr>
        <w:pStyle w:val="style0"/>
        <w:spacing w:lineRule="auto" w:line="360"/>
        <w:contextualSpacing/>
        <w:rPr>
          <w:rFonts w:ascii="宋体" w:hAnsi="宋体"/>
          <w:sz w:val="24"/>
        </w:rPr>
      </w:pPr>
      <w:r>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pPr>
        <w:pStyle w:val="style0"/>
        <w:spacing w:lineRule="auto" w:line="360"/>
        <w:jc w:val="left"/>
        <w:rPr>
          <w:rFonts w:ascii="宋体" w:hAnsi="宋体"/>
          <w:sz w:val="24"/>
        </w:rPr>
      </w:pPr>
      <w:r>
        <w:rPr>
          <w:rFonts w:ascii="宋体" w:hAnsi="宋体"/>
          <w:sz w:val="24"/>
        </w:rPr>
        <w:br w:type="page"/>
      </w:r>
      <w:r>
        <w:rPr>
          <w:rFonts w:ascii="宋体" w:hAnsi="宋体"/>
          <w:b/>
          <w:sz w:val="24"/>
        </w:rPr>
        <w:t>4.质疑函（格式）</w:t>
      </w:r>
    </w:p>
    <w:p>
      <w:pPr>
        <w:pStyle w:val="style0"/>
        <w:spacing w:lineRule="auto" w:line="360"/>
        <w:jc w:val="center"/>
        <w:rPr>
          <w:rFonts w:ascii="宋体" w:cs="方正小标宋简体" w:hAnsi="宋体"/>
          <w:sz w:val="44"/>
          <w:szCs w:val="44"/>
        </w:rPr>
      </w:pPr>
      <w:r>
        <w:rPr>
          <w:rFonts w:ascii="宋体" w:cs="方正小标宋简体" w:hAnsi="宋体" w:hint="eastAsia"/>
          <w:sz w:val="44"/>
          <w:szCs w:val="44"/>
        </w:rPr>
        <w:t>质疑函（格式）</w:t>
      </w:r>
    </w:p>
    <w:p>
      <w:pPr>
        <w:pStyle w:val="style0"/>
        <w:snapToGrid w:val="false"/>
        <w:spacing w:lineRule="auto" w:line="360"/>
        <w:ind w:left="420" w:firstLine="482" w:firstLineChars="200"/>
        <w:rPr>
          <w:rFonts w:ascii="宋体" w:hAnsi="宋体"/>
          <w:b/>
          <w:bCs/>
          <w:sz w:val="24"/>
        </w:rPr>
      </w:pPr>
      <w:r>
        <w:rPr>
          <w:rFonts w:ascii="宋体" w:hAnsi="宋体" w:hint="eastAsia"/>
          <w:b/>
          <w:bCs/>
          <w:sz w:val="24"/>
        </w:rPr>
        <w:t>一、质疑供应商基本信息：</w:t>
      </w:r>
    </w:p>
    <w:p>
      <w:pPr>
        <w:pStyle w:val="style0"/>
        <w:snapToGrid w:val="false"/>
        <w:spacing w:lineRule="auto" w:line="360"/>
        <w:ind w:firstLine="480" w:firstLineChars="200"/>
        <w:rPr>
          <w:rFonts w:ascii="宋体" w:hAnsi="宋体"/>
          <w:bCs/>
          <w:sz w:val="24"/>
          <w:u w:val="single"/>
        </w:rPr>
      </w:pPr>
      <w:r>
        <w:rPr>
          <w:rFonts w:ascii="宋体" w:hAnsi="宋体" w:hint="eastAsia"/>
          <w:bCs/>
          <w:sz w:val="24"/>
        </w:rPr>
        <w:t>质疑供应商：</w:t>
      </w:r>
      <w:r>
        <w:rPr>
          <w:rFonts w:ascii="宋体" w:hAnsi="宋体" w:hint="eastAsia"/>
          <w:bCs/>
          <w:sz w:val="24"/>
          <w:u w:val="single"/>
        </w:rPr>
        <w:t xml:space="preserve">                                       </w:t>
      </w:r>
      <w:r>
        <w:rPr>
          <w:rFonts w:ascii="宋体" w:hAnsi="宋体" w:hint="eastAsia"/>
          <w:bCs/>
          <w:sz w:val="24"/>
        </w:rPr>
        <w:t xml:space="preserve">                 </w:t>
      </w:r>
    </w:p>
    <w:p>
      <w:pPr>
        <w:pStyle w:val="style0"/>
        <w:snapToGrid w:val="false"/>
        <w:spacing w:lineRule="auto" w:line="360"/>
        <w:ind w:firstLine="480" w:firstLineChars="200"/>
        <w:rPr>
          <w:rFonts w:ascii="宋体" w:hAnsi="宋体"/>
          <w:bCs/>
          <w:sz w:val="24"/>
        </w:rPr>
      </w:pPr>
      <w:r>
        <w:rPr>
          <w:rFonts w:ascii="宋体" w:hAnsi="宋体" w:hint="eastAsia"/>
          <w:bCs/>
          <w:sz w:val="24"/>
        </w:rPr>
        <w:t>地址：</w:t>
      </w:r>
      <w:r>
        <w:rPr>
          <w:rFonts w:ascii="宋体" w:hAnsi="宋体" w:hint="eastAsia"/>
          <w:bCs/>
          <w:sz w:val="24"/>
          <w:u w:val="single"/>
        </w:rPr>
        <w:t xml:space="preserve">                                          </w:t>
      </w:r>
      <w:r>
        <w:rPr>
          <w:rFonts w:ascii="宋体" w:hAnsi="宋体" w:hint="eastAsia"/>
          <w:bCs/>
          <w:sz w:val="24"/>
        </w:rPr>
        <w:t>邮编：</w:t>
      </w:r>
      <w:r>
        <w:rPr>
          <w:rFonts w:ascii="宋体" w:hAnsi="宋体" w:hint="eastAsia"/>
          <w:bCs/>
          <w:sz w:val="24"/>
          <w:u w:val="single"/>
        </w:rPr>
        <w:t xml:space="preserve">                  </w:t>
      </w:r>
      <w:r>
        <w:rPr>
          <w:rFonts w:ascii="宋体" w:hAnsi="宋体" w:hint="eastAsia"/>
          <w:bCs/>
          <w:sz w:val="24"/>
        </w:rPr>
        <w:t xml:space="preserve">                 </w:t>
      </w:r>
    </w:p>
    <w:p>
      <w:pPr>
        <w:pStyle w:val="style0"/>
        <w:snapToGrid w:val="false"/>
        <w:spacing w:lineRule="auto" w:line="360"/>
        <w:ind w:firstLine="480" w:firstLineChars="200"/>
        <w:rPr>
          <w:rFonts w:ascii="宋体" w:hAnsi="宋体"/>
          <w:bCs/>
          <w:sz w:val="24"/>
        </w:rPr>
      </w:pPr>
      <w:r>
        <w:rPr>
          <w:rFonts w:ascii="宋体" w:hAnsi="宋体" w:hint="eastAsia"/>
          <w:bCs/>
          <w:sz w:val="24"/>
        </w:rPr>
        <w:t>联系人：</w:t>
      </w:r>
      <w:r>
        <w:rPr>
          <w:rFonts w:ascii="宋体" w:hAnsi="宋体" w:hint="eastAsia"/>
          <w:bCs/>
          <w:sz w:val="24"/>
          <w:u w:val="single"/>
        </w:rPr>
        <w:t xml:space="preserve">                     </w:t>
      </w:r>
      <w:r>
        <w:rPr>
          <w:rFonts w:ascii="宋体" w:hAnsi="宋体" w:hint="eastAsia"/>
          <w:bCs/>
          <w:sz w:val="24"/>
        </w:rPr>
        <w:t>联系电话：</w:t>
      </w:r>
      <w:r>
        <w:rPr>
          <w:rFonts w:ascii="宋体" w:hAnsi="宋体" w:hint="eastAsia"/>
          <w:bCs/>
          <w:sz w:val="24"/>
          <w:u w:val="single"/>
        </w:rPr>
        <w:t xml:space="preserve">                 </w:t>
      </w:r>
    </w:p>
    <w:p>
      <w:pPr>
        <w:pStyle w:val="style0"/>
        <w:snapToGrid w:val="false"/>
        <w:spacing w:lineRule="auto" w:line="360"/>
        <w:ind w:firstLine="480" w:firstLineChars="200"/>
        <w:rPr>
          <w:rFonts w:ascii="宋体" w:hAnsi="宋体"/>
          <w:bCs/>
          <w:sz w:val="24"/>
        </w:rPr>
      </w:pPr>
      <w:r>
        <w:rPr>
          <w:rFonts w:ascii="宋体" w:hAnsi="宋体" w:hint="eastAsia"/>
          <w:bCs/>
          <w:sz w:val="24"/>
        </w:rPr>
        <w:t>授权代表：</w:t>
      </w:r>
      <w:r>
        <w:rPr>
          <w:rFonts w:ascii="宋体" w:hAnsi="宋体" w:hint="eastAsia"/>
          <w:bCs/>
          <w:sz w:val="24"/>
          <w:u w:val="single"/>
        </w:rPr>
        <w:t xml:space="preserve">                      </w:t>
      </w:r>
    </w:p>
    <w:p>
      <w:pPr>
        <w:pStyle w:val="style0"/>
        <w:snapToGrid w:val="false"/>
        <w:spacing w:lineRule="auto" w:line="360"/>
        <w:ind w:firstLine="480" w:firstLineChars="200"/>
        <w:rPr>
          <w:rFonts w:ascii="宋体" w:hAnsi="宋体"/>
          <w:bCs/>
          <w:sz w:val="24"/>
          <w:u w:val="single"/>
        </w:rPr>
      </w:pPr>
      <w:r>
        <w:rPr>
          <w:rFonts w:ascii="宋体" w:hAnsi="宋体" w:hint="eastAsia"/>
          <w:bCs/>
          <w:sz w:val="24"/>
        </w:rPr>
        <w:t>联系电话：</w:t>
      </w:r>
      <w:r>
        <w:rPr>
          <w:rFonts w:ascii="宋体" w:hAnsi="宋体" w:hint="eastAsia"/>
          <w:bCs/>
          <w:sz w:val="24"/>
          <w:u w:val="single"/>
        </w:rPr>
        <w:t xml:space="preserve">                      </w:t>
      </w:r>
    </w:p>
    <w:p>
      <w:pPr>
        <w:pStyle w:val="style0"/>
        <w:snapToGrid w:val="false"/>
        <w:spacing w:lineRule="auto" w:line="360"/>
        <w:ind w:firstLine="480" w:firstLineChars="200"/>
        <w:rPr>
          <w:rFonts w:ascii="宋体" w:hAnsi="宋体"/>
          <w:bCs/>
          <w:sz w:val="24"/>
        </w:rPr>
      </w:pPr>
      <w:r>
        <w:rPr>
          <w:rFonts w:ascii="宋体" w:hAnsi="宋体" w:hint="eastAsia"/>
          <w:bCs/>
          <w:sz w:val="24"/>
        </w:rPr>
        <w:t>地址：</w:t>
      </w:r>
      <w:r>
        <w:rPr>
          <w:rFonts w:ascii="宋体" w:hAnsi="宋体" w:hint="eastAsia"/>
          <w:bCs/>
          <w:sz w:val="24"/>
          <w:u w:val="single"/>
        </w:rPr>
        <w:t xml:space="preserve">                 </w:t>
      </w:r>
      <w:r>
        <w:rPr>
          <w:rFonts w:ascii="宋体" w:hAnsi="宋体" w:hint="eastAsia"/>
          <w:bCs/>
          <w:sz w:val="24"/>
        </w:rPr>
        <w:t>邮编：</w:t>
      </w:r>
      <w:r>
        <w:rPr>
          <w:rFonts w:ascii="宋体" w:hAnsi="宋体" w:hint="eastAsia"/>
          <w:bCs/>
          <w:sz w:val="24"/>
          <w:u w:val="single"/>
        </w:rPr>
        <w:t xml:space="preserve">                  </w:t>
      </w:r>
      <w:r>
        <w:rPr>
          <w:rFonts w:ascii="宋体" w:hAnsi="宋体" w:hint="eastAsia"/>
          <w:bCs/>
          <w:sz w:val="24"/>
        </w:rPr>
        <w:t xml:space="preserve">     </w:t>
      </w:r>
    </w:p>
    <w:p>
      <w:pPr>
        <w:pStyle w:val="style0"/>
        <w:snapToGrid w:val="false"/>
        <w:spacing w:lineRule="auto" w:line="360"/>
        <w:ind w:firstLine="482" w:firstLineChars="200"/>
        <w:rPr>
          <w:rFonts w:ascii="宋体" w:hAnsi="宋体"/>
          <w:b/>
          <w:bCs/>
          <w:sz w:val="24"/>
        </w:rPr>
      </w:pPr>
      <w:r>
        <w:rPr>
          <w:rFonts w:ascii="宋体" w:hAnsi="宋体" w:hint="eastAsia"/>
          <w:b/>
          <w:bCs/>
          <w:sz w:val="24"/>
        </w:rPr>
        <w:t>二、质疑项目基本情况：</w:t>
      </w:r>
    </w:p>
    <w:p>
      <w:pPr>
        <w:pStyle w:val="style0"/>
        <w:spacing w:lineRule="auto" w:line="360"/>
        <w:ind w:left="25" w:leftChars="12" w:firstLine="473" w:firstLineChars="197"/>
        <w:rPr>
          <w:rFonts w:ascii="宋体" w:hAnsi="宋体"/>
          <w:sz w:val="24"/>
        </w:rPr>
      </w:pPr>
      <w:r>
        <w:rPr>
          <w:rFonts w:ascii="宋体" w:hAnsi="宋体" w:hint="eastAsia"/>
          <w:bCs/>
          <w:sz w:val="24"/>
        </w:rPr>
        <w:t>质疑</w:t>
      </w:r>
      <w:r>
        <w:rPr>
          <w:rFonts w:ascii="宋体" w:hAnsi="宋体" w:hint="eastAsia"/>
          <w:sz w:val="24"/>
        </w:rPr>
        <w:t>项目的名称：</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sz w:val="24"/>
        </w:rPr>
      </w:pPr>
      <w:r>
        <w:rPr>
          <w:rFonts w:ascii="宋体" w:hAnsi="宋体" w:hint="eastAsia"/>
          <w:bCs/>
          <w:sz w:val="24"/>
        </w:rPr>
        <w:t>质疑</w:t>
      </w:r>
      <w:r>
        <w:rPr>
          <w:rFonts w:ascii="宋体" w:hAnsi="宋体" w:hint="eastAsia"/>
          <w:sz w:val="24"/>
        </w:rPr>
        <w:t>项目的编号：</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sz w:val="24"/>
        </w:rPr>
      </w:pPr>
      <w:r>
        <w:rPr>
          <w:rFonts w:ascii="宋体" w:hAnsi="宋体" w:hint="eastAsia"/>
          <w:sz w:val="24"/>
        </w:rPr>
        <w:t>采购人名称：</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sz w:val="24"/>
        </w:rPr>
      </w:pPr>
      <w:r>
        <w:rPr>
          <w:rFonts w:ascii="宋体" w:hAnsi="宋体" w:hint="eastAsia"/>
          <w:sz w:val="24"/>
        </w:rPr>
        <w:t>质疑事项：</w:t>
      </w:r>
    </w:p>
    <w:p>
      <w:pPr>
        <w:pStyle w:val="style0"/>
        <w:spacing w:lineRule="auto" w:line="360"/>
        <w:ind w:left="25" w:leftChars="12" w:firstLine="353" w:firstLineChars="147"/>
        <w:rPr>
          <w:rFonts w:ascii="宋体" w:hAnsi="宋体"/>
          <w:sz w:val="24"/>
        </w:rPr>
      </w:pPr>
      <w:r>
        <w:rPr>
          <w:rFonts w:ascii="宋体" w:hAnsi="宋体" w:hint="eastAsia"/>
          <w:sz w:val="24"/>
        </w:rPr>
        <w:t>□采购文件   采购文件获取日期：</w:t>
      </w:r>
      <w:r>
        <w:rPr>
          <w:rFonts w:ascii="宋体" w:hAnsi="宋体" w:hint="eastAsia"/>
          <w:bCs/>
          <w:sz w:val="24"/>
          <w:u w:val="single"/>
        </w:rPr>
        <w:t xml:space="preserve">                                   </w:t>
      </w:r>
    </w:p>
    <w:p>
      <w:pPr>
        <w:pStyle w:val="style0"/>
        <w:spacing w:lineRule="auto" w:line="360"/>
        <w:ind w:left="25" w:leftChars="12" w:firstLine="353" w:firstLineChars="147"/>
        <w:rPr>
          <w:rFonts w:ascii="宋体" w:hAnsi="宋体"/>
          <w:sz w:val="24"/>
        </w:rPr>
      </w:pPr>
      <w:r>
        <w:rPr>
          <w:rFonts w:ascii="宋体" w:hAnsi="宋体" w:hint="eastAsia"/>
          <w:sz w:val="24"/>
        </w:rPr>
        <w:t xml:space="preserve">□采购过程   </w:t>
      </w:r>
    </w:p>
    <w:p>
      <w:pPr>
        <w:pStyle w:val="style0"/>
        <w:spacing w:lineRule="auto" w:line="360"/>
        <w:ind w:left="25" w:leftChars="12" w:firstLine="353" w:firstLineChars="147"/>
        <w:rPr>
          <w:rFonts w:ascii="宋体" w:hAnsi="宋体"/>
          <w:bCs/>
          <w:sz w:val="24"/>
          <w:u w:val="single"/>
        </w:rPr>
      </w:pPr>
      <w:r>
        <w:rPr>
          <w:rFonts w:ascii="宋体" w:hAnsi="宋体" w:hint="eastAsia"/>
          <w:sz w:val="24"/>
        </w:rPr>
        <w:t xml:space="preserve">□采购结果   </w:t>
      </w:r>
    </w:p>
    <w:p>
      <w:pPr>
        <w:pStyle w:val="style0"/>
        <w:spacing w:lineRule="auto" w:line="360"/>
        <w:ind w:left="25" w:leftChars="12" w:firstLine="472" w:firstLineChars="196"/>
        <w:rPr>
          <w:rFonts w:ascii="宋体" w:hAnsi="宋体"/>
          <w:b/>
          <w:sz w:val="24"/>
        </w:rPr>
      </w:pPr>
      <w:r>
        <w:rPr>
          <w:rFonts w:ascii="宋体" w:hAnsi="宋体" w:hint="eastAsia"/>
          <w:b/>
          <w:sz w:val="24"/>
        </w:rPr>
        <w:t>三、质疑事项具体内容</w:t>
      </w:r>
    </w:p>
    <w:p>
      <w:pPr>
        <w:pStyle w:val="style0"/>
        <w:spacing w:lineRule="auto" w:line="360"/>
        <w:ind w:left="25" w:leftChars="12" w:firstLine="473" w:firstLineChars="197"/>
        <w:rPr>
          <w:rFonts w:ascii="宋体" w:hAnsi="宋体"/>
          <w:sz w:val="24"/>
        </w:rPr>
      </w:pPr>
      <w:r>
        <w:rPr>
          <w:rFonts w:ascii="宋体" w:hAnsi="宋体" w:hint="eastAsia"/>
          <w:sz w:val="24"/>
        </w:rPr>
        <w:t>质疑事项1：</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sz w:val="24"/>
        </w:rPr>
      </w:pPr>
      <w:r>
        <w:rPr>
          <w:rFonts w:ascii="宋体" w:hAnsi="宋体" w:hint="eastAsia"/>
          <w:sz w:val="24"/>
        </w:rPr>
        <w:t>事实依据：</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sz w:val="24"/>
        </w:rPr>
      </w:pPr>
      <w:r>
        <w:rPr>
          <w:rFonts w:ascii="宋体" w:hAnsi="宋体" w:hint="eastAsia"/>
          <w:sz w:val="24"/>
        </w:rPr>
        <w:t>法律依据：</w:t>
      </w:r>
      <w:r>
        <w:rPr>
          <w:rFonts w:ascii="宋体" w:hAnsi="宋体" w:hint="eastAsia"/>
          <w:sz w:val="24"/>
          <w:u w:val="single"/>
        </w:rPr>
        <w:t xml:space="preserve">                                                        </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sz w:val="24"/>
        </w:rPr>
      </w:pPr>
      <w:r>
        <w:rPr>
          <w:rFonts w:ascii="宋体" w:hAnsi="宋体" w:hint="eastAsia"/>
          <w:sz w:val="24"/>
        </w:rPr>
        <w:t>质疑事项2</w:t>
      </w:r>
    </w:p>
    <w:p>
      <w:pPr>
        <w:pStyle w:val="style0"/>
        <w:spacing w:lineRule="auto" w:line="360"/>
        <w:ind w:left="25" w:leftChars="12" w:firstLine="473" w:firstLineChars="197"/>
        <w:rPr>
          <w:rFonts w:ascii="宋体" w:hAnsi="宋体"/>
          <w:sz w:val="24"/>
        </w:rPr>
      </w:pPr>
      <w:r>
        <w:rPr>
          <w:rFonts w:ascii="宋体" w:hAnsi="宋体" w:hint="eastAsia"/>
          <w:sz w:val="24"/>
        </w:rPr>
        <w:t>……</w:t>
      </w:r>
    </w:p>
    <w:p>
      <w:pPr>
        <w:pStyle w:val="style0"/>
        <w:spacing w:lineRule="auto" w:line="360"/>
        <w:ind w:left="25" w:leftChars="12" w:firstLine="473" w:firstLineChars="197"/>
        <w:rPr>
          <w:rFonts w:ascii="宋体" w:hAnsi="宋体"/>
          <w:sz w:val="24"/>
        </w:rPr>
      </w:pPr>
      <w:r>
        <w:rPr>
          <w:rFonts w:ascii="宋体" w:hAnsi="宋体" w:hint="eastAsia"/>
          <w:sz w:val="24"/>
        </w:rPr>
        <w:t>四、与质疑事项相关的质疑请求：</w:t>
      </w:r>
    </w:p>
    <w:p>
      <w:pPr>
        <w:pStyle w:val="style0"/>
        <w:spacing w:lineRule="auto" w:line="360"/>
        <w:ind w:left="25" w:leftChars="12" w:firstLine="473" w:firstLineChars="197"/>
        <w:rPr>
          <w:rFonts w:ascii="宋体" w:hAnsi="宋体"/>
          <w:sz w:val="24"/>
        </w:rPr>
      </w:pPr>
      <w:r>
        <w:rPr>
          <w:rFonts w:ascii="宋体" w:hAnsi="宋体" w:hint="eastAsia"/>
          <w:sz w:val="24"/>
        </w:rPr>
        <w:t>请求：</w:t>
      </w:r>
      <w:r>
        <w:rPr>
          <w:rFonts w:ascii="宋体" w:hAnsi="宋体" w:hint="eastAsia"/>
          <w:bCs/>
          <w:sz w:val="24"/>
          <w:u w:val="single"/>
        </w:rPr>
        <w:t xml:space="preserve">                                                                </w:t>
      </w:r>
    </w:p>
    <w:p>
      <w:pPr>
        <w:pStyle w:val="style0"/>
        <w:spacing w:lineRule="auto" w:line="360"/>
        <w:ind w:left="25" w:leftChars="12" w:firstLine="353" w:firstLineChars="147"/>
        <w:rPr>
          <w:rFonts w:ascii="宋体" w:hAnsi="宋体"/>
          <w:sz w:val="24"/>
        </w:rPr>
      </w:pPr>
    </w:p>
    <w:p>
      <w:pPr>
        <w:pStyle w:val="style0"/>
        <w:spacing w:lineRule="auto" w:line="360"/>
        <w:ind w:left="25" w:leftChars="12" w:firstLine="473" w:firstLineChars="197"/>
        <w:rPr>
          <w:rFonts w:ascii="宋体" w:hAnsi="宋体"/>
          <w:sz w:val="24"/>
        </w:rPr>
      </w:pPr>
      <w:r>
        <w:rPr>
          <w:rFonts w:ascii="宋体" w:hAnsi="宋体" w:hint="eastAsia"/>
          <w:sz w:val="24"/>
        </w:rPr>
        <w:t>签字（签章）：                                       公章：</w:t>
      </w:r>
    </w:p>
    <w:p>
      <w:pPr>
        <w:pStyle w:val="style0"/>
        <w:spacing w:lineRule="auto" w:line="360"/>
        <w:ind w:left="25" w:leftChars="12" w:firstLine="353" w:firstLineChars="147"/>
        <w:rPr>
          <w:rFonts w:ascii="宋体" w:hAnsi="宋体"/>
          <w:sz w:val="24"/>
        </w:rPr>
      </w:pPr>
    </w:p>
    <w:p>
      <w:pPr>
        <w:pStyle w:val="style0"/>
        <w:snapToGrid w:val="false"/>
        <w:spacing w:lineRule="auto" w:line="360"/>
        <w:rPr>
          <w:rFonts w:ascii="宋体" w:hAnsi="宋体"/>
          <w:b/>
          <w:sz w:val="24"/>
        </w:rPr>
      </w:pPr>
      <w:r>
        <w:rPr>
          <w:rFonts w:ascii="宋体" w:hAnsi="宋体" w:hint="eastAsia"/>
          <w:sz w:val="24"/>
        </w:rPr>
        <w:t>日期：</w:t>
      </w:r>
    </w:p>
    <w:p>
      <w:pPr>
        <w:pStyle w:val="style0"/>
        <w:snapToGrid w:val="false"/>
        <w:spacing w:lineRule="auto" w:line="360"/>
        <w:rPr>
          <w:rFonts w:ascii="宋体" w:hAnsi="宋体"/>
          <w:b/>
          <w:sz w:val="24"/>
        </w:rPr>
      </w:pPr>
      <w:r>
        <w:rPr>
          <w:rFonts w:ascii="宋体" w:hAnsi="宋体" w:hint="eastAsia"/>
          <w:b/>
          <w:sz w:val="24"/>
        </w:rPr>
        <w:t>说明：</w:t>
      </w:r>
    </w:p>
    <w:p>
      <w:pPr>
        <w:pStyle w:val="style0"/>
        <w:spacing w:lineRule="auto" w:line="360"/>
        <w:ind w:left="25" w:leftChars="12" w:firstLine="354" w:firstLineChars="147"/>
        <w:rPr>
          <w:rFonts w:ascii="宋体" w:hAnsi="宋体"/>
          <w:b/>
          <w:bCs/>
          <w:sz w:val="24"/>
        </w:rPr>
      </w:pPr>
      <w:r>
        <w:rPr>
          <w:rFonts w:ascii="宋体" w:hAnsi="宋体"/>
          <w:b/>
          <w:sz w:val="24"/>
        </w:rPr>
        <w:t>1.供应商提出质疑时，应提交质疑函和必要的证明材料</w:t>
      </w:r>
      <w:r>
        <w:rPr>
          <w:rFonts w:ascii="宋体" w:hAnsi="宋体" w:hint="eastAsia"/>
          <w:b/>
          <w:bCs/>
          <w:sz w:val="24"/>
        </w:rPr>
        <w:t>。</w:t>
      </w:r>
    </w:p>
    <w:p>
      <w:pPr>
        <w:pStyle w:val="style0"/>
        <w:spacing w:lineRule="auto" w:line="360"/>
        <w:ind w:left="25" w:leftChars="12" w:firstLine="354" w:firstLineChars="147"/>
        <w:rPr>
          <w:rFonts w:ascii="宋体" w:hAnsi="宋体"/>
          <w:b/>
          <w:sz w:val="24"/>
        </w:rPr>
      </w:pPr>
      <w:r>
        <w:rPr>
          <w:rFonts w:ascii="宋体" w:hAnsi="宋体"/>
          <w:b/>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style0"/>
        <w:spacing w:lineRule="auto" w:line="360"/>
        <w:ind w:left="25" w:leftChars="12" w:firstLine="354" w:firstLineChars="147"/>
        <w:rPr>
          <w:rFonts w:ascii="宋体" w:hAnsi="宋体"/>
          <w:b/>
          <w:sz w:val="24"/>
        </w:rPr>
      </w:pPr>
      <w:r>
        <w:rPr>
          <w:rFonts w:ascii="宋体" w:hAnsi="宋体"/>
          <w:b/>
          <w:sz w:val="24"/>
        </w:rPr>
        <w:t>3.质疑函的质疑事项应具体、明确，并有必要的事实依据和法律依据。</w:t>
      </w:r>
    </w:p>
    <w:p>
      <w:pPr>
        <w:pStyle w:val="style0"/>
        <w:spacing w:lineRule="auto" w:line="360"/>
        <w:ind w:left="25" w:leftChars="12" w:firstLine="354" w:firstLineChars="147"/>
        <w:rPr>
          <w:rFonts w:ascii="宋体" w:hAnsi="宋体"/>
          <w:b/>
          <w:sz w:val="24"/>
        </w:rPr>
      </w:pPr>
      <w:r>
        <w:rPr>
          <w:rFonts w:ascii="宋体" w:hAnsi="宋体"/>
          <w:b/>
          <w:sz w:val="24"/>
        </w:rPr>
        <w:t>4.质疑函的质疑请求应与质疑事项相关。</w:t>
      </w:r>
    </w:p>
    <w:p>
      <w:pPr>
        <w:pStyle w:val="style0"/>
        <w:spacing w:lineRule="auto" w:line="360"/>
        <w:ind w:left="25" w:leftChars="12" w:firstLine="354" w:firstLineChars="147"/>
        <w:rPr>
          <w:rFonts w:ascii="宋体" w:hAnsi="宋体"/>
          <w:b/>
          <w:szCs w:val="20"/>
        </w:rPr>
      </w:pPr>
      <w:r>
        <w:rPr>
          <w:rFonts w:ascii="宋体" w:hAnsi="宋体"/>
          <w:b/>
          <w:sz w:val="24"/>
        </w:rPr>
        <w:t>5.质疑供应商为法人或者其他组织的，质疑函应由法定代表人、主要负责人，或者其授权代表签字或者盖章，并加盖公章。</w:t>
      </w:r>
    </w:p>
    <w:p>
      <w:pPr>
        <w:pStyle w:val="style0"/>
        <w:snapToGrid w:val="false"/>
        <w:rPr>
          <w:rFonts w:ascii="宋体" w:hAnsi="宋体"/>
          <w:b/>
          <w:sz w:val="24"/>
        </w:rPr>
      </w:pPr>
    </w:p>
    <w:p>
      <w:pPr>
        <w:pStyle w:val="style0"/>
        <w:spacing w:lineRule="auto" w:line="360"/>
        <w:jc w:val="left"/>
        <w:rPr>
          <w:rFonts w:ascii="宋体" w:hAnsi="宋体"/>
          <w:b/>
          <w:bCs/>
          <w:sz w:val="32"/>
          <w:szCs w:val="32"/>
        </w:rPr>
      </w:pPr>
      <w:r>
        <w:rPr>
          <w:rFonts w:ascii="宋体" w:hAnsi="宋体"/>
          <w:sz w:val="44"/>
        </w:rPr>
        <w:br w:type="page"/>
      </w:r>
      <w:r>
        <w:rPr>
          <w:rFonts w:ascii="宋体" w:hAnsi="宋体"/>
          <w:b/>
          <w:sz w:val="24"/>
        </w:rPr>
        <w:t>5.投诉书（格式）</w:t>
      </w:r>
    </w:p>
    <w:p>
      <w:pPr>
        <w:pStyle w:val="style0"/>
        <w:spacing w:lineRule="auto" w:line="360"/>
        <w:jc w:val="center"/>
        <w:rPr>
          <w:rFonts w:ascii="宋体" w:cs="方正小标宋简体" w:hAnsi="宋体"/>
          <w:sz w:val="44"/>
          <w:szCs w:val="44"/>
        </w:rPr>
      </w:pPr>
      <w:r>
        <w:rPr>
          <w:rFonts w:ascii="宋体" w:cs="方正小标宋简体" w:hAnsi="宋体" w:hint="eastAsia"/>
          <w:sz w:val="44"/>
          <w:szCs w:val="44"/>
        </w:rPr>
        <w:t>投诉书（格式）</w:t>
      </w:r>
    </w:p>
    <w:p>
      <w:pPr>
        <w:pStyle w:val="style0"/>
        <w:snapToGrid w:val="false"/>
        <w:spacing w:lineRule="auto" w:line="360"/>
        <w:ind w:left="420" w:firstLine="482" w:firstLineChars="200"/>
        <w:rPr>
          <w:rFonts w:ascii="宋体" w:hAnsi="宋体"/>
          <w:b/>
          <w:bCs/>
          <w:sz w:val="24"/>
        </w:rPr>
      </w:pPr>
      <w:r>
        <w:rPr>
          <w:rFonts w:ascii="宋体" w:hAnsi="宋体" w:hint="eastAsia"/>
          <w:b/>
          <w:bCs/>
          <w:sz w:val="24"/>
        </w:rPr>
        <w:t>一、投诉相关主体基本情况：</w:t>
      </w:r>
    </w:p>
    <w:p>
      <w:pPr>
        <w:pStyle w:val="style0"/>
        <w:snapToGrid w:val="false"/>
        <w:spacing w:lineRule="auto" w:line="360"/>
        <w:ind w:firstLine="480" w:firstLineChars="200"/>
        <w:jc w:val="left"/>
        <w:rPr>
          <w:rFonts w:ascii="宋体" w:hAnsi="宋体"/>
          <w:bCs/>
          <w:sz w:val="24"/>
          <w:u w:val="single"/>
        </w:rPr>
      </w:pPr>
      <w:r>
        <w:rPr>
          <w:rFonts w:ascii="宋体" w:hAnsi="宋体" w:hint="eastAsia"/>
          <w:bCs/>
          <w:sz w:val="24"/>
        </w:rPr>
        <w:t>投标人：</w:t>
      </w:r>
      <w:r>
        <w:rPr>
          <w:rFonts w:ascii="宋体" w:hAnsi="宋体" w:hint="eastAsia"/>
          <w:bCs/>
          <w:sz w:val="24"/>
          <w:u w:val="single"/>
        </w:rPr>
        <w:t xml:space="preserve">                                                                        </w:t>
      </w:r>
      <w:r>
        <w:rPr>
          <w:rFonts w:ascii="宋体" w:hAnsi="宋体" w:hint="eastAsia"/>
          <w:bCs/>
          <w:sz w:val="24"/>
        </w:rPr>
        <w:t xml:space="preserve">                 </w:t>
      </w:r>
    </w:p>
    <w:p>
      <w:pPr>
        <w:pStyle w:val="style0"/>
        <w:snapToGrid w:val="false"/>
        <w:spacing w:lineRule="auto" w:line="360"/>
        <w:ind w:firstLine="480" w:firstLineChars="200"/>
        <w:jc w:val="left"/>
        <w:rPr>
          <w:rFonts w:ascii="宋体" w:hAnsi="宋体"/>
          <w:bCs/>
          <w:sz w:val="24"/>
        </w:rPr>
      </w:pPr>
      <w:r>
        <w:rPr>
          <w:rFonts w:ascii="宋体" w:hAnsi="宋体"/>
          <w:bCs/>
          <w:sz w:val="24"/>
        </w:rPr>
        <w:t>地址</w:t>
      </w:r>
      <w:r>
        <w:rPr>
          <w:rFonts w:ascii="宋体" w:hAnsi="宋体" w:hint="eastAsia"/>
          <w:bCs/>
          <w:sz w:val="24"/>
        </w:rPr>
        <w:t>：</w:t>
      </w:r>
      <w:r>
        <w:rPr>
          <w:rFonts w:ascii="宋体" w:hAnsi="宋体" w:hint="eastAsia"/>
          <w:bCs/>
          <w:sz w:val="24"/>
          <w:u w:val="single"/>
        </w:rPr>
        <w:t xml:space="preserve">                                          </w:t>
      </w:r>
      <w:r>
        <w:rPr>
          <w:rFonts w:ascii="宋体" w:hAnsi="宋体"/>
          <w:bCs/>
          <w:sz w:val="24"/>
        </w:rPr>
        <w:t>邮编</w:t>
      </w:r>
      <w:r>
        <w:rPr>
          <w:rFonts w:ascii="宋体" w:hAnsi="宋体" w:hint="eastAsia"/>
          <w:bCs/>
          <w:sz w:val="24"/>
        </w:rPr>
        <w:t>：</w:t>
      </w:r>
      <w:r>
        <w:rPr>
          <w:rFonts w:ascii="宋体" w:hAnsi="宋体" w:hint="eastAsia"/>
          <w:bCs/>
          <w:sz w:val="24"/>
          <w:u w:val="single"/>
        </w:rPr>
        <w:t xml:space="preserve">                          </w:t>
      </w:r>
      <w:r>
        <w:rPr>
          <w:rFonts w:ascii="宋体" w:hAnsi="宋体" w:hint="eastAsia"/>
          <w:bCs/>
          <w:sz w:val="24"/>
        </w:rPr>
        <w:t xml:space="preserve">                 </w:t>
      </w:r>
    </w:p>
    <w:p>
      <w:pPr>
        <w:pStyle w:val="style0"/>
        <w:snapToGrid w:val="false"/>
        <w:spacing w:lineRule="auto" w:line="360"/>
        <w:ind w:firstLine="480" w:firstLineChars="200"/>
        <w:jc w:val="left"/>
        <w:rPr>
          <w:rFonts w:ascii="宋体" w:hAnsi="宋体"/>
          <w:bCs/>
          <w:sz w:val="24"/>
          <w:u w:val="single"/>
        </w:rPr>
      </w:pPr>
      <w:r>
        <w:rPr>
          <w:rFonts w:ascii="宋体" w:hAnsi="宋体" w:hint="eastAsia"/>
          <w:bCs/>
          <w:sz w:val="24"/>
        </w:rPr>
        <w:t>法定代表人/主要负责人：</w:t>
      </w:r>
      <w:r>
        <w:rPr>
          <w:rFonts w:ascii="宋体" w:hAnsi="宋体" w:hint="eastAsia"/>
          <w:bCs/>
          <w:sz w:val="24"/>
          <w:u w:val="single"/>
        </w:rPr>
        <w:t xml:space="preserve">                                                         </w:t>
      </w:r>
    </w:p>
    <w:p>
      <w:pPr>
        <w:pStyle w:val="style0"/>
        <w:snapToGrid w:val="false"/>
        <w:spacing w:lineRule="auto" w:line="360"/>
        <w:ind w:firstLine="480" w:firstLineChars="200"/>
        <w:jc w:val="left"/>
        <w:rPr>
          <w:rFonts w:ascii="宋体" w:hAnsi="宋体"/>
          <w:bCs/>
          <w:sz w:val="24"/>
        </w:rPr>
      </w:pPr>
      <w:r>
        <w:rPr>
          <w:rFonts w:ascii="宋体" w:hAnsi="宋体"/>
          <w:bCs/>
          <w:sz w:val="24"/>
        </w:rPr>
        <w:t>联系电话</w:t>
      </w:r>
      <w:r>
        <w:rPr>
          <w:rFonts w:ascii="宋体" w:hAnsi="宋体" w:hint="eastAsia"/>
          <w:bCs/>
          <w:sz w:val="24"/>
        </w:rPr>
        <w:t>：</w:t>
      </w:r>
      <w:r>
        <w:rPr>
          <w:rFonts w:ascii="宋体" w:hAnsi="宋体" w:hint="eastAsia"/>
          <w:bCs/>
          <w:sz w:val="24"/>
          <w:u w:val="single"/>
        </w:rPr>
        <w:t xml:space="preserve">                                         </w:t>
      </w:r>
    </w:p>
    <w:p>
      <w:pPr>
        <w:pStyle w:val="style0"/>
        <w:snapToGrid w:val="false"/>
        <w:spacing w:lineRule="auto" w:line="360"/>
        <w:ind w:firstLine="480" w:firstLineChars="200"/>
        <w:jc w:val="left"/>
        <w:rPr>
          <w:rFonts w:ascii="宋体" w:hAnsi="宋体"/>
          <w:bCs/>
          <w:sz w:val="24"/>
          <w:u w:val="single"/>
        </w:rPr>
      </w:pPr>
      <w:r>
        <w:rPr>
          <w:rFonts w:ascii="宋体" w:hAnsi="宋体" w:hint="eastAsia"/>
          <w:bCs/>
          <w:sz w:val="24"/>
        </w:rPr>
        <w:t>授权代表：</w:t>
      </w:r>
      <w:r>
        <w:rPr>
          <w:rFonts w:ascii="宋体" w:hAnsi="宋体" w:hint="eastAsia"/>
          <w:bCs/>
          <w:sz w:val="24"/>
          <w:u w:val="single"/>
        </w:rPr>
        <w:t xml:space="preserve">                                         </w:t>
      </w:r>
      <w:r>
        <w:rPr>
          <w:rFonts w:ascii="宋体" w:hAnsi="宋体"/>
          <w:bCs/>
          <w:sz w:val="24"/>
        </w:rPr>
        <w:t>联系</w:t>
      </w:r>
      <w:r>
        <w:rPr>
          <w:rFonts w:ascii="宋体" w:hAnsi="宋体" w:hint="eastAsia"/>
          <w:bCs/>
          <w:sz w:val="24"/>
        </w:rPr>
        <w:t>电话：</w:t>
      </w:r>
      <w:r>
        <w:rPr>
          <w:rFonts w:ascii="宋体" w:hAnsi="宋体" w:hint="eastAsia"/>
          <w:bCs/>
          <w:sz w:val="24"/>
          <w:u w:val="single"/>
        </w:rPr>
        <w:t xml:space="preserve">                   </w:t>
      </w:r>
    </w:p>
    <w:p>
      <w:pPr>
        <w:pStyle w:val="style0"/>
        <w:snapToGrid w:val="false"/>
        <w:spacing w:lineRule="auto" w:line="360"/>
        <w:ind w:firstLine="480" w:firstLineChars="200"/>
        <w:jc w:val="left"/>
        <w:rPr>
          <w:rFonts w:ascii="宋体" w:hAnsi="宋体"/>
          <w:bCs/>
          <w:sz w:val="24"/>
          <w:u w:val="single"/>
        </w:rPr>
      </w:pPr>
      <w:r>
        <w:rPr>
          <w:rFonts w:ascii="宋体" w:hAnsi="宋体"/>
          <w:bCs/>
          <w:sz w:val="24"/>
        </w:rPr>
        <w:t>地址</w:t>
      </w:r>
      <w:r>
        <w:rPr>
          <w:rFonts w:ascii="宋体" w:hAnsi="宋体" w:hint="eastAsia"/>
          <w:bCs/>
          <w:sz w:val="24"/>
        </w:rPr>
        <w:t>：</w:t>
      </w:r>
      <w:r>
        <w:rPr>
          <w:rFonts w:ascii="宋体" w:hAnsi="宋体" w:hint="eastAsia"/>
          <w:bCs/>
          <w:sz w:val="24"/>
          <w:u w:val="single"/>
        </w:rPr>
        <w:t xml:space="preserve">                                                            </w:t>
      </w:r>
    </w:p>
    <w:p>
      <w:pPr>
        <w:pStyle w:val="style0"/>
        <w:snapToGrid w:val="false"/>
        <w:spacing w:lineRule="auto" w:line="360"/>
        <w:ind w:firstLine="480" w:firstLineChars="200"/>
        <w:jc w:val="left"/>
        <w:rPr>
          <w:rFonts w:ascii="宋体" w:hAnsi="宋体"/>
          <w:bCs/>
          <w:sz w:val="24"/>
        </w:rPr>
      </w:pPr>
      <w:r>
        <w:rPr>
          <w:rFonts w:ascii="宋体" w:hAnsi="宋体"/>
          <w:bCs/>
          <w:sz w:val="24"/>
        </w:rPr>
        <w:t>邮编</w:t>
      </w:r>
      <w:r>
        <w:rPr>
          <w:rFonts w:ascii="宋体" w:hAnsi="宋体" w:hint="eastAsia"/>
          <w:bCs/>
          <w:sz w:val="24"/>
        </w:rPr>
        <w:t>：</w:t>
      </w:r>
      <w:r>
        <w:rPr>
          <w:rFonts w:ascii="宋体" w:hAnsi="宋体" w:hint="eastAsia"/>
          <w:bCs/>
          <w:sz w:val="24"/>
          <w:u w:val="single"/>
        </w:rPr>
        <w:t xml:space="preserve">         </w:t>
      </w:r>
      <w:r>
        <w:rPr>
          <w:rFonts w:ascii="宋体" w:hAnsi="宋体" w:hint="eastAsia"/>
          <w:bCs/>
          <w:sz w:val="24"/>
        </w:rPr>
        <w:t xml:space="preserve">   </w:t>
      </w:r>
    </w:p>
    <w:p>
      <w:pPr>
        <w:pStyle w:val="style0"/>
        <w:snapToGrid w:val="false"/>
        <w:spacing w:lineRule="auto" w:line="360"/>
        <w:ind w:firstLine="480" w:firstLineChars="200"/>
        <w:jc w:val="left"/>
        <w:rPr>
          <w:rFonts w:ascii="宋体" w:hAnsi="宋体"/>
          <w:bCs/>
          <w:sz w:val="24"/>
        </w:rPr>
      </w:pPr>
      <w:r>
        <w:rPr>
          <w:rFonts w:ascii="宋体" w:hAnsi="宋体" w:hint="eastAsia"/>
          <w:bCs/>
          <w:sz w:val="24"/>
        </w:rPr>
        <w:t>被投诉人1：</w:t>
      </w:r>
    </w:p>
    <w:p>
      <w:pPr>
        <w:pStyle w:val="style0"/>
        <w:snapToGrid w:val="false"/>
        <w:spacing w:lineRule="auto" w:line="360"/>
        <w:ind w:firstLine="480" w:firstLineChars="200"/>
        <w:jc w:val="left"/>
        <w:rPr>
          <w:rFonts w:ascii="宋体" w:hAnsi="宋体"/>
          <w:bCs/>
          <w:sz w:val="24"/>
          <w:u w:val="single"/>
        </w:rPr>
      </w:pPr>
      <w:r>
        <w:rPr>
          <w:rFonts w:ascii="宋体" w:hAnsi="宋体" w:hint="eastAsia"/>
          <w:bCs/>
          <w:sz w:val="24"/>
        </w:rPr>
        <w:t>地址：</w:t>
      </w:r>
      <w:r>
        <w:rPr>
          <w:rFonts w:ascii="宋体" w:hAnsi="宋体" w:hint="eastAsia"/>
          <w:bCs/>
          <w:sz w:val="24"/>
          <w:u w:val="single"/>
        </w:rPr>
        <w:t xml:space="preserve">                                                            </w:t>
      </w:r>
    </w:p>
    <w:p>
      <w:pPr>
        <w:pStyle w:val="style0"/>
        <w:snapToGrid w:val="false"/>
        <w:spacing w:lineRule="auto" w:line="360"/>
        <w:ind w:firstLine="480" w:firstLineChars="200"/>
        <w:jc w:val="left"/>
        <w:rPr>
          <w:rFonts w:ascii="宋体" w:hAnsi="宋体"/>
          <w:bCs/>
          <w:sz w:val="24"/>
        </w:rPr>
      </w:pPr>
      <w:r>
        <w:rPr>
          <w:rFonts w:ascii="宋体" w:hAnsi="宋体"/>
          <w:bCs/>
          <w:sz w:val="24"/>
        </w:rPr>
        <w:t>邮编</w:t>
      </w:r>
      <w:r>
        <w:rPr>
          <w:rFonts w:ascii="宋体" w:hAnsi="宋体" w:hint="eastAsia"/>
          <w:bCs/>
          <w:sz w:val="24"/>
        </w:rPr>
        <w:t>：</w:t>
      </w:r>
      <w:r>
        <w:rPr>
          <w:rFonts w:ascii="宋体" w:hAnsi="宋体" w:hint="eastAsia"/>
          <w:bCs/>
          <w:sz w:val="24"/>
          <w:u w:val="single"/>
        </w:rPr>
        <w:t xml:space="preserve">         </w:t>
      </w:r>
      <w:r>
        <w:rPr>
          <w:rFonts w:ascii="宋体" w:hAnsi="宋体" w:hint="eastAsia"/>
          <w:bCs/>
          <w:sz w:val="24"/>
        </w:rPr>
        <w:t xml:space="preserve">  </w:t>
      </w:r>
    </w:p>
    <w:p>
      <w:pPr>
        <w:pStyle w:val="style0"/>
        <w:snapToGrid w:val="false"/>
        <w:spacing w:lineRule="auto" w:line="360"/>
        <w:ind w:firstLine="480" w:firstLineChars="200"/>
        <w:jc w:val="left"/>
        <w:rPr>
          <w:rFonts w:ascii="宋体" w:hAnsi="宋体"/>
          <w:bCs/>
          <w:sz w:val="24"/>
          <w:u w:val="single"/>
        </w:rPr>
      </w:pPr>
      <w:r>
        <w:rPr>
          <w:rFonts w:ascii="宋体" w:hAnsi="宋体" w:hint="eastAsia"/>
          <w:bCs/>
          <w:sz w:val="24"/>
        </w:rPr>
        <w:t>联系人：</w:t>
      </w:r>
      <w:r>
        <w:rPr>
          <w:rFonts w:ascii="宋体" w:hAnsi="宋体" w:hint="eastAsia"/>
          <w:bCs/>
          <w:sz w:val="24"/>
          <w:u w:val="single"/>
        </w:rPr>
        <w:t xml:space="preserve">                            </w:t>
      </w:r>
      <w:r>
        <w:rPr>
          <w:rFonts w:ascii="宋体" w:hAnsi="宋体"/>
          <w:bCs/>
          <w:sz w:val="24"/>
        </w:rPr>
        <w:t>联系</w:t>
      </w:r>
      <w:r>
        <w:rPr>
          <w:rFonts w:ascii="宋体" w:hAnsi="宋体" w:hint="eastAsia"/>
          <w:bCs/>
          <w:sz w:val="24"/>
        </w:rPr>
        <w:t>电话：</w:t>
      </w:r>
      <w:r>
        <w:rPr>
          <w:rFonts w:ascii="宋体" w:hAnsi="宋体" w:hint="eastAsia"/>
          <w:bCs/>
          <w:sz w:val="24"/>
          <w:u w:val="single"/>
        </w:rPr>
        <w:t xml:space="preserve">                </w:t>
      </w:r>
    </w:p>
    <w:p>
      <w:pPr>
        <w:pStyle w:val="style0"/>
        <w:snapToGrid w:val="false"/>
        <w:spacing w:lineRule="auto" w:line="360"/>
        <w:ind w:firstLine="480" w:firstLineChars="200"/>
        <w:jc w:val="left"/>
        <w:rPr>
          <w:rFonts w:ascii="宋体" w:hAnsi="宋体"/>
          <w:bCs/>
          <w:sz w:val="24"/>
        </w:rPr>
      </w:pPr>
      <w:r>
        <w:rPr>
          <w:rFonts w:ascii="宋体" w:hAnsi="宋体" w:hint="eastAsia"/>
          <w:bCs/>
          <w:sz w:val="24"/>
        </w:rPr>
        <w:t>被投诉人2：</w:t>
      </w:r>
    </w:p>
    <w:p>
      <w:pPr>
        <w:pStyle w:val="style0"/>
        <w:snapToGrid w:val="false"/>
        <w:spacing w:lineRule="auto" w:line="360"/>
        <w:ind w:firstLine="480" w:firstLineChars="200"/>
        <w:jc w:val="left"/>
        <w:rPr>
          <w:rFonts w:ascii="宋体" w:hAnsi="宋体"/>
          <w:bCs/>
          <w:sz w:val="24"/>
        </w:rPr>
      </w:pPr>
      <w:r>
        <w:rPr>
          <w:rFonts w:ascii="宋体" w:hAnsi="宋体"/>
          <w:bCs/>
          <w:sz w:val="24"/>
        </w:rPr>
        <w:t>……</w:t>
      </w:r>
    </w:p>
    <w:p>
      <w:pPr>
        <w:pStyle w:val="style0"/>
        <w:snapToGrid w:val="false"/>
        <w:spacing w:lineRule="auto" w:line="360"/>
        <w:ind w:firstLine="480" w:firstLineChars="200"/>
        <w:jc w:val="left"/>
        <w:rPr>
          <w:rFonts w:ascii="宋体" w:hAnsi="宋体"/>
          <w:bCs/>
          <w:sz w:val="24"/>
          <w:u w:val="single"/>
        </w:rPr>
      </w:pPr>
      <w:r>
        <w:rPr>
          <w:rFonts w:ascii="宋体" w:hAnsi="宋体" w:hint="eastAsia"/>
          <w:bCs/>
          <w:sz w:val="24"/>
        </w:rPr>
        <w:t>相关供应商：</w:t>
      </w:r>
      <w:r>
        <w:rPr>
          <w:rFonts w:ascii="宋体" w:hAnsi="宋体" w:hint="eastAsia"/>
          <w:bCs/>
          <w:sz w:val="24"/>
          <w:u w:val="single"/>
        </w:rPr>
        <w:t xml:space="preserve">                                                                       </w:t>
      </w:r>
    </w:p>
    <w:p>
      <w:pPr>
        <w:pStyle w:val="style0"/>
        <w:snapToGrid w:val="false"/>
        <w:spacing w:lineRule="auto" w:line="360"/>
        <w:ind w:firstLine="480" w:firstLineChars="200"/>
        <w:jc w:val="left"/>
        <w:rPr>
          <w:rFonts w:ascii="宋体" w:hAnsi="宋体"/>
          <w:bCs/>
          <w:sz w:val="24"/>
          <w:u w:val="single"/>
        </w:rPr>
      </w:pPr>
      <w:r>
        <w:rPr>
          <w:rFonts w:ascii="宋体" w:hAnsi="宋体"/>
          <w:bCs/>
          <w:sz w:val="24"/>
        </w:rPr>
        <w:t>地址</w:t>
      </w:r>
      <w:r>
        <w:rPr>
          <w:rFonts w:ascii="宋体" w:hAnsi="宋体" w:hint="eastAsia"/>
          <w:bCs/>
          <w:sz w:val="24"/>
        </w:rPr>
        <w:t>：</w:t>
      </w:r>
      <w:r>
        <w:rPr>
          <w:rFonts w:ascii="宋体" w:hAnsi="宋体" w:hint="eastAsia"/>
          <w:bCs/>
          <w:sz w:val="24"/>
          <w:u w:val="single"/>
        </w:rPr>
        <w:t xml:space="preserve">                                              </w:t>
      </w:r>
      <w:r>
        <w:rPr>
          <w:rFonts w:ascii="宋体" w:hAnsi="宋体"/>
          <w:bCs/>
          <w:sz w:val="24"/>
        </w:rPr>
        <w:t>邮编</w:t>
      </w:r>
      <w:r>
        <w:rPr>
          <w:rFonts w:ascii="宋体" w:hAnsi="宋体" w:hint="eastAsia"/>
          <w:bCs/>
          <w:sz w:val="24"/>
        </w:rPr>
        <w:t>：</w:t>
      </w:r>
      <w:r>
        <w:rPr>
          <w:rFonts w:ascii="宋体" w:hAnsi="宋体" w:hint="eastAsia"/>
          <w:bCs/>
          <w:sz w:val="24"/>
          <w:u w:val="single"/>
        </w:rPr>
        <w:t xml:space="preserve">                         </w:t>
      </w:r>
    </w:p>
    <w:p>
      <w:pPr>
        <w:pStyle w:val="style0"/>
        <w:snapToGrid w:val="false"/>
        <w:spacing w:lineRule="auto" w:line="360"/>
        <w:ind w:firstLine="480" w:firstLineChars="200"/>
        <w:jc w:val="left"/>
        <w:rPr>
          <w:rFonts w:ascii="宋体" w:hAnsi="宋体"/>
          <w:bCs/>
          <w:sz w:val="24"/>
        </w:rPr>
      </w:pPr>
      <w:r>
        <w:rPr>
          <w:rFonts w:ascii="宋体" w:hAnsi="宋体" w:hint="eastAsia"/>
          <w:bCs/>
          <w:sz w:val="24"/>
        </w:rPr>
        <w:t>联系人：</w:t>
      </w:r>
      <w:r>
        <w:rPr>
          <w:rFonts w:ascii="宋体" w:hAnsi="宋体" w:hint="eastAsia"/>
          <w:bCs/>
          <w:sz w:val="24"/>
          <w:u w:val="single"/>
        </w:rPr>
        <w:t xml:space="preserve">                                            </w:t>
      </w:r>
      <w:r>
        <w:rPr>
          <w:rFonts w:ascii="宋体" w:hAnsi="宋体"/>
          <w:bCs/>
          <w:sz w:val="24"/>
        </w:rPr>
        <w:t>联系</w:t>
      </w:r>
      <w:r>
        <w:rPr>
          <w:rFonts w:ascii="宋体" w:hAnsi="宋体" w:hint="eastAsia"/>
          <w:bCs/>
          <w:sz w:val="24"/>
        </w:rPr>
        <w:t>电话：</w:t>
      </w:r>
      <w:r>
        <w:rPr>
          <w:rFonts w:ascii="宋体" w:hAnsi="宋体" w:hint="eastAsia"/>
          <w:bCs/>
          <w:sz w:val="24"/>
          <w:u w:val="single"/>
        </w:rPr>
        <w:t xml:space="preserve">                     </w:t>
      </w:r>
      <w:r>
        <w:rPr>
          <w:rFonts w:ascii="宋体" w:hAnsi="宋体" w:hint="eastAsia"/>
          <w:bCs/>
          <w:sz w:val="24"/>
        </w:rPr>
        <w:t xml:space="preserve">                </w:t>
      </w:r>
    </w:p>
    <w:p>
      <w:pPr>
        <w:pStyle w:val="style0"/>
        <w:snapToGrid w:val="false"/>
        <w:spacing w:lineRule="auto" w:line="360"/>
        <w:ind w:firstLine="482" w:firstLineChars="200"/>
        <w:rPr>
          <w:rFonts w:ascii="宋体" w:hAnsi="宋体"/>
          <w:b/>
          <w:bCs/>
          <w:sz w:val="24"/>
        </w:rPr>
      </w:pPr>
      <w:r>
        <w:rPr>
          <w:rFonts w:ascii="宋体" w:hAnsi="宋体" w:hint="eastAsia"/>
          <w:b/>
          <w:bCs/>
          <w:sz w:val="24"/>
        </w:rPr>
        <w:t>二、投诉项目基本情况：</w:t>
      </w:r>
    </w:p>
    <w:p>
      <w:pPr>
        <w:pStyle w:val="style0"/>
        <w:spacing w:lineRule="auto" w:line="360"/>
        <w:ind w:left="25" w:leftChars="12" w:firstLine="473" w:firstLineChars="197"/>
        <w:rPr>
          <w:rFonts w:ascii="宋体" w:hAnsi="宋体"/>
          <w:sz w:val="24"/>
        </w:rPr>
      </w:pPr>
      <w:r>
        <w:rPr>
          <w:rFonts w:ascii="宋体" w:hAnsi="宋体" w:hint="eastAsia"/>
          <w:bCs/>
          <w:sz w:val="24"/>
        </w:rPr>
        <w:t>采购</w:t>
      </w:r>
      <w:r>
        <w:rPr>
          <w:rFonts w:ascii="宋体" w:hAnsi="宋体" w:hint="eastAsia"/>
          <w:sz w:val="24"/>
        </w:rPr>
        <w:t>项目的名称：</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sz w:val="24"/>
        </w:rPr>
      </w:pPr>
      <w:r>
        <w:rPr>
          <w:rFonts w:ascii="宋体" w:hAnsi="宋体" w:hint="eastAsia"/>
          <w:bCs/>
          <w:sz w:val="24"/>
        </w:rPr>
        <w:t>采购</w:t>
      </w:r>
      <w:r>
        <w:rPr>
          <w:rFonts w:ascii="宋体" w:hAnsi="宋体" w:hint="eastAsia"/>
          <w:sz w:val="24"/>
        </w:rPr>
        <w:t>项目的编号：</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bCs/>
          <w:sz w:val="24"/>
          <w:u w:val="single"/>
        </w:rPr>
      </w:pPr>
      <w:r>
        <w:rPr>
          <w:rFonts w:ascii="宋体" w:hAnsi="宋体" w:hint="eastAsia"/>
          <w:sz w:val="24"/>
        </w:rPr>
        <w:t>采购人名称：</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bCs/>
          <w:sz w:val="24"/>
          <w:u w:val="single"/>
        </w:rPr>
      </w:pPr>
      <w:r>
        <w:rPr>
          <w:rFonts w:ascii="宋体" w:hAnsi="宋体" w:hint="eastAsia"/>
          <w:sz w:val="24"/>
        </w:rPr>
        <w:t>代理机构名称：</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bCs/>
          <w:sz w:val="24"/>
          <w:u w:val="single"/>
        </w:rPr>
      </w:pPr>
      <w:r>
        <w:rPr>
          <w:rFonts w:ascii="宋体" w:hAnsi="宋体" w:hint="eastAsia"/>
          <w:bCs/>
          <w:sz w:val="24"/>
        </w:rPr>
        <w:t>采购文件公告：</w:t>
      </w:r>
      <w:r>
        <w:rPr>
          <w:rFonts w:ascii="宋体" w:hAnsi="宋体" w:hint="eastAsia"/>
          <w:bCs/>
          <w:sz w:val="24"/>
          <w:u w:val="single"/>
        </w:rPr>
        <w:t>是/否</w:t>
      </w:r>
      <w:r>
        <w:rPr>
          <w:rFonts w:ascii="宋体" w:hAnsi="宋体" w:hint="eastAsia"/>
          <w:bCs/>
          <w:sz w:val="24"/>
        </w:rPr>
        <w:t>公告期限：</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b/>
          <w:sz w:val="24"/>
        </w:rPr>
      </w:pPr>
      <w:r>
        <w:rPr>
          <w:rFonts w:ascii="宋体" w:hAnsi="宋体" w:hint="eastAsia"/>
          <w:bCs/>
          <w:sz w:val="24"/>
        </w:rPr>
        <w:t>采购结果公告：</w:t>
      </w:r>
      <w:r>
        <w:rPr>
          <w:rFonts w:ascii="宋体" w:hAnsi="宋体" w:hint="eastAsia"/>
          <w:bCs/>
          <w:sz w:val="24"/>
          <w:u w:val="single"/>
        </w:rPr>
        <w:t>是/否</w:t>
      </w:r>
      <w:r>
        <w:rPr>
          <w:rFonts w:ascii="宋体" w:hAnsi="宋体" w:hint="eastAsia"/>
          <w:bCs/>
          <w:sz w:val="24"/>
        </w:rPr>
        <w:t>公告期限：</w:t>
      </w:r>
      <w:r>
        <w:rPr>
          <w:rFonts w:ascii="宋体" w:hAnsi="宋体" w:hint="eastAsia"/>
          <w:bCs/>
          <w:sz w:val="24"/>
          <w:u w:val="single"/>
        </w:rPr>
        <w:t xml:space="preserve">                                                       </w:t>
      </w:r>
    </w:p>
    <w:p>
      <w:pPr>
        <w:pStyle w:val="style0"/>
        <w:spacing w:lineRule="auto" w:line="360"/>
        <w:ind w:left="25" w:leftChars="12" w:firstLine="472" w:firstLineChars="196"/>
        <w:rPr>
          <w:rFonts w:ascii="宋体" w:hAnsi="宋体"/>
          <w:b/>
          <w:sz w:val="24"/>
        </w:rPr>
      </w:pPr>
      <w:r>
        <w:rPr>
          <w:rFonts w:ascii="宋体" w:hAnsi="宋体" w:hint="eastAsia"/>
          <w:b/>
          <w:sz w:val="24"/>
        </w:rPr>
        <w:t>三、质疑基本情况</w:t>
      </w:r>
    </w:p>
    <w:p>
      <w:pPr>
        <w:pStyle w:val="style0"/>
        <w:spacing w:lineRule="auto" w:line="360"/>
        <w:ind w:left="25" w:leftChars="12" w:firstLine="480" w:firstLineChars="200"/>
        <w:rPr>
          <w:rFonts w:ascii="宋体" w:hAnsi="宋体"/>
          <w:sz w:val="24"/>
        </w:rPr>
      </w:pPr>
      <w:r>
        <w:rPr>
          <w:rFonts w:ascii="宋体" w:hAnsi="宋体" w:hint="eastAsia"/>
          <w:sz w:val="24"/>
        </w:rPr>
        <w:t>投诉人于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日，向</w:t>
      </w:r>
      <w:r>
        <w:rPr>
          <w:rFonts w:ascii="宋体" w:hAnsi="宋体" w:hint="eastAsia"/>
          <w:sz w:val="24"/>
          <w:u w:val="single"/>
        </w:rPr>
        <w:t xml:space="preserve">                                </w:t>
      </w:r>
      <w:r>
        <w:rPr>
          <w:rFonts w:ascii="宋体" w:hAnsi="宋体" w:hint="eastAsia"/>
          <w:sz w:val="24"/>
        </w:rPr>
        <w:t>提出质疑，质疑事项为：</w:t>
      </w:r>
    </w:p>
    <w:p>
      <w:pPr>
        <w:pStyle w:val="style0"/>
        <w:spacing w:lineRule="auto" w:line="360"/>
        <w:ind w:firstLine="241"/>
        <w:rPr>
          <w:rFonts w:ascii="宋体" w:hAnsi="宋体"/>
          <w:bCs/>
          <w:sz w:val="24"/>
          <w:u w:val="single"/>
        </w:rPr>
      </w:pPr>
      <w:r>
        <w:rPr>
          <w:rFonts w:ascii="宋体" w:hAnsi="宋体" w:hint="eastAsia"/>
          <w:sz w:val="24"/>
        </w:rPr>
        <w:t xml:space="preserve">    </w:t>
      </w:r>
      <w:r>
        <w:rPr>
          <w:rFonts w:ascii="宋体" w:hAnsi="宋体" w:hint="eastAsia"/>
          <w:bCs/>
          <w:sz w:val="24"/>
          <w:u w:val="single"/>
        </w:rPr>
        <w:t xml:space="preserve">                                                                                      </w:t>
      </w:r>
    </w:p>
    <w:p>
      <w:pPr>
        <w:pStyle w:val="style0"/>
        <w:spacing w:lineRule="auto" w:line="360"/>
        <w:ind w:firstLine="241"/>
        <w:rPr>
          <w:rFonts w:ascii="宋体" w:hAnsi="宋体"/>
          <w:bCs/>
          <w:sz w:val="24"/>
          <w:u w:val="single"/>
        </w:rPr>
      </w:pPr>
      <w:r>
        <w:rPr>
          <w:rFonts w:ascii="宋体" w:hAnsi="宋体" w:hint="eastAsia"/>
          <w:bCs/>
          <w:sz w:val="24"/>
        </w:rPr>
        <w:t xml:space="preserve">    </w:t>
      </w:r>
      <w:r>
        <w:rPr>
          <w:rFonts w:ascii="宋体" w:hAnsi="宋体" w:hint="eastAsia"/>
          <w:bCs/>
          <w:sz w:val="24"/>
          <w:u w:val="single"/>
        </w:rPr>
        <w:t xml:space="preserve">                                                                                      </w:t>
      </w:r>
    </w:p>
    <w:p>
      <w:pPr>
        <w:pStyle w:val="style0"/>
        <w:spacing w:lineRule="auto" w:line="360"/>
        <w:ind w:firstLine="480" w:firstLineChars="200"/>
        <w:rPr>
          <w:rFonts w:ascii="宋体" w:hAnsi="宋体"/>
          <w:sz w:val="24"/>
        </w:rPr>
      </w:pPr>
      <w:r>
        <w:rPr>
          <w:rFonts w:ascii="宋体" w:hAnsi="宋体" w:hint="eastAsia"/>
          <w:bCs/>
          <w:sz w:val="24"/>
          <w:u w:val="single"/>
        </w:rPr>
        <w:t>采购人/代理机构</w:t>
      </w:r>
      <w:r>
        <w:rPr>
          <w:rFonts w:ascii="宋体" w:hAnsi="宋体" w:hint="eastAsia"/>
          <w:bCs/>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bCs/>
          <w:sz w:val="24"/>
        </w:rPr>
        <w:t xml:space="preserve">就质疑事项作出了答复/没有在法定期限内作出答复。                                                                                             </w:t>
      </w:r>
    </w:p>
    <w:p>
      <w:pPr>
        <w:pStyle w:val="style0"/>
        <w:spacing w:lineRule="auto" w:line="360"/>
        <w:ind w:left="25" w:leftChars="12" w:firstLine="472" w:firstLineChars="196"/>
        <w:rPr>
          <w:rFonts w:ascii="宋体" w:hAnsi="宋体"/>
          <w:b/>
          <w:sz w:val="24"/>
        </w:rPr>
      </w:pPr>
      <w:r>
        <w:rPr>
          <w:rFonts w:ascii="宋体" w:hAnsi="宋体" w:hint="eastAsia"/>
          <w:b/>
          <w:sz w:val="24"/>
        </w:rPr>
        <w:t>四、投诉事项具体内容</w:t>
      </w:r>
    </w:p>
    <w:p>
      <w:pPr>
        <w:pStyle w:val="style0"/>
        <w:spacing w:lineRule="auto" w:line="360"/>
        <w:ind w:left="25" w:leftChars="12" w:firstLine="473" w:firstLineChars="197"/>
        <w:rPr>
          <w:rFonts w:ascii="宋体" w:hAnsi="宋体"/>
          <w:bCs/>
          <w:sz w:val="24"/>
          <w:u w:val="single"/>
        </w:rPr>
      </w:pPr>
      <w:r>
        <w:rPr>
          <w:rFonts w:ascii="宋体" w:hAnsi="宋体" w:hint="eastAsia"/>
          <w:sz w:val="24"/>
        </w:rPr>
        <w:t>投诉事项1：</w:t>
      </w:r>
      <w:r>
        <w:rPr>
          <w:rFonts w:ascii="宋体" w:hAnsi="宋体" w:hint="eastAsia"/>
          <w:bCs/>
          <w:sz w:val="24"/>
          <w:u w:val="single"/>
        </w:rPr>
        <w:t xml:space="preserve">                                                                           </w:t>
      </w:r>
    </w:p>
    <w:p>
      <w:pPr>
        <w:pStyle w:val="style0"/>
        <w:spacing w:lineRule="auto" w:line="360"/>
        <w:ind w:firstLine="480" w:firstLineChars="200"/>
        <w:rPr>
          <w:rFonts w:ascii="宋体" w:hAnsi="宋体"/>
          <w:bCs/>
          <w:sz w:val="24"/>
          <w:u w:val="single"/>
        </w:rPr>
      </w:pPr>
      <w:r>
        <w:rPr>
          <w:rFonts w:ascii="宋体" w:hAnsi="宋体" w:hint="eastAsia"/>
          <w:bCs/>
          <w:sz w:val="24"/>
        </w:rPr>
        <w:t>事实依据：</w:t>
      </w:r>
      <w:r>
        <w:rPr>
          <w:rFonts w:ascii="宋体" w:hAnsi="宋体" w:hint="eastAsia"/>
          <w:sz w:val="24"/>
        </w:rPr>
        <w:t xml:space="preserve"> </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sz w:val="24"/>
        </w:rPr>
      </w:pPr>
      <w:r>
        <w:rPr>
          <w:rFonts w:ascii="宋体" w:hAnsi="宋体" w:hint="eastAsia"/>
          <w:bCs/>
          <w:sz w:val="24"/>
          <w:u w:val="single"/>
        </w:rPr>
        <w:t xml:space="preserve">                                                                                        </w:t>
      </w:r>
    </w:p>
    <w:p>
      <w:pPr>
        <w:pStyle w:val="style0"/>
        <w:spacing w:lineRule="auto" w:line="360"/>
        <w:ind w:firstLine="480" w:firstLineChars="200"/>
        <w:rPr>
          <w:rFonts w:ascii="宋体" w:hAnsi="宋体"/>
          <w:bCs/>
          <w:sz w:val="24"/>
          <w:u w:val="single"/>
        </w:rPr>
      </w:pPr>
      <w:r>
        <w:rPr>
          <w:rFonts w:ascii="宋体" w:hAnsi="宋体" w:hint="eastAsia"/>
          <w:bCs/>
          <w:sz w:val="24"/>
        </w:rPr>
        <w:t>法律依据：</w:t>
      </w:r>
      <w:r>
        <w:rPr>
          <w:rFonts w:ascii="宋体" w:hAnsi="宋体" w:hint="eastAsia"/>
          <w:sz w:val="24"/>
        </w:rPr>
        <w:t xml:space="preserve"> </w:t>
      </w:r>
      <w:r>
        <w:rPr>
          <w:rFonts w:ascii="宋体" w:hAnsi="宋体" w:hint="eastAsia"/>
          <w:bCs/>
          <w:sz w:val="24"/>
          <w:u w:val="single"/>
        </w:rPr>
        <w:t xml:space="preserve">                                                                                      </w:t>
      </w:r>
    </w:p>
    <w:p>
      <w:pPr>
        <w:pStyle w:val="style0"/>
        <w:spacing w:lineRule="auto" w:line="360"/>
        <w:ind w:left="25" w:leftChars="12" w:firstLine="353" w:firstLineChars="147"/>
        <w:rPr>
          <w:rFonts w:ascii="宋体" w:hAnsi="宋体"/>
          <w:bCs/>
          <w:sz w:val="24"/>
          <w:u w:val="single"/>
        </w:rPr>
      </w:pPr>
      <w:r>
        <w:rPr>
          <w:rFonts w:ascii="宋体" w:hAnsi="宋体" w:hint="eastAsia"/>
          <w:bCs/>
          <w:sz w:val="24"/>
        </w:rPr>
        <w:t xml:space="preserve"> </w:t>
      </w:r>
      <w:r>
        <w:rPr>
          <w:rFonts w:ascii="宋体" w:hAnsi="宋体" w:hint="eastAsia"/>
          <w:bCs/>
          <w:sz w:val="24"/>
          <w:u w:val="single"/>
        </w:rPr>
        <w:t xml:space="preserve">                                                                                        </w:t>
      </w:r>
    </w:p>
    <w:p>
      <w:pPr>
        <w:pStyle w:val="style0"/>
        <w:spacing w:lineRule="auto" w:line="360"/>
        <w:ind w:left="25" w:leftChars="12" w:firstLine="473" w:firstLineChars="197"/>
        <w:rPr>
          <w:rFonts w:ascii="宋体" w:hAnsi="宋体"/>
          <w:bCs/>
          <w:sz w:val="24"/>
        </w:rPr>
      </w:pPr>
      <w:r>
        <w:rPr>
          <w:rFonts w:ascii="宋体" w:hAnsi="宋体" w:hint="eastAsia"/>
          <w:sz w:val="24"/>
        </w:rPr>
        <w:t xml:space="preserve">投诉事项2  </w:t>
      </w:r>
      <w:r>
        <w:rPr>
          <w:rFonts w:ascii="宋体" w:hAnsi="宋体" w:hint="eastAsia"/>
          <w:bCs/>
          <w:sz w:val="24"/>
        </w:rPr>
        <w:t xml:space="preserve">   </w:t>
      </w:r>
    </w:p>
    <w:p>
      <w:pPr>
        <w:pStyle w:val="style0"/>
        <w:spacing w:lineRule="auto" w:line="360"/>
        <w:ind w:left="25" w:leftChars="12" w:firstLine="473" w:firstLineChars="197"/>
        <w:rPr>
          <w:rFonts w:ascii="宋体" w:hAnsi="宋体"/>
          <w:bCs/>
          <w:sz w:val="24"/>
        </w:rPr>
      </w:pPr>
      <w:r>
        <w:rPr>
          <w:rFonts w:ascii="宋体" w:hAnsi="宋体"/>
          <w:bCs/>
          <w:sz w:val="24"/>
        </w:rPr>
        <w:t>……</w:t>
      </w:r>
    </w:p>
    <w:p>
      <w:pPr>
        <w:pStyle w:val="style0"/>
        <w:spacing w:lineRule="auto" w:line="360"/>
        <w:ind w:left="25" w:leftChars="12" w:firstLine="472" w:firstLineChars="196"/>
        <w:rPr>
          <w:rFonts w:ascii="宋体" w:hAnsi="宋体"/>
          <w:b/>
          <w:sz w:val="24"/>
        </w:rPr>
      </w:pPr>
      <w:r>
        <w:rPr>
          <w:rFonts w:ascii="宋体" w:hAnsi="宋体" w:hint="eastAsia"/>
          <w:b/>
          <w:sz w:val="24"/>
        </w:rPr>
        <w:t>五、与投诉事项相关的投诉请求：</w:t>
      </w:r>
    </w:p>
    <w:p>
      <w:pPr>
        <w:pStyle w:val="style0"/>
        <w:spacing w:lineRule="auto" w:line="360"/>
        <w:ind w:left="25" w:leftChars="12" w:firstLine="473" w:firstLineChars="197"/>
        <w:rPr>
          <w:rFonts w:ascii="宋体" w:hAnsi="宋体"/>
          <w:sz w:val="24"/>
        </w:rPr>
      </w:pPr>
      <w:r>
        <w:rPr>
          <w:rFonts w:ascii="宋体" w:hAnsi="宋体" w:hint="eastAsia"/>
          <w:sz w:val="24"/>
        </w:rPr>
        <w:t>请求：</w:t>
      </w:r>
      <w:r>
        <w:rPr>
          <w:rFonts w:ascii="宋体" w:hAnsi="宋体" w:hint="eastAsia"/>
          <w:bCs/>
          <w:sz w:val="24"/>
          <w:u w:val="single"/>
        </w:rPr>
        <w:t xml:space="preserve">                                                                                 </w:t>
      </w:r>
    </w:p>
    <w:p>
      <w:pPr>
        <w:pStyle w:val="style0"/>
        <w:spacing w:lineRule="auto" w:line="360"/>
        <w:ind w:left="25" w:leftChars="12" w:firstLine="353" w:firstLineChars="147"/>
        <w:rPr>
          <w:rFonts w:ascii="宋体" w:hAnsi="宋体"/>
          <w:sz w:val="24"/>
        </w:rPr>
      </w:pPr>
    </w:p>
    <w:p>
      <w:pPr>
        <w:pStyle w:val="style0"/>
        <w:spacing w:lineRule="auto" w:line="360"/>
        <w:ind w:left="25" w:leftChars="12" w:firstLine="473" w:firstLineChars="197"/>
        <w:rPr>
          <w:rFonts w:ascii="宋体" w:hAnsi="宋体"/>
          <w:sz w:val="24"/>
        </w:rPr>
      </w:pPr>
      <w:r>
        <w:rPr>
          <w:rFonts w:ascii="宋体" w:hAnsi="宋体" w:hint="eastAsia"/>
          <w:sz w:val="24"/>
        </w:rPr>
        <w:t>签字（签章）：                                       公章：</w:t>
      </w:r>
    </w:p>
    <w:p>
      <w:pPr>
        <w:pStyle w:val="style0"/>
        <w:spacing w:lineRule="auto" w:line="360"/>
        <w:ind w:left="25" w:leftChars="12" w:firstLine="353" w:firstLineChars="147"/>
        <w:rPr>
          <w:rFonts w:ascii="宋体" w:hAnsi="宋体"/>
          <w:sz w:val="24"/>
        </w:rPr>
      </w:pPr>
    </w:p>
    <w:p>
      <w:pPr>
        <w:pStyle w:val="style0"/>
        <w:spacing w:lineRule="auto" w:line="360"/>
        <w:ind w:left="25" w:leftChars="12" w:firstLine="473" w:firstLineChars="197"/>
        <w:rPr>
          <w:rFonts w:ascii="宋体" w:hAnsi="宋体"/>
          <w:sz w:val="24"/>
        </w:rPr>
      </w:pPr>
      <w:r>
        <w:rPr>
          <w:rFonts w:ascii="宋体" w:hAnsi="宋体" w:hint="eastAsia"/>
          <w:sz w:val="24"/>
        </w:rPr>
        <w:t>日期：</w:t>
      </w:r>
    </w:p>
    <w:p>
      <w:pPr>
        <w:pStyle w:val="style0"/>
        <w:snapToGrid w:val="false"/>
        <w:spacing w:lineRule="auto" w:line="360"/>
        <w:rPr>
          <w:rFonts w:ascii="宋体" w:hAnsi="宋体"/>
          <w:b/>
          <w:sz w:val="24"/>
        </w:rPr>
      </w:pPr>
      <w:r>
        <w:rPr>
          <w:rFonts w:ascii="宋体" w:hAnsi="宋体" w:hint="eastAsia"/>
          <w:b/>
          <w:sz w:val="24"/>
        </w:rPr>
        <w:t>说明：</w:t>
      </w:r>
    </w:p>
    <w:p>
      <w:pPr>
        <w:pStyle w:val="style0"/>
        <w:spacing w:lineRule="auto" w:line="360"/>
        <w:ind w:left="25" w:leftChars="12" w:firstLine="354" w:firstLineChars="147"/>
        <w:rPr>
          <w:rFonts w:ascii="宋体" w:hAnsi="宋体"/>
          <w:b/>
          <w:bCs/>
          <w:sz w:val="24"/>
        </w:rPr>
      </w:pPr>
      <w:r>
        <w:rPr>
          <w:rFonts w:ascii="宋体" w:hAnsi="宋体"/>
          <w:b/>
          <w:sz w:val="24"/>
        </w:rPr>
        <w:t>1.投诉人提起投诉时，应当提交投诉书和必要的证明材料，并按照被投诉人和与投诉事项有关的供应商数量提供投诉书副本</w:t>
      </w:r>
      <w:r>
        <w:rPr>
          <w:rFonts w:ascii="宋体" w:hAnsi="宋体" w:hint="eastAsia"/>
          <w:b/>
          <w:bCs/>
          <w:sz w:val="24"/>
        </w:rPr>
        <w:t>。</w:t>
      </w:r>
    </w:p>
    <w:p>
      <w:pPr>
        <w:pStyle w:val="style0"/>
        <w:spacing w:lineRule="auto" w:line="360"/>
        <w:ind w:left="25" w:leftChars="12" w:firstLine="354" w:firstLineChars="147"/>
        <w:rPr>
          <w:rFonts w:ascii="宋体" w:hAnsi="宋体"/>
          <w:b/>
          <w:sz w:val="24"/>
        </w:rPr>
      </w:pPr>
      <w:r>
        <w:rPr>
          <w:rFonts w:ascii="宋体" w:hAnsi="宋体"/>
          <w:b/>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style0"/>
        <w:spacing w:lineRule="auto" w:line="360"/>
        <w:ind w:left="25" w:leftChars="12" w:firstLine="354" w:firstLineChars="147"/>
        <w:rPr>
          <w:rFonts w:ascii="宋体" w:hAnsi="宋体"/>
          <w:b/>
          <w:sz w:val="24"/>
        </w:rPr>
      </w:pPr>
      <w:r>
        <w:rPr>
          <w:rFonts w:ascii="宋体" w:hAnsi="宋体"/>
          <w:b/>
          <w:sz w:val="24"/>
        </w:rPr>
        <w:t>3.投诉书应简要列明质疑事项，质疑函、质疑答复等作为附件材料提供。</w:t>
      </w:r>
    </w:p>
    <w:p>
      <w:pPr>
        <w:pStyle w:val="style0"/>
        <w:spacing w:lineRule="auto" w:line="360"/>
        <w:ind w:left="25" w:leftChars="12" w:firstLine="354" w:firstLineChars="147"/>
        <w:rPr>
          <w:rFonts w:ascii="宋体" w:hAnsi="宋体"/>
          <w:b/>
          <w:sz w:val="24"/>
        </w:rPr>
      </w:pPr>
      <w:r>
        <w:rPr>
          <w:rFonts w:ascii="宋体" w:hAnsi="宋体"/>
          <w:b/>
          <w:sz w:val="24"/>
        </w:rPr>
        <w:t>4.投诉书的投诉事项应具体、明确，并有必要的事实依据和法律依据。</w:t>
      </w:r>
    </w:p>
    <w:p>
      <w:pPr>
        <w:pStyle w:val="style0"/>
        <w:spacing w:lineRule="auto" w:line="360"/>
        <w:ind w:left="25" w:leftChars="12" w:firstLine="354" w:firstLineChars="147"/>
        <w:rPr>
          <w:rFonts w:ascii="宋体" w:hAnsi="宋体"/>
          <w:b/>
          <w:sz w:val="24"/>
        </w:rPr>
      </w:pPr>
      <w:r>
        <w:rPr>
          <w:rFonts w:ascii="宋体" w:hAnsi="宋体"/>
          <w:b/>
          <w:sz w:val="24"/>
        </w:rPr>
        <w:t>5.投诉书的投诉请求应与投诉事项相关。</w:t>
      </w:r>
    </w:p>
    <w:p>
      <w:pPr>
        <w:pStyle w:val="style0"/>
        <w:spacing w:lineRule="auto" w:line="360"/>
        <w:ind w:left="25" w:leftChars="12" w:firstLine="354" w:firstLineChars="147"/>
        <w:rPr>
          <w:rFonts w:ascii="宋体" w:hAnsi="宋体"/>
          <w:b/>
          <w:sz w:val="24"/>
        </w:rPr>
      </w:pPr>
      <w:r>
        <w:rPr>
          <w:rFonts w:ascii="宋体" w:hAnsi="宋体"/>
          <w:b/>
          <w:sz w:val="24"/>
        </w:rPr>
        <w:t>6.投诉人为法人或者其他组织的，投诉书应由法定代表人、主要负责人，或者其授权代表签字或者盖章，并加盖公章。</w:t>
      </w:r>
      <w:r>
        <w:rPr>
          <w:rFonts w:ascii="宋体" w:hAnsi="宋体"/>
          <w:b/>
          <w:sz w:val="24"/>
        </w:rPr>
        <w:br w:type="page"/>
      </w:r>
    </w:p>
    <w:p>
      <w:pPr>
        <w:pStyle w:val="style0"/>
        <w:spacing w:lineRule="auto" w:line="360"/>
        <w:jc w:val="left"/>
        <w:rPr>
          <w:rFonts w:ascii="宋体" w:hAnsi="宋体"/>
          <w:b/>
          <w:bCs/>
          <w:sz w:val="44"/>
          <w:szCs w:val="44"/>
        </w:rPr>
      </w:pPr>
      <w:r>
        <w:rPr>
          <w:rFonts w:ascii="宋体" w:hAnsi="宋体"/>
          <w:b/>
          <w:sz w:val="24"/>
        </w:rPr>
        <w:t>6.演示申请书（格式）</w:t>
      </w:r>
    </w:p>
    <w:p>
      <w:pPr>
        <w:pStyle w:val="style0"/>
        <w:spacing w:lineRule="auto" w:line="360"/>
        <w:jc w:val="center"/>
        <w:rPr>
          <w:rFonts w:ascii="宋体" w:hAnsi="宋体"/>
          <w:b/>
          <w:bCs/>
          <w:sz w:val="44"/>
          <w:szCs w:val="44"/>
        </w:rPr>
      </w:pPr>
    </w:p>
    <w:p>
      <w:pPr>
        <w:pStyle w:val="style0"/>
        <w:spacing w:lineRule="auto" w:line="360"/>
        <w:jc w:val="center"/>
        <w:outlineLvl w:val="0"/>
        <w:rPr>
          <w:rFonts w:ascii="宋体" w:cs="仿宋_GB2312" w:hAnsi="宋体"/>
          <w:sz w:val="24"/>
        </w:rPr>
      </w:pPr>
      <w:r>
        <w:rPr>
          <w:rFonts w:ascii="宋体" w:hAnsi="宋体" w:hint="eastAsia"/>
          <w:b/>
          <w:bCs/>
          <w:sz w:val="44"/>
          <w:szCs w:val="44"/>
        </w:rPr>
        <w:t>投（竞）标项目演示申请书</w:t>
      </w:r>
    </w:p>
    <w:p>
      <w:pPr>
        <w:pStyle w:val="style0"/>
        <w:spacing w:before="100" w:beforeAutospacing="true" w:after="100" w:afterAutospacing="true" w:lineRule="exact" w:line="560"/>
        <w:ind w:left="1197" w:hanging="918"/>
        <w:rPr>
          <w:rFonts w:ascii="宋体" w:cs="宋体" w:hAnsi="宋体"/>
          <w:sz w:val="28"/>
          <w:szCs w:val="28"/>
        </w:rPr>
      </w:pPr>
      <w:r>
        <w:rPr>
          <w:rFonts w:ascii="宋体" w:cs="宋体" w:hAnsi="宋体"/>
          <w:sz w:val="28"/>
          <w:szCs w:val="28"/>
        </w:rPr>
        <w:t>致：广西国盛招标有限公司</w:t>
      </w:r>
    </w:p>
    <w:p>
      <w:pPr>
        <w:pStyle w:val="style0"/>
        <w:spacing w:before="100" w:beforeAutospacing="true" w:after="100" w:afterAutospacing="true" w:lineRule="exact" w:line="560"/>
        <w:ind w:left="217" w:firstLine="62"/>
        <w:jc w:val="left"/>
        <w:rPr>
          <w:rFonts w:ascii="宋体" w:cs="宋体" w:hAnsi="宋体"/>
          <w:sz w:val="28"/>
          <w:szCs w:val="28"/>
          <w:u w:val="single"/>
        </w:rPr>
      </w:pPr>
      <w:r>
        <w:rPr>
          <w:rFonts w:ascii="宋体" w:cs="宋体" w:hAnsi="宋体"/>
          <w:sz w:val="28"/>
          <w:szCs w:val="28"/>
        </w:rPr>
        <w:t xml:space="preserve">   根据招标（采购）文件要求，我公司</w:t>
      </w:r>
      <w:r>
        <w:rPr>
          <w:rFonts w:ascii="宋体" w:cs="宋体" w:hAnsi="宋体"/>
          <w:sz w:val="28"/>
          <w:szCs w:val="28"/>
          <w:u w:val="single"/>
        </w:rPr>
        <w:t xml:space="preserve">      （公司名称）                </w:t>
      </w:r>
      <w:r>
        <w:rPr>
          <w:rFonts w:ascii="宋体" w:cs="宋体" w:hAnsi="宋体" w:hint="eastAsia"/>
          <w:sz w:val="28"/>
          <w:szCs w:val="28"/>
        </w:rPr>
        <w:t>对</w:t>
      </w:r>
      <w:r>
        <w:rPr>
          <w:rFonts w:ascii="宋体" w:cs="宋体" w:hAnsi="宋体" w:hint="eastAsia"/>
          <w:sz w:val="28"/>
          <w:szCs w:val="28"/>
          <w:u w:val="single"/>
        </w:rPr>
        <w:t>（项目名称）项目编号：</w:t>
      </w:r>
      <w:r>
        <w:rPr>
          <w:rFonts w:ascii="宋体" w:cs="宋体" w:hAnsi="宋体"/>
          <w:sz w:val="28"/>
          <w:szCs w:val="28"/>
          <w:u w:val="single"/>
        </w:rPr>
        <w:t xml:space="preserve">             </w:t>
      </w:r>
      <w:r>
        <w:rPr>
          <w:rFonts w:ascii="宋体" w:cs="宋体" w:hAnsi="宋体" w:hint="eastAsia"/>
          <w:sz w:val="28"/>
          <w:szCs w:val="28"/>
        </w:rPr>
        <w:t>项目，提出</w:t>
      </w:r>
      <w:r>
        <w:rPr>
          <w:rFonts w:ascii="宋体" w:cs="宋体" w:hAnsi="宋体" w:hint="eastAsia"/>
          <w:sz w:val="28"/>
          <w:szCs w:val="28"/>
          <w:u w:val="single"/>
        </w:rPr>
        <w:t>演示</w:t>
      </w:r>
      <w:r>
        <w:rPr>
          <w:rFonts w:ascii="宋体" w:cs="宋体" w:hAnsi="宋体" w:hint="eastAsia"/>
          <w:sz w:val="28"/>
          <w:szCs w:val="28"/>
        </w:rPr>
        <w:t>申请，请招标代理公司准备好演示</w:t>
      </w:r>
      <w:r>
        <w:rPr>
          <w:rFonts w:ascii="宋体" w:cs="宋体" w:hAnsi="宋体" w:hint="default"/>
          <w:sz w:val="28"/>
          <w:szCs w:val="28"/>
          <w:lang w:val="en-US"/>
        </w:rPr>
        <w:t>事宜</w:t>
      </w:r>
      <w:r>
        <w:rPr>
          <w:rFonts w:ascii="宋体" w:cs="宋体" w:hAnsi="宋体" w:hint="eastAsia"/>
          <w:sz w:val="28"/>
          <w:szCs w:val="28"/>
        </w:rPr>
        <w:t>。</w:t>
      </w:r>
    </w:p>
    <w:p>
      <w:pPr>
        <w:pStyle w:val="style0"/>
        <w:spacing w:before="100" w:beforeAutospacing="true" w:after="100" w:afterAutospacing="true" w:lineRule="exact" w:line="560"/>
        <w:ind w:left="217" w:firstLine="62"/>
        <w:jc w:val="left"/>
        <w:rPr>
          <w:rFonts w:ascii="宋体" w:cs="宋体" w:hAnsi="宋体"/>
          <w:sz w:val="28"/>
          <w:szCs w:val="28"/>
        </w:rPr>
      </w:pPr>
    </w:p>
    <w:p>
      <w:pPr>
        <w:pStyle w:val="style0"/>
        <w:spacing w:before="100" w:beforeAutospacing="true" w:after="100" w:afterAutospacing="true" w:lineRule="exact" w:line="560"/>
        <w:ind w:left="1195" w:leftChars="389" w:hanging="378" w:hangingChars="135"/>
        <w:jc w:val="left"/>
        <w:rPr>
          <w:rFonts w:ascii="宋体" w:cs="宋体" w:hAnsi="宋体"/>
          <w:sz w:val="28"/>
          <w:szCs w:val="28"/>
        </w:rPr>
      </w:pPr>
      <w:r>
        <w:rPr>
          <w:rFonts w:ascii="宋体" w:cs="宋体" w:hAnsi="宋体" w:hint="eastAsia"/>
          <w:sz w:val="28"/>
          <w:szCs w:val="28"/>
        </w:rPr>
        <w:t>演示人</w:t>
      </w:r>
      <w:r>
        <w:rPr>
          <w:rFonts w:ascii="宋体" w:cs="宋体" w:hAnsi="宋体"/>
          <w:sz w:val="28"/>
          <w:szCs w:val="28"/>
        </w:rPr>
        <w:t xml:space="preserve">1：                 </w:t>
      </w:r>
      <w:r>
        <w:rPr>
          <w:rFonts w:ascii="宋体" w:cs="宋体" w:hAnsi="宋体" w:hint="eastAsia"/>
          <w:sz w:val="28"/>
          <w:szCs w:val="28"/>
        </w:rPr>
        <w:t>身份证号码：</w:t>
      </w:r>
    </w:p>
    <w:p>
      <w:pPr>
        <w:pStyle w:val="style0"/>
        <w:spacing w:before="100" w:beforeAutospacing="true" w:after="100" w:afterAutospacing="true" w:lineRule="exact" w:line="560"/>
        <w:ind w:left="1195" w:leftChars="389" w:hanging="378" w:hangingChars="135"/>
        <w:jc w:val="left"/>
        <w:rPr>
          <w:rFonts w:ascii="宋体" w:cs="宋体" w:hAnsi="宋体"/>
          <w:sz w:val="28"/>
          <w:szCs w:val="28"/>
        </w:rPr>
      </w:pPr>
      <w:r>
        <w:rPr>
          <w:rFonts w:ascii="宋体" w:cs="宋体" w:hAnsi="宋体" w:hint="eastAsia"/>
          <w:sz w:val="28"/>
          <w:szCs w:val="28"/>
        </w:rPr>
        <w:t>联系电话：</w:t>
      </w:r>
    </w:p>
    <w:p>
      <w:pPr>
        <w:pStyle w:val="style0"/>
        <w:spacing w:before="100" w:beforeAutospacing="true" w:after="100" w:afterAutospacing="true" w:lineRule="exact" w:line="560"/>
        <w:ind w:left="1195" w:leftChars="389" w:hanging="378" w:hangingChars="135"/>
        <w:jc w:val="left"/>
        <w:rPr>
          <w:rFonts w:ascii="宋体" w:cs="宋体" w:hAnsi="宋体"/>
          <w:sz w:val="28"/>
          <w:szCs w:val="28"/>
        </w:rPr>
      </w:pPr>
      <w:r>
        <w:rPr>
          <w:rFonts w:ascii="宋体" w:cs="宋体" w:hAnsi="宋体" w:hint="eastAsia"/>
          <w:sz w:val="28"/>
          <w:szCs w:val="28"/>
        </w:rPr>
        <w:t>演示人</w:t>
      </w:r>
      <w:r>
        <w:rPr>
          <w:rFonts w:ascii="宋体" w:cs="宋体" w:hAnsi="宋体"/>
          <w:sz w:val="28"/>
          <w:szCs w:val="28"/>
        </w:rPr>
        <w:t xml:space="preserve">2：                 </w:t>
      </w:r>
      <w:r>
        <w:rPr>
          <w:rFonts w:ascii="宋体" w:cs="宋体" w:hAnsi="宋体" w:hint="eastAsia"/>
          <w:sz w:val="28"/>
          <w:szCs w:val="28"/>
        </w:rPr>
        <w:t>身份证号码：</w:t>
      </w:r>
    </w:p>
    <w:p>
      <w:pPr>
        <w:pStyle w:val="style0"/>
        <w:spacing w:before="100" w:beforeAutospacing="true" w:after="100" w:afterAutospacing="true" w:lineRule="exact" w:line="560"/>
        <w:ind w:left="1195" w:leftChars="389" w:hanging="378" w:hangingChars="135"/>
        <w:jc w:val="left"/>
        <w:rPr>
          <w:rFonts w:ascii="宋体" w:cs="宋体" w:hAnsi="宋体"/>
          <w:sz w:val="28"/>
          <w:szCs w:val="28"/>
        </w:rPr>
      </w:pPr>
      <w:r>
        <w:rPr>
          <w:rFonts w:ascii="宋体" w:cs="宋体" w:hAnsi="宋体" w:hint="eastAsia"/>
          <w:sz w:val="28"/>
          <w:szCs w:val="28"/>
        </w:rPr>
        <w:t>联系电话：</w:t>
      </w:r>
    </w:p>
    <w:p>
      <w:pPr>
        <w:pStyle w:val="style0"/>
        <w:spacing w:before="100" w:beforeAutospacing="true" w:after="100" w:afterAutospacing="true" w:lineRule="exact" w:line="560"/>
        <w:ind w:left="217" w:firstLine="62"/>
        <w:jc w:val="left"/>
        <w:rPr>
          <w:rFonts w:ascii="宋体" w:cs="宋体" w:hAnsi="宋体"/>
          <w:sz w:val="28"/>
          <w:szCs w:val="28"/>
        </w:rPr>
      </w:pPr>
    </w:p>
    <w:p>
      <w:pPr>
        <w:pStyle w:val="style0"/>
        <w:spacing w:before="100" w:beforeAutospacing="true" w:after="100" w:afterAutospacing="true" w:lineRule="exact" w:line="560"/>
        <w:ind w:left="217" w:firstLine="62"/>
        <w:jc w:val="center"/>
        <w:rPr>
          <w:rFonts w:ascii="宋体" w:cs="宋体" w:hAnsi="宋体"/>
          <w:sz w:val="28"/>
          <w:szCs w:val="28"/>
        </w:rPr>
      </w:pPr>
      <w:r>
        <w:rPr>
          <w:rFonts w:ascii="宋体" w:cs="宋体" w:hAnsi="宋体"/>
          <w:sz w:val="28"/>
          <w:szCs w:val="28"/>
        </w:rPr>
        <w:t xml:space="preserve"> 申请单位（公章）：</w:t>
      </w:r>
    </w:p>
    <w:p>
      <w:pPr>
        <w:pStyle w:val="style0"/>
        <w:spacing w:before="100" w:beforeAutospacing="true" w:after="100" w:afterAutospacing="true" w:lineRule="exact" w:line="560"/>
        <w:ind w:left="217" w:firstLine="62"/>
        <w:jc w:val="center"/>
        <w:rPr>
          <w:rFonts w:ascii="宋体" w:cs="宋体" w:hAnsi="宋体"/>
          <w:sz w:val="28"/>
          <w:szCs w:val="28"/>
        </w:rPr>
      </w:pPr>
      <w:r>
        <w:rPr>
          <w:rFonts w:ascii="宋体" w:cs="宋体" w:hAnsi="宋体"/>
          <w:sz w:val="28"/>
          <w:szCs w:val="28"/>
        </w:rPr>
        <w:t xml:space="preserve">    法定代表人（签名）：</w:t>
      </w:r>
    </w:p>
    <w:p>
      <w:pPr>
        <w:pStyle w:val="style0"/>
        <w:spacing w:before="100" w:beforeAutospacing="true" w:after="100" w:afterAutospacing="true" w:lineRule="exact" w:line="560"/>
        <w:ind w:left="217" w:firstLine="62"/>
        <w:jc w:val="center"/>
        <w:outlineLvl w:val="0"/>
        <w:rPr>
          <w:rFonts w:ascii="宋体" w:cs="宋体" w:hAnsi="宋体"/>
          <w:sz w:val="28"/>
          <w:szCs w:val="28"/>
        </w:rPr>
      </w:pPr>
      <w:r>
        <w:rPr>
          <w:rFonts w:ascii="宋体" w:cs="宋体" w:hAnsi="宋体"/>
          <w:sz w:val="28"/>
          <w:szCs w:val="28"/>
        </w:rPr>
        <w:t xml:space="preserve">        日期：    年    月    日</w:t>
      </w:r>
    </w:p>
    <w:p>
      <w:pPr>
        <w:pStyle w:val="style0"/>
        <w:spacing w:lineRule="auto" w:line="360"/>
        <w:ind w:left="25" w:leftChars="12" w:firstLine="309" w:firstLineChars="147"/>
        <w:rPr>
          <w:rFonts w:hAnsi="宋体"/>
        </w:rPr>
      </w:pPr>
    </w:p>
    <w:sectPr>
      <w:footerReference w:type="even" r:id="rId9"/>
      <w:footerReference w:type="default" r:id="rId10"/>
      <w:pgSz w:w="11906" w:h="16838" w:orient="portrait"/>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黑体">
    <w:altName w:val="SimHei"/>
    <w:panose1 w:val="02010609060000010101"/>
    <w:charset w:val="86"/>
    <w:family w:val="modern"/>
    <w:pitch w:val="fixed"/>
    <w:sig w:usb0="00000001" w:usb1="080E0000" w:usb2="00000010" w:usb3="00000000" w:csb0="00040000" w:csb1="00000000"/>
  </w:font>
  <w:font w:name="Calibri">
    <w:altName w:val="Calibri"/>
    <w:panose1 w:val="020f0502020000030204"/>
    <w:charset w:val="00"/>
    <w:family w:val="swiss"/>
    <w:pitch w:val="variable"/>
    <w:sig w:usb0="E00002FF" w:usb1="4000ACFF" w:usb2="00000001" w:usb3="00000000" w:csb0="0000019F" w:csb1="00000000"/>
  </w:font>
  <w:font w:name="仿宋_GB2312">
    <w:altName w:val="Arial Unicode MS"/>
    <w:panose1 w:val="00000000000000000000"/>
    <w:charset w:val="86"/>
    <w:family w:val="modern"/>
    <w:pitch w:val="default"/>
    <w:sig w:usb0="00000000" w:usb1="080E0000" w:usb2="00000000" w:usb3="00000000" w:csb0="00040000" w:csb1="00000000"/>
  </w:font>
  <w:font w:name="Courier New">
    <w:altName w:val="Courier New"/>
    <w:panose1 w:val="02070309020000020404"/>
    <w:charset w:val="00"/>
    <w:family w:val="modern"/>
    <w:pitch w:val="fixed"/>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 w:name="等线">
    <w:altName w:val="Arial Unicode MS"/>
    <w:panose1 w:val="00000000000000000000"/>
    <w:charset w:val="86"/>
    <w:family w:val="auto"/>
    <w:pitch w:val="default"/>
    <w:sig w:usb0="00000000" w:usb1="00000000" w:usb2="00000016" w:usb3="00000000" w:csb0="0004000F" w:csb1="00000000"/>
  </w:font>
  <w:font w:name="MingLiU">
    <w:altName w:val="細明體"/>
    <w:panose1 w:val="02020509000000000000"/>
    <w:charset w:val="88"/>
    <w:family w:val="modern"/>
    <w:pitch w:val="fixed"/>
    <w:sig w:usb0="00000001" w:usb1="08080000" w:usb2="00000010" w:usb3="00000000" w:csb0="00100000" w:csb1="00000000"/>
  </w:font>
  <w:font w:name="微软雅黑">
    <w:altName w:val="微软雅黑"/>
    <w:panose1 w:val="020b0503020000020204"/>
    <w:charset w:val="86"/>
    <w:family w:val="swiss"/>
    <w:pitch w:val="variable"/>
    <w:sig w:usb0="80000287" w:usb1="280F3C52" w:usb2="00000016" w:usb3="00000000" w:csb0="0004001F" w:csb1="00000000"/>
  </w:font>
  <w:font w:name="_x000B__x000C_">
    <w:altName w:val="Arial Unicode MS"/>
    <w:panose1 w:val="00000000000000000000"/>
    <w:charset w:val="00"/>
    <w:family w:val="roman"/>
    <w:pitch w:val="default"/>
    <w:sig w:usb0="00000000" w:usb1="00000000" w:usb2="00000000" w:usb3="00000000" w:csb0="00040001" w:csb1="00000000"/>
  </w:font>
  <w:font w:name="新宋体">
    <w:altName w:val="新宋体"/>
    <w:panose1 w:val="02010609030000010101"/>
    <w:charset w:val="86"/>
    <w:family w:val="modern"/>
    <w:pitch w:val="fixed"/>
    <w:sig w:usb0="00000003" w:usb1="288F0000" w:usb2="00000016" w:usb3="00000000" w:csb0="00040001" w:csb1="00000000"/>
  </w:font>
  <w:font w:name="Century">
    <w:altName w:val="Century"/>
    <w:panose1 w:val="02040604050000020304"/>
    <w:charset w:val="00"/>
    <w:family w:val="roman"/>
    <w:pitch w:val="variable"/>
    <w:sig w:usb0="00000003" w:usb1="00000000" w:usb2="00000000" w:usb3="00000000" w:csb0="00000001" w:csb1="00000000"/>
  </w:font>
  <w:font w:name="Arial Unicode MS">
    <w:altName w:val="Arial Unicode MS"/>
    <w:panose1 w:val="020b0604020000020204"/>
    <w:charset w:val="86"/>
    <w:family w:val="swiss"/>
    <w:pitch w:val="variable"/>
    <w:sig w:usb0="F7FFAFFF" w:usb1="E9DFFFFF" w:usb2="0000003F" w:usb3="00000000" w:csb0="003F01FF" w:csb1="00000000"/>
  </w:font>
  <w:font w:name="Symbol">
    <w:altName w:val="Symbol"/>
    <w:panose1 w:val="05050102010000020507"/>
    <w:charset w:val="02"/>
    <w:family w:val="roman"/>
    <w:pitch w:val="variable"/>
    <w:sig w:usb0="00000000" w:usb1="10000000" w:usb2="00000000" w:usb3="00000000" w:csb0="80000000" w:csb1="00000000"/>
  </w:font>
  <w:font w:name="Tahoma">
    <w:altName w:val="Tahoma"/>
    <w:panose1 w:val="020b0604030000040204"/>
    <w:charset w:val="00"/>
    <w:family w:val="swiss"/>
    <w:pitch w:val="variable"/>
    <w:sig w:usb0="E1002EFF" w:usb1="C000605B" w:usb2="00000029" w:usb3="00000000" w:csb0="000101FF" w:csb1="00000000"/>
  </w:font>
  <w:font w:name="仿宋">
    <w:altName w:val="仿宋"/>
    <w:panose1 w:val="02010609060000010101"/>
    <w:charset w:val="86"/>
    <w:family w:val="modern"/>
    <w:pitch w:val="fixed"/>
    <w:sig w:usb0="800002BF" w:usb1="38CF7CFA" w:usb2="00000016" w:usb3="00000000" w:csb0="00040001" w:csb1="00000000"/>
  </w:font>
  <w:font w:name="Calibri Light">
    <w:altName w:val="Calibri Light"/>
    <w:panose1 w:val="020f0302020000030204"/>
    <w:charset w:val="00"/>
    <w:family w:val="swiss"/>
    <w:pitch w:val="variable"/>
    <w:sig w:usb0="A00002EF" w:usb1="4000207B" w:usb2="00000000" w:usb3="00000000" w:csb0="0000019F" w:csb1="00000000"/>
  </w:font>
  <w:font w:name="MS Mincho">
    <w:altName w:val="ＭＳ 明朝"/>
    <w:panose1 w:val="02020609040000080304"/>
    <w:charset w:val="80"/>
    <w:family w:val="modern"/>
    <w:pitch w:val="fixed"/>
    <w:sig w:usb0="E00002FF" w:usb1="6AC7FDFB" w:usb2="00000012" w:usb3="00000000" w:csb0="0002009F" w:csb1="00000000"/>
  </w:font>
  <w:font w:name="Helvetica">
    <w:altName w:val="Helvetica"/>
    <w:panose1 w:val="020b0504020000030204"/>
    <w:charset w:val="00"/>
    <w:family w:val="swiss"/>
    <w:pitch w:val="variable"/>
    <w:sig w:usb0="00000003" w:usb1="00000000" w:usb2="00000000" w:usb3="00000000" w:csb0="00000001" w:csb1="00000000"/>
  </w:font>
  <w:font w:name="方正小标宋简体">
    <w:altName w:val="Arial Unicode MS"/>
    <w:panose1 w:val="00000000000000000000"/>
    <w:charset w:val="86"/>
    <w:family w:val="auto"/>
    <w:pitch w:val="default"/>
    <w:sig w:usb0="00000000" w:usb1="184F6CFA" w:usb2="00000012"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lang w:val="zh-CN"/>
      </w:rPr>
      <w:t>77</w:t>
    </w:r>
    <w:r>
      <w:rPr>
        <w:lang w:val="zh-CN"/>
      </w:rPr>
      <w:fldChar w:fldCharType="end"/>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pict>
        <v:shapetype id="_x0000_t202" coordsize="21600,21600" o:spt="202" path="m,l,21600r21600,l21600,xe">
          <v:stroke joinstyle="miter"/>
          <v:path gradientshapeok="t" o:connecttype="rect"/>
        </v:shapetype>
        <v:shape id="4098" type="#_x0000_t202" filled="f" stroked="f" style="position:absolute;margin-left:0.0pt;margin-top:0.0pt;width:9.05pt;height:10.35pt;z-index:2;mso-position-horizontal:center;mso-position-horizontal-relative:margin;mso-position-vertical-relative:text;mso-width-relative:page;mso-height-relative:page;mso-wrap-distance-left:0.0pt;mso-wrap-distance-right:0.0pt;visibility:visible;mso-wrap-style:none;">
          <v:stroke on="f" joinstyle="miter"/>
          <v:fill/>
          <v:path o:connecttype="rect" gradientshapeok="t"/>
          <v:textbox inset="0.0pt,0.0pt,0.0pt,0.0pt" style="mso-fit-shape-to-text:true;">
            <w:txbxContent>
              <w:p>
                <w:pPr>
                  <w:pStyle w:val="style32"/>
                  <w:rPr/>
                </w:pPr>
                <w:r>
                  <w:rPr/>
                  <w:fldChar w:fldCharType="begin"/>
                </w:r>
                <w:r>
                  <w:instrText xml:space="preserve"> PAGE  \* MERGEFORMAT </w:instrText>
                </w:r>
                <w:r>
                  <w:rPr/>
                  <w:fldChar w:fldCharType="separate"/>
                </w:r>
                <w:r>
                  <w:rPr>
                    <w:noProof/>
                  </w:rPr>
                  <w:t>80</w:t>
                </w:r>
                <w:r>
                  <w:rPr/>
                  <w:fldChar w:fldCharType="end"/>
                </w:r>
              </w:p>
            </w:txbxContent>
          </v:textbox>
        </v:shape>
      </w:pict>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5</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jc w:val="center"/>
      <w:rPr/>
    </w:pPr>
    <w:r>
      <w:rPr/>
      <w:fldChar w:fldCharType="begin"/>
    </w:r>
    <w:r>
      <w:instrText>PAGE   \* MERGEFORMAT</w:instrText>
    </w:r>
    <w:r>
      <w:rPr/>
      <w:fldChar w:fldCharType="separate"/>
    </w:r>
    <w:r>
      <w:rPr>
        <w:noProof/>
        <w:lang w:val="zh-CN"/>
      </w:rPr>
      <w:t>120</w:t>
    </w:r>
    <w:r>
      <w:rPr>
        <w:lang w:val="zh-CN"/>
      </w:rPr>
      <w:fldChar w:fldCharType="end"/>
    </w:r>
  </w:p>
  <w:p>
    <w:pPr>
      <w:pStyle w:val="style32"/>
      <w:ind w:firstLine="360"/>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lang w:val="zh-CN"/>
      </w:rPr>
      <w:t>137</w:t>
    </w:r>
    <w:r>
      <w:rPr>
        <w:lang w:val="zh-CN"/>
      </w:rPr>
      <w:fldChar w:fldCharType="end"/>
    </w: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noProof/>
        <w:lang w:val="zh-CN"/>
      </w:rPr>
      <w:t>121</w:t>
    </w:r>
    <w:r>
      <w:rPr>
        <w:lang w:val="zh-CN"/>
      </w:rPr>
      <w:fldChar w:fldCharType="end"/>
    </w:r>
  </w:p>
  <w:p>
    <w:pPr>
      <w:pStyle w:val="style32"/>
      <w:ind w:right="360"/>
      <w:jc w:val="both"/>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lang w:val="zh-CN"/>
      </w:rPr>
      <w:t>149</w:t>
    </w:r>
    <w:r>
      <w:rPr>
        <w:lang w:val="zh-CN"/>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6B380AD"/>
    <w:lvl w:ilvl="0">
      <w:start w:val="1"/>
      <w:numFmt w:val="decimal"/>
      <w:pStyle w:val="style4119"/>
      <w:lvlText w:val="原则%1："/>
      <w:lvlJc w:val="left"/>
      <w:pPr>
        <w:ind w:left="420" w:hanging="420"/>
      </w:pPr>
      <w:rPr>
        <w:rFonts w:hint="default"/>
        <w:b w:val="false"/>
        <w:bCs w:val="false"/>
        <w:i w:val="false"/>
        <w:iCs w:val="false"/>
        <w:caps w:val="false"/>
        <w:smallCaps w:val="false"/>
        <w:snapToGrid w:val="false"/>
        <w:vanish w:val="false"/>
        <w:color w:val="000000"/>
        <w:spacing w:val="0"/>
        <w:w w:val="0"/>
        <w:kern w:val="0"/>
        <w:position w:val="0"/>
        <w:sz w:val="16"/>
        <w:szCs w:val="0"/>
        <w:u w:val="none" w:color="000000"/>
        <w:shd w:val="clear" w:color="000000" w:fill="000000"/>
        <w:vertAlign w:val="baseline"/>
        <w:lang w:val="zh-CN" w:bidi="zh-CN"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singleLevel"/>
    <w:tmpl w:val="D5315D51"/>
    <w:lvl w:ilvl="0">
      <w:start w:val="2"/>
      <w:numFmt w:val="decimal"/>
      <w:suff w:val="nothing"/>
      <w:lvlText w:val="%1、"/>
      <w:lvlJc w:val="left"/>
      <w:pPr/>
    </w:lvl>
  </w:abstractNum>
  <w:abstractNum w:abstractNumId="2">
    <w:nsid w:val="00000002"/>
    <w:multiLevelType w:val="multilevel"/>
    <w:tmpl w:val="0595501A"/>
    <w:lvl w:ilvl="0">
      <w:start w:val="1"/>
      <w:numFmt w:val="decimal"/>
      <w:suff w:val="space"/>
      <w:lvlText w:val="%1."/>
      <w:lvlJc w:val="left"/>
      <w:pPr/>
      <w:rPr>
        <w:rFonts w:cs="Times New Roman" w:hint="eastAsia"/>
      </w:rPr>
    </w:lvl>
    <w:lvl w:ilvl="1">
      <w:start w:val="1"/>
      <w:numFmt w:val="decimal"/>
      <w:isLgl/>
      <w:suff w:val="space"/>
      <w:lvlText w:val="%1.%2"/>
      <w:lvlJc w:val="left"/>
      <w:pPr/>
      <w:rPr>
        <w:rFonts w:cs="Times New Roman" w:hint="eastAsia"/>
      </w:rPr>
    </w:lvl>
    <w:lvl w:ilvl="2">
      <w:start w:val="1"/>
      <w:numFmt w:val="decimal"/>
      <w:pStyle w:val="style4270"/>
      <w:isLgl/>
      <w:suff w:val="space"/>
      <w:lvlText w:val="%1.%2.%3"/>
      <w:lvlJc w:val="left"/>
      <w:pPr/>
      <w:rPr>
        <w:rFonts w:cs="Times New Roman" w:hint="eastAsia"/>
        <w:b w:val="false"/>
        <w:i w:val="false"/>
        <w:color w:val="auto"/>
      </w:rPr>
    </w:lvl>
    <w:lvl w:ilvl="3">
      <w:start w:val="1"/>
      <w:numFmt w:val="decimal"/>
      <w:isLgl/>
      <w:suff w:val="space"/>
      <w:lvlText w:val="%1.%2.%3.%4"/>
      <w:lvlJc w:val="left"/>
      <w:pPr/>
      <w:rPr>
        <w:rFonts w:cs="Times New Roman" w:hint="eastAsia"/>
      </w:rPr>
    </w:lvl>
    <w:lvl w:ilvl="4">
      <w:start w:val="1"/>
      <w:numFmt w:val="decimal"/>
      <w:isLgl/>
      <w:lvlText w:val="%1.%2.%3.%4.%5"/>
      <w:lvlJc w:val="left"/>
      <w:pPr>
        <w:tabs>
          <w:tab w:val="left" w:leader="none" w:pos="0"/>
        </w:tabs>
      </w:pPr>
      <w:rPr>
        <w:rFonts w:cs="Times New Roman" w:hint="eastAsia"/>
      </w:rPr>
    </w:lvl>
    <w:lvl w:ilvl="5">
      <w:start w:val="1"/>
      <w:numFmt w:val="decimal"/>
      <w:lvlText w:val="%1.%2.%3.%4.%5.%6"/>
      <w:lvlJc w:val="left"/>
      <w:pPr>
        <w:tabs>
          <w:tab w:val="left" w:leader="none" w:pos="6086"/>
        </w:tabs>
        <w:ind w:left="3260" w:hanging="1134"/>
      </w:pPr>
      <w:rPr>
        <w:rFonts w:cs="Times New Roman" w:hint="eastAsia"/>
      </w:rPr>
    </w:lvl>
    <w:lvl w:ilvl="6">
      <w:start w:val="1"/>
      <w:numFmt w:val="decimal"/>
      <w:lvlText w:val="%1.%2.%3.%4.%5.%6.%7"/>
      <w:lvlJc w:val="left"/>
      <w:pPr>
        <w:tabs>
          <w:tab w:val="left" w:leader="none" w:pos="7231"/>
        </w:tabs>
        <w:ind w:left="3827" w:hanging="1276"/>
      </w:pPr>
      <w:rPr>
        <w:rFonts w:cs="Times New Roman" w:hint="eastAsia"/>
      </w:rPr>
    </w:lvl>
    <w:lvl w:ilvl="7">
      <w:start w:val="1"/>
      <w:numFmt w:val="decimal"/>
      <w:lvlText w:val="%1.%2.%3.%4.%5.%6.%7.%8"/>
      <w:lvlJc w:val="left"/>
      <w:pPr>
        <w:tabs>
          <w:tab w:val="left" w:leader="none" w:pos="8376"/>
        </w:tabs>
        <w:ind w:left="4394" w:hanging="1418"/>
      </w:pPr>
      <w:rPr>
        <w:rFonts w:cs="Times New Roman" w:hint="eastAsia"/>
      </w:rPr>
    </w:lvl>
    <w:lvl w:ilvl="8">
      <w:start w:val="1"/>
      <w:numFmt w:val="decimal"/>
      <w:lvlText w:val="%1.%2.%3.%4.%5.%6.%7.%8.%9"/>
      <w:lvlJc w:val="left"/>
      <w:pPr>
        <w:tabs>
          <w:tab w:val="left" w:leader="none" w:pos="9522"/>
        </w:tabs>
        <w:ind w:left="5102" w:hanging="1700"/>
      </w:pPr>
      <w:rPr>
        <w:rFonts w:cs="Times New Roman" w:hint="eastAsia"/>
      </w:rPr>
    </w:lvl>
  </w:abstractNum>
  <w:abstractNum w:abstractNumId="3">
    <w:nsid w:val="00000003"/>
    <w:multiLevelType w:val="multilevel"/>
    <w:tmpl w:val="10EAE6CC"/>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
    <w:nsid w:val="00000004"/>
    <w:multiLevelType w:val="singleLevel"/>
    <w:tmpl w:val="1CFD18B4"/>
    <w:lvl w:ilvl="0">
      <w:start w:val="6"/>
      <w:numFmt w:val="decimal"/>
      <w:suff w:val="nothing"/>
      <w:lvlText w:val="%1、"/>
      <w:lvlJc w:val="left"/>
      <w:pPr/>
    </w:lvl>
  </w:abstractNum>
  <w:abstractNum w:abstractNumId="5">
    <w:nsid w:val="00000005"/>
    <w:multiLevelType w:val="multilevel"/>
    <w:tmpl w:val="2C76A01F"/>
    <w:lvl w:ilvl="0">
      <w:start w:val="4"/>
      <w:numFmt w:val="decimal"/>
      <w:suff w:val="nothing"/>
      <w:lvlText w:val="%1）"/>
      <w:lvlJc w:val="left"/>
      <w:pPr>
        <w:tabs>
          <w:tab w:val="left" w:leader="none" w:pos="0"/>
        </w:tabs>
        <w:ind w:left="0" w:firstLine="0"/>
      </w:pPr>
      <w:rPr>
        <w:rFonts w:hint="default"/>
      </w:rPr>
    </w:lvl>
    <w:lvl w:ilvl="1">
      <w:start w:val="1"/>
      <w:numFmt w:val="decimal"/>
      <w:suff w:val="nothing"/>
      <w:lvlText w:val="%1.%2）"/>
      <w:lvlJc w:val="left"/>
      <w:pPr>
        <w:tabs>
          <w:tab w:val="left" w:leader="none" w:pos="0"/>
        </w:tabs>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6">
    <w:nsid w:val="00000006"/>
    <w:multiLevelType w:val="multilevel"/>
    <w:tmpl w:val="3838B9B6"/>
    <w:lvl w:ilvl="0">
      <w:start w:val="2"/>
      <w:numFmt w:val="decimal"/>
      <w:suff w:val="nothing"/>
      <w:lvlText w:val="%1）"/>
      <w:lvlJc w:val="left"/>
      <w:pPr>
        <w:tabs>
          <w:tab w:val="left" w:leader="none" w:pos="0"/>
        </w:tabs>
        <w:ind w:left="0" w:firstLine="0"/>
      </w:pPr>
      <w:rPr>
        <w:rFonts w:hint="default"/>
      </w:rPr>
    </w:lvl>
    <w:lvl w:ilvl="1">
      <w:start w:val="1"/>
      <w:numFmt w:val="decimal"/>
      <w:suff w:val="nothing"/>
      <w:lvlText w:val="%1.%2）"/>
      <w:lvlJc w:val="left"/>
      <w:pPr>
        <w:tabs>
          <w:tab w:val="left" w:leader="none" w:pos="0"/>
        </w:tabs>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7">
    <w:nsid w:val="00000007"/>
    <w:multiLevelType w:val="multilevel"/>
    <w:tmpl w:val="41367BD3"/>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pStyle w:val="style6"/>
      <w:lvlText w:val="%6."/>
      <w:lvlJc w:val="right"/>
      <w:pPr>
        <w:ind w:left="2520" w:hanging="420"/>
      </w:pPr>
    </w:lvl>
    <w:lvl w:ilvl="6">
      <w:start w:val="1"/>
      <w:numFmt w:val="decimal"/>
      <w:pStyle w:val="style7"/>
      <w:lvlText w:val="%7."/>
      <w:lvlJc w:val="left"/>
      <w:pPr>
        <w:ind w:left="2940" w:hanging="420"/>
      </w:pPr>
    </w:lvl>
    <w:lvl w:ilvl="7">
      <w:start w:val="1"/>
      <w:numFmt w:val="lowerLetter"/>
      <w:pStyle w:val="style8"/>
      <w:lvlText w:val="%8)"/>
      <w:lvlJc w:val="left"/>
      <w:pPr>
        <w:ind w:left="3360" w:hanging="420"/>
      </w:pPr>
    </w:lvl>
    <w:lvl w:ilvl="8">
      <w:start w:val="1"/>
      <w:numFmt w:val="lowerRoman"/>
      <w:pStyle w:val="style9"/>
      <w:lvlText w:val="%9."/>
      <w:lvlJc w:val="right"/>
      <w:pPr>
        <w:ind w:left="3780" w:hanging="420"/>
      </w:pPr>
    </w:lvl>
  </w:abstractNum>
  <w:abstractNum w:abstractNumId="8">
    <w:nsid w:val="00000008"/>
    <w:multiLevelType w:val="multilevel"/>
    <w:tmpl w:val="4615BC91"/>
    <w:lvl w:ilvl="0">
      <w:start w:val="3"/>
      <w:numFmt w:val="decimal"/>
      <w:suff w:val="nothing"/>
      <w:lvlText w:val="%1）"/>
      <w:lvlJc w:val="left"/>
      <w:pPr>
        <w:tabs>
          <w:tab w:val="left" w:leader="none" w:pos="0"/>
        </w:tabs>
        <w:ind w:left="0" w:firstLine="0"/>
      </w:pPr>
      <w:rPr>
        <w:rFonts w:hint="default"/>
      </w:rPr>
    </w:lvl>
    <w:lvl w:ilvl="1">
      <w:start w:val="1"/>
      <w:numFmt w:val="decimal"/>
      <w:suff w:val="nothing"/>
      <w:lvlText w:val="%1.%2）"/>
      <w:lvlJc w:val="left"/>
      <w:pPr>
        <w:tabs>
          <w:tab w:val="left" w:leader="none" w:pos="0"/>
        </w:tabs>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9">
    <w:nsid w:val="00000009"/>
    <w:multiLevelType w:val="multilevel"/>
    <w:tmpl w:val="72962756"/>
    <w:lvl w:ilvl="0">
      <w:start w:val="1"/>
      <w:numFmt w:val="japaneseCounting"/>
      <w:pStyle w:val="style59"/>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0">
    <w:nsid w:val="0000000A"/>
    <w:multiLevelType w:val="multilevel"/>
    <w:tmpl w:val="763060DB"/>
    <w:lvl w:ilvl="0">
      <w:start w:val="1"/>
      <w:numFmt w:val="japaneseCounting"/>
      <w:lvlText w:val="第%1章"/>
      <w:lvlJc w:val="left"/>
      <w:pPr>
        <w:tabs>
          <w:tab w:val="left" w:leader="none" w:pos="1815"/>
        </w:tabs>
        <w:ind w:left="1815" w:hanging="1275"/>
      </w:pPr>
      <w:rPr>
        <w:rFonts w:hint="eastAsia"/>
        <w:lang w:val="en-US"/>
      </w:rPr>
    </w:lvl>
    <w:lvl w:ilvl="1">
      <w:start w:val="1"/>
      <w:numFmt w:val="japaneseCounting"/>
      <w:lvlText w:val="%2、"/>
      <w:lvlJc w:val="left"/>
      <w:pPr>
        <w:tabs>
          <w:tab w:val="left" w:leader="none"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leader="none" w:pos="2220"/>
        </w:tabs>
        <w:ind w:left="2220" w:hanging="420"/>
      </w:pPr>
    </w:lvl>
    <w:lvl w:ilvl="4">
      <w:start w:val="1"/>
      <w:numFmt w:val="lowerLetter"/>
      <w:lvlText w:val="%5)"/>
      <w:lvlJc w:val="left"/>
      <w:pPr>
        <w:tabs>
          <w:tab w:val="left" w:leader="none" w:pos="2640"/>
        </w:tabs>
        <w:ind w:left="2640" w:hanging="420"/>
      </w:pPr>
    </w:lvl>
    <w:lvl w:ilvl="5">
      <w:start w:val="1"/>
      <w:numFmt w:val="lowerRoman"/>
      <w:lvlText w:val="%6."/>
      <w:lvlJc w:val="right"/>
      <w:pPr>
        <w:tabs>
          <w:tab w:val="left" w:leader="none" w:pos="3060"/>
        </w:tabs>
        <w:ind w:left="3060" w:hanging="420"/>
      </w:pPr>
    </w:lvl>
    <w:lvl w:ilvl="6">
      <w:start w:val="1"/>
      <w:numFmt w:val="decimal"/>
      <w:lvlText w:val="%7."/>
      <w:lvlJc w:val="left"/>
      <w:pPr>
        <w:tabs>
          <w:tab w:val="left" w:leader="none" w:pos="3480"/>
        </w:tabs>
        <w:ind w:left="3480" w:hanging="420"/>
      </w:pPr>
    </w:lvl>
    <w:lvl w:ilvl="7">
      <w:start w:val="1"/>
      <w:numFmt w:val="lowerLetter"/>
      <w:lvlText w:val="%8)"/>
      <w:lvlJc w:val="left"/>
      <w:pPr>
        <w:tabs>
          <w:tab w:val="left" w:leader="none" w:pos="3900"/>
        </w:tabs>
        <w:ind w:left="3900" w:hanging="420"/>
      </w:pPr>
    </w:lvl>
    <w:lvl w:ilvl="8">
      <w:start w:val="1"/>
      <w:numFmt w:val="lowerRoman"/>
      <w:lvlText w:val="%9."/>
      <w:lvlJc w:val="right"/>
      <w:pPr>
        <w:tabs>
          <w:tab w:val="left" w:leader="none" w:pos="4320"/>
        </w:tabs>
        <w:ind w:left="4320" w:hanging="420"/>
      </w:pPr>
    </w:lvl>
  </w:abstractNum>
  <w:num w:numId="1">
    <w:abstractNumId w:val="7"/>
  </w:num>
  <w:num w:numId="2">
    <w:abstractNumId w:val="9"/>
  </w:num>
  <w:num w:numId="3">
    <w:abstractNumId w:val="0"/>
  </w:num>
  <w:num w:numId="4">
    <w:abstractNumId w:val="2"/>
  </w:num>
  <w:num w:numId="5">
    <w:abstractNumId w:val="1"/>
  </w:num>
  <w:num w:numId="6">
    <w:abstractNumId w:val="4"/>
  </w:num>
  <w:num w:numId="7">
    <w:abstractNumId w:val="3"/>
  </w:num>
  <w:num w:numId="8">
    <w:abstractNumId w:val="6"/>
  </w:num>
  <w:num w:numId="9">
    <w:abstractNumId w:val="8"/>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33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32"/>
    <w:qFormat/>
    <w:pPr>
      <w:widowControl w:val="false"/>
      <w:jc w:val="both"/>
    </w:pPr>
    <w:rPr>
      <w:kern w:val="2"/>
      <w:sz w:val="21"/>
      <w:szCs w:val="24"/>
    </w:rPr>
  </w:style>
  <w:style w:type="paragraph" w:styleId="style1">
    <w:name w:val="heading 1"/>
    <w:basedOn w:val="style0"/>
    <w:next w:val="style0"/>
    <w:link w:val="style4142"/>
    <w:qFormat/>
    <w:uiPriority w:val="9"/>
    <w:pPr>
      <w:keepNext/>
      <w:keepLines/>
      <w:spacing w:lineRule="auto" w:line="576"/>
      <w:outlineLvl w:val="0"/>
    </w:pPr>
    <w:rPr>
      <w:b/>
      <w:bCs/>
      <w:kern w:val="44"/>
      <w:sz w:val="44"/>
      <w:szCs w:val="44"/>
    </w:rPr>
  </w:style>
  <w:style w:type="paragraph" w:styleId="style2">
    <w:name w:val="heading 2"/>
    <w:basedOn w:val="style0"/>
    <w:next w:val="style0"/>
    <w:link w:val="style4106"/>
    <w:qFormat/>
    <w:pPr>
      <w:keepNext/>
      <w:keepLines/>
      <w:spacing w:lineRule="auto" w:line="413"/>
      <w:outlineLvl w:val="1"/>
    </w:pPr>
    <w:rPr>
      <w:rFonts w:ascii="Arial" w:eastAsia="黑体" w:hAnsi="Arial"/>
      <w:b/>
      <w:bCs/>
      <w:sz w:val="32"/>
      <w:szCs w:val="32"/>
    </w:rPr>
  </w:style>
  <w:style w:type="paragraph" w:styleId="style3">
    <w:name w:val="heading 3"/>
    <w:basedOn w:val="style0"/>
    <w:next w:val="style0"/>
    <w:link w:val="style4157"/>
    <w:qFormat/>
    <w:pPr>
      <w:keepNext/>
      <w:keepLines/>
      <w:spacing w:lineRule="exact" w:line="600"/>
      <w:ind w:firstLine="643" w:firstLineChars="200"/>
      <w:outlineLvl w:val="2"/>
    </w:pPr>
    <w:rPr>
      <w:b/>
      <w:bCs/>
      <w:sz w:val="32"/>
      <w:szCs w:val="32"/>
    </w:rPr>
  </w:style>
  <w:style w:type="paragraph" w:styleId="style4">
    <w:name w:val="heading 4"/>
    <w:basedOn w:val="style0"/>
    <w:next w:val="style0"/>
    <w:link w:val="style4169"/>
    <w:qFormat/>
    <w:uiPriority w:val="9"/>
    <w:pPr>
      <w:tabs>
        <w:tab w:val="left" w:leader="none" w:pos="2155"/>
      </w:tabs>
      <w:adjustRightInd w:val="false"/>
      <w:spacing w:lineRule="auto" w:line="360"/>
      <w:ind w:left="2155" w:hanging="1078"/>
      <w:textAlignment w:val="baseline"/>
      <w:outlineLvl w:val="3"/>
    </w:pPr>
    <w:rPr>
      <w:rFonts w:ascii="Arial" w:eastAsia="黑体"/>
      <w:kern w:val="0"/>
      <w:sz w:val="28"/>
      <w:szCs w:val="20"/>
    </w:rPr>
  </w:style>
  <w:style w:type="paragraph" w:styleId="style5">
    <w:name w:val="heading 5"/>
    <w:basedOn w:val="style0"/>
    <w:next w:val="style0"/>
    <w:link w:val="style4115"/>
    <w:qFormat/>
    <w:uiPriority w:val="9"/>
    <w:pPr>
      <w:keepNext/>
      <w:keepLines/>
      <w:spacing w:before="280" w:after="290" w:lineRule="auto" w:line="376"/>
      <w:outlineLvl w:val="4"/>
    </w:pPr>
    <w:rPr>
      <w:b/>
      <w:bCs/>
      <w:sz w:val="28"/>
      <w:szCs w:val="28"/>
    </w:rPr>
  </w:style>
  <w:style w:type="paragraph" w:styleId="style6">
    <w:name w:val="heading 6"/>
    <w:basedOn w:val="style0"/>
    <w:next w:val="style28"/>
    <w:link w:val="style4149"/>
    <w:qFormat/>
    <w:uiPriority w:val="9"/>
    <w:pPr>
      <w:keepNext/>
      <w:keepLines/>
      <w:numPr>
        <w:ilvl w:val="5"/>
        <w:numId w:val="1"/>
      </w:numPr>
      <w:spacing w:before="240" w:after="64" w:lineRule="auto" w:line="320"/>
      <w:outlineLvl w:val="5"/>
    </w:pPr>
    <w:rPr>
      <w:rFonts w:ascii="Arial" w:eastAsia="黑体" w:hAnsi="Arial"/>
      <w:b/>
      <w:sz w:val="24"/>
    </w:rPr>
  </w:style>
  <w:style w:type="paragraph" w:styleId="style7">
    <w:name w:val="heading 7"/>
    <w:basedOn w:val="style0"/>
    <w:next w:val="style28"/>
    <w:link w:val="style4140"/>
    <w:qFormat/>
    <w:pPr>
      <w:keepNext/>
      <w:keepLines/>
      <w:numPr>
        <w:ilvl w:val="6"/>
        <w:numId w:val="1"/>
      </w:numPr>
      <w:spacing w:before="240" w:after="64" w:lineRule="auto" w:line="320"/>
      <w:outlineLvl w:val="6"/>
    </w:pPr>
    <w:rPr>
      <w:b/>
      <w:sz w:val="24"/>
    </w:rPr>
  </w:style>
  <w:style w:type="paragraph" w:styleId="style8">
    <w:name w:val="heading 8"/>
    <w:basedOn w:val="style0"/>
    <w:next w:val="style28"/>
    <w:link w:val="style4126"/>
    <w:qFormat/>
    <w:pPr>
      <w:keepNext/>
      <w:keepLines/>
      <w:numPr>
        <w:ilvl w:val="7"/>
        <w:numId w:val="1"/>
      </w:numPr>
      <w:spacing w:before="240" w:after="64" w:lineRule="auto" w:line="320"/>
      <w:outlineLvl w:val="7"/>
    </w:pPr>
    <w:rPr>
      <w:rFonts w:ascii="Arial" w:eastAsia="黑体" w:hAnsi="Arial"/>
      <w:sz w:val="24"/>
    </w:rPr>
  </w:style>
  <w:style w:type="paragraph" w:styleId="style9">
    <w:name w:val="heading 9"/>
    <w:basedOn w:val="style0"/>
    <w:next w:val="style28"/>
    <w:link w:val="style4112"/>
    <w:qFormat/>
    <w:pPr>
      <w:keepNext/>
      <w:keepLines/>
      <w:numPr>
        <w:ilvl w:val="8"/>
        <w:numId w:val="1"/>
      </w:numPr>
      <w:spacing w:before="240" w:after="64" w:lineRule="auto" w:line="320"/>
      <w:outlineLvl w:val="8"/>
    </w:pPr>
    <w:rPr>
      <w:rFonts w:ascii="Arial" w:eastAsia="黑体" w:hAnsi="Arial"/>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172"/>
    <w:qFormat/>
    <w:uiPriority w:val="99"/>
    <w:pPr>
      <w:tabs>
        <w:tab w:val="center" w:leader="none" w:pos="4153"/>
        <w:tab w:val="right" w:leader="none" w:pos="8306"/>
      </w:tabs>
      <w:snapToGrid w:val="false"/>
      <w:jc w:val="left"/>
    </w:pPr>
    <w:rPr>
      <w:sz w:val="18"/>
      <w:szCs w:val="18"/>
    </w:rPr>
  </w:style>
  <w:style w:type="paragraph" w:styleId="style28">
    <w:name w:val="Normal Indent"/>
    <w:basedOn w:val="style0"/>
    <w:next w:val="style28"/>
    <w:link w:val="style4279"/>
    <w:qFormat/>
    <w:pPr>
      <w:ind w:firstLine="420"/>
    </w:pPr>
    <w:rPr>
      <w:szCs w:val="20"/>
    </w:rPr>
  </w:style>
  <w:style w:type="paragraph" w:styleId="style25">
    <w:name w:val="toc 7"/>
    <w:basedOn w:val="style0"/>
    <w:next w:val="style0"/>
    <w:qFormat/>
    <w:uiPriority w:val="39"/>
    <w:pPr>
      <w:jc w:val="left"/>
    </w:pPr>
    <w:rPr>
      <w:rFonts w:ascii="Calibri" w:hAnsi="Calibri"/>
      <w:sz w:val="22"/>
      <w:szCs w:val="22"/>
    </w:rPr>
  </w:style>
  <w:style w:type="paragraph" w:styleId="style49">
    <w:name w:val="List Number"/>
    <w:basedOn w:val="style0"/>
    <w:next w:val="style49"/>
    <w:qFormat/>
    <w:pPr>
      <w:widowControl/>
      <w:tabs>
        <w:tab w:val="left" w:leader="none" w:pos="454"/>
        <w:tab w:val="left" w:leader="none" w:pos="720"/>
        <w:tab w:val="left" w:leader="none" w:pos="840"/>
      </w:tabs>
      <w:spacing w:afterLines="50"/>
      <w:ind w:left="454" w:hanging="284"/>
      <w:jc w:val="left"/>
    </w:pPr>
    <w:rPr>
      <w:kern w:val="0"/>
      <w:sz w:val="24"/>
      <w:szCs w:val="20"/>
    </w:rPr>
  </w:style>
  <w:style w:type="paragraph" w:styleId="style34">
    <w:name w:val="caption"/>
    <w:basedOn w:val="style0"/>
    <w:next w:val="style0"/>
    <w:link w:val="style4277"/>
    <w:qFormat/>
    <w:uiPriority w:val="35"/>
    <w:pPr>
      <w:spacing w:before="152" w:after="160"/>
    </w:pPr>
    <w:rPr>
      <w:rFonts w:ascii="Arial" w:cs="Arial" w:eastAsia="黑体" w:hAnsi="Arial"/>
      <w:sz w:val="20"/>
      <w:szCs w:val="20"/>
    </w:rPr>
  </w:style>
  <w:style w:type="paragraph" w:styleId="style89">
    <w:name w:val="Document Map"/>
    <w:basedOn w:val="style0"/>
    <w:next w:val="style89"/>
    <w:link w:val="style4128"/>
    <w:qFormat/>
    <w:pPr/>
    <w:rPr>
      <w:rFonts w:ascii="宋体"/>
      <w:sz w:val="18"/>
      <w:szCs w:val="18"/>
    </w:rPr>
  </w:style>
  <w:style w:type="paragraph" w:styleId="style30">
    <w:name w:val="annotation text"/>
    <w:basedOn w:val="style0"/>
    <w:next w:val="style30"/>
    <w:link w:val="style4138"/>
    <w:qFormat/>
    <w:pPr>
      <w:jc w:val="left"/>
    </w:pPr>
    <w:rPr/>
  </w:style>
  <w:style w:type="paragraph" w:styleId="style15">
    <w:name w:val="index 6"/>
    <w:basedOn w:val="style0"/>
    <w:next w:val="style0"/>
    <w:qFormat/>
    <w:pPr>
      <w:spacing w:lineRule="auto" w:line="360"/>
      <w:ind w:left="1000" w:leftChars="1000"/>
    </w:pPr>
    <w:rPr>
      <w:rFonts w:ascii="仿宋_GB2312" w:eastAsia="仿宋_GB2312" w:hAnsi="Calibri"/>
      <w:kern w:val="0"/>
      <w:sz w:val="24"/>
      <w:szCs w:val="22"/>
    </w:rPr>
  </w:style>
  <w:style w:type="paragraph" w:styleId="style81">
    <w:name w:val="Body Text 3"/>
    <w:basedOn w:val="style0"/>
    <w:next w:val="style81"/>
    <w:link w:val="style4135"/>
    <w:qFormat/>
    <w:pPr>
      <w:spacing w:after="120"/>
    </w:pPr>
    <w:rPr>
      <w:sz w:val="16"/>
      <w:szCs w:val="16"/>
    </w:rPr>
  </w:style>
  <w:style w:type="paragraph" w:styleId="style66">
    <w:name w:val="Body Text"/>
    <w:basedOn w:val="style0"/>
    <w:next w:val="style0"/>
    <w:link w:val="style4116"/>
    <w:qFormat/>
    <w:pPr>
      <w:spacing w:after="120"/>
    </w:pPr>
    <w:rPr/>
  </w:style>
  <w:style w:type="paragraph" w:styleId="style67">
    <w:name w:val="Body Text Indent"/>
    <w:basedOn w:val="style0"/>
    <w:next w:val="style67"/>
    <w:link w:val="style4131"/>
    <w:qFormat/>
    <w:pPr>
      <w:spacing w:lineRule="exact" w:line="200"/>
      <w:ind w:firstLine="301"/>
    </w:pPr>
    <w:rPr>
      <w:rFonts w:ascii="宋体" w:hAnsi="Courier New"/>
      <w:spacing w:val="-4"/>
      <w:sz w:val="18"/>
      <w:szCs w:val="20"/>
    </w:rPr>
  </w:style>
  <w:style w:type="paragraph" w:styleId="style59">
    <w:name w:val="List Number 3"/>
    <w:basedOn w:val="style0"/>
    <w:next w:val="style59"/>
    <w:qFormat/>
    <w:pPr>
      <w:numPr>
        <w:ilvl w:val="0"/>
        <w:numId w:val="2"/>
      </w:numPr>
      <w:tabs>
        <w:tab w:val="left" w:leader="none" w:pos="1200"/>
      </w:tabs>
    </w:pPr>
    <w:rPr/>
  </w:style>
  <w:style w:type="paragraph" w:styleId="style50">
    <w:name w:val="List 2"/>
    <w:basedOn w:val="style0"/>
    <w:next w:val="style50"/>
    <w:qFormat/>
    <w:pPr>
      <w:ind w:left="100" w:leftChars="200" w:hanging="200" w:hangingChars="200"/>
    </w:pPr>
    <w:rPr>
      <w:sz w:val="28"/>
    </w:rPr>
  </w:style>
  <w:style w:type="paragraph" w:styleId="style84">
    <w:name w:val="Block Text"/>
    <w:basedOn w:val="style0"/>
    <w:next w:val="style84"/>
    <w:qFormat/>
    <w:pPr>
      <w:spacing w:after="120" w:lineRule="auto" w:line="360"/>
      <w:ind w:left="1440" w:leftChars="700" w:right="1440" w:firstLine="560" w:firstLineChars="200"/>
      <w:jc w:val="left"/>
    </w:pPr>
    <w:rPr>
      <w:rFonts w:ascii="宋体" w:hAnsi="宋体"/>
      <w:sz w:val="24"/>
      <w:szCs w:val="20"/>
    </w:rPr>
  </w:style>
  <w:style w:type="paragraph" w:styleId="style23">
    <w:name w:val="toc 5"/>
    <w:basedOn w:val="style0"/>
    <w:next w:val="style0"/>
    <w:qFormat/>
    <w:uiPriority w:val="39"/>
    <w:pPr>
      <w:jc w:val="left"/>
    </w:pPr>
    <w:rPr>
      <w:rFonts w:ascii="Calibri" w:hAnsi="Calibri"/>
      <w:sz w:val="22"/>
      <w:szCs w:val="22"/>
    </w:rPr>
  </w:style>
  <w:style w:type="paragraph" w:styleId="style21">
    <w:name w:val="toc 3"/>
    <w:basedOn w:val="style0"/>
    <w:next w:val="style0"/>
    <w:qFormat/>
    <w:uiPriority w:val="39"/>
    <w:pPr>
      <w:jc w:val="left"/>
    </w:pPr>
    <w:rPr>
      <w:rFonts w:ascii="Calibri" w:hAnsi="Calibri"/>
      <w:smallCaps/>
      <w:sz w:val="22"/>
      <w:szCs w:val="22"/>
    </w:rPr>
  </w:style>
  <w:style w:type="paragraph" w:styleId="style90">
    <w:name w:val="Plain Text"/>
    <w:basedOn w:val="style0"/>
    <w:next w:val="style90"/>
    <w:link w:val="style4170"/>
    <w:qFormat/>
    <w:pPr/>
    <w:rPr>
      <w:rFonts w:ascii="宋体" w:hAnsi="Courier New"/>
      <w:szCs w:val="20"/>
    </w:rPr>
  </w:style>
  <w:style w:type="paragraph" w:styleId="style26">
    <w:name w:val="toc 8"/>
    <w:basedOn w:val="style0"/>
    <w:next w:val="style0"/>
    <w:qFormat/>
    <w:uiPriority w:val="39"/>
    <w:pPr>
      <w:jc w:val="left"/>
    </w:pPr>
    <w:rPr>
      <w:rFonts w:ascii="Calibri" w:hAnsi="Calibri"/>
      <w:sz w:val="22"/>
      <w:szCs w:val="22"/>
    </w:rPr>
  </w:style>
  <w:style w:type="paragraph" w:styleId="style76">
    <w:name w:val="Date"/>
    <w:basedOn w:val="style0"/>
    <w:next w:val="style0"/>
    <w:link w:val="style4114"/>
    <w:qFormat/>
    <w:pPr>
      <w:ind w:left="100" w:leftChars="2500"/>
    </w:pPr>
    <w:rPr/>
  </w:style>
  <w:style w:type="paragraph" w:styleId="style82">
    <w:name w:val="Body Text Indent 2"/>
    <w:basedOn w:val="style0"/>
    <w:next w:val="style82"/>
    <w:link w:val="style4144"/>
    <w:qFormat/>
    <w:pPr>
      <w:spacing w:lineRule="auto" w:line="480"/>
      <w:ind w:left="420" w:leftChars="200"/>
    </w:pPr>
    <w:rPr/>
  </w:style>
  <w:style w:type="paragraph" w:styleId="style43">
    <w:name w:val="endnote text"/>
    <w:basedOn w:val="style0"/>
    <w:next w:val="style43"/>
    <w:link w:val="style4156"/>
    <w:qFormat/>
    <w:uiPriority w:val="99"/>
    <w:pPr>
      <w:snapToGrid w:val="false"/>
      <w:jc w:val="left"/>
    </w:pPr>
    <w:rPr/>
  </w:style>
  <w:style w:type="paragraph" w:styleId="style153">
    <w:name w:val="Balloon Text"/>
    <w:basedOn w:val="style0"/>
    <w:next w:val="style153"/>
    <w:link w:val="style4160"/>
    <w:qFormat/>
    <w:uiPriority w:val="99"/>
    <w:pPr/>
    <w:rPr>
      <w:sz w:val="18"/>
      <w:szCs w:val="18"/>
    </w:rPr>
  </w:style>
  <w:style w:type="paragraph" w:styleId="style31">
    <w:name w:val="header"/>
    <w:basedOn w:val="style0"/>
    <w:next w:val="style31"/>
    <w:link w:val="style4105"/>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spacing w:before="360" w:after="360"/>
      <w:jc w:val="left"/>
    </w:pPr>
    <w:rPr>
      <w:rFonts w:ascii="Calibri" w:hAnsi="Calibri"/>
      <w:b/>
      <w:bCs/>
      <w:caps/>
      <w:sz w:val="22"/>
      <w:szCs w:val="22"/>
      <w:u w:val="single"/>
    </w:rPr>
  </w:style>
  <w:style w:type="paragraph" w:styleId="style22">
    <w:name w:val="toc 4"/>
    <w:basedOn w:val="style0"/>
    <w:next w:val="style0"/>
    <w:qFormat/>
    <w:uiPriority w:val="39"/>
    <w:pPr>
      <w:jc w:val="left"/>
    </w:pPr>
    <w:rPr>
      <w:rFonts w:ascii="Calibri" w:hAnsi="Calibri"/>
      <w:sz w:val="22"/>
      <w:szCs w:val="22"/>
    </w:rPr>
  </w:style>
  <w:style w:type="paragraph" w:styleId="style47">
    <w:name w:val="List"/>
    <w:basedOn w:val="style0"/>
    <w:next w:val="style47"/>
    <w:qFormat/>
    <w:pPr>
      <w:ind w:left="200" w:hanging="200" w:hangingChars="200"/>
    </w:pPr>
    <w:rPr>
      <w:sz w:val="28"/>
    </w:rPr>
  </w:style>
  <w:style w:type="paragraph" w:styleId="style29">
    <w:name w:val="footnote text"/>
    <w:basedOn w:val="style0"/>
    <w:next w:val="style29"/>
    <w:link w:val="style4102"/>
    <w:qFormat/>
    <w:uiPriority w:val="99"/>
    <w:pPr>
      <w:snapToGrid w:val="false"/>
      <w:jc w:val="left"/>
    </w:pPr>
    <w:rPr>
      <w:sz w:val="18"/>
      <w:szCs w:val="18"/>
    </w:rPr>
  </w:style>
  <w:style w:type="paragraph" w:styleId="style24">
    <w:name w:val="toc 6"/>
    <w:basedOn w:val="style0"/>
    <w:next w:val="style0"/>
    <w:qFormat/>
    <w:uiPriority w:val="39"/>
    <w:pPr>
      <w:jc w:val="left"/>
    </w:pPr>
    <w:rPr>
      <w:rFonts w:ascii="Calibri" w:hAnsi="Calibri"/>
      <w:sz w:val="22"/>
      <w:szCs w:val="22"/>
    </w:rPr>
  </w:style>
  <w:style w:type="paragraph" w:styleId="style83">
    <w:name w:val="Body Text Indent 3"/>
    <w:basedOn w:val="style0"/>
    <w:next w:val="style83"/>
    <w:link w:val="style4120"/>
    <w:qFormat/>
    <w:pPr>
      <w:spacing w:after="120"/>
      <w:ind w:left="420" w:leftChars="200"/>
    </w:pPr>
    <w:rPr>
      <w:kern w:val="0"/>
      <w:sz w:val="16"/>
      <w:szCs w:val="16"/>
    </w:rPr>
  </w:style>
  <w:style w:type="paragraph" w:styleId="style20">
    <w:name w:val="toc 2"/>
    <w:basedOn w:val="style0"/>
    <w:next w:val="style0"/>
    <w:qFormat/>
    <w:uiPriority w:val="39"/>
    <w:pPr>
      <w:jc w:val="left"/>
    </w:pPr>
    <w:rPr>
      <w:rFonts w:ascii="Calibri" w:hAnsi="Calibri"/>
      <w:b/>
      <w:bCs/>
      <w:smallCaps/>
      <w:sz w:val="22"/>
      <w:szCs w:val="22"/>
    </w:rPr>
  </w:style>
  <w:style w:type="paragraph" w:styleId="style27">
    <w:name w:val="toc 9"/>
    <w:basedOn w:val="style0"/>
    <w:next w:val="style0"/>
    <w:qFormat/>
    <w:uiPriority w:val="39"/>
    <w:pPr>
      <w:jc w:val="left"/>
    </w:pPr>
    <w:rPr>
      <w:rFonts w:ascii="Calibri" w:hAnsi="Calibri"/>
      <w:sz w:val="22"/>
      <w:szCs w:val="22"/>
    </w:rPr>
  </w:style>
  <w:style w:type="paragraph" w:styleId="style80">
    <w:name w:val="Body Text 2"/>
    <w:basedOn w:val="style0"/>
    <w:next w:val="style80"/>
    <w:link w:val="style4132"/>
    <w:qFormat/>
    <w:pPr>
      <w:spacing w:after="120" w:lineRule="auto" w:line="480"/>
    </w:pPr>
    <w:rPr>
      <w:kern w:val="0"/>
      <w:sz w:val="20"/>
    </w:rPr>
  </w:style>
  <w:style w:type="paragraph" w:styleId="style94">
    <w:name w:val="Normal (Web)"/>
    <w:basedOn w:val="style0"/>
    <w:next w:val="style94"/>
    <w:qFormat/>
    <w:pPr>
      <w:widowControl/>
      <w:spacing w:before="100" w:beforeAutospacing="true" w:after="100" w:afterAutospacing="true"/>
      <w:jc w:val="left"/>
    </w:pPr>
    <w:rPr>
      <w:rFonts w:eastAsia="Times New Roman"/>
      <w:kern w:val="0"/>
      <w:sz w:val="24"/>
    </w:rPr>
  </w:style>
  <w:style w:type="paragraph" w:styleId="style10">
    <w:name w:val="index 1"/>
    <w:basedOn w:val="style0"/>
    <w:next w:val="style0"/>
    <w:qFormat/>
    <w:pPr>
      <w:spacing w:lineRule="exact" w:line="400"/>
      <w:ind w:firstLine="420" w:firstLineChars="200"/>
    </w:pPr>
    <w:rPr>
      <w:rFonts w:ascii="宋体" w:hAnsi="Courier New"/>
      <w:b/>
      <w:szCs w:val="20"/>
    </w:rPr>
  </w:style>
  <w:style w:type="paragraph" w:styleId="style62">
    <w:name w:val="Title"/>
    <w:basedOn w:val="style0"/>
    <w:next w:val="style0"/>
    <w:link w:val="style4159"/>
    <w:qFormat/>
    <w:uiPriority w:val="10"/>
    <w:pPr>
      <w:spacing w:before="240" w:after="60"/>
      <w:jc w:val="center"/>
      <w:outlineLvl w:val="0"/>
    </w:pPr>
    <w:rPr>
      <w:rFonts w:ascii="Cambria" w:hAnsi="Cambria"/>
      <w:b/>
      <w:bCs/>
      <w:sz w:val="32"/>
      <w:szCs w:val="32"/>
    </w:rPr>
  </w:style>
  <w:style w:type="paragraph" w:styleId="style106">
    <w:name w:val="annotation subject"/>
    <w:basedOn w:val="style30"/>
    <w:next w:val="style30"/>
    <w:link w:val="style4174"/>
    <w:qFormat/>
    <w:pPr/>
    <w:rPr>
      <w:b/>
      <w:bCs/>
    </w:rPr>
  </w:style>
  <w:style w:type="paragraph" w:styleId="style77">
    <w:name w:val="Body Text First Indent"/>
    <w:basedOn w:val="style66"/>
    <w:next w:val="style0"/>
    <w:link w:val="style4130"/>
    <w:qFormat/>
    <w:pPr>
      <w:ind w:firstLine="420" w:firstLineChars="100"/>
    </w:pPr>
    <w:rPr/>
  </w:style>
  <w:style w:type="paragraph" w:styleId="style78">
    <w:name w:val="Body Text First Indent 2"/>
    <w:basedOn w:val="style67"/>
    <w:next w:val="style77"/>
    <w:qFormat/>
    <w:pPr>
      <w:spacing w:after="120" w:lineRule="auto" w:line="240"/>
      <w:ind w:left="420" w:leftChars="200" w:firstLine="420" w:firstLineChars="200"/>
    </w:pPr>
    <w:rPr>
      <w:rFonts w:ascii="Times New Roman" w:hAnsi="Times New Roman"/>
      <w:spacing w:val="0"/>
      <w:sz w:val="21"/>
      <w:szCs w:val="24"/>
    </w:rPr>
  </w:style>
  <w:style w:type="table" w:styleId="style154">
    <w:name w:val="Table Grid"/>
    <w:basedOn w:val="style105"/>
    <w:next w:val="style154"/>
    <w:qFormat/>
    <w:pPr>
      <w:widowControl w:val="false"/>
      <w:jc w:val="both"/>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7">
    <w:name w:val="Strong"/>
    <w:next w:val="style87"/>
    <w:qFormat/>
    <w:uiPriority w:val="22"/>
    <w:rPr>
      <w:b/>
      <w:bCs/>
    </w:rPr>
  </w:style>
  <w:style w:type="character" w:styleId="style42">
    <w:name w:val="endnote reference"/>
    <w:next w:val="style42"/>
    <w:qFormat/>
    <w:uiPriority w:val="99"/>
    <w:rPr>
      <w:vertAlign w:val="superscript"/>
    </w:rPr>
  </w:style>
  <w:style w:type="character" w:styleId="style41">
    <w:name w:val="page number"/>
    <w:next w:val="style41"/>
    <w:qFormat/>
  </w:style>
  <w:style w:type="character" w:styleId="style86">
    <w:name w:val="FollowedHyperlink"/>
    <w:next w:val="style86"/>
    <w:qFormat/>
    <w:rPr>
      <w:color w:val="800080"/>
      <w:u w:val="single"/>
    </w:rPr>
  </w:style>
  <w:style w:type="character" w:styleId="style85">
    <w:name w:val="Hyperlink"/>
    <w:next w:val="style85"/>
    <w:qFormat/>
    <w:uiPriority w:val="99"/>
    <w:rPr>
      <w:color w:val="0000ff"/>
      <w:u w:val="single"/>
    </w:rPr>
  </w:style>
  <w:style w:type="character" w:styleId="style39">
    <w:name w:val="annotation reference"/>
    <w:next w:val="style39"/>
    <w:qFormat/>
    <w:uiPriority w:val="99"/>
    <w:rPr>
      <w:sz w:val="21"/>
      <w:szCs w:val="21"/>
    </w:rPr>
  </w:style>
  <w:style w:type="character" w:styleId="style38">
    <w:name w:val="footnote reference"/>
    <w:next w:val="style38"/>
    <w:qFormat/>
    <w:uiPriority w:val="99"/>
    <w:rPr>
      <w:vertAlign w:val="superscript"/>
    </w:rPr>
  </w:style>
  <w:style w:type="character" w:styleId="style102">
    <w:name w:val="HTML Sample"/>
    <w:basedOn w:val="style65"/>
    <w:next w:val="style102"/>
    <w:qFormat/>
    <w:uiPriority w:val="99"/>
    <w:rPr>
      <w:rFonts w:ascii="宋体" w:cs="宋体" w:eastAsia="宋体" w:hAnsi="宋体"/>
    </w:rPr>
  </w:style>
  <w:style w:type="character" w:customStyle="1" w:styleId="style4097">
    <w:name w:val="页脚 字符1"/>
    <w:next w:val="style4097"/>
    <w:qFormat/>
    <w:uiPriority w:val="99"/>
    <w:rPr>
      <w:kern w:val="2"/>
      <w:sz w:val="18"/>
      <w:szCs w:val="18"/>
    </w:rPr>
  </w:style>
  <w:style w:type="character" w:customStyle="1" w:styleId="style4098">
    <w:name w:val="Char Char1"/>
    <w:next w:val="style4098"/>
    <w:qFormat/>
    <w:rPr>
      <w:rFonts w:ascii="宋体" w:eastAsia="宋体" w:hAnsi="Courier New"/>
      <w:kern w:val="2"/>
      <w:sz w:val="21"/>
      <w:lang w:val="en-US" w:bidi="ar-SA" w:eastAsia="zh-CN"/>
    </w:rPr>
  </w:style>
  <w:style w:type="character" w:customStyle="1" w:styleId="style4099">
    <w:name w:val="正文文本缩进 2 字符"/>
    <w:next w:val="style4099"/>
    <w:qFormat/>
    <w:rPr>
      <w:kern w:val="2"/>
      <w:sz w:val="21"/>
      <w:szCs w:val="24"/>
    </w:rPr>
  </w:style>
  <w:style w:type="character" w:customStyle="1" w:styleId="style4100">
    <w:name w:val="日期 字符"/>
    <w:next w:val="style4100"/>
    <w:qFormat/>
    <w:rPr>
      <w:kern w:val="2"/>
      <w:sz w:val="21"/>
      <w:szCs w:val="24"/>
    </w:rPr>
  </w:style>
  <w:style w:type="character" w:customStyle="1" w:styleId="style4101">
    <w:name w:val="批注文字 Char2"/>
    <w:next w:val="style4101"/>
    <w:qFormat/>
    <w:rPr>
      <w:rFonts w:ascii="Times New Roman" w:cs="Times New Roman" w:eastAsia="宋体" w:hAnsi="Times New Roman"/>
      <w:kern w:val="0"/>
      <w:sz w:val="24"/>
      <w:szCs w:val="20"/>
    </w:rPr>
  </w:style>
  <w:style w:type="character" w:customStyle="1" w:styleId="style4102">
    <w:name w:val="脚注文本 Char"/>
    <w:next w:val="style4102"/>
    <w:link w:val="style29"/>
    <w:qFormat/>
    <w:uiPriority w:val="99"/>
    <w:rPr>
      <w:kern w:val="2"/>
      <w:sz w:val="18"/>
      <w:szCs w:val="18"/>
    </w:rPr>
  </w:style>
  <w:style w:type="character" w:customStyle="1" w:styleId="style4103">
    <w:name w:val="apple-style-span"/>
    <w:next w:val="style4103"/>
    <w:qFormat/>
  </w:style>
  <w:style w:type="character" w:customStyle="1" w:styleId="style4104">
    <w:name w:val="NormalCharacter"/>
    <w:next w:val="style4104"/>
    <w:qFormat/>
  </w:style>
  <w:style w:type="character" w:customStyle="1" w:styleId="style4105">
    <w:name w:val="页眉 Char"/>
    <w:next w:val="style4105"/>
    <w:link w:val="style31"/>
    <w:qFormat/>
    <w:uiPriority w:val="99"/>
    <w:rPr>
      <w:kern w:val="2"/>
      <w:sz w:val="18"/>
      <w:szCs w:val="18"/>
    </w:rPr>
  </w:style>
  <w:style w:type="character" w:customStyle="1" w:styleId="style4106">
    <w:name w:val="标题 2 Char"/>
    <w:next w:val="style4106"/>
    <w:link w:val="style2"/>
    <w:qFormat/>
    <w:rPr>
      <w:rFonts w:ascii="Arial" w:eastAsia="黑体" w:hAnsi="Arial"/>
      <w:b/>
      <w:bCs/>
      <w:kern w:val="2"/>
      <w:sz w:val="32"/>
      <w:szCs w:val="32"/>
    </w:rPr>
  </w:style>
  <w:style w:type="character" w:customStyle="1" w:styleId="style4107">
    <w:name w:val="标题 2 字符"/>
    <w:next w:val="style4107"/>
    <w:qFormat/>
    <w:rPr>
      <w:rFonts w:ascii="Arial" w:eastAsia="黑体" w:hAnsi="Arial"/>
      <w:b/>
      <w:bCs/>
      <w:kern w:val="2"/>
      <w:sz w:val="32"/>
      <w:szCs w:val="32"/>
    </w:rPr>
  </w:style>
  <w:style w:type="character" w:customStyle="1" w:styleId="style4108">
    <w:name w:val="标题 4 字符"/>
    <w:next w:val="style4108"/>
    <w:qFormat/>
    <w:rPr>
      <w:rFonts w:ascii="Arial" w:eastAsia="黑体"/>
      <w:sz w:val="28"/>
    </w:rPr>
  </w:style>
  <w:style w:type="character" w:customStyle="1" w:styleId="style4109">
    <w:name w:val="font21"/>
    <w:next w:val="style4109"/>
    <w:qFormat/>
    <w:rPr>
      <w:rFonts w:ascii="等线" w:cs="等线" w:eastAsia="等线" w:hAnsi="等线" w:hint="eastAsia"/>
      <w:color w:val="000000"/>
      <w:sz w:val="22"/>
      <w:szCs w:val="22"/>
      <w:u w:val="none"/>
    </w:rPr>
  </w:style>
  <w:style w:type="character" w:customStyle="1" w:styleId="style4110">
    <w:name w:val="正文2 Char Char"/>
    <w:next w:val="style4110"/>
    <w:link w:val="style4111"/>
    <w:qFormat/>
    <w:rPr>
      <w:kern w:val="2"/>
      <w:sz w:val="24"/>
    </w:rPr>
  </w:style>
  <w:style w:type="paragraph" w:customStyle="1" w:styleId="style4111">
    <w:name w:val="正文2"/>
    <w:basedOn w:val="style0"/>
    <w:next w:val="style4111"/>
    <w:link w:val="style4110"/>
    <w:qFormat/>
    <w:pPr>
      <w:adjustRightInd w:val="false"/>
      <w:spacing w:before="156" w:lineRule="auto" w:line="360"/>
      <w:ind w:firstLine="510" w:firstLineChars="200"/>
    </w:pPr>
    <w:rPr>
      <w:sz w:val="24"/>
      <w:szCs w:val="20"/>
    </w:rPr>
  </w:style>
  <w:style w:type="character" w:customStyle="1" w:styleId="style4112">
    <w:name w:val="标题 9 Char"/>
    <w:next w:val="style4112"/>
    <w:link w:val="style9"/>
    <w:qFormat/>
    <w:rPr>
      <w:rFonts w:ascii="Arial" w:eastAsia="黑体" w:hAnsi="Arial"/>
      <w:kern w:val="2"/>
      <w:sz w:val="21"/>
      <w:szCs w:val="24"/>
    </w:rPr>
  </w:style>
  <w:style w:type="character" w:customStyle="1" w:styleId="style4113">
    <w:name w:val="正文文本 + 10 pt"/>
    <w:next w:val="style4113"/>
    <w:qFormat/>
    <w:rPr>
      <w:rFonts w:ascii="MingLiU" w:cs="MingLiU" w:eastAsia="MingLiU" w:hAnsi="MingLiU"/>
      <w:color w:val="000000"/>
      <w:spacing w:val="8"/>
      <w:w w:val="100"/>
      <w:position w:val="0"/>
      <w:sz w:val="20"/>
      <w:szCs w:val="20"/>
      <w:shd w:val="clear" w:color="auto" w:fill="ffffff"/>
      <w:lang w:val="zh-TW"/>
    </w:rPr>
  </w:style>
  <w:style w:type="character" w:customStyle="1" w:styleId="style4114">
    <w:name w:val="日期 Char"/>
    <w:next w:val="style4114"/>
    <w:link w:val="style76"/>
    <w:qFormat/>
    <w:rPr>
      <w:kern w:val="2"/>
      <w:sz w:val="21"/>
      <w:szCs w:val="24"/>
    </w:rPr>
  </w:style>
  <w:style w:type="character" w:customStyle="1" w:styleId="style4115">
    <w:name w:val="标题 5 Char"/>
    <w:next w:val="style4115"/>
    <w:link w:val="style5"/>
    <w:qFormat/>
    <w:uiPriority w:val="9"/>
    <w:rPr>
      <w:b/>
      <w:bCs/>
      <w:kern w:val="2"/>
      <w:sz w:val="28"/>
      <w:szCs w:val="28"/>
    </w:rPr>
  </w:style>
  <w:style w:type="character" w:customStyle="1" w:styleId="style4116">
    <w:name w:val="正文文本 Char"/>
    <w:next w:val="style4116"/>
    <w:link w:val="style66"/>
    <w:qFormat/>
    <w:rPr>
      <w:kern w:val="2"/>
      <w:sz w:val="21"/>
      <w:szCs w:val="24"/>
    </w:rPr>
  </w:style>
  <w:style w:type="character" w:customStyle="1" w:styleId="style4117">
    <w:name w:val="font31"/>
    <w:next w:val="style4117"/>
    <w:qFormat/>
    <w:rPr>
      <w:rFonts w:ascii="宋体" w:cs="宋体" w:eastAsia="宋体" w:hAnsi="宋体" w:hint="eastAsia"/>
      <w:color w:val="ff0000"/>
      <w:sz w:val="20"/>
      <w:szCs w:val="20"/>
      <w:u w:val="none"/>
    </w:rPr>
  </w:style>
  <w:style w:type="character" w:customStyle="1" w:styleId="style4118">
    <w:name w:val="原则条目 字符"/>
    <w:next w:val="style4118"/>
    <w:link w:val="style4119"/>
    <w:qFormat/>
    <w:rPr>
      <w:rFonts w:ascii="宋体" w:cs="宋体" w:hAnsi="宋体"/>
      <w:b/>
      <w:bCs/>
      <w:kern w:val="2"/>
      <w:sz w:val="24"/>
      <w:szCs w:val="28"/>
    </w:rPr>
  </w:style>
  <w:style w:type="paragraph" w:customStyle="1" w:styleId="style4119">
    <w:name w:val="原则条目"/>
    <w:basedOn w:val="style0"/>
    <w:next w:val="style0"/>
    <w:link w:val="style4118"/>
    <w:qFormat/>
    <w:pPr>
      <w:numPr>
        <w:ilvl w:val="0"/>
        <w:numId w:val="3"/>
      </w:numPr>
      <w:spacing w:beforeLines="100" w:afterLines="100" w:lineRule="auto" w:line="360"/>
      <w:ind w:firstLine="200" w:firstLineChars="200"/>
    </w:pPr>
    <w:rPr>
      <w:rFonts w:ascii="宋体" w:hAnsi="宋体"/>
      <w:b/>
      <w:bCs/>
      <w:sz w:val="24"/>
      <w:szCs w:val="28"/>
    </w:rPr>
  </w:style>
  <w:style w:type="character" w:customStyle="1" w:styleId="style4120">
    <w:name w:val="正文文本缩进 3 Char"/>
    <w:next w:val="style4120"/>
    <w:link w:val="style83"/>
    <w:qFormat/>
    <w:rPr>
      <w:sz w:val="16"/>
      <w:szCs w:val="16"/>
    </w:rPr>
  </w:style>
  <w:style w:type="character" w:customStyle="1" w:styleId="style4121">
    <w:name w:val="批注文字 字符1"/>
    <w:next w:val="style4121"/>
    <w:qFormat/>
    <w:rPr>
      <w:rFonts w:ascii="Times New Roman" w:hAnsi="Times New Roman"/>
      <w:kern w:val="2"/>
      <w:sz w:val="21"/>
      <w:szCs w:val="24"/>
    </w:rPr>
  </w:style>
  <w:style w:type="character" w:customStyle="1" w:styleId="style4122">
    <w:name w:val="纯文本 字符1"/>
    <w:next w:val="style4122"/>
    <w:qFormat/>
    <w:rPr>
      <w:rFonts w:ascii="宋体" w:hAnsi="Courier New"/>
      <w:kern w:val="2"/>
      <w:sz w:val="21"/>
    </w:rPr>
  </w:style>
  <w:style w:type="character" w:customStyle="1" w:styleId="style4123">
    <w:name w:val="textcontents"/>
    <w:next w:val="style4123"/>
    <w:qFormat/>
  </w:style>
  <w:style w:type="character" w:customStyle="1" w:styleId="style4124">
    <w:name w:val="正文文本_"/>
    <w:next w:val="style4124"/>
    <w:link w:val="style4125"/>
    <w:qFormat/>
    <w:rPr>
      <w:rFonts w:ascii="MingLiU" w:cs="MingLiU" w:eastAsia="MingLiU" w:hAnsi="MingLiU"/>
      <w:spacing w:val="9"/>
      <w:sz w:val="19"/>
      <w:szCs w:val="19"/>
      <w:shd w:val="clear" w:color="auto" w:fill="ffffff"/>
    </w:rPr>
  </w:style>
  <w:style w:type="paragraph" w:customStyle="1" w:styleId="style4125">
    <w:name w:val="正文文本1"/>
    <w:basedOn w:val="style0"/>
    <w:next w:val="style4125"/>
    <w:link w:val="style4124"/>
    <w:qFormat/>
    <w:pPr>
      <w:shd w:val="clear" w:color="auto" w:fill="ffffff"/>
      <w:spacing w:lineRule="exact" w:line="302"/>
      <w:ind w:firstLine="460"/>
      <w:jc w:val="left"/>
    </w:pPr>
    <w:rPr>
      <w:rFonts w:ascii="MingLiU" w:eastAsia="MingLiU" w:hAnsi="MingLiU"/>
      <w:spacing w:val="9"/>
      <w:kern w:val="0"/>
      <w:sz w:val="19"/>
      <w:szCs w:val="19"/>
    </w:rPr>
  </w:style>
  <w:style w:type="character" w:customStyle="1" w:styleId="style4126">
    <w:name w:val="标题 8 Char"/>
    <w:next w:val="style4126"/>
    <w:link w:val="style8"/>
    <w:qFormat/>
    <w:rPr>
      <w:rFonts w:ascii="Arial" w:eastAsia="黑体" w:hAnsi="Arial"/>
      <w:kern w:val="2"/>
      <w:sz w:val="24"/>
      <w:szCs w:val="24"/>
    </w:rPr>
  </w:style>
  <w:style w:type="character" w:customStyle="1" w:styleId="style4127">
    <w:name w:val="纯文本 字符"/>
    <w:next w:val="style4127"/>
    <w:qFormat/>
    <w:rPr>
      <w:rFonts w:ascii="宋体" w:hAnsi="Courier New"/>
      <w:kern w:val="2"/>
      <w:sz w:val="21"/>
    </w:rPr>
  </w:style>
  <w:style w:type="character" w:customStyle="1" w:styleId="style4128">
    <w:name w:val="文档结构图 Char"/>
    <w:next w:val="style4128"/>
    <w:link w:val="style89"/>
    <w:qFormat/>
    <w:rPr>
      <w:rFonts w:ascii="宋体"/>
      <w:kern w:val="2"/>
      <w:sz w:val="18"/>
      <w:szCs w:val="18"/>
    </w:rPr>
  </w:style>
  <w:style w:type="character" w:customStyle="1" w:styleId="style4129">
    <w:name w:val="普通文字 Char Char2"/>
    <w:next w:val="style4129"/>
    <w:qFormat/>
    <w:rPr>
      <w:rFonts w:ascii="宋体" w:eastAsia="宋体" w:hAnsi="Courier New"/>
      <w:kern w:val="2"/>
      <w:sz w:val="21"/>
      <w:lang w:val="en-US" w:bidi="ar-SA" w:eastAsia="zh-CN"/>
    </w:rPr>
  </w:style>
  <w:style w:type="character" w:customStyle="1" w:styleId="style4130">
    <w:name w:val="正文首行缩进 Char"/>
    <w:next w:val="style4130"/>
    <w:link w:val="style77"/>
    <w:qFormat/>
    <w:rPr>
      <w:kern w:val="2"/>
      <w:sz w:val="21"/>
      <w:szCs w:val="24"/>
    </w:rPr>
  </w:style>
  <w:style w:type="character" w:customStyle="1" w:styleId="style4131">
    <w:name w:val="正文文本缩进 Char"/>
    <w:next w:val="style4131"/>
    <w:link w:val="style67"/>
    <w:qFormat/>
    <w:rPr>
      <w:rFonts w:ascii="宋体" w:eastAsia="宋体" w:hAnsi="Courier New"/>
      <w:spacing w:val="-4"/>
      <w:kern w:val="2"/>
      <w:sz w:val="18"/>
      <w:lang w:val="en-US" w:bidi="ar-SA" w:eastAsia="zh-CN"/>
    </w:rPr>
  </w:style>
  <w:style w:type="character" w:customStyle="1" w:styleId="style4132">
    <w:name w:val="正文文本 2 Char"/>
    <w:next w:val="style4132"/>
    <w:link w:val="style80"/>
    <w:qFormat/>
    <w:rPr>
      <w:szCs w:val="24"/>
    </w:rPr>
  </w:style>
  <w:style w:type="character" w:customStyle="1" w:styleId="style4133">
    <w:name w:val="批注文字 字符"/>
    <w:next w:val="style4133"/>
    <w:qFormat/>
    <w:rPr>
      <w:kern w:val="2"/>
      <w:sz w:val="21"/>
      <w:szCs w:val="24"/>
    </w:rPr>
  </w:style>
  <w:style w:type="character" w:customStyle="1" w:styleId="style4134">
    <w:name w:val="页眉 字符1"/>
    <w:next w:val="style4134"/>
    <w:qFormat/>
    <w:uiPriority w:val="99"/>
    <w:rPr>
      <w:kern w:val="2"/>
      <w:sz w:val="18"/>
      <w:szCs w:val="18"/>
    </w:rPr>
  </w:style>
  <w:style w:type="character" w:customStyle="1" w:styleId="style4135">
    <w:name w:val="正文文本 3 Char"/>
    <w:next w:val="style4135"/>
    <w:link w:val="style81"/>
    <w:qFormat/>
    <w:rPr>
      <w:kern w:val="2"/>
      <w:sz w:val="16"/>
      <w:szCs w:val="16"/>
    </w:rPr>
  </w:style>
  <w:style w:type="character" w:customStyle="1" w:styleId="style4136">
    <w:name w:val="标题 1 字符1"/>
    <w:next w:val="style4136"/>
    <w:qFormat/>
    <w:rPr>
      <w:b/>
      <w:bCs/>
      <w:kern w:val="44"/>
      <w:sz w:val="44"/>
      <w:szCs w:val="44"/>
    </w:rPr>
  </w:style>
  <w:style w:type="character" w:customStyle="1" w:styleId="style4137">
    <w:name w:val="正文文本缩进 字符"/>
    <w:next w:val="style4137"/>
    <w:qFormat/>
    <w:rPr>
      <w:rFonts w:ascii="宋体" w:hAnsi="Courier New"/>
      <w:spacing w:val="-4"/>
      <w:kern w:val="2"/>
      <w:sz w:val="18"/>
    </w:rPr>
  </w:style>
  <w:style w:type="character" w:customStyle="1" w:styleId="style4138">
    <w:name w:val="批注文字 Char"/>
    <w:next w:val="style4138"/>
    <w:link w:val="style30"/>
    <w:qFormat/>
    <w:rPr>
      <w:kern w:val="2"/>
      <w:sz w:val="21"/>
      <w:szCs w:val="24"/>
    </w:rPr>
  </w:style>
  <w:style w:type="character" w:customStyle="1" w:styleId="style4139">
    <w:name w:val="正文文本 (2) + 8.5 pt"/>
    <w:next w:val="style4139"/>
    <w:qFormat/>
    <w:rPr>
      <w:rFonts w:ascii="微软雅黑" w:cs="微软雅黑" w:eastAsia="微软雅黑" w:hAnsi="微软雅黑"/>
      <w:color w:val="000000"/>
      <w:spacing w:val="10"/>
      <w:w w:val="100"/>
      <w:position w:val="0"/>
      <w:sz w:val="17"/>
      <w:szCs w:val="17"/>
      <w:shd w:val="clear" w:color="auto" w:fill="ffffff"/>
      <w:lang w:val="zh-CN" w:bidi="zh-CN" w:eastAsia="zh-CN"/>
    </w:rPr>
  </w:style>
  <w:style w:type="character" w:customStyle="1" w:styleId="style4140">
    <w:name w:val="标题 7 Char"/>
    <w:next w:val="style4140"/>
    <w:link w:val="style7"/>
    <w:qFormat/>
    <w:rPr>
      <w:b/>
      <w:kern w:val="2"/>
      <w:sz w:val="24"/>
      <w:szCs w:val="24"/>
    </w:rPr>
  </w:style>
  <w:style w:type="character" w:customStyle="1" w:styleId="style4141">
    <w:name w:val="页眉 字符"/>
    <w:next w:val="style4141"/>
    <w:qFormat/>
    <w:uiPriority w:val="99"/>
    <w:rPr>
      <w:rFonts w:ascii="Times New Roman" w:hAnsi="Times New Roman"/>
      <w:kern w:val="2"/>
      <w:sz w:val="18"/>
      <w:szCs w:val="18"/>
    </w:rPr>
  </w:style>
  <w:style w:type="character" w:customStyle="1" w:styleId="style4142">
    <w:name w:val="标题 1 Char"/>
    <w:next w:val="style4142"/>
    <w:link w:val="style1"/>
    <w:qFormat/>
    <w:uiPriority w:val="9"/>
    <w:rPr>
      <w:b/>
      <w:bCs/>
      <w:kern w:val="44"/>
      <w:sz w:val="44"/>
      <w:szCs w:val="44"/>
    </w:rPr>
  </w:style>
  <w:style w:type="character" w:customStyle="1" w:styleId="style4143">
    <w:name w:val="headline-content4"/>
    <w:next w:val="style4143"/>
    <w:qFormat/>
  </w:style>
  <w:style w:type="character" w:customStyle="1" w:styleId="style4144">
    <w:name w:val="正文文本缩进 2 Char"/>
    <w:next w:val="style4144"/>
    <w:link w:val="style82"/>
    <w:qFormat/>
    <w:rPr>
      <w:kern w:val="2"/>
      <w:sz w:val="21"/>
      <w:szCs w:val="24"/>
    </w:rPr>
  </w:style>
  <w:style w:type="character" w:customStyle="1" w:styleId="style4145">
    <w:name w:val="纯文本 Char3"/>
    <w:next w:val="style4145"/>
    <w:qFormat/>
    <w:rPr>
      <w:rFonts w:ascii="宋体" w:cs="Courier New" w:eastAsia="宋体" w:hAnsi="Courier New"/>
      <w:szCs w:val="21"/>
    </w:rPr>
  </w:style>
  <w:style w:type="character" w:customStyle="1" w:styleId="style4146">
    <w:name w:val="正文文本 Char1"/>
    <w:next w:val="style4146"/>
    <w:qFormat/>
    <w:uiPriority w:val="99"/>
    <w:rPr>
      <w:sz w:val="24"/>
      <w:szCs w:val="24"/>
    </w:rPr>
  </w:style>
  <w:style w:type="character" w:customStyle="1" w:styleId="style4147">
    <w:name w:val="标题 3 字符1"/>
    <w:next w:val="style4147"/>
    <w:qFormat/>
    <w:rPr>
      <w:b/>
      <w:bCs/>
      <w:kern w:val="2"/>
      <w:sz w:val="32"/>
      <w:szCs w:val="32"/>
    </w:rPr>
  </w:style>
  <w:style w:type="character" w:customStyle="1" w:styleId="style4148">
    <w:name w:val="标题 4 字符1"/>
    <w:next w:val="style4148"/>
    <w:qFormat/>
    <w:rPr>
      <w:rFonts w:ascii="Arial" w:eastAsia="黑体"/>
      <w:sz w:val="28"/>
    </w:rPr>
  </w:style>
  <w:style w:type="character" w:customStyle="1" w:styleId="style4149">
    <w:name w:val="标题 6 Char"/>
    <w:next w:val="style4149"/>
    <w:link w:val="style6"/>
    <w:qFormat/>
    <w:uiPriority w:val="9"/>
    <w:rPr>
      <w:rFonts w:ascii="Arial" w:eastAsia="黑体" w:hAnsi="Arial"/>
      <w:b/>
      <w:kern w:val="2"/>
      <w:sz w:val="24"/>
      <w:szCs w:val="24"/>
    </w:rPr>
  </w:style>
  <w:style w:type="character" w:customStyle="1" w:styleId="style4150">
    <w:name w:val="批注文字 Char1"/>
    <w:next w:val="style4150"/>
    <w:qFormat/>
    <w:rPr>
      <w:rFonts w:ascii="Times New Roman" w:hAnsi="Times New Roman"/>
      <w:kern w:val="2"/>
      <w:sz w:val="21"/>
      <w:szCs w:val="24"/>
    </w:rPr>
  </w:style>
  <w:style w:type="character" w:customStyle="1" w:styleId="style4151">
    <w:name w:val="标题 2 字符1"/>
    <w:next w:val="style4151"/>
    <w:qFormat/>
    <w:rPr>
      <w:rFonts w:ascii="Arial" w:eastAsia="黑体" w:hAnsi="Arial"/>
      <w:b/>
      <w:bCs/>
      <w:kern w:val="2"/>
      <w:sz w:val="32"/>
      <w:szCs w:val="32"/>
    </w:rPr>
  </w:style>
  <w:style w:type="character" w:customStyle="1" w:styleId="style4152">
    <w:name w:val="未处理的提及1"/>
    <w:next w:val="style4152"/>
    <w:qFormat/>
    <w:uiPriority w:val="99"/>
    <w:rPr>
      <w:color w:val="605e5c"/>
      <w:shd w:val="clear" w:color="auto" w:fill="e1dfdd"/>
    </w:rPr>
  </w:style>
  <w:style w:type="character" w:customStyle="1" w:styleId="style4153">
    <w:name w:val="纯文本 Char1"/>
    <w:next w:val="style4153"/>
    <w:link w:val="style4154"/>
    <w:qFormat/>
    <w:rPr>
      <w:rFonts w:ascii="宋体" w:eastAsia="宋体" w:hAnsi="Courier New"/>
      <w:kern w:val="2"/>
      <w:sz w:val="21"/>
      <w:lang w:val="en-US" w:bidi="ar-SA" w:eastAsia="zh-CN"/>
    </w:rPr>
  </w:style>
  <w:style w:type="paragraph" w:customStyle="1" w:styleId="style4154">
    <w:name w:val="纯文本1"/>
    <w:basedOn w:val="style0"/>
    <w:next w:val="style4154"/>
    <w:link w:val="style4153"/>
    <w:qFormat/>
    <w:pPr/>
    <w:rPr>
      <w:rFonts w:ascii="宋体" w:hAnsi="Courier New"/>
      <w:szCs w:val="20"/>
    </w:rPr>
  </w:style>
  <w:style w:type="character" w:customStyle="1" w:styleId="style4155">
    <w:name w:val="批注主题 字符"/>
    <w:next w:val="style4155"/>
    <w:qFormat/>
    <w:uiPriority w:val="99"/>
    <w:rPr>
      <w:b/>
      <w:bCs/>
      <w:kern w:val="2"/>
      <w:sz w:val="21"/>
      <w:szCs w:val="24"/>
    </w:rPr>
  </w:style>
  <w:style w:type="character" w:customStyle="1" w:styleId="style4156">
    <w:name w:val="尾注文本 Char"/>
    <w:next w:val="style4156"/>
    <w:link w:val="style43"/>
    <w:qFormat/>
    <w:uiPriority w:val="99"/>
    <w:rPr>
      <w:kern w:val="2"/>
      <w:sz w:val="21"/>
      <w:szCs w:val="24"/>
    </w:rPr>
  </w:style>
  <w:style w:type="character" w:customStyle="1" w:styleId="style4157">
    <w:name w:val="标题 3 Char"/>
    <w:next w:val="style4157"/>
    <w:link w:val="style3"/>
    <w:qFormat/>
    <w:rPr>
      <w:b/>
      <w:bCs/>
      <w:kern w:val="2"/>
      <w:sz w:val="32"/>
      <w:szCs w:val="32"/>
    </w:rPr>
  </w:style>
  <w:style w:type="character" w:customStyle="1" w:styleId="style4158">
    <w:name w:val="正文文本 字符"/>
    <w:next w:val="style4158"/>
    <w:qFormat/>
    <w:uiPriority w:val="99"/>
    <w:rPr>
      <w:kern w:val="2"/>
      <w:sz w:val="21"/>
      <w:szCs w:val="24"/>
    </w:rPr>
  </w:style>
  <w:style w:type="character" w:customStyle="1" w:styleId="style4159">
    <w:name w:val="标题 Char"/>
    <w:next w:val="style4159"/>
    <w:link w:val="style62"/>
    <w:qFormat/>
    <w:uiPriority w:val="10"/>
    <w:rPr>
      <w:rFonts w:ascii="Cambria" w:hAnsi="Cambria"/>
      <w:b/>
      <w:bCs/>
      <w:kern w:val="2"/>
      <w:sz w:val="32"/>
      <w:szCs w:val="32"/>
    </w:rPr>
  </w:style>
  <w:style w:type="character" w:customStyle="1" w:styleId="style4160">
    <w:name w:val="批注框文本 Char"/>
    <w:next w:val="style4160"/>
    <w:link w:val="style153"/>
    <w:qFormat/>
    <w:uiPriority w:val="99"/>
    <w:rPr>
      <w:kern w:val="2"/>
      <w:sz w:val="18"/>
      <w:szCs w:val="18"/>
    </w:rPr>
  </w:style>
  <w:style w:type="character" w:customStyle="1" w:styleId="style4161">
    <w:name w:val="正文文本 (26) + 间距 0 pt"/>
    <w:next w:val="style4161"/>
    <w:qFormat/>
    <w:rPr>
      <w:rFonts w:ascii="宋体" w:cs="宋体" w:eastAsia="宋体" w:hAnsi="宋体"/>
      <w:color w:val="000000"/>
      <w:spacing w:val="0"/>
      <w:w w:val="100"/>
      <w:position w:val="0"/>
      <w:sz w:val="22"/>
      <w:szCs w:val="22"/>
      <w:u w:val="none"/>
      <w:lang w:val="zh-CN" w:bidi="zh-CN" w:eastAsia="zh-CN"/>
    </w:rPr>
  </w:style>
  <w:style w:type="character" w:customStyle="1" w:styleId="style4162">
    <w:name w:val="正文（缩进） Char"/>
    <w:next w:val="style4162"/>
    <w:link w:val="style4163"/>
    <w:qFormat/>
    <w:rPr>
      <w:rFonts w:ascii="Calibri" w:hAnsi="Calibri"/>
      <w:kern w:val="2"/>
      <w:sz w:val="21"/>
      <w:szCs w:val="24"/>
    </w:rPr>
  </w:style>
  <w:style w:type="paragraph" w:customStyle="1" w:styleId="style4163">
    <w:name w:val="正文（缩进）"/>
    <w:basedOn w:val="style0"/>
    <w:next w:val="style4163"/>
    <w:link w:val="style4162"/>
    <w:qFormat/>
    <w:pPr>
      <w:spacing w:before="156" w:after="156"/>
      <w:ind w:firstLine="480" w:firstLineChars="200"/>
    </w:pPr>
    <w:rPr>
      <w:rFonts w:ascii="Calibri" w:hAnsi="Calibri"/>
    </w:rPr>
  </w:style>
  <w:style w:type="character" w:customStyle="1" w:styleId="style4164">
    <w:name w:val="无间隔 Char"/>
    <w:next w:val="style4164"/>
    <w:link w:val="style4165"/>
    <w:qFormat/>
    <w:uiPriority w:val="1"/>
    <w:rPr>
      <w:rFonts w:ascii="等线" w:eastAsia="等线" w:hAnsi="等线"/>
      <w:sz w:val="22"/>
      <w:szCs w:val="21"/>
      <w:lang w:bidi="ar-SA"/>
    </w:rPr>
  </w:style>
  <w:style w:type="paragraph" w:customStyle="1" w:styleId="style4165">
    <w:name w:val="无间隔1"/>
    <w:next w:val="style4165"/>
    <w:link w:val="style4164"/>
    <w:qFormat/>
    <w:uiPriority w:val="1"/>
    <w:pPr/>
    <w:rPr>
      <w:rFonts w:ascii="等线" w:eastAsia="等线" w:hAnsi="等线"/>
      <w:sz w:val="22"/>
      <w:szCs w:val="21"/>
    </w:rPr>
  </w:style>
  <w:style w:type="character" w:customStyle="1" w:styleId="style4166">
    <w:name w:val="纯文本 Char_0"/>
    <w:next w:val="style4166"/>
    <w:link w:val="style4167"/>
    <w:qFormat/>
    <w:rPr>
      <w:rFonts w:ascii="宋体" w:hAnsi="Courier New"/>
      <w:kern w:val="2"/>
      <w:sz w:val="21"/>
      <w:szCs w:val="21"/>
    </w:rPr>
  </w:style>
  <w:style w:type="paragraph" w:customStyle="1" w:styleId="style4167">
    <w:name w:val="纯文本_0_0"/>
    <w:basedOn w:val="style0"/>
    <w:next w:val="style4167"/>
    <w:link w:val="style4166"/>
    <w:qFormat/>
    <w:pPr/>
    <w:rPr>
      <w:rFonts w:ascii="宋体" w:hAnsi="Courier New"/>
      <w:szCs w:val="21"/>
    </w:rPr>
  </w:style>
  <w:style w:type="character" w:customStyle="1" w:styleId="style4168">
    <w:name w:val="标题 5 字符1"/>
    <w:next w:val="style4168"/>
    <w:qFormat/>
    <w:uiPriority w:val="9"/>
    <w:rPr>
      <w:b/>
      <w:bCs/>
      <w:kern w:val="2"/>
      <w:sz w:val="28"/>
      <w:szCs w:val="28"/>
    </w:rPr>
  </w:style>
  <w:style w:type="character" w:customStyle="1" w:styleId="style4169">
    <w:name w:val="标题 4 Char"/>
    <w:next w:val="style4169"/>
    <w:link w:val="style4"/>
    <w:qFormat/>
    <w:uiPriority w:val="9"/>
    <w:rPr>
      <w:rFonts w:ascii="Arial" w:eastAsia="黑体"/>
      <w:sz w:val="28"/>
    </w:rPr>
  </w:style>
  <w:style w:type="character" w:customStyle="1" w:styleId="style4170">
    <w:name w:val="纯文本 Char"/>
    <w:next w:val="style4170"/>
    <w:link w:val="style90"/>
    <w:qFormat/>
    <w:rPr>
      <w:rFonts w:ascii="宋体" w:eastAsia="宋体" w:hAnsi="Courier New"/>
      <w:kern w:val="2"/>
      <w:sz w:val="21"/>
      <w:lang w:val="en-US" w:bidi="ar-SA" w:eastAsia="zh-CN"/>
    </w:rPr>
  </w:style>
  <w:style w:type="character" w:customStyle="1" w:styleId="style4171">
    <w:name w:val="页脚 字符"/>
    <w:next w:val="style4171"/>
    <w:qFormat/>
    <w:uiPriority w:val="99"/>
    <w:rPr>
      <w:sz w:val="18"/>
      <w:szCs w:val="18"/>
    </w:rPr>
  </w:style>
  <w:style w:type="character" w:customStyle="1" w:styleId="style4172">
    <w:name w:val="页脚 Char"/>
    <w:next w:val="style4172"/>
    <w:link w:val="style32"/>
    <w:qFormat/>
    <w:uiPriority w:val="99"/>
    <w:rPr>
      <w:kern w:val="2"/>
      <w:sz w:val="18"/>
      <w:szCs w:val="18"/>
    </w:rPr>
  </w:style>
  <w:style w:type="character" w:customStyle="1" w:styleId="style4173">
    <w:name w:val="标题 5 字符"/>
    <w:next w:val="style4173"/>
    <w:qFormat/>
    <w:uiPriority w:val="9"/>
    <w:rPr>
      <w:b/>
      <w:bCs/>
      <w:kern w:val="2"/>
      <w:sz w:val="28"/>
      <w:szCs w:val="28"/>
    </w:rPr>
  </w:style>
  <w:style w:type="character" w:customStyle="1" w:styleId="style4174">
    <w:name w:val="批注主题 Char"/>
    <w:next w:val="style4174"/>
    <w:link w:val="style106"/>
    <w:qFormat/>
    <w:rPr>
      <w:b/>
      <w:bCs/>
      <w:kern w:val="2"/>
      <w:sz w:val="21"/>
      <w:szCs w:val="24"/>
    </w:rPr>
  </w:style>
  <w:style w:type="character" w:customStyle="1" w:styleId="style4175">
    <w:name w:val="case31"/>
    <w:next w:val="style4175"/>
    <w:qFormat/>
    <w:rPr>
      <w:rFonts w:ascii="_x000B__x000C_" w:hAnsi="_x000B__x000C_" w:hint="default"/>
      <w:sz w:val="21"/>
      <w:szCs w:val="21"/>
    </w:rPr>
  </w:style>
  <w:style w:type="character" w:customStyle="1" w:styleId="style4176">
    <w:name w:val="文档结构图 字符"/>
    <w:next w:val="style4176"/>
    <w:qFormat/>
    <w:rPr>
      <w:rFonts w:ascii="宋体"/>
      <w:kern w:val="2"/>
      <w:sz w:val="18"/>
      <w:szCs w:val="18"/>
    </w:rPr>
  </w:style>
  <w:style w:type="character" w:customStyle="1" w:styleId="style4177">
    <w:name w:val="正文文本 3 字符"/>
    <w:next w:val="style4177"/>
    <w:qFormat/>
    <w:uiPriority w:val="99"/>
    <w:rPr>
      <w:kern w:val="2"/>
      <w:sz w:val="16"/>
      <w:szCs w:val="16"/>
    </w:rPr>
  </w:style>
  <w:style w:type="character" w:customStyle="1" w:styleId="style4178">
    <w:name w:val="标题 1 字符"/>
    <w:next w:val="style4178"/>
    <w:qFormat/>
    <w:uiPriority w:val="9"/>
    <w:rPr>
      <w:b/>
      <w:bCs/>
      <w:kern w:val="44"/>
      <w:sz w:val="44"/>
      <w:szCs w:val="44"/>
    </w:rPr>
  </w:style>
  <w:style w:type="character" w:customStyle="1" w:styleId="style4179">
    <w:name w:val="批注框文本 字符"/>
    <w:next w:val="style4179"/>
    <w:qFormat/>
    <w:rPr>
      <w:kern w:val="2"/>
      <w:sz w:val="18"/>
      <w:szCs w:val="18"/>
    </w:rPr>
  </w:style>
  <w:style w:type="character" w:customStyle="1" w:styleId="style4180">
    <w:name w:val="font01"/>
    <w:next w:val="style4180"/>
    <w:qFormat/>
    <w:rPr>
      <w:rFonts w:ascii="宋体" w:cs="宋体" w:eastAsia="宋体" w:hAnsi="宋体" w:hint="eastAsia"/>
      <w:b/>
      <w:bCs/>
      <w:color w:val="ff0000"/>
      <w:sz w:val="20"/>
      <w:szCs w:val="20"/>
      <w:u w:val="none"/>
    </w:rPr>
  </w:style>
  <w:style w:type="character" w:customStyle="1" w:styleId="style4181">
    <w:name w:val="标题 5 Char1"/>
    <w:next w:val="style4181"/>
    <w:qFormat/>
    <w:rPr>
      <w:b/>
      <w:kern w:val="2"/>
      <w:sz w:val="28"/>
      <w:szCs w:val="24"/>
    </w:rPr>
  </w:style>
  <w:style w:type="character" w:customStyle="1" w:styleId="style4182">
    <w:name w:val="纯文本 字符2"/>
    <w:next w:val="style4182"/>
    <w:qFormat/>
    <w:rPr>
      <w:rFonts w:ascii="宋体" w:cs="Courier New" w:eastAsia="宋体" w:hAnsi="Courier New"/>
      <w:szCs w:val="21"/>
    </w:rPr>
  </w:style>
  <w:style w:type="character" w:customStyle="1" w:styleId="style4183">
    <w:name w:val="标题 3 字符"/>
    <w:next w:val="style4183"/>
    <w:qFormat/>
    <w:rPr>
      <w:b/>
      <w:bCs/>
      <w:kern w:val="2"/>
      <w:sz w:val="32"/>
      <w:szCs w:val="32"/>
    </w:rPr>
  </w:style>
  <w:style w:type="paragraph" w:customStyle="1" w:styleId="style4184">
    <w:name w:val="修订1"/>
    <w:next w:val="style4184"/>
    <w:qFormat/>
    <w:uiPriority w:val="99"/>
    <w:pPr/>
    <w:rPr>
      <w:rFonts w:ascii="等线" w:eastAsia="等线" w:hAnsi="等线"/>
      <w:kern w:val="2"/>
      <w:sz w:val="21"/>
      <w:szCs w:val="21"/>
    </w:rPr>
  </w:style>
  <w:style w:type="paragraph" w:customStyle="1" w:styleId="style4185">
    <w:name w:val="列出段落2"/>
    <w:basedOn w:val="style0"/>
    <w:next w:val="style4185"/>
    <w:qFormat/>
    <w:uiPriority w:val="99"/>
    <w:pPr>
      <w:spacing w:lineRule="atLeast" w:line="480"/>
      <w:ind w:firstLine="420" w:firstLineChars="200"/>
    </w:pPr>
    <w:rPr>
      <w:sz w:val="24"/>
    </w:rPr>
  </w:style>
  <w:style w:type="paragraph" w:customStyle="1" w:styleId="style4186">
    <w:name w:val="修订3"/>
    <w:next w:val="style4186"/>
    <w:qFormat/>
    <w:uiPriority w:val="99"/>
    <w:pPr/>
    <w:rPr>
      <w:rFonts w:ascii="宋体" w:cs="宋体" w:hAnsi="宋体"/>
      <w:kern w:val="2"/>
      <w:sz w:val="24"/>
      <w:szCs w:val="28"/>
    </w:rPr>
  </w:style>
  <w:style w:type="paragraph" w:customStyle="1" w:styleId="style4187">
    <w:name w:val="三森段落正文"/>
    <w:basedOn w:val="style90"/>
    <w:next w:val="style4187"/>
    <w:qFormat/>
    <w:pPr>
      <w:spacing w:lineRule="auto" w:line="360"/>
      <w:ind w:firstLine="880" w:firstLineChars="200"/>
      <w:jc w:val="left"/>
    </w:pPr>
    <w:rPr>
      <w:rFonts w:hAnsi="宋体"/>
      <w:sz w:val="24"/>
    </w:rPr>
  </w:style>
  <w:style w:type="paragraph" w:customStyle="1" w:styleId="style4188">
    <w:name w:val="xl89"/>
    <w:basedOn w:val="style0"/>
    <w:next w:val="style4188"/>
    <w:qFormat/>
    <w:pPr>
      <w:widowControl/>
      <w:pBdr>
        <w:right w:val="single" w:sz="8" w:space="0" w:color="000000"/>
        <w:bottom w:val="single" w:sz="8" w:space="0" w:color="000000"/>
      </w:pBdr>
      <w:shd w:val="clear" w:color="000000" w:fill="d6e3bc"/>
      <w:spacing w:before="100" w:beforeAutospacing="true" w:after="100" w:afterAutospacing="true"/>
      <w:jc w:val="center"/>
    </w:pPr>
    <w:rPr>
      <w:rFonts w:ascii="新宋体" w:cs="宋体" w:eastAsia="新宋体" w:hAnsi="新宋体"/>
      <w:kern w:val="0"/>
      <w:sz w:val="20"/>
      <w:szCs w:val="20"/>
    </w:rPr>
  </w:style>
  <w:style w:type="paragraph" w:customStyle="1" w:styleId="style4189">
    <w:name w:val="Char1"/>
    <w:basedOn w:val="style0"/>
    <w:next w:val="style4189"/>
    <w:qFormat/>
    <w:pPr/>
    <w:rPr>
      <w:szCs w:val="21"/>
    </w:rPr>
  </w:style>
  <w:style w:type="paragraph" w:customStyle="1" w:styleId="style4190">
    <w:name w:val="xl91"/>
    <w:basedOn w:val="style0"/>
    <w:next w:val="style4190"/>
    <w:qFormat/>
    <w:pPr>
      <w:widowControl/>
      <w:pBdr>
        <w:left w:val="single" w:sz="8" w:space="0" w:color="auto"/>
        <w:right w:val="single" w:sz="8" w:space="0" w:color="auto"/>
        <w:bottom w:val="single" w:sz="8" w:space="0" w:color="auto"/>
      </w:pBdr>
      <w:shd w:val="clear" w:color="000000" w:fill="d6e3bc"/>
      <w:spacing w:before="100" w:beforeAutospacing="true" w:after="100" w:afterAutospacing="true"/>
      <w:jc w:val="left"/>
    </w:pPr>
    <w:rPr>
      <w:rFonts w:ascii="新宋体" w:cs="宋体" w:eastAsia="新宋体" w:hAnsi="新宋体"/>
      <w:kern w:val="0"/>
      <w:sz w:val="20"/>
      <w:szCs w:val="20"/>
    </w:rPr>
  </w:style>
  <w:style w:type="paragraph" w:customStyle="1" w:styleId="style4191">
    <w:name w:val="表格文字"/>
    <w:basedOn w:val="style0"/>
    <w:next w:val="style66"/>
    <w:qFormat/>
    <w:pPr>
      <w:adjustRightInd w:val="false"/>
      <w:spacing w:lineRule="atLeast" w:line="420"/>
      <w:jc w:val="left"/>
      <w:textAlignment w:val="baseline"/>
    </w:pPr>
    <w:rPr>
      <w:kern w:val="0"/>
    </w:rPr>
  </w:style>
  <w:style w:type="paragraph" w:customStyle="1" w:styleId="style4192">
    <w:name w:val="正文缩进1"/>
    <w:basedOn w:val="style0"/>
    <w:next w:val="style67"/>
    <w:qFormat/>
    <w:pPr>
      <w:autoSpaceDE w:val="false"/>
      <w:autoSpaceDN w:val="false"/>
      <w:adjustRightInd w:val="false"/>
      <w:snapToGrid w:val="false"/>
      <w:spacing w:after="120" w:lineRule="auto" w:line="360"/>
      <w:ind w:left="420" w:leftChars="200" w:firstLine="480" w:firstLineChars="200"/>
    </w:pPr>
    <w:rPr>
      <w:sz w:val="24"/>
      <w:szCs w:val="21"/>
    </w:rPr>
  </w:style>
  <w:style w:type="paragraph" w:customStyle="1" w:styleId="style4193">
    <w:name w:val="List Paragraph1"/>
    <w:basedOn w:val="style0"/>
    <w:next w:val="style4193"/>
    <w:qFormat/>
    <w:uiPriority w:val="34"/>
    <w:pPr>
      <w:ind w:firstLine="420" w:firstLineChars="200"/>
    </w:pPr>
    <w:rPr>
      <w:rFonts w:ascii="Calibri" w:hAnsi="Calibri"/>
    </w:rPr>
  </w:style>
  <w:style w:type="paragraph" w:customStyle="1" w:styleId="style4194">
    <w:name w:val="纯文本2"/>
    <w:basedOn w:val="style0"/>
    <w:next w:val="style4194"/>
    <w:qFormat/>
    <w:pPr/>
    <w:rPr>
      <w:rFonts w:ascii="宋体" w:cs="Century" w:hAnsi="Courier New"/>
      <w:szCs w:val="21"/>
    </w:rPr>
  </w:style>
  <w:style w:type="paragraph" w:customStyle="1" w:styleId="style4195">
    <w:name w:val="xl76"/>
    <w:basedOn w:val="style0"/>
    <w:next w:val="style4195"/>
    <w:qFormat/>
    <w:pPr>
      <w:widowControl/>
      <w:pBdr>
        <w:right w:val="single" w:sz="8" w:space="0" w:color="auto"/>
        <w:bottom w:val="single" w:sz="8" w:space="0" w:color="auto"/>
      </w:pBdr>
      <w:shd w:val="clear" w:color="000000" w:fill="d6e3bc"/>
      <w:spacing w:before="100" w:beforeAutospacing="true" w:after="100" w:afterAutospacing="true"/>
      <w:jc w:val="center"/>
    </w:pPr>
    <w:rPr>
      <w:rFonts w:ascii="新宋体" w:cs="宋体" w:eastAsia="新宋体" w:hAnsi="新宋体"/>
      <w:kern w:val="0"/>
      <w:sz w:val="20"/>
      <w:szCs w:val="20"/>
    </w:rPr>
  </w:style>
  <w:style w:type="paragraph" w:customStyle="1" w:styleId="style4196">
    <w:name w:val="xl85"/>
    <w:basedOn w:val="style0"/>
    <w:next w:val="style4196"/>
    <w:qFormat/>
    <w:pPr>
      <w:widowControl/>
      <w:pBdr>
        <w:right w:val="single" w:sz="8" w:space="0" w:color="auto"/>
        <w:bottom w:val="single" w:sz="8" w:space="0" w:color="auto"/>
      </w:pBdr>
      <w:shd w:val="clear" w:color="000000" w:fill="d6e3bc"/>
      <w:spacing w:before="100" w:beforeAutospacing="true" w:after="100" w:afterAutospacing="true"/>
      <w:jc w:val="left"/>
    </w:pPr>
    <w:rPr>
      <w:rFonts w:ascii="新宋体" w:cs="宋体" w:eastAsia="新宋体" w:hAnsi="新宋体"/>
      <w:color w:val="000000"/>
      <w:kern w:val="0"/>
      <w:sz w:val="20"/>
      <w:szCs w:val="20"/>
    </w:rPr>
  </w:style>
  <w:style w:type="paragraph" w:customStyle="1" w:styleId="style4197">
    <w:name w:val="xl80"/>
    <w:basedOn w:val="style0"/>
    <w:next w:val="style4197"/>
    <w:qFormat/>
    <w:pPr>
      <w:widowControl/>
      <w:pBdr>
        <w:right w:val="single" w:sz="8" w:space="0" w:color="auto"/>
        <w:bottom w:val="single" w:sz="8" w:space="0" w:color="auto"/>
      </w:pBdr>
      <w:spacing w:before="100" w:beforeAutospacing="true" w:after="100" w:afterAutospacing="true"/>
      <w:jc w:val="center"/>
    </w:pPr>
    <w:rPr>
      <w:rFonts w:ascii="新宋体" w:cs="宋体" w:eastAsia="新宋体" w:hAnsi="新宋体"/>
      <w:kern w:val="0"/>
      <w:sz w:val="20"/>
      <w:szCs w:val="20"/>
    </w:rPr>
  </w:style>
  <w:style w:type="paragraph" w:customStyle="1" w:styleId="style4198">
    <w:name w:val="样式 标题 2 + Times New Roman 四号 非加粗 段前: 5 磅 段后: 0 磅 行距: 固定值 20..."/>
    <w:basedOn w:val="style2"/>
    <w:next w:val="style4198"/>
    <w:qFormat/>
    <w:pPr>
      <w:spacing w:before="100" w:lineRule="exact" w:line="400"/>
    </w:pPr>
    <w:rPr>
      <w:rFonts w:ascii="Times New Roman" w:cs="宋体" w:hAnsi="Times New Roman"/>
      <w:b w:val="false"/>
      <w:bCs w:val="false"/>
      <w:kern w:val="0"/>
      <w:sz w:val="28"/>
      <w:szCs w:val="20"/>
    </w:rPr>
  </w:style>
  <w:style w:type="paragraph" w:customStyle="1" w:styleId="style4199">
    <w:name w:val="xl66"/>
    <w:basedOn w:val="style0"/>
    <w:next w:val="style4199"/>
    <w:qFormat/>
    <w:pPr>
      <w:widowControl/>
      <w:pBdr>
        <w:right w:val="single" w:sz="8" w:space="0" w:color="000000"/>
        <w:top w:val="single" w:sz="8" w:space="0" w:color="000000"/>
        <w:bottom w:val="single" w:sz="8" w:space="0" w:color="000000"/>
      </w:pBdr>
      <w:shd w:val="clear" w:color="000000" w:fill="d6e3bc"/>
      <w:spacing w:before="100" w:beforeAutospacing="true" w:after="100" w:afterAutospacing="true"/>
      <w:jc w:val="left"/>
    </w:pPr>
    <w:rPr>
      <w:rFonts w:ascii="新宋体" w:cs="宋体" w:eastAsia="新宋体" w:hAnsi="新宋体"/>
      <w:kern w:val="0"/>
      <w:sz w:val="20"/>
      <w:szCs w:val="20"/>
    </w:rPr>
  </w:style>
  <w:style w:type="paragraph" w:customStyle="1" w:styleId="style4200">
    <w:name w:val="Char"/>
    <w:basedOn w:val="style0"/>
    <w:next w:val="style4200"/>
    <w:qFormat/>
    <w:pPr/>
    <w:rPr>
      <w:szCs w:val="21"/>
    </w:rPr>
  </w:style>
  <w:style w:type="paragraph" w:customStyle="1" w:styleId="style4201">
    <w:name w:val="xl22"/>
    <w:basedOn w:val="style0"/>
    <w:next w:val="style4201"/>
    <w:qFormat/>
    <w:pPr>
      <w:widowControl/>
      <w:spacing w:before="100" w:beforeAutospacing="true" w:after="100" w:afterAutospacing="true"/>
      <w:jc w:val="left"/>
    </w:pPr>
    <w:rPr>
      <w:rFonts w:ascii="Arial Unicode MS" w:cs="Arial Unicode MS" w:eastAsia="Arial Unicode MS" w:hAnsi="Arial Unicode MS"/>
      <w:kern w:val="0"/>
      <w:sz w:val="20"/>
      <w:szCs w:val="20"/>
    </w:rPr>
  </w:style>
  <w:style w:type="paragraph" w:customStyle="1" w:styleId="style4202">
    <w:name w:val="xl88"/>
    <w:basedOn w:val="style0"/>
    <w:next w:val="style4202"/>
    <w:qFormat/>
    <w:pPr>
      <w:widowControl/>
      <w:pBdr>
        <w:right w:val="single" w:sz="8" w:space="0" w:color="000000"/>
        <w:top w:val="single" w:sz="8" w:space="0" w:color="000000"/>
        <w:bottom w:val="single" w:sz="8" w:space="0" w:color="000000"/>
      </w:pBdr>
      <w:shd w:val="clear" w:color="000000" w:fill="d6e3bc"/>
      <w:spacing w:before="100" w:beforeAutospacing="true" w:after="100" w:afterAutospacing="true"/>
      <w:jc w:val="center"/>
    </w:pPr>
    <w:rPr>
      <w:rFonts w:ascii="新宋体" w:cs="宋体" w:eastAsia="新宋体" w:hAnsi="新宋体"/>
      <w:kern w:val="0"/>
      <w:sz w:val="20"/>
      <w:szCs w:val="20"/>
    </w:rPr>
  </w:style>
  <w:style w:type="paragraph" w:customStyle="1" w:styleId="style4203">
    <w:name w:val="Char11"/>
    <w:basedOn w:val="style0"/>
    <w:next w:val="style4203"/>
    <w:qFormat/>
    <w:pPr/>
  </w:style>
  <w:style w:type="paragraph" w:customStyle="1" w:styleId="style4204">
    <w:name w:val="font7"/>
    <w:basedOn w:val="style0"/>
    <w:next w:val="style4204"/>
    <w:qFormat/>
    <w:pPr>
      <w:widowControl/>
      <w:spacing w:before="100" w:beforeAutospacing="true" w:after="100" w:afterAutospacing="true"/>
      <w:jc w:val="left"/>
    </w:pPr>
    <w:rPr>
      <w:rFonts w:ascii="等线" w:cs="宋体" w:eastAsia="等线" w:hAnsi="宋体"/>
      <w:kern w:val="0"/>
      <w:sz w:val="18"/>
      <w:szCs w:val="18"/>
    </w:rPr>
  </w:style>
  <w:style w:type="paragraph" w:customStyle="1" w:styleId="style4205">
    <w:name w:val="msonormal"/>
    <w:basedOn w:val="style0"/>
    <w:next w:val="style4205"/>
    <w:qFormat/>
    <w:pPr>
      <w:widowControl/>
      <w:spacing w:before="100" w:beforeAutospacing="true" w:after="100" w:afterAutospacing="true"/>
      <w:jc w:val="left"/>
    </w:pPr>
    <w:rPr>
      <w:rFonts w:ascii="宋体" w:cs="宋体" w:hAnsi="宋体"/>
      <w:kern w:val="0"/>
      <w:sz w:val="24"/>
    </w:rPr>
  </w:style>
  <w:style w:type="paragraph" w:customStyle="1" w:styleId="style4206">
    <w:name w:val="样式 标题 2 + 非加粗 首行缩进:  2 字符"/>
    <w:basedOn w:val="style2"/>
    <w:next w:val="style4206"/>
    <w:qFormat/>
    <w:pPr>
      <w:spacing w:lineRule="exact" w:line="600"/>
      <w:ind w:firstLine="640" w:firstLineChars="200"/>
      <w:jc w:val="left"/>
    </w:pPr>
    <w:rPr>
      <w:rFonts w:cs="宋体"/>
      <w:b w:val="false"/>
      <w:bCs w:val="false"/>
      <w:szCs w:val="20"/>
    </w:rPr>
  </w:style>
  <w:style w:type="paragraph" w:customStyle="1" w:styleId="style4207">
    <w:name w:val="xl71"/>
    <w:basedOn w:val="style0"/>
    <w:next w:val="style4207"/>
    <w:qFormat/>
    <w:pPr>
      <w:widowControl/>
      <w:pBdr>
        <w:right w:val="single" w:sz="8" w:space="0" w:color="auto"/>
        <w:bottom w:val="single" w:sz="8" w:space="0" w:color="000000"/>
      </w:pBdr>
      <w:shd w:val="clear" w:color="000000" w:fill="d6e3bc"/>
      <w:spacing w:before="100" w:beforeAutospacing="true" w:after="100" w:afterAutospacing="true"/>
      <w:jc w:val="left"/>
    </w:pPr>
    <w:rPr>
      <w:rFonts w:ascii="新宋体" w:cs="宋体" w:eastAsia="新宋体" w:hAnsi="新宋体"/>
      <w:kern w:val="0"/>
      <w:sz w:val="20"/>
      <w:szCs w:val="20"/>
    </w:rPr>
  </w:style>
  <w:style w:type="paragraph" w:customStyle="1" w:styleId="style4208">
    <w:name w:val="xl79"/>
    <w:basedOn w:val="style0"/>
    <w:next w:val="style4208"/>
    <w:qFormat/>
    <w:pPr>
      <w:widowControl/>
      <w:pBdr>
        <w:right w:val="single" w:sz="8" w:space="0" w:color="auto"/>
        <w:bottom w:val="single" w:sz="8" w:space="0" w:color="auto"/>
      </w:pBdr>
      <w:spacing w:before="100" w:beforeAutospacing="true" w:after="100" w:afterAutospacing="true"/>
      <w:jc w:val="left"/>
    </w:pPr>
    <w:rPr>
      <w:rFonts w:ascii="新宋体" w:cs="宋体" w:eastAsia="新宋体" w:hAnsi="新宋体"/>
      <w:kern w:val="0"/>
      <w:sz w:val="20"/>
      <w:szCs w:val="20"/>
    </w:rPr>
  </w:style>
  <w:style w:type="paragraph" w:customStyle="1" w:styleId="style4209">
    <w:name w:val="xl87"/>
    <w:basedOn w:val="style0"/>
    <w:next w:val="style4209"/>
    <w:qFormat/>
    <w:pPr>
      <w:widowControl/>
      <w:pBdr>
        <w:left w:val="single" w:sz="8" w:space="0" w:color="auto"/>
        <w:right w:val="single" w:sz="8" w:space="0" w:color="auto"/>
        <w:bottom w:val="single" w:sz="8" w:space="0" w:color="auto"/>
      </w:pBdr>
      <w:shd w:val="clear" w:color="000000" w:fill="d6e3bc"/>
      <w:spacing w:before="100" w:beforeAutospacing="true" w:after="100" w:afterAutospacing="true"/>
      <w:jc w:val="right"/>
    </w:pPr>
    <w:rPr>
      <w:rFonts w:ascii="新宋体" w:cs="宋体" w:eastAsia="新宋体" w:hAnsi="新宋体"/>
      <w:color w:val="000000"/>
      <w:kern w:val="0"/>
      <w:sz w:val="20"/>
      <w:szCs w:val="20"/>
    </w:rPr>
  </w:style>
  <w:style w:type="paragraph" w:customStyle="1" w:styleId="style4210">
    <w:name w:val="xl67"/>
    <w:basedOn w:val="style0"/>
    <w:next w:val="style4210"/>
    <w:qFormat/>
    <w:pPr>
      <w:widowControl/>
      <w:pBdr>
        <w:left w:val="single" w:sz="8" w:space="0" w:color="000000"/>
        <w:right w:val="single" w:sz="8" w:space="0" w:color="000000"/>
        <w:bottom w:val="single" w:sz="8" w:space="0" w:color="000000"/>
      </w:pBdr>
      <w:shd w:val="clear" w:color="000000" w:fill="d6e3bc"/>
      <w:spacing w:before="100" w:beforeAutospacing="true" w:after="100" w:afterAutospacing="true"/>
      <w:jc w:val="right"/>
    </w:pPr>
    <w:rPr>
      <w:rFonts w:ascii="新宋体" w:cs="宋体" w:eastAsia="新宋体" w:hAnsi="新宋体"/>
      <w:kern w:val="0"/>
      <w:sz w:val="20"/>
      <w:szCs w:val="20"/>
    </w:rPr>
  </w:style>
  <w:style w:type="paragraph" w:customStyle="1" w:styleId="style4211">
    <w:name w:val="xl78"/>
    <w:basedOn w:val="style0"/>
    <w:next w:val="style4211"/>
    <w:qFormat/>
    <w:pPr>
      <w:widowControl/>
      <w:pBdr>
        <w:left w:val="single" w:sz="8" w:space="0" w:color="auto"/>
        <w:right w:val="single" w:sz="8" w:space="0" w:color="auto"/>
        <w:bottom w:val="single" w:sz="8" w:space="0" w:color="auto"/>
      </w:pBdr>
      <w:spacing w:before="100" w:beforeAutospacing="true" w:after="100" w:afterAutospacing="true"/>
      <w:jc w:val="left"/>
    </w:pPr>
    <w:rPr>
      <w:rFonts w:ascii="新宋体" w:cs="宋体" w:eastAsia="新宋体" w:hAnsi="新宋体"/>
      <w:kern w:val="0"/>
      <w:sz w:val="20"/>
      <w:szCs w:val="20"/>
    </w:rPr>
  </w:style>
  <w:style w:type="paragraph" w:customStyle="1" w:styleId="style4212">
    <w:name w:val="Table Paragraph"/>
    <w:basedOn w:val="style0"/>
    <w:next w:val="style4212"/>
    <w:qFormat/>
    <w:uiPriority w:val="1"/>
    <w:pPr>
      <w:jc w:val="left"/>
    </w:pPr>
    <w:rPr>
      <w:rFonts w:ascii="Calibri" w:hAnsi="Calibri"/>
      <w:kern w:val="0"/>
      <w:sz w:val="22"/>
      <w:szCs w:val="22"/>
      <w:lang w:eastAsia="en-US"/>
    </w:rPr>
  </w:style>
  <w:style w:type="paragraph" w:customStyle="1" w:styleId="style4213">
    <w:name w:val="font6"/>
    <w:basedOn w:val="style0"/>
    <w:next w:val="style4213"/>
    <w:qFormat/>
    <w:pPr>
      <w:widowControl/>
      <w:spacing w:before="100" w:beforeAutospacing="true" w:after="100" w:afterAutospacing="true"/>
      <w:jc w:val="left"/>
    </w:pPr>
    <w:rPr>
      <w:rFonts w:ascii="Symbol" w:cs="宋体" w:hAnsi="Symbol"/>
      <w:color w:val="000000"/>
      <w:kern w:val="0"/>
      <w:sz w:val="20"/>
      <w:szCs w:val="20"/>
    </w:rPr>
  </w:style>
  <w:style w:type="paragraph" w:customStyle="1" w:styleId="style4214">
    <w:name w:val="p0"/>
    <w:basedOn w:val="style0"/>
    <w:next w:val="style4214"/>
    <w:qFormat/>
    <w:pPr>
      <w:widowControl/>
    </w:pPr>
    <w:rPr>
      <w:kern w:val="0"/>
      <w:szCs w:val="21"/>
    </w:rPr>
  </w:style>
  <w:style w:type="paragraph" w:customStyle="1" w:styleId="style4215">
    <w:name w:val="列出段落11"/>
    <w:basedOn w:val="style0"/>
    <w:next w:val="style4215"/>
    <w:qFormat/>
    <w:uiPriority w:val="34"/>
    <w:pPr>
      <w:ind w:firstLine="420" w:firstLineChars="200"/>
    </w:pPr>
    <w:rPr>
      <w:rFonts w:ascii="Calibri" w:cs="Calibri" w:hAnsi="Calibri"/>
      <w:szCs w:val="21"/>
    </w:rPr>
  </w:style>
  <w:style w:type="paragraph" w:customStyle="1" w:styleId="style4216">
    <w:name w:val="xl75"/>
    <w:basedOn w:val="style0"/>
    <w:next w:val="style4216"/>
    <w:qFormat/>
    <w:pPr>
      <w:widowControl/>
      <w:pBdr>
        <w:right w:val="single" w:sz="8" w:space="0" w:color="auto"/>
        <w:bottom w:val="single" w:sz="8" w:space="0" w:color="auto"/>
      </w:pBdr>
      <w:shd w:val="clear" w:color="000000" w:fill="d6e3bc"/>
      <w:spacing w:before="100" w:beforeAutospacing="true" w:after="100" w:afterAutospacing="true"/>
      <w:jc w:val="left"/>
    </w:pPr>
    <w:rPr>
      <w:rFonts w:ascii="新宋体" w:cs="宋体" w:eastAsia="新宋体" w:hAnsi="新宋体"/>
      <w:b/>
      <w:bCs/>
      <w:kern w:val="0"/>
      <w:sz w:val="20"/>
      <w:szCs w:val="20"/>
    </w:rPr>
  </w:style>
  <w:style w:type="paragraph" w:customStyle="1" w:styleId="style4217">
    <w:name w:val="Char Char Char Char"/>
    <w:basedOn w:val="style0"/>
    <w:next w:val="style4217"/>
    <w:qFormat/>
    <w:pPr>
      <w:widowControl/>
      <w:spacing w:lineRule="exact" w:line="240"/>
      <w:jc w:val="left"/>
    </w:pPr>
    <w:rPr/>
  </w:style>
  <w:style w:type="paragraph" w:customStyle="1" w:styleId="style4218">
    <w:name w:val="_Style 149"/>
    <w:next w:val="style4218"/>
    <w:qFormat/>
    <w:uiPriority w:val="99"/>
    <w:pPr/>
    <w:rPr>
      <w:kern w:val="2"/>
      <w:sz w:val="21"/>
      <w:szCs w:val="24"/>
    </w:rPr>
  </w:style>
  <w:style w:type="paragraph" w:customStyle="1" w:styleId="style4219">
    <w:name w:val="Fließtext"/>
    <w:basedOn w:val="style0"/>
    <w:next w:val="style4219"/>
    <w:qFormat/>
    <w:pPr>
      <w:overflowPunct w:val="false"/>
      <w:autoSpaceDE w:val="false"/>
      <w:autoSpaceDN w:val="false"/>
      <w:adjustRightInd w:val="false"/>
      <w:textAlignment w:val="baseline"/>
    </w:pPr>
    <w:rPr>
      <w:rFonts w:ascii="Calibri" w:hAnsi="Calibri"/>
      <w:kern w:val="28"/>
      <w:szCs w:val="20"/>
    </w:rPr>
  </w:style>
  <w:style w:type="paragraph" w:customStyle="1" w:styleId="style4220">
    <w:name w:val="xl72"/>
    <w:basedOn w:val="style0"/>
    <w:next w:val="style4220"/>
    <w:qFormat/>
    <w:pPr>
      <w:widowControl/>
      <w:pBdr>
        <w:left w:val="single" w:sz="8" w:space="0" w:color="auto"/>
        <w:right w:val="single" w:sz="8" w:space="0" w:color="auto"/>
        <w:bottom w:val="single" w:sz="8" w:space="0" w:color="auto"/>
      </w:pBdr>
      <w:shd w:val="clear" w:color="000000" w:fill="d6e3bc"/>
      <w:spacing w:before="100" w:beforeAutospacing="true" w:after="100" w:afterAutospacing="true"/>
      <w:jc w:val="left"/>
    </w:pPr>
    <w:rPr>
      <w:rFonts w:ascii="新宋体" w:cs="宋体" w:eastAsia="新宋体" w:hAnsi="新宋体"/>
      <w:kern w:val="0"/>
      <w:sz w:val="20"/>
      <w:szCs w:val="20"/>
    </w:rPr>
  </w:style>
  <w:style w:type="paragraph" w:customStyle="1" w:styleId="style4221">
    <w:name w:val="列出段落1"/>
    <w:basedOn w:val="style0"/>
    <w:next w:val="style4221"/>
    <w:qFormat/>
    <w:uiPriority w:val="99"/>
    <w:pPr>
      <w:ind w:firstLine="420" w:firstLineChars="200"/>
    </w:pPr>
    <w:rPr/>
  </w:style>
  <w:style w:type="paragraph" w:customStyle="1" w:styleId="style4222">
    <w:name w:val="样式"/>
    <w:next w:val="style4222"/>
    <w:qFormat/>
    <w:pPr>
      <w:widowControl w:val="false"/>
      <w:autoSpaceDE w:val="false"/>
      <w:autoSpaceDN w:val="false"/>
      <w:adjustRightInd w:val="false"/>
      <w:jc w:val="center"/>
    </w:pPr>
    <w:rPr>
      <w:rFonts w:ascii="宋体" w:cs="宋体" w:hAnsi="宋体"/>
      <w:sz w:val="24"/>
      <w:szCs w:val="24"/>
    </w:rPr>
  </w:style>
  <w:style w:type="paragraph" w:customStyle="1" w:styleId="style4223">
    <w:name w:val="Char Char Char Char Char Char Char1"/>
    <w:basedOn w:val="style0"/>
    <w:next w:val="style4223"/>
    <w:qFormat/>
    <w:pPr/>
  </w:style>
  <w:style w:type="paragraph" w:customStyle="1" w:styleId="style4224">
    <w:name w:val="xl77"/>
    <w:basedOn w:val="style0"/>
    <w:next w:val="style4224"/>
    <w:qFormat/>
    <w:pPr>
      <w:widowControl/>
      <w:pBdr>
        <w:left w:val="single" w:sz="8" w:space="0" w:color="auto"/>
        <w:right w:val="single" w:sz="8" w:space="0" w:color="auto"/>
        <w:bottom w:val="single" w:sz="8" w:space="0" w:color="auto"/>
      </w:pBdr>
      <w:shd w:val="clear" w:color="000000" w:fill="d6e3bc"/>
      <w:spacing w:before="100" w:beforeAutospacing="true" w:after="100" w:afterAutospacing="true"/>
      <w:jc w:val="right"/>
    </w:pPr>
    <w:rPr>
      <w:rFonts w:ascii="新宋体" w:cs="宋体" w:eastAsia="新宋体" w:hAnsi="新宋体"/>
      <w:kern w:val="0"/>
      <w:sz w:val="20"/>
      <w:szCs w:val="20"/>
    </w:rPr>
  </w:style>
  <w:style w:type="paragraph" w:customStyle="1" w:styleId="style4225">
    <w:name w:val="样式 标题 3 + (中文) 黑体 小四 非加粗 段前: 7.8 磅 段后: 0 磅 行距: 固定值 20 磅"/>
    <w:basedOn w:val="style3"/>
    <w:next w:val="style4225"/>
    <w:qFormat/>
    <w:pPr>
      <w:spacing w:lineRule="exact" w:line="400"/>
      <w:ind w:firstLine="0" w:firstLineChars="0"/>
    </w:pPr>
    <w:rPr>
      <w:rFonts w:cs="宋体" w:eastAsia="黑体"/>
      <w:b w:val="false"/>
      <w:bCs w:val="false"/>
      <w:kern w:val="0"/>
      <w:sz w:val="24"/>
      <w:szCs w:val="20"/>
    </w:rPr>
  </w:style>
  <w:style w:type="paragraph" w:customStyle="1" w:styleId="style4226">
    <w:name w:val="xl84"/>
    <w:basedOn w:val="style0"/>
    <w:next w:val="style4226"/>
    <w:qFormat/>
    <w:pPr>
      <w:widowControl/>
      <w:pBdr>
        <w:left w:val="single" w:sz="8" w:space="0" w:color="auto"/>
        <w:right w:val="single" w:sz="8" w:space="0" w:color="auto"/>
        <w:bottom w:val="single" w:sz="8" w:space="0" w:color="auto"/>
      </w:pBdr>
      <w:shd w:val="clear" w:color="000000" w:fill="d6e3bc"/>
      <w:spacing w:before="100" w:beforeAutospacing="true" w:after="100" w:afterAutospacing="true"/>
      <w:jc w:val="left"/>
    </w:pPr>
    <w:rPr>
      <w:rFonts w:ascii="新宋体" w:cs="宋体" w:eastAsia="新宋体" w:hAnsi="新宋体"/>
      <w:color w:val="000000"/>
      <w:kern w:val="0"/>
      <w:sz w:val="20"/>
      <w:szCs w:val="20"/>
    </w:rPr>
  </w:style>
  <w:style w:type="paragraph" w:customStyle="1" w:styleId="style4227">
    <w:name w:val="xl69"/>
    <w:basedOn w:val="style0"/>
    <w:next w:val="style4227"/>
    <w:qFormat/>
    <w:pPr>
      <w:widowControl/>
      <w:pBdr>
        <w:left w:val="single" w:sz="8" w:space="0" w:color="000000"/>
        <w:right w:val="single" w:sz="8" w:space="0" w:color="000000"/>
        <w:bottom w:val="single" w:sz="8" w:space="0" w:color="000000"/>
      </w:pBdr>
      <w:shd w:val="clear" w:color="000000" w:fill="d6e3bc"/>
      <w:spacing w:before="100" w:beforeAutospacing="true" w:after="100" w:afterAutospacing="true"/>
      <w:jc w:val="right"/>
    </w:pPr>
    <w:rPr>
      <w:rFonts w:ascii="新宋体" w:cs="宋体" w:eastAsia="新宋体" w:hAnsi="新宋体"/>
      <w:b/>
      <w:bCs/>
      <w:kern w:val="0"/>
      <w:sz w:val="20"/>
      <w:szCs w:val="20"/>
    </w:rPr>
  </w:style>
  <w:style w:type="paragraph" w:customStyle="1" w:styleId="style4228">
    <w:name w:val="Char Char Char Char Char Char Char Char Char Char Char Char"/>
    <w:basedOn w:val="style0"/>
    <w:next w:val="style4228"/>
    <w:qFormat/>
    <w:pPr>
      <w:widowControl/>
      <w:spacing w:lineRule="exact" w:line="240"/>
      <w:jc w:val="left"/>
    </w:pPr>
    <w:rPr/>
  </w:style>
  <w:style w:type="paragraph" w:customStyle="1" w:styleId="style4229">
    <w:name w:val="xl73"/>
    <w:basedOn w:val="style0"/>
    <w:next w:val="style4229"/>
    <w:qFormat/>
    <w:pPr>
      <w:widowControl/>
      <w:pBdr>
        <w:right w:val="single" w:sz="8" w:space="0" w:color="auto"/>
        <w:bottom w:val="single" w:sz="8" w:space="0" w:color="auto"/>
      </w:pBdr>
      <w:shd w:val="clear" w:color="000000" w:fill="d6e3bc"/>
      <w:spacing w:before="100" w:beforeAutospacing="true" w:after="100" w:afterAutospacing="true"/>
      <w:jc w:val="left"/>
    </w:pPr>
    <w:rPr>
      <w:rFonts w:ascii="新宋体" w:cs="宋体" w:eastAsia="新宋体" w:hAnsi="新宋体"/>
      <w:kern w:val="0"/>
      <w:sz w:val="20"/>
      <w:szCs w:val="20"/>
    </w:rPr>
  </w:style>
  <w:style w:type="paragraph" w:customStyle="1" w:styleId="style4230">
    <w:name w:val="表格"/>
    <w:basedOn w:val="style0"/>
    <w:next w:val="style4230"/>
    <w:qFormat/>
    <w:pPr>
      <w:spacing w:lineRule="exact" w:line="400"/>
    </w:pPr>
    <w:rPr>
      <w:sz w:val="24"/>
    </w:rPr>
  </w:style>
  <w:style w:type="paragraph" w:customStyle="1" w:styleId="style4231">
    <w:name w:val="xl74"/>
    <w:basedOn w:val="style0"/>
    <w:next w:val="style4231"/>
    <w:qFormat/>
    <w:pPr>
      <w:widowControl/>
      <w:pBdr>
        <w:left w:val="single" w:sz="8" w:space="0" w:color="auto"/>
        <w:right w:val="single" w:sz="8" w:space="0" w:color="auto"/>
        <w:bottom w:val="single" w:sz="8" w:space="0" w:color="auto"/>
      </w:pBdr>
      <w:shd w:val="clear" w:color="000000" w:fill="d6e3bc"/>
      <w:spacing w:before="100" w:beforeAutospacing="true" w:after="100" w:afterAutospacing="true"/>
      <w:jc w:val="right"/>
    </w:pPr>
    <w:rPr>
      <w:rFonts w:ascii="新宋体" w:cs="宋体" w:eastAsia="新宋体" w:hAnsi="新宋体"/>
      <w:b/>
      <w:bCs/>
      <w:kern w:val="0"/>
      <w:sz w:val="20"/>
      <w:szCs w:val="20"/>
    </w:rPr>
  </w:style>
  <w:style w:type="paragraph" w:customStyle="1" w:styleId="style4232">
    <w:name w:val="_Style 184"/>
    <w:basedOn w:val="style1"/>
    <w:next w:val="style0"/>
    <w:qFormat/>
    <w:uiPriority w:val="39"/>
    <w:pPr>
      <w:widowControl/>
      <w:spacing w:before="480" w:lineRule="auto" w:line="276"/>
      <w:jc w:val="left"/>
      <w:outlineLvl w:val="9"/>
    </w:pPr>
    <w:rPr>
      <w:rFonts w:ascii="Cambria" w:hAnsi="Cambria"/>
      <w:color w:val="365f91"/>
      <w:kern w:val="0"/>
      <w:sz w:val="28"/>
      <w:szCs w:val="28"/>
    </w:rPr>
  </w:style>
  <w:style w:type="paragraph" w:customStyle="1" w:styleId="style4233">
    <w:name w:val="Default"/>
    <w:next w:val="style76"/>
    <w:qFormat/>
    <w:pPr>
      <w:widowControl w:val="false"/>
      <w:autoSpaceDE w:val="false"/>
      <w:autoSpaceDN w:val="false"/>
      <w:adjustRightInd w:val="false"/>
    </w:pPr>
    <w:rPr>
      <w:rFonts w:ascii="宋体" w:cs="宋体" w:hAnsi="宋体"/>
      <w:color w:val="000000"/>
      <w:sz w:val="24"/>
      <w:szCs w:val="24"/>
    </w:rPr>
  </w:style>
  <w:style w:type="paragraph" w:customStyle="1" w:styleId="style4234">
    <w:name w:val="xl86"/>
    <w:basedOn w:val="style0"/>
    <w:next w:val="style4234"/>
    <w:qFormat/>
    <w:pPr>
      <w:widowControl/>
      <w:pBdr>
        <w:right w:val="single" w:sz="8" w:space="0" w:color="auto"/>
        <w:bottom w:val="single" w:sz="8" w:space="0" w:color="auto"/>
      </w:pBdr>
      <w:shd w:val="clear" w:color="000000" w:fill="d6e3bc"/>
      <w:spacing w:before="100" w:beforeAutospacing="true" w:after="100" w:afterAutospacing="true"/>
      <w:jc w:val="center"/>
    </w:pPr>
    <w:rPr>
      <w:rFonts w:ascii="新宋体" w:cs="宋体" w:eastAsia="新宋体" w:hAnsi="新宋体"/>
      <w:color w:val="000000"/>
      <w:kern w:val="0"/>
      <w:sz w:val="20"/>
      <w:szCs w:val="20"/>
    </w:rPr>
  </w:style>
  <w:style w:type="paragraph" w:customStyle="1" w:styleId="style4235">
    <w:name w:val="xl81"/>
    <w:basedOn w:val="style0"/>
    <w:next w:val="style4235"/>
    <w:qFormat/>
    <w:pPr>
      <w:widowControl/>
      <w:pBdr>
        <w:left w:val="single" w:sz="8" w:space="0" w:color="auto"/>
        <w:right w:val="single" w:sz="8" w:space="0" w:color="auto"/>
        <w:bottom w:val="single" w:sz="8" w:space="0" w:color="auto"/>
      </w:pBdr>
      <w:spacing w:before="100" w:beforeAutospacing="true" w:after="100" w:afterAutospacing="true"/>
      <w:jc w:val="right"/>
    </w:pPr>
    <w:rPr>
      <w:rFonts w:ascii="新宋体" w:cs="宋体" w:eastAsia="新宋体" w:hAnsi="新宋体"/>
      <w:kern w:val="0"/>
      <w:sz w:val="20"/>
      <w:szCs w:val="20"/>
    </w:rPr>
  </w:style>
  <w:style w:type="paragraph" w:customStyle="1" w:styleId="style4236">
    <w:name w:val="表内文字"/>
    <w:basedOn w:val="style0"/>
    <w:next w:val="style4236"/>
    <w:qFormat/>
    <w:pPr>
      <w:snapToGrid w:val="false"/>
      <w:spacing w:before="50" w:after="50"/>
      <w:jc w:val="center"/>
    </w:pPr>
    <w:rPr>
      <w:rFonts w:ascii="仿宋_GB2312" w:eastAsia="仿宋_GB2312" w:hAnsi="宋体"/>
      <w:b/>
      <w:color w:val="000000"/>
      <w:sz w:val="32"/>
      <w:szCs w:val="32"/>
    </w:rPr>
  </w:style>
  <w:style w:type="paragraph" w:customStyle="1" w:styleId="style4237">
    <w:name w:val="xl82"/>
    <w:basedOn w:val="style0"/>
    <w:next w:val="style4237"/>
    <w:qFormat/>
    <w:pPr>
      <w:widowControl/>
      <w:pBdr>
        <w:left w:val="single" w:sz="8" w:space="0" w:color="auto"/>
        <w:right w:val="single" w:sz="8" w:space="0" w:color="auto"/>
        <w:bottom w:val="single" w:sz="8" w:space="0" w:color="auto"/>
      </w:pBdr>
      <w:shd w:val="clear" w:color="000000" w:fill="d6e3bc"/>
      <w:spacing w:before="100" w:beforeAutospacing="true" w:after="100" w:afterAutospacing="true"/>
      <w:jc w:val="right"/>
    </w:pPr>
    <w:rPr>
      <w:rFonts w:ascii="新宋体" w:cs="宋体" w:eastAsia="新宋体" w:hAnsi="新宋体"/>
      <w:color w:val="ff0000"/>
      <w:kern w:val="0"/>
      <w:sz w:val="20"/>
      <w:szCs w:val="20"/>
    </w:rPr>
  </w:style>
  <w:style w:type="paragraph" w:customStyle="1" w:styleId="style4238">
    <w:name w:val="样式 首行缩进:  2 字符"/>
    <w:basedOn w:val="style0"/>
    <w:next w:val="style4238"/>
    <w:qFormat/>
    <w:pPr>
      <w:spacing w:lineRule="exact" w:line="400"/>
      <w:ind w:firstLine="200" w:firstLineChars="200"/>
    </w:pPr>
    <w:rPr>
      <w:rFonts w:cs="宋体"/>
      <w:sz w:val="24"/>
    </w:rPr>
  </w:style>
  <w:style w:type="paragraph" w:customStyle="1" w:styleId="style4239">
    <w:name w:val="Other|1"/>
    <w:basedOn w:val="style0"/>
    <w:next w:val="style4239"/>
    <w:qFormat/>
    <w:pPr>
      <w:jc w:val="left"/>
    </w:pPr>
    <w:rPr>
      <w:rFonts w:ascii="宋体" w:cs="宋体" w:hAnsi="宋体"/>
      <w:sz w:val="22"/>
      <w:lang w:val="zh-TW" w:bidi="zh-TW" w:eastAsia="zh-TW"/>
    </w:rPr>
  </w:style>
  <w:style w:type="paragraph" w:customStyle="1" w:styleId="style4240">
    <w:name w:val="正文首行缩进两字符"/>
    <w:basedOn w:val="style0"/>
    <w:next w:val="style4240"/>
    <w:qFormat/>
    <w:pPr>
      <w:spacing w:lineRule="auto" w:line="360"/>
      <w:ind w:firstLine="200" w:firstLineChars="200"/>
    </w:pPr>
    <w:rPr/>
  </w:style>
  <w:style w:type="paragraph" w:customStyle="1" w:styleId="style4241">
    <w:name w:val="列出段落12"/>
    <w:basedOn w:val="style0"/>
    <w:next w:val="style4241"/>
    <w:qFormat/>
    <w:uiPriority w:val="99"/>
    <w:pPr>
      <w:spacing w:before="100" w:beforeAutospacing="true" w:after="100" w:afterAutospacing="true" w:lineRule="auto" w:line="360"/>
      <w:ind w:firstLine="420" w:firstLineChars="200"/>
    </w:pPr>
    <w:rPr/>
  </w:style>
  <w:style w:type="paragraph" w:customStyle="1" w:styleId="style4242">
    <w:name w:val="修订7"/>
    <w:next w:val="style4242"/>
    <w:qFormat/>
    <w:uiPriority w:val="99"/>
    <w:pPr/>
    <w:rPr>
      <w:rFonts w:ascii="宋体" w:cs="宋体" w:hAnsi="宋体"/>
      <w:kern w:val="2"/>
      <w:sz w:val="24"/>
      <w:szCs w:val="28"/>
    </w:rPr>
  </w:style>
  <w:style w:type="paragraph" w:customStyle="1" w:styleId="style4243">
    <w:name w:val="默认段落字体 Para Char Char Char Char Char Char Char Char Char1 Char Char Char Char"/>
    <w:basedOn w:val="style0"/>
    <w:next w:val="style4243"/>
    <w:qFormat/>
    <w:pPr/>
    <w:rPr>
      <w:rFonts w:ascii="Tahoma" w:hAnsi="Tahoma"/>
      <w:sz w:val="24"/>
      <w:szCs w:val="20"/>
    </w:rPr>
  </w:style>
  <w:style w:type="paragraph" w:customStyle="1" w:styleId="style4244">
    <w:name w:val="_Style 117"/>
    <w:next w:val="style4244"/>
    <w:qFormat/>
    <w:pPr>
      <w:widowControl w:val="false"/>
      <w:jc w:val="both"/>
    </w:pPr>
    <w:rPr>
      <w:kern w:val="2"/>
      <w:sz w:val="21"/>
      <w:szCs w:val="24"/>
    </w:rPr>
  </w:style>
  <w:style w:type="paragraph" w:customStyle="1" w:styleId="style4245">
    <w:name w:val="Char Char Char1 Char Char Char Char Char Char Char"/>
    <w:basedOn w:val="style0"/>
    <w:next w:val="style4245"/>
    <w:qFormat/>
    <w:pPr/>
  </w:style>
  <w:style w:type="paragraph" w:customStyle="1" w:styleId="style4246">
    <w:name w:val="样式 标题 1 + 居中 段前: 0 磅 段后: 0 磅 行距: 固定值 30 磅"/>
    <w:basedOn w:val="style1"/>
    <w:next w:val="style4246"/>
    <w:qFormat/>
    <w:pPr>
      <w:spacing w:lineRule="exact" w:line="600"/>
      <w:jc w:val="center"/>
    </w:pPr>
    <w:rPr>
      <w:rFonts w:cs="宋体"/>
      <w:szCs w:val="20"/>
    </w:rPr>
  </w:style>
  <w:style w:type="paragraph" w:customStyle="1" w:styleId="style4247">
    <w:name w:val="正文段"/>
    <w:basedOn w:val="style0"/>
    <w:next w:val="style4247"/>
    <w:qFormat/>
    <w:pPr>
      <w:widowControl/>
      <w:snapToGrid w:val="false"/>
      <w:spacing w:afterLines="50"/>
      <w:ind w:firstLine="200" w:firstLineChars="200"/>
    </w:pPr>
    <w:rPr>
      <w:kern w:val="0"/>
      <w:sz w:val="24"/>
      <w:szCs w:val="20"/>
    </w:rPr>
  </w:style>
  <w:style w:type="paragraph" w:customStyle="1" w:styleId="style4248">
    <w:name w:val="xl68"/>
    <w:basedOn w:val="style0"/>
    <w:next w:val="style4248"/>
    <w:qFormat/>
    <w:pPr>
      <w:widowControl/>
      <w:pBdr>
        <w:right w:val="single" w:sz="8" w:space="0" w:color="000000"/>
        <w:bottom w:val="single" w:sz="8" w:space="0" w:color="000000"/>
      </w:pBdr>
      <w:shd w:val="clear" w:color="000000" w:fill="d6e3bc"/>
      <w:spacing w:before="100" w:beforeAutospacing="true" w:after="100" w:afterAutospacing="true"/>
      <w:jc w:val="left"/>
    </w:pPr>
    <w:rPr>
      <w:rFonts w:ascii="新宋体" w:cs="宋体" w:eastAsia="新宋体" w:hAnsi="新宋体"/>
      <w:kern w:val="0"/>
      <w:sz w:val="20"/>
      <w:szCs w:val="20"/>
    </w:rPr>
  </w:style>
  <w:style w:type="paragraph" w:customStyle="1" w:styleId="style4249">
    <w:name w:val="font5"/>
    <w:basedOn w:val="style0"/>
    <w:next w:val="style4249"/>
    <w:qFormat/>
    <w:pPr>
      <w:widowControl/>
      <w:spacing w:before="100" w:beforeAutospacing="true" w:after="100" w:afterAutospacing="true"/>
      <w:jc w:val="left"/>
    </w:pPr>
    <w:rPr>
      <w:rFonts w:ascii="新宋体" w:cs="宋体" w:eastAsia="新宋体" w:hAnsi="新宋体"/>
      <w:color w:val="000000"/>
      <w:kern w:val="0"/>
      <w:sz w:val="20"/>
      <w:szCs w:val="20"/>
    </w:rPr>
  </w:style>
  <w:style w:type="paragraph" w:customStyle="1" w:styleId="style4250">
    <w:name w:val="Char Char Char Char Char Char Char"/>
    <w:basedOn w:val="style0"/>
    <w:next w:val="style4250"/>
    <w:qFormat/>
    <w:pPr/>
  </w:style>
  <w:style w:type="paragraph" w:customStyle="1" w:styleId="style4251">
    <w:name w:val="xl90"/>
    <w:basedOn w:val="style0"/>
    <w:next w:val="style4251"/>
    <w:qFormat/>
    <w:pPr>
      <w:widowControl/>
      <w:spacing w:before="100" w:beforeAutospacing="true" w:after="100" w:afterAutospacing="true"/>
      <w:jc w:val="center"/>
    </w:pPr>
    <w:rPr>
      <w:rFonts w:ascii="宋体" w:cs="宋体" w:hAnsi="宋体"/>
      <w:kern w:val="0"/>
      <w:sz w:val="24"/>
    </w:rPr>
  </w:style>
  <w:style w:type="paragraph" w:customStyle="1" w:styleId="style4252">
    <w:name w:val="Char Char Char Char1"/>
    <w:basedOn w:val="style0"/>
    <w:next w:val="style4252"/>
    <w:qFormat/>
    <w:pPr>
      <w:widowControl/>
      <w:spacing w:lineRule="exact" w:line="240"/>
      <w:jc w:val="left"/>
    </w:pPr>
    <w:rPr/>
  </w:style>
  <w:style w:type="paragraph" w:customStyle="1" w:styleId="style4253">
    <w:name w:val="xl70"/>
    <w:basedOn w:val="style0"/>
    <w:next w:val="style4253"/>
    <w:qFormat/>
    <w:pPr>
      <w:widowControl/>
      <w:pBdr>
        <w:right w:val="single" w:sz="8" w:space="0" w:color="000000"/>
        <w:bottom w:val="single" w:sz="8" w:space="0" w:color="000000"/>
      </w:pBdr>
      <w:shd w:val="clear" w:color="000000" w:fill="d6e3bc"/>
      <w:spacing w:before="100" w:beforeAutospacing="true" w:after="100" w:afterAutospacing="true"/>
      <w:jc w:val="left"/>
    </w:pPr>
    <w:rPr>
      <w:rFonts w:ascii="新宋体" w:cs="宋体" w:eastAsia="新宋体" w:hAnsi="新宋体"/>
      <w:b/>
      <w:bCs/>
      <w:kern w:val="0"/>
      <w:sz w:val="20"/>
      <w:szCs w:val="20"/>
    </w:rPr>
  </w:style>
  <w:style w:type="paragraph" w:customStyle="1" w:styleId="style4254">
    <w:name w:val="Char Char Char Char Char Char Char Char Char Char Char Char1"/>
    <w:basedOn w:val="style0"/>
    <w:next w:val="style4254"/>
    <w:qFormat/>
    <w:pPr>
      <w:widowControl/>
      <w:spacing w:lineRule="exact" w:line="240"/>
      <w:jc w:val="left"/>
    </w:pPr>
    <w:rPr/>
  </w:style>
  <w:style w:type="paragraph" w:customStyle="1" w:styleId="style4255">
    <w:name w:val="xl83"/>
    <w:basedOn w:val="style0"/>
    <w:next w:val="style4255"/>
    <w:qFormat/>
    <w:pPr>
      <w:widowControl/>
      <w:pBdr>
        <w:right w:val="single" w:sz="8" w:space="0" w:color="auto"/>
        <w:bottom w:val="single" w:sz="8" w:space="0" w:color="auto"/>
      </w:pBdr>
      <w:shd w:val="clear" w:color="000000" w:fill="d6e3bc"/>
      <w:spacing w:before="100" w:beforeAutospacing="true" w:after="100" w:afterAutospacing="true"/>
      <w:jc w:val="left"/>
    </w:pPr>
    <w:rPr>
      <w:rFonts w:ascii="新宋体" w:cs="宋体" w:eastAsia="新宋体" w:hAnsi="新宋体"/>
      <w:color w:val="ff0000"/>
      <w:kern w:val="0"/>
      <w:sz w:val="20"/>
      <w:szCs w:val="20"/>
    </w:rPr>
  </w:style>
  <w:style w:type="paragraph" w:customStyle="1" w:styleId="style4256">
    <w:name w:val="xl65"/>
    <w:basedOn w:val="style0"/>
    <w:next w:val="style4256"/>
    <w:qFormat/>
    <w:pPr>
      <w:widowControl/>
      <w:pBdr>
        <w:left w:val="single" w:sz="8" w:space="0" w:color="000000"/>
        <w:right w:val="single" w:sz="8" w:space="0" w:color="000000"/>
        <w:top w:val="single" w:sz="8" w:space="0" w:color="000000"/>
        <w:bottom w:val="single" w:sz="8" w:space="0" w:color="000000"/>
      </w:pBdr>
      <w:shd w:val="clear" w:color="000000" w:fill="d6e3bc"/>
      <w:spacing w:before="100" w:beforeAutospacing="true" w:after="100" w:afterAutospacing="true"/>
      <w:jc w:val="left"/>
    </w:pPr>
    <w:rPr>
      <w:rFonts w:ascii="新宋体" w:cs="宋体" w:eastAsia="新宋体" w:hAnsi="新宋体"/>
      <w:kern w:val="0"/>
      <w:sz w:val="20"/>
      <w:szCs w:val="20"/>
    </w:rPr>
  </w:style>
  <w:style w:type="paragraph" w:customStyle="1" w:styleId="style4257">
    <w:name w:val="修订2"/>
    <w:next w:val="style4257"/>
    <w:qFormat/>
    <w:uiPriority w:val="99"/>
    <w:pPr/>
    <w:rPr>
      <w:rFonts w:ascii="宋体" w:cs="宋体" w:hAnsi="宋体"/>
      <w:kern w:val="2"/>
      <w:sz w:val="24"/>
      <w:szCs w:val="28"/>
    </w:rPr>
  </w:style>
  <w:style w:type="paragraph" w:customStyle="1" w:styleId="style4258">
    <w:name w:val="Char Char Char"/>
    <w:basedOn w:val="style0"/>
    <w:next w:val="style4258"/>
    <w:qFormat/>
    <w:pPr/>
    <w:rPr>
      <w:szCs w:val="20"/>
    </w:rPr>
  </w:style>
  <w:style w:type="paragraph" w:customStyle="1" w:styleId="style4259">
    <w:name w:val="样式5"/>
    <w:basedOn w:val="style0"/>
    <w:next w:val="style4259"/>
    <w:qFormat/>
    <w:pPr>
      <w:adjustRightInd w:val="false"/>
      <w:spacing w:lineRule="exact" w:line="440"/>
      <w:ind w:left="2" w:firstLine="480" w:firstLineChars="200"/>
    </w:pPr>
    <w:rPr>
      <w:rFonts w:ascii="仿宋_GB2312" w:eastAsia="仿宋_GB2312" w:hAnsi="仿宋"/>
      <w:sz w:val="24"/>
    </w:rPr>
  </w:style>
  <w:style w:type="paragraph" w:customStyle="1" w:styleId="style4260">
    <w:name w:val="TOC 标题1"/>
    <w:basedOn w:val="style1"/>
    <w:next w:val="style0"/>
    <w:qFormat/>
    <w:uiPriority w:val="39"/>
    <w:pPr>
      <w:widowControl/>
      <w:spacing w:before="240" w:lineRule="auto" w:line="259"/>
      <w:jc w:val="left"/>
      <w:outlineLvl w:val="9"/>
    </w:pPr>
    <w:rPr>
      <w:rFonts w:ascii="Calibri Light" w:hAnsi="Calibri Light"/>
      <w:b w:val="false"/>
      <w:bCs w:val="false"/>
      <w:color w:val="2e74b5"/>
      <w:kern w:val="0"/>
      <w:sz w:val="32"/>
      <w:szCs w:val="32"/>
    </w:rPr>
  </w:style>
  <w:style w:type="paragraph" w:customStyle="1" w:styleId="style4261">
    <w:name w:val="正文文本缩进 21"/>
    <w:basedOn w:val="style0"/>
    <w:next w:val="style4261"/>
    <w:qFormat/>
    <w:pPr>
      <w:spacing w:lineRule="auto" w:line="360"/>
      <w:ind w:left="180" w:firstLine="560" w:firstLineChars="200"/>
    </w:pPr>
    <w:rPr>
      <w:rFonts w:ascii="宋体" w:cs="宋体" w:hAnsi="宋体"/>
      <w:kern w:val="0"/>
      <w:sz w:val="24"/>
      <w:szCs w:val="18"/>
    </w:rPr>
  </w:style>
  <w:style w:type="paragraph" w:customStyle="1" w:styleId="style4262">
    <w:name w:val="正文lgh"/>
    <w:basedOn w:val="style0"/>
    <w:next w:val="style4262"/>
    <w:qFormat/>
    <w:pPr>
      <w:spacing w:lineRule="auto" w:line="360"/>
      <w:ind w:firstLine="480" w:firstLineChars="200"/>
    </w:pPr>
    <w:rPr>
      <w:rFonts w:ascii="宋体" w:cs="宋体" w:hAnsi="宋体"/>
      <w:bCs/>
      <w:sz w:val="24"/>
      <w:szCs w:val="28"/>
      <w:lang w:val="zh-CN"/>
    </w:rPr>
  </w:style>
  <w:style w:type="paragraph" w:customStyle="1" w:styleId="style4263">
    <w:name w:val="修订6"/>
    <w:next w:val="style4263"/>
    <w:qFormat/>
    <w:uiPriority w:val="99"/>
    <w:pPr/>
    <w:rPr>
      <w:rFonts w:ascii="宋体" w:cs="宋体" w:hAnsi="宋体"/>
      <w:kern w:val="2"/>
      <w:sz w:val="24"/>
      <w:szCs w:val="28"/>
    </w:rPr>
  </w:style>
  <w:style w:type="paragraph" w:customStyle="1" w:styleId="style4264">
    <w:name w:val="_正文"/>
    <w:next w:val="style4264"/>
    <w:qFormat/>
    <w:pPr>
      <w:spacing w:lineRule="auto" w:line="360"/>
      <w:ind w:firstLine="200" w:firstLineChars="200"/>
      <w:jc w:val="both"/>
    </w:pPr>
    <w:rPr>
      <w:color w:val="000000"/>
      <w:kern w:val="2"/>
      <w:sz w:val="24"/>
      <w:szCs w:val="24"/>
    </w:rPr>
  </w:style>
  <w:style w:type="paragraph" w:customStyle="1" w:styleId="style4265">
    <w:name w:val="JR_正文"/>
    <w:basedOn w:val="style0"/>
    <w:next w:val="style4265"/>
    <w:qFormat/>
    <w:pPr>
      <w:spacing w:lineRule="auto" w:line="360"/>
      <w:ind w:firstLine="200" w:firstLineChars="200"/>
    </w:pPr>
    <w:rPr>
      <w:rFonts w:ascii="宋体" w:cs="宋体" w:hAnsi="宋体"/>
      <w:sz w:val="24"/>
      <w:szCs w:val="28"/>
    </w:rPr>
  </w:style>
  <w:style w:type="paragraph" w:customStyle="1" w:styleId="style4266">
    <w:name w:val="修订4"/>
    <w:next w:val="style4266"/>
    <w:qFormat/>
    <w:uiPriority w:val="99"/>
    <w:pPr/>
    <w:rPr>
      <w:rFonts w:ascii="宋体" w:cs="宋体" w:hAnsi="宋体"/>
      <w:kern w:val="2"/>
      <w:sz w:val="24"/>
      <w:szCs w:val="28"/>
    </w:rPr>
  </w:style>
  <w:style w:type="paragraph" w:customStyle="1" w:styleId="style4267">
    <w:name w:val="修订5"/>
    <w:next w:val="style4267"/>
    <w:qFormat/>
    <w:uiPriority w:val="99"/>
    <w:pPr/>
    <w:rPr>
      <w:rFonts w:ascii="宋体" w:cs="宋体" w:hAnsi="宋体"/>
      <w:kern w:val="2"/>
      <w:sz w:val="24"/>
      <w:szCs w:val="28"/>
    </w:rPr>
  </w:style>
  <w:style w:type="paragraph" w:customStyle="1" w:styleId="style4268">
    <w:name w:val="列表段落1"/>
    <w:basedOn w:val="style0"/>
    <w:next w:val="style4268"/>
    <w:qFormat/>
    <w:pPr>
      <w:spacing w:lineRule="auto" w:line="360"/>
      <w:ind w:firstLine="420" w:firstLineChars="200"/>
    </w:pPr>
    <w:rPr>
      <w:rFonts w:ascii="宋体" w:cs="Arial" w:hAnsi="宋体"/>
      <w:sz w:val="24"/>
      <w:szCs w:val="28"/>
    </w:rPr>
  </w:style>
  <w:style w:type="paragraph" w:customStyle="1" w:styleId="style4269">
    <w:name w:val="msolistparagraph"/>
    <w:basedOn w:val="style0"/>
    <w:next w:val="style4269"/>
    <w:qFormat/>
    <w:pPr>
      <w:autoSpaceDE w:val="false"/>
      <w:autoSpaceDN w:val="false"/>
      <w:spacing w:before="33" w:lineRule="auto" w:line="360"/>
      <w:ind w:left="1481" w:hanging="414" w:firstLineChars="200"/>
      <w:jc w:val="left"/>
    </w:pPr>
    <w:rPr>
      <w:rFonts w:ascii="Arial Unicode MS" w:eastAsia="Arial Unicode MS" w:hAnsi="Arial Unicode MS" w:hint="eastAsia"/>
      <w:kern w:val="0"/>
      <w:sz w:val="22"/>
      <w:szCs w:val="22"/>
    </w:rPr>
  </w:style>
  <w:style w:type="paragraph" w:customStyle="1" w:styleId="style4270">
    <w:name w:val="样式1"/>
    <w:basedOn w:val="style0"/>
    <w:next w:val="style4270"/>
    <w:qFormat/>
    <w:uiPriority w:val="99"/>
    <w:pPr>
      <w:numPr>
        <w:ilvl w:val="2"/>
        <w:numId w:val="4"/>
      </w:numPr>
      <w:spacing w:lineRule="atLeast" w:line="480"/>
      <w:ind w:firstLine="200" w:firstLineChars="200"/>
    </w:pPr>
    <w:rPr>
      <w:sz w:val="24"/>
    </w:rPr>
  </w:style>
  <w:style w:type="paragraph" w:customStyle="1" w:styleId="style4271">
    <w:name w:val="标准文件_段"/>
    <w:next w:val="style4271"/>
    <w:qFormat/>
    <w:uiPriority w:val="99"/>
    <w:pPr>
      <w:autoSpaceDE w:val="false"/>
      <w:autoSpaceDN w:val="false"/>
      <w:ind w:firstLine="200" w:firstLineChars="200"/>
      <w:jc w:val="both"/>
    </w:pPr>
    <w:rPr>
      <w:rFonts w:ascii="宋体"/>
      <w:sz w:val="21"/>
    </w:rPr>
  </w:style>
  <w:style w:type="table" w:customStyle="1" w:styleId="style4272">
    <w:name w:val="网格型2"/>
    <w:next w:val="style4272"/>
    <w:qFormat/>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tcBorders/>
    </w:tcPr>
  </w:style>
  <w:style w:type="table" w:customStyle="1" w:styleId="style4273">
    <w:name w:val="Table Normal3"/>
    <w:next w:val="style4273"/>
    <w:qFormat/>
    <w:uiPriority w:val="2"/>
    <w:pPr>
      <w:widowControl w:val="false"/>
    </w:pPr>
    <w:rPr>
      <w:rFonts w:ascii="Calibri" w:hAnsi="Calibri"/>
      <w:sz w:val="22"/>
      <w:szCs w:val="22"/>
      <w:lang w:eastAsia="en-US"/>
    </w:rPr>
    <w:tblPr>
      <w:tblCellMar>
        <w:top w:w="0" w:type="dxa"/>
        <w:left w:w="0" w:type="dxa"/>
        <w:bottom w:w="0" w:type="dxa"/>
        <w:right w:w="0" w:type="dxa"/>
      </w:tblCellMar>
    </w:tblPr>
    <w:tcPr>
      <w:tcBorders/>
    </w:tcPr>
  </w:style>
  <w:style w:type="table" w:customStyle="1" w:styleId="style4274">
    <w:name w:val="Table Normal"/>
    <w:next w:val="style4274"/>
    <w:qFormat/>
    <w:uiPriority w:val="2"/>
    <w:pPr>
      <w:widowControl w:val="false"/>
    </w:pPr>
    <w:rPr>
      <w:rFonts w:ascii="Calibri" w:eastAsia="Times New Roman" w:hAnsi="Calibri"/>
      <w:sz w:val="22"/>
      <w:szCs w:val="22"/>
      <w:lang w:eastAsia="en-US"/>
    </w:rPr>
    <w:tblPr>
      <w:tblCellMar>
        <w:top w:w="0" w:type="dxa"/>
        <w:left w:w="0" w:type="dxa"/>
        <w:bottom w:w="0" w:type="dxa"/>
        <w:right w:w="0" w:type="dxa"/>
      </w:tblCellMar>
    </w:tblPr>
    <w:tcPr>
      <w:tcBorders/>
    </w:tcPr>
  </w:style>
  <w:style w:type="paragraph" w:customStyle="1" w:styleId="style4275">
    <w:name w:val="表头"/>
    <w:next w:val="style4275"/>
    <w:qFormat/>
    <w:pPr>
      <w:jc w:val="center"/>
    </w:pPr>
    <w:rPr>
      <w:rFonts w:ascii="仿宋_GB2312" w:cs="等线" w:eastAsia="仿宋_GB2312" w:hAnsi="仿宋_GB2312" w:hint="eastAsia"/>
      <w:b/>
      <w:sz w:val="24"/>
      <w:szCs w:val="24"/>
    </w:rPr>
  </w:style>
  <w:style w:type="paragraph" w:customStyle="1" w:styleId="style4276">
    <w:name w:val="表格内容"/>
    <w:next w:val="style4276"/>
    <w:qFormat/>
    <w:pPr/>
    <w:rPr>
      <w:rFonts w:ascii="仿宋_GB2312" w:cs="等线" w:eastAsia="仿宋_GB2312" w:hAnsi="仿宋_GB2312"/>
      <w:bCs/>
      <w:sz w:val="24"/>
    </w:rPr>
  </w:style>
  <w:style w:type="character" w:customStyle="1" w:styleId="style4277">
    <w:name w:val="题注 Char"/>
    <w:next w:val="style4277"/>
    <w:link w:val="style34"/>
    <w:qFormat/>
    <w:uiPriority w:val="35"/>
    <w:rPr>
      <w:rFonts w:ascii="Arial" w:cs="Arial" w:eastAsia="黑体" w:hAnsi="Arial"/>
      <w:kern w:val="2"/>
    </w:rPr>
  </w:style>
  <w:style w:type="paragraph" w:customStyle="1" w:styleId="style4278">
    <w:name w:val="表标题"/>
    <w:basedOn w:val="style0"/>
    <w:next w:val="style4278"/>
    <w:qFormat/>
    <w:pPr>
      <w:tabs>
        <w:tab w:val="left" w:leader="none" w:pos="425"/>
        <w:tab w:val="left" w:leader="none" w:pos="720"/>
      </w:tabs>
      <w:jc w:val="center"/>
    </w:pPr>
    <w:rPr>
      <w:b/>
      <w:sz w:val="24"/>
      <w:szCs w:val="20"/>
    </w:rPr>
  </w:style>
  <w:style w:type="character" w:customStyle="1" w:styleId="style4279">
    <w:name w:val="正文缩进 Char"/>
    <w:next w:val="style4279"/>
    <w:link w:val="style28"/>
    <w:qFormat/>
    <w:rPr>
      <w:kern w:val="2"/>
      <w:sz w:val="21"/>
    </w:rPr>
  </w:style>
  <w:style w:type="character" w:customStyle="1" w:styleId="style4280">
    <w:name w:val="font91"/>
    <w:basedOn w:val="style65"/>
    <w:next w:val="style4280"/>
    <w:qFormat/>
    <w:rPr>
      <w:rFonts w:ascii="宋体" w:cs="宋体" w:eastAsia="宋体" w:hAnsi="宋体" w:hint="eastAsia"/>
      <w:color w:val="000000"/>
      <w:sz w:val="21"/>
      <w:szCs w:val="21"/>
      <w:u w:val="none"/>
      <w:vertAlign w:val="superscript"/>
    </w:rPr>
  </w:style>
  <w:style w:type="character" w:customStyle="1" w:styleId="style4281">
    <w:name w:val="bookmark-item"/>
    <w:basedOn w:val="style65"/>
    <w:next w:val="style4281"/>
    <w:qFormat/>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footer" Target="footer9.xml"/><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footer" Target="footer8.xml"/><Relationship Id="rId15" Type="http://schemas.openxmlformats.org/officeDocument/2006/relationships/customXml" Target="../customXml/item1.xml"/><Relationship Id="rId14" Type="http://schemas.openxmlformats.org/officeDocument/2006/relationships/theme" Target="theme/theme1.xml"/><Relationship Id="rId16" Type="http://schemas.openxmlformats.org/officeDocument/2006/relationships/customXml" Target="../customXml/item2.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8581D-0F67-4DF9-92A1-E018B9A7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Words>97676</Words>
  <Pages>149</Pages>
  <Characters>102357</Characters>
  <Application>WPS Office</Application>
  <DocSecurity>0</DocSecurity>
  <Paragraphs>3642</Paragraphs>
  <ScaleCrop>false</ScaleCrop>
  <Company>Philips</Company>
  <LinksUpToDate>false</LinksUpToDate>
  <CharactersWithSpaces>106987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2024-10-15T08:42:00Z</dcterms:created>
  <dc:creator>Lin, Hong</dc:creator>
  <lastModifiedBy>V2324A</lastModifiedBy>
  <lastPrinted>2024-10-15T09:08:00Z</lastPrinted>
  <dcterms:modified xsi:type="dcterms:W3CDTF">2024-10-21T09:03:36Z</dcterms:modified>
  <revision>30</revision>
  <dc:title>南财采管〔2012〕3号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4C7AE26292754C3A818D64E79740FCB8</vt:lpwstr>
  </property>
</Properties>
</file>