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B0DECC">
      <w:pPr>
        <w:spacing w:line="720" w:lineRule="exact"/>
        <w:ind w:right="-577" w:rightChars="-275"/>
        <w:jc w:val="center"/>
        <w:outlineLvl w:val="0"/>
        <w:rPr>
          <w:rFonts w:hint="eastAsia" w:ascii="宋体" w:hAnsi="宋体" w:eastAsia="宋体" w:cs="宋体"/>
          <w:b/>
          <w:bCs/>
          <w:color w:val="auto"/>
          <w:spacing w:val="80"/>
          <w:sz w:val="40"/>
          <w:szCs w:val="40"/>
          <w:highlight w:val="none"/>
        </w:rPr>
      </w:pPr>
      <w:bookmarkStart w:id="0" w:name="_Toc28684"/>
      <w:bookmarkStart w:id="1" w:name="_Toc10319"/>
      <w:bookmarkStart w:id="2" w:name="_Toc7014_WPSOffice_Level1"/>
    </w:p>
    <w:bookmarkEnd w:id="0"/>
    <w:p w14:paraId="0553F955">
      <w:pPr>
        <w:spacing w:line="720" w:lineRule="exact"/>
        <w:jc w:val="center"/>
        <w:rPr>
          <w:rFonts w:hint="eastAsia" w:ascii="宋体" w:hAnsi="宋体" w:eastAsia="宋体" w:cs="宋体"/>
          <w:color w:val="auto"/>
          <w:sz w:val="60"/>
          <w:szCs w:val="60"/>
          <w:highlight w:val="none"/>
          <w:lang w:eastAsia="zh-CN"/>
        </w:rPr>
      </w:pPr>
      <w:r>
        <w:rPr>
          <w:rFonts w:hint="eastAsia" w:ascii="宋体" w:hAnsi="宋体" w:cs="宋体"/>
          <w:b/>
          <w:bCs/>
          <w:color w:val="auto"/>
          <w:sz w:val="60"/>
          <w:szCs w:val="60"/>
          <w:highlight w:val="none"/>
          <w:lang w:eastAsia="zh-CN"/>
        </w:rPr>
        <w:t>合普项目管理咨询集团有限公司</w:t>
      </w:r>
    </w:p>
    <w:p w14:paraId="50C225DA">
      <w:pPr>
        <w:jc w:val="center"/>
        <w:rPr>
          <w:rFonts w:hint="eastAsia" w:ascii="宋体" w:hAnsi="宋体" w:eastAsia="宋体" w:cs="宋体"/>
          <w:color w:val="auto"/>
          <w:highlight w:val="none"/>
        </w:rPr>
      </w:pPr>
    </w:p>
    <w:p w14:paraId="1BB852E1">
      <w:pPr>
        <w:pStyle w:val="14"/>
        <w:rPr>
          <w:rFonts w:hint="eastAsia" w:ascii="宋体" w:hAnsi="宋体" w:eastAsia="宋体" w:cs="宋体"/>
          <w:color w:val="auto"/>
          <w:highlight w:val="none"/>
        </w:rPr>
      </w:pPr>
    </w:p>
    <w:p w14:paraId="227A2299">
      <w:pPr>
        <w:rPr>
          <w:rFonts w:hint="eastAsia" w:ascii="宋体" w:hAnsi="宋体" w:eastAsia="宋体" w:cs="宋体"/>
          <w:color w:val="auto"/>
          <w:highlight w:val="none"/>
        </w:rPr>
      </w:pPr>
    </w:p>
    <w:p w14:paraId="02028BCA">
      <w:pPr>
        <w:jc w:val="center"/>
        <w:rPr>
          <w:rFonts w:hint="eastAsia"/>
          <w:color w:val="000000"/>
          <w:spacing w:val="6"/>
          <w:sz w:val="28"/>
          <w:highlight w:val="none"/>
        </w:rPr>
      </w:pPr>
    </w:p>
    <w:p w14:paraId="12C5C311">
      <w:pPr>
        <w:jc w:val="center"/>
        <w:rPr>
          <w:rFonts w:hint="eastAsia"/>
          <w:color w:val="000000"/>
          <w:spacing w:val="6"/>
          <w:sz w:val="28"/>
          <w:highlight w:val="none"/>
        </w:rPr>
      </w:pPr>
      <w:r>
        <w:rPr>
          <w:rFonts w:hint="eastAsia"/>
          <w:color w:val="000000"/>
          <w:spacing w:val="6"/>
          <w:sz w:val="28"/>
          <w:highlight w:val="none"/>
        </w:rPr>
        <w:drawing>
          <wp:anchor distT="0" distB="0" distL="114300" distR="114300" simplePos="0" relativeHeight="251661312" behindDoc="1" locked="0" layoutInCell="1" allowOverlap="1">
            <wp:simplePos x="0" y="0"/>
            <wp:positionH relativeFrom="column">
              <wp:posOffset>2312670</wp:posOffset>
            </wp:positionH>
            <wp:positionV relativeFrom="paragraph">
              <wp:posOffset>1270</wp:posOffset>
            </wp:positionV>
            <wp:extent cx="1471930" cy="1035050"/>
            <wp:effectExtent l="0" t="0" r="13970" b="12700"/>
            <wp:wrapNone/>
            <wp:docPr id="6" name="图片 1" descr="合普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合普logo"/>
                    <pic:cNvPicPr>
                      <a:picLocks noChangeAspect="1"/>
                    </pic:cNvPicPr>
                  </pic:nvPicPr>
                  <pic:blipFill>
                    <a:blip r:embed="rId9"/>
                    <a:stretch>
                      <a:fillRect/>
                    </a:stretch>
                  </pic:blipFill>
                  <pic:spPr>
                    <a:xfrm>
                      <a:off x="0" y="0"/>
                      <a:ext cx="1471930" cy="1035050"/>
                    </a:xfrm>
                    <a:prstGeom prst="rect">
                      <a:avLst/>
                    </a:prstGeom>
                    <a:noFill/>
                    <a:ln>
                      <a:noFill/>
                    </a:ln>
                  </pic:spPr>
                </pic:pic>
              </a:graphicData>
            </a:graphic>
          </wp:anchor>
        </w:drawing>
      </w:r>
    </w:p>
    <w:p w14:paraId="687BA14F">
      <w:pPr>
        <w:jc w:val="center"/>
        <w:rPr>
          <w:rFonts w:hint="eastAsia"/>
          <w:color w:val="000000"/>
          <w:spacing w:val="6"/>
          <w:sz w:val="28"/>
          <w:highlight w:val="none"/>
        </w:rPr>
      </w:pPr>
    </w:p>
    <w:p w14:paraId="333A20B6">
      <w:pPr>
        <w:jc w:val="center"/>
        <w:rPr>
          <w:rFonts w:hint="eastAsia"/>
          <w:color w:val="000000"/>
          <w:spacing w:val="6"/>
          <w:sz w:val="28"/>
          <w:highlight w:val="none"/>
        </w:rPr>
      </w:pPr>
    </w:p>
    <w:p w14:paraId="78284326">
      <w:pPr>
        <w:jc w:val="center"/>
        <w:rPr>
          <w:rFonts w:hint="eastAsia"/>
          <w:color w:val="000000"/>
          <w:spacing w:val="6"/>
          <w:sz w:val="28"/>
          <w:highlight w:val="none"/>
        </w:rPr>
      </w:pPr>
    </w:p>
    <w:p w14:paraId="4622D1DD">
      <w:pPr>
        <w:rPr>
          <w:rFonts w:hint="eastAsia" w:ascii="宋体" w:hAnsi="宋体" w:eastAsia="宋体" w:cs="宋体"/>
          <w:color w:val="auto"/>
          <w:highlight w:val="none"/>
        </w:rPr>
      </w:pPr>
    </w:p>
    <w:p w14:paraId="446F4623">
      <w:pPr>
        <w:rPr>
          <w:rFonts w:hint="eastAsia" w:ascii="宋体" w:hAnsi="宋体" w:eastAsia="宋体" w:cs="宋体"/>
          <w:color w:val="auto"/>
          <w:highlight w:val="none"/>
        </w:rPr>
      </w:pPr>
    </w:p>
    <w:p w14:paraId="4B4CD40C">
      <w:pPr>
        <w:spacing w:line="1000" w:lineRule="exact"/>
        <w:ind w:right="-294" w:rightChars="-140"/>
        <w:jc w:val="center"/>
        <w:outlineLvl w:val="0"/>
        <w:rPr>
          <w:rFonts w:hint="eastAsia" w:ascii="宋体" w:hAnsi="宋体" w:eastAsia="宋体" w:cs="宋体"/>
          <w:b/>
          <w:color w:val="auto"/>
          <w:sz w:val="84"/>
          <w:szCs w:val="84"/>
          <w:highlight w:val="none"/>
        </w:rPr>
      </w:pPr>
      <w:bookmarkStart w:id="3" w:name="_Toc26961"/>
      <w:r>
        <w:rPr>
          <w:rFonts w:hint="eastAsia" w:ascii="宋体" w:hAnsi="宋体" w:eastAsia="宋体" w:cs="宋体"/>
          <w:b/>
          <w:color w:val="auto"/>
          <w:sz w:val="84"/>
          <w:szCs w:val="84"/>
          <w:highlight w:val="none"/>
        </w:rPr>
        <w:t>竞争性磋商文件</w:t>
      </w:r>
      <w:bookmarkEnd w:id="3"/>
    </w:p>
    <w:p w14:paraId="0E6B607D">
      <w:pPr>
        <w:pStyle w:val="38"/>
        <w:ind w:left="0" w:leftChars="0" w:firstLine="0" w:firstLineChars="0"/>
        <w:jc w:val="both"/>
        <w:rPr>
          <w:rFonts w:hint="eastAsia" w:ascii="宋体" w:hAnsi="宋体" w:eastAsia="宋体" w:cs="宋体"/>
          <w:color w:val="auto"/>
          <w:highlight w:val="none"/>
        </w:rPr>
      </w:pPr>
    </w:p>
    <w:p w14:paraId="1E9C580F">
      <w:pPr>
        <w:keepNext w:val="0"/>
        <w:keepLines w:val="0"/>
        <w:pageBreakBefore w:val="0"/>
        <w:widowControl w:val="0"/>
        <w:kinsoku/>
        <w:wordWrap/>
        <w:overflowPunct/>
        <w:topLinePunct w:val="0"/>
        <w:autoSpaceDE/>
        <w:autoSpaceDN/>
        <w:bidi w:val="0"/>
        <w:adjustRightInd/>
        <w:snapToGrid/>
        <w:ind w:left="3280" w:leftChars="800" w:hanging="1600" w:hangingChars="500"/>
        <w:textAlignment w:val="auto"/>
        <w:rPr>
          <w:rFonts w:hint="eastAsia" w:ascii="宋体" w:hAnsi="宋体" w:eastAsia="宋体" w:cs="宋体"/>
          <w:color w:val="auto"/>
          <w:sz w:val="32"/>
          <w:szCs w:val="32"/>
          <w:highlight w:val="none"/>
        </w:rPr>
      </w:pPr>
      <w:bookmarkStart w:id="4" w:name="_Toc28391"/>
      <w:r>
        <w:rPr>
          <w:rFonts w:hint="eastAsia" w:ascii="宋体" w:hAnsi="宋体" w:eastAsia="宋体" w:cs="宋体"/>
          <w:color w:val="auto"/>
          <w:sz w:val="32"/>
          <w:szCs w:val="32"/>
          <w:highlight w:val="none"/>
        </w:rPr>
        <w:t>项目名称：</w:t>
      </w:r>
      <w:r>
        <w:rPr>
          <w:rFonts w:hint="eastAsia" w:ascii="宋体" w:hAnsi="宋体" w:cs="宋体"/>
          <w:color w:val="auto"/>
          <w:sz w:val="32"/>
          <w:szCs w:val="32"/>
          <w:highlight w:val="none"/>
          <w:lang w:eastAsia="zh-CN"/>
        </w:rPr>
        <w:t>恭城县水网建设规划</w:t>
      </w:r>
    </w:p>
    <w:p w14:paraId="11AAE48D">
      <w:pPr>
        <w:ind w:left="0" w:leftChars="0" w:firstLine="1680" w:firstLineChars="525"/>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rPr>
        <w:t>项目编号：</w:t>
      </w:r>
      <w:r>
        <w:rPr>
          <w:rFonts w:hint="eastAsia" w:ascii="宋体" w:hAnsi="宋体" w:cs="宋体"/>
          <w:color w:val="auto"/>
          <w:sz w:val="32"/>
          <w:highlight w:val="none"/>
          <w:lang w:eastAsia="zh-CN"/>
        </w:rPr>
        <w:t>GLZC2025-C3-320022-AHHP</w:t>
      </w:r>
    </w:p>
    <w:bookmarkEnd w:id="4"/>
    <w:p w14:paraId="5472CB3B">
      <w:pPr>
        <w:pStyle w:val="37"/>
        <w:rPr>
          <w:rFonts w:hint="eastAsia" w:ascii="宋体" w:hAnsi="宋体" w:eastAsia="宋体" w:cs="宋体"/>
          <w:color w:val="auto"/>
          <w:sz w:val="28"/>
          <w:szCs w:val="28"/>
          <w:highlight w:val="none"/>
        </w:rPr>
      </w:pPr>
    </w:p>
    <w:p w14:paraId="2D8486FB">
      <w:pPr>
        <w:rPr>
          <w:rFonts w:hint="eastAsia" w:ascii="宋体" w:hAnsi="宋体" w:eastAsia="宋体" w:cs="宋体"/>
          <w:color w:val="auto"/>
          <w:highlight w:val="none"/>
        </w:rPr>
      </w:pPr>
    </w:p>
    <w:p w14:paraId="0AD94BAE">
      <w:pPr>
        <w:rPr>
          <w:rFonts w:hint="eastAsia" w:ascii="宋体" w:hAnsi="宋体" w:eastAsia="宋体" w:cs="宋体"/>
          <w:color w:val="auto"/>
          <w:highlight w:val="none"/>
        </w:rPr>
      </w:pPr>
    </w:p>
    <w:p w14:paraId="08784699">
      <w:pPr>
        <w:rPr>
          <w:rFonts w:hint="eastAsia" w:ascii="宋体" w:hAnsi="宋体" w:eastAsia="宋体" w:cs="宋体"/>
          <w:color w:val="auto"/>
          <w:highlight w:val="none"/>
        </w:rPr>
      </w:pPr>
    </w:p>
    <w:p w14:paraId="3B9DD28D">
      <w:pPr>
        <w:rPr>
          <w:rFonts w:hint="eastAsia" w:ascii="宋体" w:hAnsi="宋体" w:eastAsia="宋体" w:cs="宋体"/>
          <w:color w:val="auto"/>
          <w:highlight w:val="none"/>
        </w:rPr>
      </w:pPr>
    </w:p>
    <w:p w14:paraId="47B9B85C">
      <w:pPr>
        <w:rPr>
          <w:rFonts w:hint="eastAsia" w:ascii="宋体" w:hAnsi="宋体" w:eastAsia="宋体" w:cs="宋体"/>
          <w:color w:val="auto"/>
          <w:highlight w:val="none"/>
        </w:rPr>
      </w:pPr>
    </w:p>
    <w:p w14:paraId="3569EF46">
      <w:pPr>
        <w:rPr>
          <w:rFonts w:hint="eastAsia" w:ascii="宋体" w:hAnsi="宋体" w:eastAsia="宋体" w:cs="宋体"/>
          <w:color w:val="auto"/>
          <w:highlight w:val="none"/>
        </w:rPr>
      </w:pPr>
    </w:p>
    <w:p w14:paraId="33F095C0">
      <w:pPr>
        <w:rPr>
          <w:rFonts w:hint="eastAsia" w:ascii="宋体" w:hAnsi="宋体" w:eastAsia="宋体" w:cs="宋体"/>
          <w:color w:val="auto"/>
          <w:highlight w:val="none"/>
        </w:rPr>
      </w:pPr>
    </w:p>
    <w:p w14:paraId="769F9A12">
      <w:pPr>
        <w:ind w:firstLine="960" w:firstLineChars="300"/>
        <w:jc w:val="both"/>
        <w:rPr>
          <w:rFonts w:hint="eastAsia" w:ascii="宋体" w:hAnsi="宋体" w:eastAsia="宋体" w:cs="宋体"/>
          <w:color w:val="auto"/>
          <w:spacing w:val="6"/>
          <w:kern w:val="0"/>
          <w:sz w:val="32"/>
          <w:highlight w:val="none"/>
          <w:lang w:eastAsia="zh-CN"/>
        </w:rPr>
      </w:pPr>
      <w:r>
        <w:rPr>
          <w:rFonts w:hint="eastAsia" w:ascii="宋体" w:hAnsi="宋体" w:eastAsia="宋体" w:cs="宋体"/>
          <w:color w:val="auto"/>
          <w:kern w:val="0"/>
          <w:sz w:val="32"/>
          <w:highlight w:val="none"/>
        </w:rPr>
        <w:t>采购代理机构：</w:t>
      </w:r>
      <w:r>
        <w:rPr>
          <w:rFonts w:hint="eastAsia" w:ascii="宋体" w:hAnsi="宋体" w:cs="宋体"/>
          <w:color w:val="auto"/>
          <w:spacing w:val="6"/>
          <w:kern w:val="0"/>
          <w:sz w:val="32"/>
          <w:highlight w:val="none"/>
          <w:lang w:eastAsia="zh-CN"/>
        </w:rPr>
        <w:t>合普项目管理咨询集团有限公司</w:t>
      </w:r>
    </w:p>
    <w:p w14:paraId="501B86BD">
      <w:pPr>
        <w:jc w:val="center"/>
        <w:rPr>
          <w:rFonts w:hint="eastAsia" w:ascii="宋体" w:hAnsi="宋体" w:eastAsia="宋体" w:cs="宋体"/>
          <w:color w:val="auto"/>
          <w:sz w:val="48"/>
          <w:szCs w:val="48"/>
          <w:highlight w:val="none"/>
        </w:rPr>
        <w:sectPr>
          <w:headerReference r:id="rId3" w:type="default"/>
          <w:footerReference r:id="rId4" w:type="default"/>
          <w:pgSz w:w="11906" w:h="16838"/>
          <w:pgMar w:top="1417" w:right="1304" w:bottom="1134" w:left="1417" w:header="851" w:footer="992" w:gutter="0"/>
          <w:pgNumType w:fmt="decimal" w:start="0"/>
          <w:cols w:space="0" w:num="1"/>
          <w:rtlGutter w:val="0"/>
          <w:docGrid w:type="linesAndChars" w:linePitch="312" w:charSpace="0"/>
        </w:sectPr>
      </w:pPr>
      <w:r>
        <w:rPr>
          <w:rFonts w:hint="eastAsia" w:ascii="宋体" w:hAnsi="宋体" w:cs="宋体"/>
          <w:color w:val="auto"/>
          <w:spacing w:val="6"/>
          <w:kern w:val="0"/>
          <w:sz w:val="32"/>
          <w:highlight w:val="none"/>
          <w:lang w:eastAsia="zh-CN"/>
        </w:rPr>
        <w:t>202</w:t>
      </w:r>
      <w:r>
        <w:rPr>
          <w:rFonts w:hint="eastAsia" w:ascii="宋体" w:hAnsi="宋体" w:cs="宋体"/>
          <w:color w:val="auto"/>
          <w:spacing w:val="6"/>
          <w:kern w:val="0"/>
          <w:sz w:val="32"/>
          <w:highlight w:val="none"/>
          <w:lang w:val="en-US" w:eastAsia="zh-CN"/>
        </w:rPr>
        <w:t>5</w:t>
      </w:r>
      <w:r>
        <w:rPr>
          <w:rFonts w:hint="eastAsia" w:ascii="宋体" w:hAnsi="宋体" w:cs="宋体"/>
          <w:color w:val="auto"/>
          <w:spacing w:val="6"/>
          <w:kern w:val="0"/>
          <w:sz w:val="32"/>
          <w:highlight w:val="none"/>
          <w:lang w:eastAsia="zh-CN"/>
        </w:rPr>
        <w:t>年0</w:t>
      </w:r>
      <w:r>
        <w:rPr>
          <w:rFonts w:hint="eastAsia" w:ascii="宋体" w:hAnsi="宋体" w:cs="宋体"/>
          <w:color w:val="auto"/>
          <w:spacing w:val="6"/>
          <w:kern w:val="0"/>
          <w:sz w:val="32"/>
          <w:highlight w:val="none"/>
          <w:lang w:val="en-US" w:eastAsia="zh-CN"/>
        </w:rPr>
        <w:t>5</w:t>
      </w:r>
      <w:r>
        <w:rPr>
          <w:rFonts w:hint="eastAsia" w:ascii="宋体" w:hAnsi="宋体" w:cs="宋体"/>
          <w:color w:val="auto"/>
          <w:spacing w:val="6"/>
          <w:kern w:val="0"/>
          <w:sz w:val="32"/>
          <w:highlight w:val="none"/>
          <w:lang w:eastAsia="zh-CN"/>
        </w:rPr>
        <w:t>月</w:t>
      </w:r>
      <w:r>
        <w:rPr>
          <w:rFonts w:hint="eastAsia" w:ascii="宋体" w:hAnsi="宋体" w:cs="宋体"/>
          <w:color w:val="auto"/>
          <w:spacing w:val="6"/>
          <w:kern w:val="0"/>
          <w:sz w:val="32"/>
          <w:highlight w:val="none"/>
          <w:lang w:val="en-US" w:eastAsia="zh-CN"/>
        </w:rPr>
        <w:t>14</w:t>
      </w:r>
      <w:r>
        <w:rPr>
          <w:rFonts w:hint="eastAsia" w:ascii="宋体" w:hAnsi="宋体" w:cs="宋体"/>
          <w:color w:val="auto"/>
          <w:spacing w:val="6"/>
          <w:kern w:val="0"/>
          <w:sz w:val="32"/>
          <w:highlight w:val="none"/>
          <w:lang w:eastAsia="zh-CN"/>
        </w:rPr>
        <w:t>日</w:t>
      </w:r>
    </w:p>
    <w:p w14:paraId="028FA351">
      <w:pPr>
        <w:jc w:val="center"/>
        <w:rPr>
          <w:rFonts w:hint="eastAsia" w:ascii="宋体" w:hAnsi="宋体" w:eastAsia="宋体" w:cs="宋体"/>
          <w:b/>
          <w:bCs/>
          <w:color w:val="auto"/>
          <w:highlight w:val="none"/>
        </w:rPr>
      </w:pPr>
      <w:bookmarkStart w:id="5" w:name="_Toc29067"/>
      <w:bookmarkStart w:id="6" w:name="_Toc35393797"/>
      <w:bookmarkStart w:id="7" w:name="_Toc26809"/>
      <w:bookmarkStart w:id="8" w:name="_Toc28359011"/>
      <w:bookmarkStart w:id="9" w:name="_Toc30170"/>
    </w:p>
    <w:p w14:paraId="467729E2">
      <w:pPr>
        <w:jc w:val="center"/>
        <w:rPr>
          <w:rFonts w:hint="eastAsia" w:ascii="宋体" w:hAnsi="宋体" w:eastAsia="宋体" w:cs="宋体"/>
          <w:color w:val="auto"/>
          <w:sz w:val="30"/>
          <w:szCs w:val="30"/>
          <w:highlight w:val="none"/>
        </w:rPr>
      </w:pPr>
      <w:r>
        <w:rPr>
          <w:rFonts w:hint="eastAsia" w:ascii="宋体" w:hAnsi="宋体" w:eastAsia="宋体" w:cs="宋体"/>
          <w:b w:val="0"/>
          <w:bCs w:val="0"/>
          <w:color w:val="auto"/>
          <w:sz w:val="36"/>
          <w:szCs w:val="36"/>
          <w:highlight w:val="none"/>
        </w:rPr>
        <w:t>目</w:t>
      </w:r>
      <w:r>
        <w:rPr>
          <w:rFonts w:hint="eastAsia" w:ascii="宋体" w:hAnsi="宋体" w:eastAsia="宋体" w:cs="宋体"/>
          <w:b w:val="0"/>
          <w:bCs w:val="0"/>
          <w:color w:val="auto"/>
          <w:sz w:val="36"/>
          <w:szCs w:val="36"/>
          <w:highlight w:val="none"/>
          <w:lang w:val="en-US" w:eastAsia="zh-CN"/>
        </w:rPr>
        <w:t xml:space="preserve">  </w:t>
      </w:r>
      <w:r>
        <w:rPr>
          <w:rFonts w:hint="eastAsia" w:ascii="宋体" w:hAnsi="宋体" w:eastAsia="宋体" w:cs="宋体"/>
          <w:b w:val="0"/>
          <w:bCs w:val="0"/>
          <w:color w:val="auto"/>
          <w:sz w:val="36"/>
          <w:szCs w:val="36"/>
          <w:highlight w:val="none"/>
        </w:rPr>
        <w:t>录</w:t>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"1-1" \h \u </w:instrText>
      </w:r>
      <w:r>
        <w:rPr>
          <w:rFonts w:hint="eastAsia" w:ascii="宋体" w:hAnsi="宋体" w:eastAsia="宋体" w:cs="宋体"/>
          <w:color w:val="auto"/>
          <w:sz w:val="30"/>
          <w:szCs w:val="30"/>
          <w:highlight w:val="none"/>
        </w:rPr>
        <w:fldChar w:fldCharType="separate"/>
      </w:r>
    </w:p>
    <w:p w14:paraId="0C2018B8">
      <w:pPr>
        <w:pStyle w:val="99"/>
        <w:tabs>
          <w:tab w:val="right" w:leader="dot" w:pos="9354"/>
        </w:tabs>
        <w:spacing w:line="800" w:lineRule="exact"/>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"_Toc10691"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第一章 竞争性磋商公告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_Toc10691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56982D09">
      <w:pPr>
        <w:pStyle w:val="99"/>
        <w:tabs>
          <w:tab w:val="right" w:leader="dot" w:pos="9354"/>
        </w:tabs>
        <w:spacing w:line="800" w:lineRule="exact"/>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"_Toc12292"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第二章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_Toc12292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1D81CC66">
      <w:pPr>
        <w:pStyle w:val="99"/>
        <w:tabs>
          <w:tab w:val="right" w:leader="dot" w:pos="9354"/>
        </w:tabs>
        <w:spacing w:line="800" w:lineRule="exact"/>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"_Toc15642"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第三章 采购需求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_Toc15642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27</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6718FA75">
      <w:pPr>
        <w:pStyle w:val="99"/>
        <w:tabs>
          <w:tab w:val="right" w:leader="dot" w:pos="9354"/>
        </w:tabs>
        <w:spacing w:line="800" w:lineRule="exact"/>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"_Toc15942"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第四章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_Toc15942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29</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9ED6E55">
      <w:pPr>
        <w:pStyle w:val="99"/>
        <w:tabs>
          <w:tab w:val="right" w:leader="dot" w:pos="9354"/>
        </w:tabs>
        <w:spacing w:line="800" w:lineRule="exact"/>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"_Toc17956"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第五章 采购合同（合同主要条款及格式）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_Toc17956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29</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5CEB5267">
      <w:pPr>
        <w:pStyle w:val="99"/>
        <w:tabs>
          <w:tab w:val="right" w:leader="dot" w:pos="9354"/>
        </w:tabs>
        <w:spacing w:line="800" w:lineRule="exact"/>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"_Toc11224"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第六章 响应文件（格式）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_Toc11224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35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F7E92E0">
      <w:pPr>
        <w:pStyle w:val="99"/>
        <w:tabs>
          <w:tab w:val="right" w:leader="dot" w:pos="9354"/>
        </w:tabs>
        <w:spacing w:line="800" w:lineRule="exact"/>
        <w:rPr>
          <w:rFonts w:hint="eastAsia" w:ascii="宋体" w:hAnsi="宋体" w:eastAsia="宋体" w:cs="宋体"/>
          <w:color w:val="auto"/>
          <w:sz w:val="30"/>
          <w:szCs w:val="30"/>
          <w:highlight w:val="none"/>
        </w:rPr>
      </w:pPr>
    </w:p>
    <w:p w14:paraId="31D19E9D">
      <w:pPr>
        <w:pStyle w:val="99"/>
        <w:tabs>
          <w:tab w:val="right" w:leader="dot" w:pos="9354"/>
        </w:tabs>
        <w:spacing w:line="800" w:lineRule="exact"/>
        <w:rPr>
          <w:rFonts w:hint="eastAsia" w:ascii="宋体" w:hAnsi="宋体" w:eastAsia="宋体" w:cs="宋体"/>
          <w:color w:val="auto"/>
          <w:sz w:val="30"/>
          <w:szCs w:val="30"/>
          <w:highlight w:val="none"/>
        </w:rPr>
      </w:pPr>
    </w:p>
    <w:p w14:paraId="42BB0FF3">
      <w:pPr>
        <w:pStyle w:val="99"/>
        <w:tabs>
          <w:tab w:val="right" w:leader="dot" w:pos="9354"/>
        </w:tabs>
        <w:spacing w:line="800" w:lineRule="exact"/>
        <w:rPr>
          <w:rFonts w:hint="eastAsia" w:ascii="宋体" w:hAnsi="宋体" w:eastAsia="宋体" w:cs="宋体"/>
          <w:color w:val="auto"/>
          <w:sz w:val="30"/>
          <w:szCs w:val="30"/>
          <w:highlight w:val="none"/>
        </w:rPr>
      </w:pPr>
    </w:p>
    <w:p w14:paraId="5B82FC19">
      <w:pPr>
        <w:pStyle w:val="99"/>
        <w:tabs>
          <w:tab w:val="right" w:leader="dot" w:pos="9354"/>
        </w:tabs>
        <w:spacing w:line="800" w:lineRule="exact"/>
        <w:rPr>
          <w:rFonts w:hint="eastAsia" w:ascii="宋体" w:hAnsi="宋体" w:eastAsia="宋体" w:cs="宋体"/>
          <w:color w:val="auto"/>
          <w:sz w:val="30"/>
          <w:szCs w:val="30"/>
          <w:highlight w:val="none"/>
        </w:rPr>
      </w:pPr>
    </w:p>
    <w:p w14:paraId="36D98BE7">
      <w:pPr>
        <w:pStyle w:val="99"/>
        <w:tabs>
          <w:tab w:val="right" w:leader="dot" w:pos="9354"/>
        </w:tabs>
        <w:spacing w:line="800" w:lineRule="exact"/>
        <w:rPr>
          <w:rFonts w:hint="eastAsia" w:ascii="宋体" w:hAnsi="宋体" w:eastAsia="宋体" w:cs="宋体"/>
          <w:color w:val="auto"/>
          <w:sz w:val="30"/>
          <w:szCs w:val="30"/>
          <w:highlight w:val="none"/>
        </w:rPr>
      </w:pPr>
    </w:p>
    <w:p w14:paraId="3F96DA65">
      <w:pPr>
        <w:pStyle w:val="99"/>
        <w:tabs>
          <w:tab w:val="right" w:leader="dot" w:pos="9354"/>
        </w:tabs>
        <w:spacing w:line="800" w:lineRule="exact"/>
        <w:rPr>
          <w:rFonts w:hint="eastAsia" w:ascii="宋体" w:hAnsi="宋体" w:eastAsia="宋体" w:cs="宋体"/>
          <w:color w:val="auto"/>
          <w:sz w:val="30"/>
          <w:szCs w:val="30"/>
          <w:highlight w:val="none"/>
        </w:rPr>
      </w:pPr>
    </w:p>
    <w:p w14:paraId="0D19ABD5">
      <w:pPr>
        <w:pStyle w:val="99"/>
        <w:tabs>
          <w:tab w:val="right" w:leader="dot" w:pos="9354"/>
        </w:tabs>
        <w:spacing w:line="800" w:lineRule="exact"/>
        <w:rPr>
          <w:rFonts w:hint="eastAsia" w:ascii="宋体" w:hAnsi="宋体" w:eastAsia="宋体" w:cs="宋体"/>
          <w:color w:val="auto"/>
          <w:sz w:val="30"/>
          <w:szCs w:val="30"/>
          <w:highlight w:val="none"/>
        </w:rPr>
      </w:pPr>
    </w:p>
    <w:p w14:paraId="012FB5E6">
      <w:pPr>
        <w:pStyle w:val="99"/>
        <w:tabs>
          <w:tab w:val="right" w:leader="dot" w:pos="9354"/>
        </w:tabs>
        <w:spacing w:line="800" w:lineRule="exact"/>
        <w:rPr>
          <w:rFonts w:hint="eastAsia" w:ascii="宋体" w:hAnsi="宋体" w:eastAsia="宋体" w:cs="宋体"/>
          <w:color w:val="auto"/>
          <w:sz w:val="30"/>
          <w:szCs w:val="30"/>
          <w:highlight w:val="none"/>
        </w:rPr>
      </w:pPr>
    </w:p>
    <w:p w14:paraId="751A1117">
      <w:pPr>
        <w:pStyle w:val="99"/>
        <w:tabs>
          <w:tab w:val="right" w:leader="dot" w:pos="9354"/>
        </w:tabs>
        <w:spacing w:line="800" w:lineRule="exact"/>
        <w:rPr>
          <w:rFonts w:hint="eastAsia" w:ascii="宋体" w:hAnsi="宋体" w:eastAsia="宋体" w:cs="宋体"/>
          <w:color w:val="auto"/>
          <w:sz w:val="30"/>
          <w:szCs w:val="30"/>
          <w:highlight w:val="none"/>
        </w:rPr>
      </w:pPr>
    </w:p>
    <w:p w14:paraId="6C37D34B">
      <w:pPr>
        <w:rPr>
          <w:rFonts w:hint="eastAsia" w:ascii="宋体" w:hAnsi="宋体" w:eastAsia="宋体" w:cs="宋体"/>
          <w:color w:val="auto"/>
          <w:highlight w:val="none"/>
        </w:rPr>
      </w:pPr>
      <w:r>
        <w:rPr>
          <w:rFonts w:hint="eastAsia" w:ascii="宋体" w:hAnsi="宋体" w:eastAsia="宋体" w:cs="宋体"/>
          <w:color w:val="auto"/>
          <w:sz w:val="30"/>
          <w:szCs w:val="30"/>
          <w:highlight w:val="none"/>
        </w:rPr>
        <w:fldChar w:fldCharType="end"/>
      </w:r>
    </w:p>
    <w:p w14:paraId="448AD5F1">
      <w:pPr>
        <w:pStyle w:val="3"/>
        <w:numPr>
          <w:ilvl w:val="0"/>
          <w:numId w:val="5"/>
        </w:numPr>
        <w:spacing w:before="0" w:after="0" w:line="360" w:lineRule="auto"/>
        <w:ind w:left="0" w:firstLine="403"/>
        <w:jc w:val="center"/>
        <w:rPr>
          <w:rFonts w:hint="eastAsia" w:ascii="宋体" w:hAnsi="宋体" w:eastAsia="宋体" w:cs="宋体"/>
          <w:color w:val="auto"/>
          <w:sz w:val="28"/>
          <w:szCs w:val="28"/>
          <w:highlight w:val="none"/>
        </w:rPr>
        <w:sectPr>
          <w:headerReference r:id="rId5" w:type="default"/>
          <w:footerReference r:id="rId6" w:type="default"/>
          <w:pgSz w:w="11906" w:h="16838"/>
          <w:pgMar w:top="1417" w:right="1304" w:bottom="1134" w:left="1417" w:header="851" w:footer="992" w:gutter="0"/>
          <w:pgNumType w:fmt="decimal" w:start="1"/>
          <w:cols w:space="0" w:num="1"/>
          <w:rtlGutter w:val="0"/>
          <w:docGrid w:type="linesAndChars" w:linePitch="312" w:charSpace="0"/>
        </w:sectPr>
      </w:pPr>
      <w:bookmarkStart w:id="10" w:name="_Toc10691"/>
    </w:p>
    <w:p w14:paraId="1CFFD905">
      <w:pPr>
        <w:pStyle w:val="3"/>
        <w:numPr>
          <w:ilvl w:val="0"/>
          <w:numId w:val="5"/>
        </w:numPr>
        <w:spacing w:before="0" w:after="0" w:line="360" w:lineRule="auto"/>
        <w:ind w:left="0" w:firstLine="403"/>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竞争性磋商公告</w:t>
      </w:r>
      <w:bookmarkEnd w:id="5"/>
      <w:bookmarkEnd w:id="6"/>
      <w:bookmarkEnd w:id="7"/>
      <w:bookmarkEnd w:id="8"/>
      <w:bookmarkEnd w:id="9"/>
      <w:bookmarkEnd w:id="10"/>
    </w:p>
    <w:p w14:paraId="477AAB0C">
      <w:pPr>
        <w:rPr>
          <w:rFonts w:hint="eastAsia" w:ascii="宋体" w:hAnsi="宋体" w:eastAsia="宋体" w:cs="宋体"/>
          <w:color w:val="auto"/>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14:paraId="460B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tcPr>
          <w:p w14:paraId="75416755">
            <w:pPr>
              <w:spacing w:line="400" w:lineRule="exact"/>
              <w:rPr>
                <w:rFonts w:hint="eastAsia" w:ascii="宋体" w:hAnsi="宋体" w:eastAsia="宋体" w:cs="宋体"/>
                <w:color w:val="auto"/>
                <w:highlight w:val="none"/>
              </w:rPr>
            </w:pPr>
            <w:bookmarkStart w:id="11" w:name="_Toc10668"/>
            <w:r>
              <w:rPr>
                <w:rFonts w:hint="eastAsia" w:ascii="宋体" w:hAnsi="宋体" w:eastAsia="宋体" w:cs="宋体"/>
                <w:color w:val="auto"/>
                <w:highlight w:val="none"/>
              </w:rPr>
              <w:t>项目概况</w:t>
            </w:r>
          </w:p>
          <w:p w14:paraId="4DDA4B86">
            <w:pPr>
              <w:spacing w:line="400" w:lineRule="exact"/>
              <w:ind w:firstLine="420" w:firstLineChars="200"/>
              <w:rPr>
                <w:rStyle w:val="32"/>
                <w:rFonts w:hint="eastAsia" w:ascii="宋体" w:hAnsi="宋体" w:eastAsia="宋体" w:cs="宋体"/>
                <w:color w:val="auto"/>
                <w:sz w:val="21"/>
                <w:szCs w:val="21"/>
                <w:highlight w:val="none"/>
                <w:vertAlign w:val="baseline"/>
              </w:rPr>
            </w:pPr>
            <w:r>
              <w:rPr>
                <w:rFonts w:hint="eastAsia" w:ascii="宋体" w:hAnsi="宋体" w:cs="宋体"/>
                <w:color w:val="auto"/>
                <w:sz w:val="21"/>
                <w:szCs w:val="24"/>
                <w:highlight w:val="none"/>
                <w:u w:val="single"/>
                <w:lang w:eastAsia="zh-CN"/>
              </w:rPr>
              <w:t>恭城县水网建设规划</w:t>
            </w:r>
            <w:r>
              <w:rPr>
                <w:rFonts w:hint="eastAsia" w:ascii="宋体" w:hAnsi="宋体" w:eastAsia="宋体" w:cs="宋体"/>
                <w:color w:val="auto"/>
                <w:sz w:val="21"/>
                <w:szCs w:val="24"/>
                <w:highlight w:val="none"/>
                <w:lang w:eastAsia="zh-CN"/>
              </w:rPr>
              <w:t>采购项目</w:t>
            </w:r>
            <w:r>
              <w:rPr>
                <w:rFonts w:hint="eastAsia" w:ascii="宋体" w:hAnsi="宋体" w:eastAsia="宋体" w:cs="宋体"/>
                <w:color w:val="auto"/>
                <w:sz w:val="21"/>
                <w:szCs w:val="24"/>
                <w:highlight w:val="none"/>
              </w:rPr>
              <w:t>的潜在供应商应在</w:t>
            </w:r>
            <w:r>
              <w:rPr>
                <w:rFonts w:hint="eastAsia" w:ascii="宋体" w:hAnsi="宋体" w:cs="宋体"/>
                <w:color w:val="auto"/>
                <w:sz w:val="21"/>
                <w:szCs w:val="24"/>
                <w:highlight w:val="none"/>
                <w:lang w:eastAsia="zh-CN"/>
              </w:rPr>
              <w:t>“广西政府采购云平台”</w:t>
            </w:r>
            <w:r>
              <w:rPr>
                <w:rStyle w:val="102"/>
                <w:rFonts w:hint="eastAsia" w:ascii="宋体" w:hAnsi="宋体" w:cs="宋体"/>
                <w:color w:val="auto"/>
                <w:szCs w:val="21"/>
                <w:highlight w:val="none"/>
                <w:u w:val="none"/>
                <w:lang w:eastAsia="zh-CN"/>
              </w:rPr>
              <w:t>（https://www.gcy.zfcg.gxzf.gov.cn/）</w:t>
            </w:r>
            <w:r>
              <w:rPr>
                <w:rFonts w:hint="eastAsia" w:ascii="宋体" w:hAnsi="宋体" w:eastAsia="宋体" w:cs="宋体"/>
                <w:color w:val="auto"/>
                <w:sz w:val="21"/>
                <w:szCs w:val="24"/>
                <w:highlight w:val="none"/>
              </w:rPr>
              <w:t>获取竞争性磋商文件，并于</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年0</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26</w:t>
            </w:r>
            <w:r>
              <w:rPr>
                <w:rFonts w:hint="eastAsia" w:ascii="宋体" w:hAnsi="宋体" w:cs="宋体"/>
                <w:color w:val="auto"/>
                <w:sz w:val="21"/>
                <w:szCs w:val="21"/>
                <w:highlight w:val="none"/>
                <w:u w:val="single"/>
                <w:lang w:eastAsia="zh-CN"/>
              </w:rPr>
              <w:t>日</w:t>
            </w:r>
            <w:r>
              <w:rPr>
                <w:rFonts w:hint="eastAsia" w:ascii="宋体" w:hAnsi="宋体" w:eastAsia="宋体" w:cs="宋体"/>
                <w:color w:val="auto"/>
                <w:sz w:val="21"/>
                <w:szCs w:val="24"/>
                <w:highlight w:val="none"/>
                <w:u w:val="single"/>
                <w:lang w:val="en-US" w:eastAsia="zh-CN"/>
              </w:rPr>
              <w:t>09:</w:t>
            </w:r>
            <w:r>
              <w:rPr>
                <w:rFonts w:hint="eastAsia" w:ascii="宋体" w:hAnsi="宋体" w:eastAsia="宋体" w:cs="宋体"/>
                <w:color w:val="auto"/>
                <w:sz w:val="21"/>
                <w:szCs w:val="24"/>
                <w:highlight w:val="none"/>
                <w:u w:val="single"/>
              </w:rPr>
              <w:t>30分</w:t>
            </w:r>
            <w:r>
              <w:rPr>
                <w:rFonts w:hint="eastAsia" w:ascii="宋体" w:hAnsi="宋体" w:eastAsia="宋体" w:cs="宋体"/>
                <w:color w:val="auto"/>
                <w:sz w:val="21"/>
                <w:szCs w:val="24"/>
                <w:highlight w:val="none"/>
              </w:rPr>
              <w:t>（北京时间）前递交</w:t>
            </w:r>
            <w:r>
              <w:rPr>
                <w:rFonts w:hint="eastAsia" w:ascii="宋体" w:hAnsi="宋体" w:eastAsia="宋体" w:cs="宋体"/>
                <w:color w:val="auto"/>
                <w:sz w:val="21"/>
                <w:szCs w:val="24"/>
                <w:highlight w:val="none"/>
                <w:lang w:eastAsia="zh-CN"/>
              </w:rPr>
              <w:t>响应</w:t>
            </w:r>
            <w:r>
              <w:rPr>
                <w:rFonts w:hint="eastAsia" w:ascii="宋体" w:hAnsi="宋体" w:eastAsia="宋体" w:cs="宋体"/>
                <w:color w:val="auto"/>
                <w:sz w:val="21"/>
                <w:szCs w:val="24"/>
                <w:highlight w:val="none"/>
              </w:rPr>
              <w:t>文件。</w:t>
            </w:r>
          </w:p>
        </w:tc>
      </w:tr>
    </w:tbl>
    <w:p w14:paraId="09A6D485">
      <w:pPr>
        <w:pStyle w:val="25"/>
        <w:spacing w:before="0" w:beforeAutospacing="0" w:after="0" w:afterAutospacing="0" w:line="400" w:lineRule="exact"/>
        <w:jc w:val="both"/>
        <w:rPr>
          <w:rFonts w:hint="eastAsia" w:ascii="宋体" w:hAnsi="宋体" w:eastAsia="宋体" w:cs="宋体"/>
          <w:color w:val="auto"/>
          <w:sz w:val="21"/>
          <w:szCs w:val="21"/>
          <w:highlight w:val="none"/>
        </w:rPr>
      </w:pPr>
      <w:r>
        <w:rPr>
          <w:rStyle w:val="32"/>
          <w:rFonts w:hint="eastAsia" w:ascii="宋体" w:hAnsi="宋体" w:eastAsia="宋体" w:cs="宋体"/>
          <w:color w:val="auto"/>
          <w:sz w:val="21"/>
          <w:szCs w:val="21"/>
          <w:highlight w:val="none"/>
        </w:rPr>
        <w:t>一、项目基本情况</w:t>
      </w:r>
    </w:p>
    <w:p w14:paraId="217003EC">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cs="宋体"/>
          <w:color w:val="auto"/>
          <w:sz w:val="21"/>
          <w:szCs w:val="21"/>
          <w:highlight w:val="none"/>
          <w:lang w:eastAsia="zh-CN"/>
        </w:rPr>
        <w:t>GLZC2025-C3-320022-AHHP</w:t>
      </w:r>
    </w:p>
    <w:p w14:paraId="39450D04">
      <w:pPr>
        <w:pStyle w:val="25"/>
        <w:spacing w:before="0" w:beforeAutospacing="0" w:after="0" w:afterAutospacing="0" w:line="400" w:lineRule="exact"/>
        <w:ind w:left="0" w:leftChars="0" w:firstLine="420" w:firstLineChars="200"/>
        <w:rPr>
          <w:rFonts w:hint="eastAsia"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cs="宋体"/>
          <w:color w:val="auto"/>
          <w:sz w:val="21"/>
          <w:szCs w:val="21"/>
          <w:highlight w:val="none"/>
          <w:lang w:eastAsia="zh-CN"/>
        </w:rPr>
        <w:t>恭城县水网建设规划</w:t>
      </w:r>
    </w:p>
    <w:p w14:paraId="56A06032">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 </w:t>
      </w:r>
    </w:p>
    <w:p w14:paraId="091B9D71">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预算总金额（元）：</w:t>
      </w:r>
      <w:r>
        <w:rPr>
          <w:rFonts w:hint="eastAsia" w:cs="宋体"/>
          <w:color w:val="auto"/>
          <w:sz w:val="21"/>
          <w:szCs w:val="21"/>
          <w:highlight w:val="none"/>
          <w:lang w:val="en-US" w:eastAsia="zh-CN"/>
        </w:rPr>
        <w:t>850000.00</w:t>
      </w:r>
      <w:r>
        <w:rPr>
          <w:rFonts w:hint="eastAsia" w:ascii="宋体" w:hAnsi="宋体" w:eastAsia="宋体" w:cs="宋体"/>
          <w:color w:val="auto"/>
          <w:sz w:val="21"/>
          <w:szCs w:val="21"/>
          <w:highlight w:val="none"/>
        </w:rPr>
        <w:t> </w:t>
      </w:r>
    </w:p>
    <w:p w14:paraId="6842BC89">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6C01362E">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eastAsia="zh-CN"/>
        </w:rPr>
        <w:t>恭城县水网建设规划</w:t>
      </w:r>
    </w:p>
    <w:p w14:paraId="318DC918">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1</w:t>
      </w:r>
    </w:p>
    <w:p w14:paraId="62BAAFB3">
      <w:pPr>
        <w:pStyle w:val="25"/>
        <w:spacing w:before="0" w:beforeAutospacing="0" w:after="0" w:afterAutospacing="0" w:line="400" w:lineRule="exact"/>
        <w:ind w:left="0" w:leftChars="0" w:firstLine="420" w:firstLineChars="200"/>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cs="宋体"/>
          <w:color w:val="auto"/>
          <w:sz w:val="21"/>
          <w:szCs w:val="21"/>
          <w:highlight w:val="none"/>
          <w:lang w:eastAsia="zh-CN"/>
        </w:rPr>
        <w:t>：</w:t>
      </w:r>
      <w:r>
        <w:rPr>
          <w:rFonts w:hint="eastAsia" w:cs="宋体"/>
          <w:color w:val="auto"/>
          <w:sz w:val="21"/>
          <w:szCs w:val="21"/>
          <w:highlight w:val="none"/>
          <w:lang w:val="en-US" w:eastAsia="zh-CN"/>
        </w:rPr>
        <w:t>约为850000.00元，具体以实际批复为准。</w:t>
      </w:r>
    </w:p>
    <w:p w14:paraId="0324DCDE">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cs="宋体"/>
          <w:color w:val="auto"/>
          <w:sz w:val="21"/>
          <w:szCs w:val="21"/>
          <w:highlight w:val="none"/>
          <w:lang w:eastAsia="zh-CN"/>
        </w:rPr>
        <w:t>恭城县水网建设规划规划报告编制</w:t>
      </w:r>
      <w:r>
        <w:rPr>
          <w:rFonts w:hint="eastAsia"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采购需求的详细内容，</w:t>
      </w:r>
      <w:r>
        <w:rPr>
          <w:rFonts w:hint="eastAsia" w:ascii="宋体" w:hAnsi="宋体" w:eastAsia="宋体" w:cs="宋体"/>
          <w:color w:val="auto"/>
          <w:sz w:val="21"/>
          <w:szCs w:val="21"/>
          <w:highlight w:val="none"/>
          <w:lang w:eastAsia="zh-CN"/>
        </w:rPr>
        <w:t>详见竞争性磋商文件。</w:t>
      </w:r>
    </w:p>
    <w:p w14:paraId="425E1ECE">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最高限价（如有）：</w:t>
      </w:r>
      <w:r>
        <w:rPr>
          <w:rFonts w:hint="eastAsia" w:cs="宋体"/>
          <w:color w:val="auto"/>
          <w:sz w:val="21"/>
          <w:szCs w:val="21"/>
          <w:highlight w:val="none"/>
          <w:lang w:val="en-US" w:eastAsia="zh-CN"/>
        </w:rPr>
        <w:t>/</w:t>
      </w:r>
    </w:p>
    <w:p w14:paraId="59AD8E56">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w:t>
      </w:r>
      <w:r>
        <w:rPr>
          <w:rFonts w:hint="eastAsia" w:cs="宋体"/>
          <w:color w:val="auto"/>
          <w:sz w:val="21"/>
          <w:szCs w:val="21"/>
          <w:highlight w:val="none"/>
          <w:lang w:eastAsia="zh-CN"/>
        </w:rPr>
        <w:t>行</w:t>
      </w:r>
      <w:r>
        <w:rPr>
          <w:rFonts w:hint="eastAsia" w:ascii="宋体" w:hAnsi="宋体" w:eastAsia="宋体" w:cs="宋体"/>
          <w:color w:val="auto"/>
          <w:sz w:val="21"/>
          <w:szCs w:val="21"/>
          <w:highlight w:val="none"/>
        </w:rPr>
        <w:t>期限：</w:t>
      </w:r>
      <w:r>
        <w:rPr>
          <w:rFonts w:hint="eastAsia"/>
          <w:sz w:val="21"/>
          <w:szCs w:val="21"/>
          <w:highlight w:val="none"/>
        </w:rPr>
        <w:t>自合同签订之日起10日内提交规划报告送审稿；规划报告送审稿经上级主管部门组织审查后15天内提交规划报告报批稿。</w:t>
      </w:r>
    </w:p>
    <w:p w14:paraId="4BFA8F26">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p>
    <w:p w14:paraId="0C1EFFCF">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本标项（否）接受联合体投标</w:t>
      </w:r>
    </w:p>
    <w:p w14:paraId="6B14BC0D">
      <w:pPr>
        <w:pStyle w:val="25"/>
        <w:spacing w:before="0" w:beforeAutospacing="0" w:after="0" w:afterAutospacing="0" w:line="400" w:lineRule="exact"/>
        <w:jc w:val="both"/>
        <w:rPr>
          <w:rFonts w:hint="eastAsia" w:ascii="宋体" w:hAnsi="宋体" w:eastAsia="宋体" w:cs="宋体"/>
          <w:color w:val="auto"/>
          <w:sz w:val="21"/>
          <w:szCs w:val="21"/>
          <w:highlight w:val="none"/>
        </w:rPr>
      </w:pPr>
      <w:r>
        <w:rPr>
          <w:rStyle w:val="32"/>
          <w:rFonts w:hint="eastAsia" w:ascii="宋体" w:hAnsi="宋体" w:eastAsia="宋体" w:cs="宋体"/>
          <w:color w:val="auto"/>
          <w:sz w:val="21"/>
          <w:szCs w:val="21"/>
          <w:highlight w:val="none"/>
        </w:rPr>
        <w:t>二、申请人的资格要求：</w:t>
      </w:r>
    </w:p>
    <w:p w14:paraId="2251A2DB">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1.满足《中华人民共和国政府采购法》第二十二条规定</w:t>
      </w:r>
      <w:r>
        <w:rPr>
          <w:rFonts w:hint="eastAsia" w:ascii="宋体" w:hAnsi="宋体" w:eastAsia="宋体" w:cs="宋体"/>
          <w:color w:val="auto"/>
          <w:sz w:val="21"/>
          <w:szCs w:val="21"/>
          <w:highlight w:val="none"/>
          <w:lang w:eastAsia="zh-CN"/>
        </w:rPr>
        <w:t>。</w:t>
      </w:r>
    </w:p>
    <w:p w14:paraId="70B391BD">
      <w:pPr>
        <w:pStyle w:val="14"/>
        <w:spacing w:line="362" w:lineRule="auto"/>
        <w:ind w:right="0"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2.落实政府采购政策需满足的资格要求：本项目为</w:t>
      </w:r>
      <w:bookmarkStart w:id="12" w:name="OLE_LINK1"/>
      <w:bookmarkStart w:id="13" w:name="OLE_LINK2"/>
      <w:r>
        <w:rPr>
          <w:rFonts w:hint="eastAsia" w:ascii="宋体" w:hAnsi="宋体" w:eastAsia="宋体" w:cs="宋体"/>
          <w:color w:val="auto"/>
          <w:sz w:val="21"/>
          <w:szCs w:val="21"/>
          <w:highlight w:val="none"/>
        </w:rPr>
        <w:t>非专门</w:t>
      </w:r>
      <w:bookmarkEnd w:id="12"/>
      <w:bookmarkEnd w:id="13"/>
      <w:r>
        <w:rPr>
          <w:rFonts w:hint="eastAsia" w:ascii="宋体" w:hAnsi="宋体" w:eastAsia="宋体" w:cs="宋体"/>
          <w:color w:val="auto"/>
          <w:sz w:val="21"/>
          <w:szCs w:val="21"/>
          <w:highlight w:val="none"/>
        </w:rPr>
        <w:t>面向中小企业采购的项目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w:t>
      </w:r>
    </w:p>
    <w:p w14:paraId="65D72FFB">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3.本项目的特定资格要求：</w:t>
      </w:r>
      <w:bookmarkStart w:id="14" w:name="OLE_LINK11"/>
      <w:bookmarkStart w:id="15" w:name="OLE_LINK12"/>
      <w:r>
        <w:rPr>
          <w:rFonts w:hint="eastAsia"/>
          <w:kern w:val="2"/>
          <w:sz w:val="21"/>
          <w:szCs w:val="21"/>
          <w:highlight w:val="none"/>
        </w:rPr>
        <w:t>供应商为通过全国投资项目在线审批监管平台备案的工程咨询单位（咨询专业含水利水电，且水利水电专业服务范围含规划咨询或项目咨询或评估咨询）。</w:t>
      </w:r>
      <w:bookmarkEnd w:id="14"/>
      <w:bookmarkEnd w:id="15"/>
    </w:p>
    <w:p w14:paraId="3F3717FA">
      <w:pPr>
        <w:pStyle w:val="25"/>
        <w:spacing w:before="0" w:beforeAutospacing="0" w:after="0" w:afterAutospacing="0" w:line="400" w:lineRule="exact"/>
        <w:jc w:val="both"/>
        <w:rPr>
          <w:rFonts w:hint="eastAsia" w:ascii="宋体" w:hAnsi="宋体" w:eastAsia="宋体" w:cs="宋体"/>
          <w:color w:val="auto"/>
          <w:sz w:val="21"/>
          <w:szCs w:val="21"/>
          <w:highlight w:val="none"/>
        </w:rPr>
      </w:pPr>
      <w:r>
        <w:rPr>
          <w:rStyle w:val="32"/>
          <w:rFonts w:hint="eastAsia" w:ascii="宋体" w:hAnsi="宋体" w:eastAsia="宋体" w:cs="宋体"/>
          <w:color w:val="auto"/>
          <w:sz w:val="21"/>
          <w:szCs w:val="21"/>
          <w:highlight w:val="none"/>
        </w:rPr>
        <w:t>三、获取采购文件</w:t>
      </w:r>
    </w:p>
    <w:p w14:paraId="2024B7B7">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w:t>
      </w:r>
      <w:r>
        <w:rPr>
          <w:rFonts w:hint="eastAsia" w:cs="宋体"/>
          <w:color w:val="auto"/>
          <w:sz w:val="21"/>
          <w:szCs w:val="21"/>
          <w:highlight w:val="none"/>
          <w:lang w:eastAsia="zh-CN"/>
        </w:rPr>
        <w:t>202</w:t>
      </w:r>
      <w:r>
        <w:rPr>
          <w:rFonts w:hint="eastAsia" w:cs="宋体"/>
          <w:color w:val="auto"/>
          <w:sz w:val="21"/>
          <w:szCs w:val="21"/>
          <w:highlight w:val="none"/>
          <w:lang w:val="en-US" w:eastAsia="zh-CN"/>
        </w:rPr>
        <w:t>5</w:t>
      </w:r>
      <w:r>
        <w:rPr>
          <w:rFonts w:hint="eastAsia" w:cs="宋体"/>
          <w:color w:val="auto"/>
          <w:sz w:val="21"/>
          <w:szCs w:val="21"/>
          <w:highlight w:val="none"/>
          <w:lang w:eastAsia="zh-CN"/>
        </w:rPr>
        <w:t>年0</w:t>
      </w:r>
      <w:r>
        <w:rPr>
          <w:rFonts w:hint="eastAsia" w:cs="宋体"/>
          <w:color w:val="auto"/>
          <w:sz w:val="21"/>
          <w:szCs w:val="21"/>
          <w:highlight w:val="none"/>
          <w:lang w:val="en-US" w:eastAsia="zh-CN"/>
        </w:rPr>
        <w:t>5</w:t>
      </w:r>
      <w:r>
        <w:rPr>
          <w:rFonts w:hint="eastAsia" w:cs="宋体"/>
          <w:color w:val="auto"/>
          <w:sz w:val="21"/>
          <w:szCs w:val="21"/>
          <w:highlight w:val="none"/>
          <w:lang w:eastAsia="zh-CN"/>
        </w:rPr>
        <w:t>月</w:t>
      </w:r>
      <w:r>
        <w:rPr>
          <w:rFonts w:hint="eastAsia" w:cs="宋体"/>
          <w:color w:val="auto"/>
          <w:sz w:val="21"/>
          <w:szCs w:val="21"/>
          <w:highlight w:val="none"/>
          <w:lang w:val="en-US" w:eastAsia="zh-CN"/>
        </w:rPr>
        <w:t>14</w:t>
      </w:r>
      <w:r>
        <w:rPr>
          <w:rFonts w:hint="eastAsia" w:cs="宋体"/>
          <w:color w:val="auto"/>
          <w:sz w:val="21"/>
          <w:szCs w:val="21"/>
          <w:highlight w:val="none"/>
          <w:lang w:eastAsia="zh-CN"/>
        </w:rPr>
        <w:t>日</w:t>
      </w:r>
      <w:r>
        <w:rPr>
          <w:rFonts w:hint="eastAsia" w:ascii="宋体" w:hAnsi="宋体" w:eastAsia="宋体" w:cs="宋体"/>
          <w:color w:val="auto"/>
          <w:sz w:val="21"/>
          <w:szCs w:val="21"/>
          <w:highlight w:val="none"/>
          <w:lang w:eastAsia="zh-CN"/>
        </w:rPr>
        <w:t>至</w:t>
      </w:r>
      <w:r>
        <w:rPr>
          <w:rFonts w:hint="eastAsia" w:cs="宋体"/>
          <w:color w:val="auto"/>
          <w:sz w:val="21"/>
          <w:szCs w:val="21"/>
          <w:highlight w:val="none"/>
          <w:lang w:eastAsia="zh-CN"/>
        </w:rPr>
        <w:t>202</w:t>
      </w:r>
      <w:r>
        <w:rPr>
          <w:rFonts w:hint="eastAsia" w:cs="宋体"/>
          <w:color w:val="auto"/>
          <w:sz w:val="21"/>
          <w:szCs w:val="21"/>
          <w:highlight w:val="none"/>
          <w:lang w:val="en-US" w:eastAsia="zh-CN"/>
        </w:rPr>
        <w:t>5</w:t>
      </w:r>
      <w:r>
        <w:rPr>
          <w:rFonts w:hint="eastAsia" w:cs="宋体"/>
          <w:color w:val="auto"/>
          <w:sz w:val="21"/>
          <w:szCs w:val="21"/>
          <w:highlight w:val="none"/>
          <w:lang w:eastAsia="zh-CN"/>
        </w:rPr>
        <w:t>年05月26日</w:t>
      </w:r>
      <w:r>
        <w:rPr>
          <w:rFonts w:hint="eastAsia" w:ascii="宋体" w:hAnsi="宋体" w:eastAsia="宋体" w:cs="宋体"/>
          <w:color w:val="auto"/>
          <w:sz w:val="21"/>
          <w:szCs w:val="21"/>
          <w:highlight w:val="none"/>
          <w:lang w:eastAsia="zh-CN"/>
        </w:rPr>
        <w:t>，每天上午00:00至12:00，下午12:00至23:59（北京时间，法定节假日除外）。</w:t>
      </w:r>
    </w:p>
    <w:p w14:paraId="1D183B33">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地点（网址）：</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sz w:val="21"/>
          <w:szCs w:val="21"/>
          <w:highlight w:val="none"/>
          <w:lang w:eastAsia="zh-CN"/>
        </w:rPr>
        <w:t>（https://www.gcy.zfcg.gxzf.gov.cn/）</w:t>
      </w:r>
      <w:r>
        <w:rPr>
          <w:rFonts w:hint="eastAsia" w:cs="宋体"/>
          <w:color w:val="auto"/>
          <w:sz w:val="21"/>
          <w:szCs w:val="21"/>
          <w:highlight w:val="none"/>
          <w:lang w:val="en-US" w:eastAsia="zh-CN"/>
        </w:rPr>
        <w:t>线上获取</w:t>
      </w:r>
      <w:r>
        <w:rPr>
          <w:rFonts w:hint="eastAsia" w:ascii="宋体" w:hAnsi="宋体" w:eastAsia="宋体" w:cs="宋体"/>
          <w:color w:val="auto"/>
          <w:sz w:val="21"/>
          <w:szCs w:val="21"/>
          <w:highlight w:val="none"/>
          <w:lang w:eastAsia="zh-CN"/>
        </w:rPr>
        <w:t>。 </w:t>
      </w:r>
    </w:p>
    <w:p w14:paraId="2C5CB788">
      <w:pPr>
        <w:keepNext w:val="0"/>
        <w:keepLines w:val="0"/>
        <w:pageBreakBefore w:val="0"/>
        <w:widowControl/>
        <w:kinsoku/>
        <w:wordWrap/>
        <w:overflowPunct/>
        <w:topLinePunct w:val="0"/>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方式：供应商登录</w:t>
      </w:r>
      <w:r>
        <w:rPr>
          <w:rFonts w:hint="eastAsia" w:cs="宋体"/>
          <w:color w:val="auto"/>
          <w:sz w:val="21"/>
          <w:szCs w:val="21"/>
          <w:highlight w:val="none"/>
          <w:lang w:eastAsia="zh-CN"/>
        </w:rPr>
        <w:t>“广西政府采购云</w:t>
      </w:r>
      <w:r>
        <w:rPr>
          <w:rFonts w:hint="eastAsia" w:ascii="宋体" w:hAnsi="宋体" w:eastAsia="宋体" w:cs="宋体"/>
          <w:color w:val="auto"/>
          <w:kern w:val="0"/>
          <w:sz w:val="21"/>
          <w:szCs w:val="21"/>
          <w:highlight w:val="none"/>
          <w:lang w:val="en-US" w:eastAsia="zh-CN" w:bidi="ar-SA"/>
        </w:rPr>
        <w:t>平台”（https://www.gcy.zfcg.gxzf.gov.cn/），应</w:t>
      </w:r>
      <w:r>
        <w:rPr>
          <w:rFonts w:hint="eastAsia" w:ascii="宋体" w:hAnsi="宋体" w:eastAsia="宋体" w:cs="宋体"/>
          <w:color w:val="auto"/>
          <w:kern w:val="0"/>
          <w:szCs w:val="21"/>
          <w:highlight w:val="none"/>
        </w:rPr>
        <w:t>进行“申请获取采购文件”操作，否则，有可能导致无法在线编制</w:t>
      </w:r>
      <w:r>
        <w:rPr>
          <w:rFonts w:hint="eastAsia" w:ascii="宋体" w:hAnsi="宋体" w:cs="宋体"/>
          <w:color w:val="auto"/>
          <w:kern w:val="0"/>
          <w:szCs w:val="21"/>
          <w:highlight w:val="none"/>
          <w:lang w:eastAsia="zh-CN"/>
        </w:rPr>
        <w:t>响应</w:t>
      </w:r>
      <w:r>
        <w:rPr>
          <w:rFonts w:hint="eastAsia" w:ascii="宋体" w:hAnsi="宋体" w:eastAsia="宋体" w:cs="宋体"/>
          <w:color w:val="auto"/>
          <w:kern w:val="0"/>
          <w:szCs w:val="21"/>
          <w:highlight w:val="none"/>
        </w:rPr>
        <w:t>文件并参与</w:t>
      </w:r>
      <w:r>
        <w:rPr>
          <w:rFonts w:hint="eastAsia" w:ascii="宋体" w:hAnsi="宋体" w:cs="宋体"/>
          <w:color w:val="auto"/>
          <w:kern w:val="0"/>
          <w:szCs w:val="21"/>
          <w:highlight w:val="none"/>
          <w:lang w:eastAsia="zh-CN"/>
        </w:rPr>
        <w:t>响应</w:t>
      </w:r>
      <w:r>
        <w:rPr>
          <w:rFonts w:hint="eastAsia" w:ascii="宋体" w:hAnsi="宋体" w:eastAsia="宋体" w:cs="宋体"/>
          <w:color w:val="auto"/>
          <w:kern w:val="0"/>
          <w:szCs w:val="21"/>
          <w:highlight w:val="none"/>
        </w:rPr>
        <w:t>，其不利后果由供应商自行承担。</w:t>
      </w:r>
    </w:p>
    <w:p w14:paraId="45EC96FD">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售价（元）：0 </w:t>
      </w:r>
    </w:p>
    <w:p w14:paraId="5128ECF7">
      <w:pPr>
        <w:pStyle w:val="25"/>
        <w:spacing w:before="0" w:beforeAutospacing="0" w:after="0" w:afterAutospacing="0" w:line="400" w:lineRule="exact"/>
        <w:jc w:val="both"/>
        <w:rPr>
          <w:rFonts w:hint="eastAsia" w:ascii="宋体" w:hAnsi="宋体" w:eastAsia="宋体" w:cs="宋体"/>
          <w:color w:val="auto"/>
          <w:sz w:val="21"/>
          <w:szCs w:val="21"/>
          <w:highlight w:val="none"/>
        </w:rPr>
      </w:pPr>
      <w:r>
        <w:rPr>
          <w:rStyle w:val="32"/>
          <w:rFonts w:hint="eastAsia" w:ascii="宋体" w:hAnsi="宋体" w:eastAsia="宋体" w:cs="宋体"/>
          <w:color w:val="auto"/>
          <w:sz w:val="21"/>
          <w:szCs w:val="21"/>
          <w:highlight w:val="none"/>
        </w:rPr>
        <w:t>四、响应文件提交</w:t>
      </w:r>
      <w:r>
        <w:rPr>
          <w:rFonts w:hint="eastAsia" w:ascii="宋体" w:hAnsi="宋体" w:eastAsia="宋体" w:cs="宋体"/>
          <w:color w:val="auto"/>
          <w:sz w:val="21"/>
          <w:szCs w:val="21"/>
          <w:highlight w:val="none"/>
        </w:rPr>
        <w:t> </w:t>
      </w:r>
    </w:p>
    <w:p w14:paraId="03A584D5">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截止时间：</w:t>
      </w:r>
      <w:r>
        <w:rPr>
          <w:rFonts w:hint="eastAsia" w:cs="宋体"/>
          <w:color w:val="auto"/>
          <w:sz w:val="21"/>
          <w:szCs w:val="21"/>
          <w:highlight w:val="none"/>
          <w:lang w:eastAsia="zh-CN"/>
        </w:rPr>
        <w:t>202</w:t>
      </w:r>
      <w:r>
        <w:rPr>
          <w:rFonts w:hint="eastAsia" w:cs="宋体"/>
          <w:color w:val="auto"/>
          <w:sz w:val="21"/>
          <w:szCs w:val="21"/>
          <w:highlight w:val="none"/>
          <w:lang w:val="en-US" w:eastAsia="zh-CN"/>
        </w:rPr>
        <w:t>5</w:t>
      </w:r>
      <w:r>
        <w:rPr>
          <w:rFonts w:hint="eastAsia" w:cs="宋体"/>
          <w:color w:val="auto"/>
          <w:sz w:val="21"/>
          <w:szCs w:val="21"/>
          <w:highlight w:val="none"/>
          <w:lang w:eastAsia="zh-CN"/>
        </w:rPr>
        <w:t>年05月26日</w:t>
      </w:r>
      <w:r>
        <w:rPr>
          <w:rFonts w:hint="eastAsia" w:ascii="宋体" w:hAnsi="宋体" w:eastAsia="宋体" w:cs="宋体"/>
          <w:color w:val="auto"/>
          <w:sz w:val="21"/>
          <w:szCs w:val="21"/>
          <w:highlight w:val="none"/>
          <w:lang w:eastAsia="zh-CN"/>
        </w:rPr>
        <w:t>09:30</w:t>
      </w:r>
      <w:r>
        <w:rPr>
          <w:rFonts w:hint="eastAsia" w:ascii="宋体" w:hAnsi="宋体" w:eastAsia="宋体" w:cs="宋体"/>
          <w:color w:val="auto"/>
          <w:sz w:val="21"/>
          <w:szCs w:val="21"/>
          <w:highlight w:val="none"/>
        </w:rPr>
        <w:t>（北京时间）</w:t>
      </w:r>
      <w:r>
        <w:rPr>
          <w:rFonts w:hint="eastAsia" w:ascii="宋体" w:hAnsi="宋体" w:eastAsia="宋体" w:cs="宋体"/>
          <w:color w:val="auto"/>
          <w:sz w:val="21"/>
          <w:szCs w:val="21"/>
          <w:highlight w:val="none"/>
          <w:lang w:eastAsia="zh-CN"/>
        </w:rPr>
        <w:t>。</w:t>
      </w:r>
    </w:p>
    <w:p w14:paraId="6C994584">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地点（网址）：通过</w:t>
      </w:r>
      <w:r>
        <w:rPr>
          <w:rFonts w:hint="eastAsia" w:cs="宋体"/>
          <w:color w:val="auto"/>
          <w:sz w:val="21"/>
          <w:szCs w:val="21"/>
          <w:highlight w:val="none"/>
          <w:lang w:val="en-US" w:eastAsia="zh-CN"/>
        </w:rPr>
        <w:t>广西政府</w:t>
      </w:r>
      <w:r>
        <w:rPr>
          <w:rFonts w:hint="eastAsia" w:ascii="宋体" w:hAnsi="宋体" w:eastAsia="宋体" w:cs="宋体"/>
          <w:color w:val="auto"/>
          <w:sz w:val="21"/>
          <w:szCs w:val="21"/>
          <w:highlight w:val="none"/>
        </w:rPr>
        <w:t>采</w:t>
      </w:r>
      <w:r>
        <w:rPr>
          <w:rFonts w:hint="eastAsia" w:cs="宋体"/>
          <w:color w:val="auto"/>
          <w:sz w:val="21"/>
          <w:szCs w:val="21"/>
          <w:highlight w:val="none"/>
          <w:lang w:val="en-US" w:eastAsia="zh-CN"/>
        </w:rPr>
        <w:t>购</w:t>
      </w:r>
      <w:r>
        <w:rPr>
          <w:rFonts w:hint="eastAsia" w:ascii="宋体" w:hAnsi="宋体" w:eastAsia="宋体" w:cs="宋体"/>
          <w:color w:val="auto"/>
          <w:sz w:val="21"/>
          <w:szCs w:val="21"/>
          <w:highlight w:val="none"/>
        </w:rPr>
        <w:t>云平台实行在线投标。</w:t>
      </w:r>
    </w:p>
    <w:p w14:paraId="5EA08530">
      <w:pPr>
        <w:pStyle w:val="25"/>
        <w:spacing w:before="0" w:beforeAutospacing="0" w:after="0" w:afterAutospacing="0" w:line="400" w:lineRule="exact"/>
        <w:jc w:val="both"/>
        <w:rPr>
          <w:rFonts w:hint="eastAsia" w:ascii="宋体" w:hAnsi="宋体" w:eastAsia="宋体" w:cs="宋体"/>
          <w:color w:val="auto"/>
          <w:sz w:val="21"/>
          <w:szCs w:val="21"/>
          <w:highlight w:val="none"/>
        </w:rPr>
      </w:pPr>
      <w:r>
        <w:rPr>
          <w:rStyle w:val="32"/>
          <w:rFonts w:hint="eastAsia" w:ascii="宋体" w:hAnsi="宋体" w:eastAsia="宋体" w:cs="宋体"/>
          <w:color w:val="auto"/>
          <w:sz w:val="21"/>
          <w:szCs w:val="21"/>
          <w:highlight w:val="none"/>
        </w:rPr>
        <w:t>五、响应文件开启</w:t>
      </w:r>
    </w:p>
    <w:p w14:paraId="4D49F789">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开启时间：</w:t>
      </w:r>
      <w:r>
        <w:rPr>
          <w:rFonts w:hint="eastAsia" w:cs="宋体"/>
          <w:color w:val="auto"/>
          <w:sz w:val="21"/>
          <w:szCs w:val="21"/>
          <w:highlight w:val="none"/>
          <w:lang w:eastAsia="zh-CN"/>
        </w:rPr>
        <w:t>202</w:t>
      </w:r>
      <w:r>
        <w:rPr>
          <w:rFonts w:hint="eastAsia" w:cs="宋体"/>
          <w:color w:val="auto"/>
          <w:sz w:val="21"/>
          <w:szCs w:val="21"/>
          <w:highlight w:val="none"/>
          <w:lang w:val="en-US" w:eastAsia="zh-CN"/>
        </w:rPr>
        <w:t>5</w:t>
      </w:r>
      <w:r>
        <w:rPr>
          <w:rFonts w:hint="eastAsia" w:cs="宋体"/>
          <w:color w:val="auto"/>
          <w:sz w:val="21"/>
          <w:szCs w:val="21"/>
          <w:highlight w:val="none"/>
          <w:lang w:eastAsia="zh-CN"/>
        </w:rPr>
        <w:t>年05月26日</w:t>
      </w:r>
      <w:r>
        <w:rPr>
          <w:rFonts w:hint="eastAsia" w:ascii="宋体" w:hAnsi="宋体" w:eastAsia="宋体" w:cs="宋体"/>
          <w:color w:val="auto"/>
          <w:sz w:val="21"/>
          <w:szCs w:val="21"/>
          <w:highlight w:val="none"/>
          <w:lang w:eastAsia="zh-CN"/>
        </w:rPr>
        <w:t>09:30</w:t>
      </w:r>
      <w:r>
        <w:rPr>
          <w:rFonts w:hint="eastAsia" w:ascii="宋体" w:hAnsi="宋体" w:eastAsia="宋体" w:cs="宋体"/>
          <w:color w:val="auto"/>
          <w:sz w:val="21"/>
          <w:szCs w:val="21"/>
          <w:highlight w:val="none"/>
        </w:rPr>
        <w:t>（北京时间）</w:t>
      </w:r>
      <w:r>
        <w:rPr>
          <w:rFonts w:hint="eastAsia" w:cs="宋体"/>
          <w:color w:val="auto"/>
          <w:sz w:val="21"/>
          <w:szCs w:val="21"/>
          <w:highlight w:val="none"/>
          <w:lang w:val="en-US" w:eastAsia="zh-CN"/>
        </w:rPr>
        <w:t>截标后</w:t>
      </w:r>
      <w:r>
        <w:rPr>
          <w:rFonts w:hint="eastAsia" w:ascii="宋体" w:hAnsi="宋体" w:eastAsia="宋体" w:cs="宋体"/>
          <w:color w:val="auto"/>
          <w:sz w:val="21"/>
          <w:szCs w:val="21"/>
          <w:highlight w:val="none"/>
          <w:lang w:eastAsia="zh-CN"/>
        </w:rPr>
        <w:t>。</w:t>
      </w:r>
    </w:p>
    <w:p w14:paraId="0552CA9D">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eastAsia="zh-CN"/>
        </w:rPr>
        <w:t>点：通过广西政府采购云平台实行在线解密开启。 </w:t>
      </w:r>
    </w:p>
    <w:p w14:paraId="35E2E6E0">
      <w:pPr>
        <w:pStyle w:val="25"/>
        <w:spacing w:before="0" w:beforeAutospacing="0" w:after="0" w:afterAutospacing="0" w:line="400" w:lineRule="exact"/>
        <w:jc w:val="both"/>
        <w:rPr>
          <w:rFonts w:hint="eastAsia" w:ascii="宋体" w:hAnsi="宋体" w:eastAsia="宋体" w:cs="宋体"/>
          <w:color w:val="auto"/>
          <w:sz w:val="21"/>
          <w:szCs w:val="21"/>
          <w:highlight w:val="none"/>
        </w:rPr>
      </w:pPr>
      <w:r>
        <w:rPr>
          <w:rStyle w:val="32"/>
          <w:rFonts w:hint="eastAsia" w:ascii="宋体" w:hAnsi="宋体" w:eastAsia="宋体" w:cs="宋体"/>
          <w:color w:val="auto"/>
          <w:sz w:val="21"/>
          <w:szCs w:val="21"/>
          <w:highlight w:val="none"/>
        </w:rPr>
        <w:t>六、公告期限</w:t>
      </w:r>
    </w:p>
    <w:p w14:paraId="3ED9F789">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自本公告发布之日起3个工作日。</w:t>
      </w:r>
    </w:p>
    <w:p w14:paraId="24B7DC25">
      <w:pPr>
        <w:pStyle w:val="25"/>
        <w:spacing w:before="0" w:beforeAutospacing="0" w:after="0" w:afterAutospacing="0" w:line="400" w:lineRule="exact"/>
        <w:jc w:val="both"/>
        <w:rPr>
          <w:rFonts w:hint="eastAsia" w:ascii="宋体" w:hAnsi="宋体" w:eastAsia="宋体" w:cs="宋体"/>
          <w:color w:val="auto"/>
          <w:sz w:val="21"/>
          <w:szCs w:val="21"/>
          <w:highlight w:val="none"/>
        </w:rPr>
      </w:pPr>
      <w:r>
        <w:rPr>
          <w:rStyle w:val="32"/>
          <w:rFonts w:hint="eastAsia" w:ascii="宋体" w:hAnsi="宋体" w:eastAsia="宋体" w:cs="宋体"/>
          <w:color w:val="auto"/>
          <w:sz w:val="21"/>
          <w:szCs w:val="21"/>
          <w:highlight w:val="none"/>
        </w:rPr>
        <w:t>七、其他补充事宜</w:t>
      </w:r>
      <w:r>
        <w:rPr>
          <w:rFonts w:hint="eastAsia" w:ascii="宋体" w:hAnsi="宋体" w:eastAsia="宋体" w:cs="宋体"/>
          <w:color w:val="auto"/>
          <w:sz w:val="21"/>
          <w:szCs w:val="21"/>
          <w:highlight w:val="none"/>
        </w:rPr>
        <w:t> </w:t>
      </w:r>
    </w:p>
    <w:p w14:paraId="4A17C3C9">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.本项目信息发布媒体：</w:t>
      </w:r>
    </w:p>
    <w:p w14:paraId="77C6D5D7">
      <w:pPr>
        <w:spacing w:line="400" w:lineRule="exact"/>
        <w:ind w:firstLine="420" w:firstLineChars="200"/>
        <w:rPr>
          <w:rFonts w:hint="eastAsia" w:ascii="宋体" w:hAnsi="宋体" w:eastAsia="宋体" w:cs="宋体"/>
          <w:b w:val="0"/>
          <w:i w:val="0"/>
          <w:caps w:val="0"/>
          <w:color w:val="auto"/>
          <w:spacing w:val="0"/>
          <w:sz w:val="21"/>
          <w:szCs w:val="21"/>
          <w:highlight w:val="none"/>
          <w:shd w:val="clear" w:color="auto" w:fill="FFFFFF"/>
          <w:lang w:val="en-US" w:eastAsia="zh-CN"/>
        </w:rPr>
      </w:pPr>
      <w:r>
        <w:rPr>
          <w:rFonts w:hint="eastAsia" w:ascii="宋体" w:hAnsi="宋体" w:eastAsia="宋体" w:cs="宋体"/>
          <w:b w:val="0"/>
          <w:i w:val="0"/>
          <w:caps w:val="0"/>
          <w:color w:val="auto"/>
          <w:spacing w:val="0"/>
          <w:sz w:val="21"/>
          <w:szCs w:val="21"/>
          <w:highlight w:val="none"/>
          <w:shd w:val="clear" w:color="auto" w:fill="FFFFFF"/>
          <w:lang w:val="en-US" w:eastAsia="zh-CN"/>
        </w:rPr>
        <w:t>中国政府采购网（http://</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begin"/>
      </w:r>
      <w:r>
        <w:rPr>
          <w:rFonts w:hint="eastAsia" w:ascii="宋体" w:hAnsi="宋体" w:eastAsia="宋体" w:cs="宋体"/>
          <w:b w:val="0"/>
          <w:i w:val="0"/>
          <w:caps w:val="0"/>
          <w:color w:val="auto"/>
          <w:spacing w:val="0"/>
          <w:sz w:val="21"/>
          <w:szCs w:val="21"/>
          <w:highlight w:val="none"/>
          <w:shd w:val="clear" w:color="auto" w:fill="FFFFFF"/>
          <w:lang w:val="en-US" w:eastAsia="zh-CN"/>
        </w:rPr>
        <w:instrText xml:space="preserve"> HYPERLINK "http://www.ccgp.gov.cn/" </w:instrTex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separate"/>
      </w:r>
      <w:r>
        <w:rPr>
          <w:rFonts w:hint="eastAsia" w:ascii="宋体" w:hAnsi="宋体" w:eastAsia="宋体" w:cs="宋体"/>
          <w:b w:val="0"/>
          <w:i w:val="0"/>
          <w:caps w:val="0"/>
          <w:color w:val="auto"/>
          <w:spacing w:val="0"/>
          <w:sz w:val="21"/>
          <w:szCs w:val="21"/>
          <w:highlight w:val="none"/>
          <w:shd w:val="clear" w:color="auto" w:fill="FFFFFF"/>
          <w:lang w:val="en-US" w:eastAsia="zh-CN"/>
        </w:rPr>
        <w:t>www.ccgp.gov.cn</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end"/>
      </w:r>
      <w:r>
        <w:rPr>
          <w:rFonts w:hint="eastAsia" w:ascii="宋体" w:hAnsi="宋体" w:eastAsia="宋体" w:cs="宋体"/>
          <w:b w:val="0"/>
          <w:i w:val="0"/>
          <w:caps w:val="0"/>
          <w:color w:val="auto"/>
          <w:spacing w:val="0"/>
          <w:sz w:val="21"/>
          <w:szCs w:val="21"/>
          <w:highlight w:val="none"/>
          <w:shd w:val="clear" w:color="auto" w:fill="FFFFFF"/>
          <w:lang w:val="en-US" w:eastAsia="zh-CN"/>
        </w:rPr>
        <w:t>）、广西壮族自治区政府采购网（http://zfcg.gxzf.gov.cn）、桂林市政府采购网（http://zfcg.czj.guilin.gov.cn），全国公共资源交易平台（广西桂林）（http://ggzy.jgswj.gxzf.gov.cn/glggzy/）。</w:t>
      </w:r>
    </w:p>
    <w:p w14:paraId="5EE280F5">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.本项目需要落实的政府采购政策</w:t>
      </w:r>
    </w:p>
    <w:p w14:paraId="3450EAEB">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Cs w:val="21"/>
          <w:highlight w:val="none"/>
          <w:lang w:eastAsia="zh-CN"/>
        </w:rPr>
        <w:t>《政府采购促进中小企业发展管理办法》（财库[2020]46号</w:t>
      </w:r>
      <w:r>
        <w:rPr>
          <w:rFonts w:hint="eastAsia" w:ascii="宋体" w:hAnsi="宋体" w:eastAsia="宋体" w:cs="宋体"/>
          <w:color w:val="auto"/>
          <w:szCs w:val="21"/>
          <w:highlight w:val="none"/>
        </w:rPr>
        <w:t>）。</w:t>
      </w:r>
    </w:p>
    <w:p w14:paraId="571D5F6A">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《关于政府采购支持监狱企业发展有关问题的通知》（财库[2014]68号）。 </w:t>
      </w:r>
    </w:p>
    <w:p w14:paraId="527EC804">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《关于促进残疾人就业政府采购政策的通知》（财库[2017]141号）。</w:t>
      </w:r>
    </w:p>
    <w:p w14:paraId="774AC8AA">
      <w:pPr>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3.资格条件特别说明：</w:t>
      </w:r>
    </w:p>
    <w:p w14:paraId="065260E4">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03502D4">
      <w:pPr>
        <w:spacing w:line="400" w:lineRule="exact"/>
        <w:ind w:firstLine="4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A2A22B3">
      <w:pPr>
        <w:pStyle w:val="25"/>
        <w:spacing w:before="0" w:beforeAutospacing="0" w:after="0" w:afterAutospacing="0" w:line="40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.磋商响应文件解密时间：截标时间后30分钟内（</w:t>
      </w:r>
      <w:r>
        <w:rPr>
          <w:rFonts w:hint="eastAsia" w:cs="宋体"/>
          <w:color w:val="auto"/>
          <w:sz w:val="21"/>
          <w:szCs w:val="21"/>
          <w:highlight w:val="none"/>
          <w:lang w:eastAsia="zh-CN"/>
        </w:rPr>
        <w:t>202</w:t>
      </w:r>
      <w:r>
        <w:rPr>
          <w:rFonts w:hint="eastAsia" w:cs="宋体"/>
          <w:color w:val="auto"/>
          <w:sz w:val="21"/>
          <w:szCs w:val="21"/>
          <w:highlight w:val="none"/>
          <w:lang w:val="en-US" w:eastAsia="zh-CN"/>
        </w:rPr>
        <w:t>5</w:t>
      </w:r>
      <w:r>
        <w:rPr>
          <w:rFonts w:hint="eastAsia" w:cs="宋体"/>
          <w:color w:val="auto"/>
          <w:sz w:val="21"/>
          <w:szCs w:val="21"/>
          <w:highlight w:val="none"/>
          <w:lang w:eastAsia="zh-CN"/>
        </w:rPr>
        <w:t>年05月26日</w:t>
      </w:r>
      <w:r>
        <w:rPr>
          <w:rFonts w:hint="eastAsia" w:ascii="宋体" w:hAnsi="宋体" w:eastAsia="宋体" w:cs="宋体"/>
          <w:color w:val="auto"/>
          <w:sz w:val="21"/>
          <w:szCs w:val="21"/>
          <w:highlight w:val="none"/>
        </w:rPr>
        <w:t>上午</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时30至</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时00分)磋商供应商可以登录</w:t>
      </w:r>
      <w:r>
        <w:rPr>
          <w:rFonts w:hint="eastAsia"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用“项目采购-开标评标”功能进行解密电子磋商响应文件。若磋商供应商在规定时间内无法解密或解密失败，可以以电子备份磋商响应文件作为依据【在接到无法解密或解密失败的通知后，供应商可根据自身实际情况按通知时要求的时间到桂林市公共资源交易中心</w:t>
      </w:r>
      <w:r>
        <w:rPr>
          <w:rFonts w:hint="eastAsia" w:cs="宋体"/>
          <w:color w:val="auto"/>
          <w:sz w:val="21"/>
          <w:szCs w:val="21"/>
          <w:highlight w:val="none"/>
          <w:lang w:eastAsia="zh-CN"/>
        </w:rPr>
        <w:t>政采开标仓</w:t>
      </w:r>
      <w:r>
        <w:rPr>
          <w:rFonts w:hint="eastAsia" w:ascii="宋体" w:hAnsi="宋体" w:eastAsia="宋体" w:cs="宋体"/>
          <w:color w:val="auto"/>
          <w:sz w:val="21"/>
          <w:szCs w:val="21"/>
          <w:highlight w:val="none"/>
        </w:rPr>
        <w:t>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无效响应。</w:t>
      </w:r>
    </w:p>
    <w:p w14:paraId="3995551A">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.在线投标响应（电子投标）说明</w:t>
      </w:r>
    </w:p>
    <w:p w14:paraId="39803F43">
      <w:pPr>
        <w:pStyle w:val="25"/>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(1)本项目通过广西政府采购云平台（https://www.gcy.zfcg.gxzf.gov.cn/）实行在线投标响应 (电子投标) ，供应商需要先安装“广西政府采购云平台电子交易客户端”（请自行前往“广西政府采购云平台”进行下载），并按照本征集文件和广西政府采购云平台的要求，通过“广西政府采购云平台电子交易客户端”编制并加密响应文件。供应商未按规定编制并加密的响应文件，广西政府采购云平台将予以拒收。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5BEE0A78">
      <w:pPr>
        <w:pStyle w:val="25"/>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为确保网上操作合法、有效和安全，供应商应当在投标截止时间前完成在“广西政府采购云平台”的身份认证，确保在电子投标过程中能够对相关数据电子文件进行加密和使用电子签章。使用“广西政府采购云平台电子交易客户端”需要提前申领CA数字证书，申领流程请自行前往广西政府采购云平台网站进行查阅；完成CA数字证书办理预计一周左右，建议供应商获取响应文件后立即办理。若对项目采购电子交易系统操作有疑问，可登录“广西政府采购云平台”，点击右侧咨询小采，获取采小蜜智能服务管家帮助，或拨打广西政府采购云平台服务热线95763获取热线服务帮助。</w:t>
      </w:r>
    </w:p>
    <w:p w14:paraId="42B5FA17">
      <w:pPr>
        <w:pStyle w:val="25"/>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当在投标截止时间前，将生成的“响应文件”上传递交至广西政府采购云平台。响应文件递交截止时间前可以撤回电子响应文件。补充或者修改电子响应文件的，应当先行撤回原文件，补充、修改后重新传输递交，响应文件递交截止时间前未完成传输的，视为撤回响应文件。</w:t>
      </w:r>
    </w:p>
    <w:p w14:paraId="04B438E6">
      <w:pPr>
        <w:pStyle w:val="25"/>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(4)本采购项目为广西政府采购云平台全流程电子化操作，参与投标响应的供应商需自备计算机和网络设备(设备需可视频通话和读取广西政府采购云平台CA 数字证书)，确保投标（响应）过程顺利进行；因供应商自身设备或网络原因造成的一切后果，由供应商自行承担。</w:t>
      </w:r>
    </w:p>
    <w:p w14:paraId="47F623EE">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本项目需要磋商供应商代表在截标当天截标后，按磋商小组要求及时</w:t>
      </w:r>
      <w:r>
        <w:rPr>
          <w:rFonts w:hint="eastAsia" w:ascii="宋体" w:hAnsi="宋体" w:eastAsia="宋体" w:cs="宋体"/>
          <w:color w:val="auto"/>
          <w:sz w:val="21"/>
          <w:szCs w:val="21"/>
          <w:highlight w:val="none"/>
          <w:lang w:eastAsia="zh-CN"/>
        </w:rPr>
        <w:t>登录广西政府采购云平台</w:t>
      </w:r>
      <w:r>
        <w:rPr>
          <w:rFonts w:hint="eastAsia" w:ascii="宋体" w:hAnsi="宋体" w:eastAsia="宋体" w:cs="宋体"/>
          <w:color w:val="auto"/>
          <w:sz w:val="21"/>
          <w:szCs w:val="21"/>
          <w:highlight w:val="none"/>
        </w:rPr>
        <w:t>等候在线磋商及提交最后报价。</w:t>
      </w:r>
    </w:p>
    <w:p w14:paraId="781129C3">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.本项目无需缴纳磋商保证金。</w:t>
      </w:r>
    </w:p>
    <w:p w14:paraId="1713CCA7">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7.本项目所属行业为：</w:t>
      </w:r>
      <w:r>
        <w:rPr>
          <w:rFonts w:hint="eastAsia" w:ascii="宋体" w:hAnsi="宋体" w:eastAsia="宋体" w:cs="宋体"/>
          <w:color w:val="auto"/>
          <w:sz w:val="21"/>
          <w:szCs w:val="21"/>
          <w:highlight w:val="none"/>
          <w:u w:val="single"/>
          <w:lang w:val="en-US" w:eastAsia="zh-CN"/>
        </w:rPr>
        <w:t>其他未列明行业</w:t>
      </w:r>
      <w:r>
        <w:rPr>
          <w:rFonts w:hint="eastAsia" w:ascii="宋体" w:hAnsi="宋体" w:eastAsia="宋体" w:cs="宋体"/>
          <w:color w:val="auto"/>
          <w:sz w:val="21"/>
          <w:szCs w:val="21"/>
          <w:highlight w:val="none"/>
          <w:lang w:val="en-US" w:eastAsia="zh-CN"/>
        </w:rPr>
        <w:t>。</w:t>
      </w:r>
    </w:p>
    <w:p w14:paraId="254084DA">
      <w:pPr>
        <w:pStyle w:val="25"/>
        <w:spacing w:before="0" w:beforeAutospacing="0" w:after="0" w:afterAutospacing="0" w:line="400" w:lineRule="exact"/>
        <w:jc w:val="both"/>
        <w:rPr>
          <w:rFonts w:hint="eastAsia" w:ascii="宋体" w:hAnsi="宋体" w:eastAsia="宋体" w:cs="宋体"/>
          <w:color w:val="auto"/>
          <w:sz w:val="21"/>
          <w:szCs w:val="21"/>
          <w:highlight w:val="none"/>
        </w:rPr>
      </w:pPr>
      <w:r>
        <w:rPr>
          <w:rStyle w:val="32"/>
          <w:rFonts w:hint="eastAsia" w:ascii="宋体" w:hAnsi="宋体" w:eastAsia="宋体" w:cs="宋体"/>
          <w:color w:val="auto"/>
          <w:sz w:val="21"/>
          <w:szCs w:val="21"/>
          <w:highlight w:val="none"/>
        </w:rPr>
        <w:t>八、凡对本次招标提出询问，请按以下方式联系</w:t>
      </w:r>
    </w:p>
    <w:p w14:paraId="000B0EF6">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4B86B378">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名    称：恭城瑶族自治县水利局</w:t>
      </w:r>
    </w:p>
    <w:p w14:paraId="76B528F4">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地    址：恭城县恭城镇城中西路一号</w:t>
      </w:r>
    </w:p>
    <w:p w14:paraId="10E7F808">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联系方式：易工，0773-8213795 </w:t>
      </w:r>
    </w:p>
    <w:p w14:paraId="302FCC74">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64B4A047">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lang w:eastAsia="zh-CN"/>
        </w:rPr>
      </w:pPr>
      <w:bookmarkStart w:id="16" w:name="_Toc28359087"/>
      <w:bookmarkStart w:id="17" w:name="_Toc28359010"/>
      <w:r>
        <w:rPr>
          <w:rFonts w:hint="eastAsia" w:ascii="宋体" w:hAnsi="宋体" w:eastAsia="宋体" w:cs="宋体"/>
          <w:color w:val="auto"/>
          <w:sz w:val="21"/>
          <w:szCs w:val="21"/>
          <w:highlight w:val="none"/>
        </w:rPr>
        <w:t>名称：</w:t>
      </w:r>
      <w:r>
        <w:rPr>
          <w:rFonts w:hint="eastAsia" w:cs="宋体"/>
          <w:color w:val="auto"/>
          <w:sz w:val="21"/>
          <w:szCs w:val="21"/>
          <w:highlight w:val="none"/>
          <w:lang w:eastAsia="zh-CN"/>
        </w:rPr>
        <w:t>合普项目管理咨询集团有限公司</w:t>
      </w:r>
    </w:p>
    <w:p w14:paraId="28960216">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cs="宋体"/>
          <w:color w:val="auto"/>
          <w:sz w:val="21"/>
          <w:szCs w:val="21"/>
          <w:highlight w:val="none"/>
          <w:lang w:eastAsia="zh-CN"/>
        </w:rPr>
        <w:t>桂林市秀峰区骝马山北巷10号5栋</w:t>
      </w:r>
    </w:p>
    <w:p w14:paraId="57171FA5">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w:t>
      </w:r>
      <w:r>
        <w:rPr>
          <w:rFonts w:hint="eastAsia" w:cs="宋体"/>
          <w:color w:val="auto"/>
          <w:sz w:val="21"/>
          <w:szCs w:val="21"/>
          <w:highlight w:val="none"/>
          <w:lang w:val="en-US" w:eastAsia="zh-CN"/>
        </w:rPr>
        <w:t>人</w:t>
      </w:r>
      <w:r>
        <w:rPr>
          <w:rFonts w:hint="eastAsia" w:ascii="宋体" w:hAnsi="宋体" w:eastAsia="宋体" w:cs="宋体"/>
          <w:color w:val="auto"/>
          <w:sz w:val="21"/>
          <w:szCs w:val="21"/>
          <w:highlight w:val="none"/>
        </w:rPr>
        <w:t>：</w:t>
      </w:r>
      <w:bookmarkEnd w:id="16"/>
      <w:bookmarkEnd w:id="17"/>
      <w:r>
        <w:rPr>
          <w:rFonts w:hint="eastAsia" w:cs="宋体"/>
          <w:color w:val="auto"/>
          <w:sz w:val="21"/>
          <w:szCs w:val="21"/>
          <w:highlight w:val="none"/>
          <w:lang w:val="en-US" w:eastAsia="zh-CN"/>
        </w:rPr>
        <w:t>唐工，</w:t>
      </w:r>
      <w:r>
        <w:rPr>
          <w:rFonts w:hint="eastAsia" w:cs="宋体"/>
          <w:color w:val="auto"/>
          <w:sz w:val="21"/>
          <w:szCs w:val="21"/>
          <w:highlight w:val="none"/>
          <w:lang w:eastAsia="zh-CN"/>
        </w:rPr>
        <w:t>0773-3638280</w:t>
      </w:r>
      <w:r>
        <w:rPr>
          <w:rFonts w:hint="eastAsia" w:ascii="宋体" w:hAnsi="宋体" w:eastAsia="宋体" w:cs="宋体"/>
          <w:color w:val="auto"/>
          <w:sz w:val="21"/>
          <w:szCs w:val="21"/>
          <w:highlight w:val="none"/>
        </w:rPr>
        <w:t>　</w:t>
      </w:r>
    </w:p>
    <w:p w14:paraId="371A40D7">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214648D5">
      <w:pPr>
        <w:pStyle w:val="38"/>
        <w:jc w:val="right"/>
        <w:rPr>
          <w:rFonts w:hint="eastAsia" w:ascii="宋体" w:hAnsi="宋体" w:eastAsia="宋体" w:cs="宋体"/>
          <w:i w:val="0"/>
          <w:iCs/>
          <w:color w:val="auto"/>
          <w:highlight w:val="none"/>
          <w:lang w:val="en-US" w:eastAsia="zh-CN"/>
        </w:rPr>
      </w:pPr>
      <w:r>
        <w:rPr>
          <w:rFonts w:hint="eastAsia" w:ascii="宋体" w:hAnsi="宋体" w:eastAsia="宋体" w:cs="宋体"/>
          <w:i w:val="0"/>
          <w:iCs/>
          <w:color w:val="auto"/>
          <w:highlight w:val="none"/>
          <w:lang w:val="en-US" w:eastAsia="zh-CN"/>
        </w:rPr>
        <w:t>合普项目管理咨询集团有限公司</w:t>
      </w:r>
    </w:p>
    <w:p w14:paraId="2593E3F9">
      <w:pPr>
        <w:pStyle w:val="38"/>
        <w:jc w:val="right"/>
        <w:rPr>
          <w:rFonts w:hint="eastAsia" w:ascii="宋体" w:hAnsi="宋体" w:eastAsia="宋体" w:cs="宋体"/>
          <w:i w:val="0"/>
          <w:iCs/>
          <w:color w:val="auto"/>
          <w:highlight w:val="none"/>
          <w:lang w:val="en-US" w:eastAsia="zh-CN"/>
        </w:rPr>
      </w:pPr>
      <w:r>
        <w:rPr>
          <w:rFonts w:hint="eastAsia" w:ascii="宋体" w:hAnsi="宋体" w:cs="宋体"/>
          <w:i w:val="0"/>
          <w:iCs/>
          <w:color w:val="auto"/>
          <w:highlight w:val="none"/>
          <w:lang w:val="en-US" w:eastAsia="zh-CN"/>
        </w:rPr>
        <w:t>2025年05月14</w:t>
      </w:r>
      <w:bookmarkStart w:id="163" w:name="_GoBack"/>
      <w:bookmarkEnd w:id="163"/>
      <w:r>
        <w:rPr>
          <w:rFonts w:hint="eastAsia" w:ascii="宋体" w:hAnsi="宋体" w:cs="宋体"/>
          <w:i w:val="0"/>
          <w:iCs/>
          <w:color w:val="auto"/>
          <w:highlight w:val="none"/>
          <w:lang w:val="en-US" w:eastAsia="zh-CN"/>
        </w:rPr>
        <w:t>日</w:t>
      </w:r>
    </w:p>
    <w:p w14:paraId="05620E9D">
      <w:pPr>
        <w:pStyle w:val="3"/>
        <w:spacing w:before="0" w:after="0" w:line="360" w:lineRule="auto"/>
        <w:jc w:val="center"/>
        <w:rPr>
          <w:rFonts w:hint="eastAsia" w:ascii="宋体" w:hAnsi="宋体" w:eastAsia="宋体" w:cs="宋体"/>
          <w:b w:val="0"/>
          <w:bCs w:val="0"/>
          <w:color w:val="auto"/>
          <w:sz w:val="32"/>
          <w:szCs w:val="32"/>
          <w:highlight w:val="none"/>
        </w:rPr>
      </w:pPr>
      <w:bookmarkStart w:id="18" w:name="_Toc12292"/>
      <w:r>
        <w:rPr>
          <w:rFonts w:hint="eastAsia" w:ascii="宋体" w:hAnsi="宋体" w:eastAsia="宋体" w:cs="宋体"/>
          <w:color w:val="auto"/>
          <w:sz w:val="28"/>
          <w:szCs w:val="28"/>
          <w:highlight w:val="none"/>
        </w:rPr>
        <w:br w:type="page"/>
      </w:r>
      <w:r>
        <w:rPr>
          <w:rFonts w:hint="eastAsia" w:ascii="宋体" w:hAnsi="宋体" w:eastAsia="宋体" w:cs="宋体"/>
          <w:b w:val="0"/>
          <w:bCs w:val="0"/>
          <w:color w:val="auto"/>
          <w:sz w:val="32"/>
          <w:szCs w:val="32"/>
          <w:highlight w:val="none"/>
        </w:rPr>
        <w:t>第二章 供应商须知</w:t>
      </w:r>
      <w:bookmarkEnd w:id="1"/>
      <w:bookmarkEnd w:id="2"/>
      <w:bookmarkEnd w:id="11"/>
      <w:bookmarkEnd w:id="18"/>
    </w:p>
    <w:p w14:paraId="561EBFBF">
      <w:pPr>
        <w:pStyle w:val="4"/>
        <w:spacing w:line="500" w:lineRule="exact"/>
        <w:ind w:left="0"/>
        <w:jc w:val="center"/>
        <w:rPr>
          <w:rFonts w:hint="eastAsia" w:ascii="宋体" w:hAnsi="宋体" w:eastAsia="宋体" w:cs="宋体"/>
          <w:b/>
          <w:bCs w:val="0"/>
          <w:color w:val="auto"/>
          <w:szCs w:val="28"/>
          <w:highlight w:val="none"/>
        </w:rPr>
      </w:pPr>
      <w:bookmarkStart w:id="19" w:name="_Toc25063"/>
      <w:bookmarkStart w:id="20" w:name="_Toc13547"/>
      <w:bookmarkStart w:id="21" w:name="_Toc9508"/>
      <w:r>
        <w:rPr>
          <w:rFonts w:hint="eastAsia" w:ascii="宋体" w:hAnsi="宋体" w:eastAsia="宋体" w:cs="宋体"/>
          <w:b/>
          <w:bCs w:val="0"/>
          <w:color w:val="auto"/>
          <w:szCs w:val="28"/>
          <w:highlight w:val="none"/>
          <w:lang w:val="en-US"/>
        </w:rPr>
        <w:t xml:space="preserve">   </w:t>
      </w:r>
      <w:r>
        <w:rPr>
          <w:rFonts w:hint="eastAsia" w:ascii="宋体" w:hAnsi="宋体" w:eastAsia="宋体" w:cs="宋体"/>
          <w:b/>
          <w:bCs w:val="0"/>
          <w:color w:val="auto"/>
          <w:szCs w:val="28"/>
          <w:highlight w:val="none"/>
        </w:rPr>
        <w:t>供 应 商 须 知 前 附 表</w:t>
      </w:r>
      <w:bookmarkEnd w:id="19"/>
      <w:bookmarkEnd w:id="20"/>
      <w:bookmarkEnd w:id="21"/>
    </w:p>
    <w:tbl>
      <w:tblPr>
        <w:tblStyle w:val="29"/>
        <w:tblW w:w="10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7160"/>
      </w:tblGrid>
      <w:tr w14:paraId="25A2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4111DC2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42" w:type="dxa"/>
            <w:vAlign w:val="center"/>
          </w:tcPr>
          <w:p w14:paraId="2BBB5A5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75" w:type="dxa"/>
            <w:vAlign w:val="center"/>
          </w:tcPr>
          <w:p w14:paraId="408BC52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7160" w:type="dxa"/>
            <w:vAlign w:val="center"/>
          </w:tcPr>
          <w:p w14:paraId="644CAC1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6009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4E88EE4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2" w:type="dxa"/>
            <w:vAlign w:val="center"/>
          </w:tcPr>
          <w:p w14:paraId="5A03B5E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75" w:type="dxa"/>
            <w:vAlign w:val="center"/>
          </w:tcPr>
          <w:p w14:paraId="71CE099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7160" w:type="dxa"/>
          </w:tcPr>
          <w:p w14:paraId="29A72A4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恭城县水网建设规划</w:t>
            </w:r>
            <w:r>
              <w:rPr>
                <w:rFonts w:hint="eastAsia" w:ascii="宋体" w:hAnsi="宋体" w:eastAsia="宋体" w:cs="宋体"/>
                <w:color w:val="auto"/>
                <w:szCs w:val="21"/>
                <w:highlight w:val="none"/>
              </w:rPr>
              <w:t xml:space="preserve">      </w:t>
            </w:r>
          </w:p>
          <w:p w14:paraId="35F3FF6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GLZC2025-C3-320022-AHHP</w:t>
            </w:r>
          </w:p>
        </w:tc>
      </w:tr>
      <w:tr w14:paraId="1B0E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1E31D0D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2" w:type="dxa"/>
            <w:vAlign w:val="center"/>
          </w:tcPr>
          <w:p w14:paraId="7C24454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75" w:type="dxa"/>
            <w:vAlign w:val="center"/>
          </w:tcPr>
          <w:p w14:paraId="657E0B8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7160" w:type="dxa"/>
            <w:vAlign w:val="center"/>
          </w:tcPr>
          <w:p w14:paraId="69005789">
            <w:pPr>
              <w:pStyle w:val="25"/>
              <w:spacing w:before="0" w:beforeAutospacing="0" w:after="0" w:afterAutospacing="0"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1满足《中华人民共和国政府采购法》第二十二条规定</w:t>
            </w:r>
            <w:r>
              <w:rPr>
                <w:rFonts w:hint="eastAsia" w:ascii="宋体" w:hAnsi="宋体" w:eastAsia="宋体" w:cs="宋体"/>
                <w:color w:val="auto"/>
                <w:sz w:val="21"/>
                <w:szCs w:val="21"/>
                <w:highlight w:val="none"/>
                <w:lang w:eastAsia="zh-CN"/>
              </w:rPr>
              <w:t>。</w:t>
            </w:r>
          </w:p>
          <w:p w14:paraId="04EFB42B">
            <w:pPr>
              <w:pStyle w:val="25"/>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val="en-US" w:eastAsia="zh-CN"/>
              </w:rPr>
              <w:t>本项目</w:t>
            </w:r>
            <w:r>
              <w:rPr>
                <w:rFonts w:hint="eastAsia" w:cs="宋体"/>
                <w:color w:val="auto"/>
                <w:sz w:val="21"/>
                <w:szCs w:val="21"/>
                <w:highlight w:val="none"/>
                <w:lang w:val="en-US" w:eastAsia="zh-CN"/>
              </w:rPr>
              <w:t>为非</w:t>
            </w:r>
            <w:r>
              <w:rPr>
                <w:rFonts w:hint="eastAsia" w:ascii="宋体" w:hAnsi="宋体" w:eastAsia="宋体" w:cs="宋体"/>
                <w:color w:val="auto"/>
                <w:sz w:val="21"/>
                <w:szCs w:val="21"/>
                <w:highlight w:val="none"/>
                <w:lang w:val="en-US" w:eastAsia="zh-CN"/>
              </w:rPr>
              <w:t>专门面向</w:t>
            </w:r>
            <w:r>
              <w:rPr>
                <w:rFonts w:hint="eastAsia" w:cs="宋体"/>
                <w:color w:val="auto"/>
                <w:sz w:val="21"/>
                <w:szCs w:val="21"/>
                <w:highlight w:val="none"/>
                <w:lang w:val="en-US" w:eastAsia="zh-CN"/>
              </w:rPr>
              <w:t>中</w:t>
            </w:r>
            <w:r>
              <w:rPr>
                <w:rFonts w:hint="eastAsia" w:ascii="宋体" w:hAnsi="宋体" w:eastAsia="宋体" w:cs="宋体"/>
                <w:color w:val="auto"/>
                <w:sz w:val="21"/>
                <w:szCs w:val="21"/>
                <w:highlight w:val="none"/>
                <w:lang w:val="en-US" w:eastAsia="zh-CN"/>
              </w:rPr>
              <w:t>小企业采购</w:t>
            </w:r>
            <w:r>
              <w:rPr>
                <w:rFonts w:hint="eastAsia" w:cs="宋体"/>
                <w:color w:val="auto"/>
                <w:sz w:val="21"/>
                <w:szCs w:val="21"/>
                <w:highlight w:val="none"/>
                <w:lang w:val="en-US" w:eastAsia="zh-CN"/>
              </w:rPr>
              <w:t>的项目</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 </w:t>
            </w:r>
          </w:p>
          <w:p w14:paraId="53AD4C2D">
            <w:pPr>
              <w:pStyle w:val="25"/>
              <w:spacing w:before="0" w:beforeAutospacing="0" w:after="0" w:afterAutospacing="0" w:line="40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kern w:val="2"/>
                <w:sz w:val="21"/>
                <w:szCs w:val="21"/>
                <w:highlight w:val="none"/>
              </w:rPr>
              <w:t>供应商为通过全国投资项目在线审批监管平台备案的工程咨询单位（咨询专业含水利水电，且水利水电专业服务范围含规划咨询或项目咨询或评估咨询）。</w:t>
            </w:r>
          </w:p>
        </w:tc>
      </w:tr>
      <w:tr w14:paraId="4845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282CC8B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2" w:type="dxa"/>
            <w:vAlign w:val="center"/>
          </w:tcPr>
          <w:p w14:paraId="6E5335B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75" w:type="dxa"/>
            <w:vAlign w:val="center"/>
          </w:tcPr>
          <w:p w14:paraId="7DD14074">
            <w:pPr>
              <w:spacing w:line="440" w:lineRule="exact"/>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szCs w:val="21"/>
                <w:highlight w:val="none"/>
              </w:rPr>
              <w:t>磋商费用</w:t>
            </w:r>
          </w:p>
        </w:tc>
        <w:tc>
          <w:tcPr>
            <w:tcW w:w="7160" w:type="dxa"/>
            <w:vAlign w:val="center"/>
          </w:tcPr>
          <w:p w14:paraId="080831BC">
            <w:pPr>
              <w:spacing w:line="44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 xml:space="preserve">不论磋商结果如何，供应商均应自行承担所有与磋商有关的全部费用。 </w:t>
            </w:r>
          </w:p>
        </w:tc>
      </w:tr>
      <w:tr w14:paraId="50D5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176CE5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42" w:type="dxa"/>
            <w:vAlign w:val="center"/>
          </w:tcPr>
          <w:p w14:paraId="7DB43DF4">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13</w:t>
            </w:r>
          </w:p>
        </w:tc>
        <w:tc>
          <w:tcPr>
            <w:tcW w:w="1775" w:type="dxa"/>
            <w:vAlign w:val="center"/>
          </w:tcPr>
          <w:p w14:paraId="2ACF13E5">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rPr>
              <w:t>磋商报价及采购预算金额</w:t>
            </w:r>
          </w:p>
        </w:tc>
        <w:tc>
          <w:tcPr>
            <w:tcW w:w="7160" w:type="dxa"/>
            <w:vAlign w:val="center"/>
          </w:tcPr>
          <w:p w14:paraId="5ADBFC33">
            <w:pPr>
              <w:spacing w:line="440" w:lineRule="exact"/>
              <w:rPr>
                <w:rFonts w:hint="eastAsia" w:ascii="宋体" w:hAnsi="宋体" w:eastAsia="宋体" w:cs="宋体"/>
                <w:b w:val="0"/>
                <w:bCs w:val="0"/>
                <w:color w:val="auto"/>
                <w:spacing w:val="2"/>
                <w:w w:val="100"/>
                <w:sz w:val="21"/>
                <w:szCs w:val="21"/>
                <w:highlight w:val="none"/>
              </w:rPr>
            </w:pPr>
            <w:r>
              <w:rPr>
                <w:rFonts w:hint="eastAsia" w:ascii="宋体" w:hAnsi="宋体" w:eastAsia="宋体" w:cs="宋体"/>
                <w:color w:val="auto"/>
                <w:szCs w:val="21"/>
                <w:highlight w:val="none"/>
              </w:rPr>
              <w:t>13.1 磋商报价应按磋商文件中相关附表格式填写。</w:t>
            </w:r>
            <w:r>
              <w:rPr>
                <w:rFonts w:hint="eastAsia" w:ascii="宋体" w:hAnsi="宋体" w:eastAsia="宋体" w:cs="宋体"/>
                <w:b/>
                <w:bCs/>
                <w:color w:val="auto"/>
                <w:szCs w:val="21"/>
                <w:highlight w:val="none"/>
              </w:rPr>
              <w:t>采购预算金额</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人民币</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约为捌拾伍万元整，小写：￥850000.00元，仅供投标单位参考，投标时无需提及，最终费用以实际批复为准</w:t>
            </w:r>
            <w:r>
              <w:rPr>
                <w:rFonts w:hint="eastAsia" w:ascii="宋体" w:hAnsi="宋体" w:eastAsia="宋体" w:cs="宋体"/>
                <w:b/>
                <w:bCs/>
                <w:color w:val="auto"/>
                <w:szCs w:val="21"/>
                <w:highlight w:val="none"/>
              </w:rPr>
              <w:t>。</w:t>
            </w:r>
            <w:r>
              <w:rPr>
                <w:rFonts w:hint="eastAsia" w:ascii="宋体" w:hAnsi="宋体" w:eastAsia="宋体" w:cs="宋体"/>
                <w:b w:val="0"/>
                <w:bCs w:val="0"/>
                <w:color w:val="auto"/>
                <w:spacing w:val="2"/>
                <w:w w:val="100"/>
                <w:sz w:val="21"/>
                <w:szCs w:val="21"/>
                <w:highlight w:val="none"/>
              </w:rPr>
              <w:t>供应商报价超出采购</w:t>
            </w:r>
            <w:r>
              <w:rPr>
                <w:rFonts w:hint="eastAsia" w:ascii="宋体" w:hAnsi="宋体" w:cs="宋体"/>
                <w:b w:val="0"/>
                <w:bCs w:val="0"/>
                <w:color w:val="auto"/>
                <w:spacing w:val="2"/>
                <w:w w:val="100"/>
                <w:sz w:val="21"/>
                <w:szCs w:val="21"/>
                <w:highlight w:val="none"/>
                <w:lang w:val="en-US" w:eastAsia="zh-CN"/>
              </w:rPr>
              <w:t>预算</w:t>
            </w:r>
            <w:r>
              <w:rPr>
                <w:rFonts w:hint="eastAsia" w:ascii="宋体" w:hAnsi="宋体" w:eastAsia="宋体" w:cs="宋体"/>
                <w:b w:val="0"/>
                <w:bCs w:val="0"/>
                <w:color w:val="auto"/>
                <w:spacing w:val="2"/>
                <w:w w:val="100"/>
                <w:sz w:val="21"/>
                <w:szCs w:val="21"/>
                <w:highlight w:val="none"/>
              </w:rPr>
              <w:t>的，响应文件按无效处理。</w:t>
            </w:r>
          </w:p>
          <w:p w14:paraId="1A087A2A">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13.2供应商必须就“采购需求”中所有内容作完整唯一报价，否则，其响应文件无效；响应文件只允许有一个报价，有选择的或有条件的报价将不予接受。</w:t>
            </w:r>
          </w:p>
          <w:p w14:paraId="3B981FBF">
            <w:pPr>
              <w:snapToGrid w:val="0"/>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13.4供应商应在规定时间内在</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广西政府采购</w:t>
            </w:r>
            <w:r>
              <w:rPr>
                <w:rFonts w:hint="eastAsia" w:ascii="宋体" w:hAnsi="宋体" w:eastAsia="宋体" w:cs="宋体"/>
                <w:color w:val="auto"/>
                <w:szCs w:val="21"/>
                <w:highlight w:val="none"/>
              </w:rPr>
              <w:t>云</w:t>
            </w:r>
            <w:r>
              <w:rPr>
                <w:rFonts w:hint="eastAsia" w:ascii="宋体" w:hAnsi="宋体" w:eastAsia="宋体" w:cs="宋体"/>
                <w:color w:val="auto"/>
                <w:szCs w:val="21"/>
                <w:highlight w:val="none"/>
                <w:lang w:eastAsia="zh-CN"/>
              </w:rPr>
              <w:t>平台</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在线</w:t>
            </w:r>
            <w:r>
              <w:rPr>
                <w:rFonts w:hint="eastAsia" w:ascii="宋体" w:hAnsi="宋体" w:eastAsia="宋体" w:cs="宋体"/>
                <w:color w:val="auto"/>
                <w:szCs w:val="21"/>
                <w:highlight w:val="none"/>
              </w:rPr>
              <w:t>提交最后报价，</w:t>
            </w:r>
            <w:r>
              <w:rPr>
                <w:rFonts w:hint="eastAsia" w:ascii="宋体" w:hAnsi="宋体" w:eastAsia="宋体" w:cs="宋体"/>
                <w:color w:val="auto"/>
                <w:kern w:val="0"/>
                <w:sz w:val="21"/>
                <w:szCs w:val="21"/>
                <w:highlight w:val="none"/>
              </w:rPr>
              <w:t>其最后报价不得超出</w:t>
            </w:r>
            <w:r>
              <w:rPr>
                <w:rFonts w:hint="eastAsia" w:ascii="宋体" w:hAnsi="宋体" w:cs="宋体"/>
                <w:color w:val="auto"/>
                <w:kern w:val="0"/>
                <w:sz w:val="21"/>
                <w:szCs w:val="21"/>
                <w:highlight w:val="none"/>
                <w:lang w:val="en-US" w:eastAsia="zh-CN"/>
              </w:rPr>
              <w:t>最高限价</w:t>
            </w:r>
            <w:r>
              <w:rPr>
                <w:rFonts w:hint="eastAsia" w:ascii="宋体" w:hAnsi="宋体" w:eastAsia="宋体" w:cs="宋体"/>
                <w:color w:val="auto"/>
                <w:kern w:val="0"/>
                <w:sz w:val="21"/>
                <w:szCs w:val="21"/>
                <w:highlight w:val="none"/>
              </w:rPr>
              <w:t>；磋商过程中磋商文件未作实质性变动的，</w:t>
            </w:r>
            <w:r>
              <w:rPr>
                <w:rFonts w:hint="eastAsia" w:ascii="宋体" w:hAnsi="宋体" w:eastAsia="宋体" w:cs="宋体"/>
                <w:b/>
                <w:color w:val="auto"/>
                <w:kern w:val="0"/>
                <w:sz w:val="21"/>
                <w:szCs w:val="21"/>
                <w:highlight w:val="none"/>
              </w:rPr>
              <w:t>最后报价不得超过首次报价。</w:t>
            </w:r>
          </w:p>
        </w:tc>
      </w:tr>
      <w:tr w14:paraId="444E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649F93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42" w:type="dxa"/>
            <w:vAlign w:val="center"/>
          </w:tcPr>
          <w:p w14:paraId="0D9FA988">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14.1</w:t>
            </w:r>
          </w:p>
        </w:tc>
        <w:tc>
          <w:tcPr>
            <w:tcW w:w="1775" w:type="dxa"/>
            <w:vAlign w:val="center"/>
          </w:tcPr>
          <w:p w14:paraId="0C065024">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7160" w:type="dxa"/>
          </w:tcPr>
          <w:p w14:paraId="1275BE6B">
            <w:pPr>
              <w:tabs>
                <w:tab w:val="left" w:pos="1305"/>
              </w:tabs>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响应文件递交截止时间之日起90天，有效期不足的响应文件将被拒绝。</w:t>
            </w:r>
          </w:p>
        </w:tc>
      </w:tr>
      <w:tr w14:paraId="6149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550407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42" w:type="dxa"/>
            <w:vAlign w:val="center"/>
          </w:tcPr>
          <w:p w14:paraId="5CC02799">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1775" w:type="dxa"/>
            <w:vAlign w:val="center"/>
          </w:tcPr>
          <w:p w14:paraId="451D2452">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保证金</w:t>
            </w:r>
          </w:p>
        </w:tc>
        <w:tc>
          <w:tcPr>
            <w:tcW w:w="7160" w:type="dxa"/>
          </w:tcPr>
          <w:p w14:paraId="2FB38F24">
            <w:pPr>
              <w:tabs>
                <w:tab w:val="left" w:pos="1305"/>
              </w:tabs>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tc>
      </w:tr>
      <w:tr w14:paraId="124D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55208BB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42" w:type="dxa"/>
            <w:vAlign w:val="center"/>
          </w:tcPr>
          <w:p w14:paraId="42F3A77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775" w:type="dxa"/>
            <w:vAlign w:val="center"/>
          </w:tcPr>
          <w:p w14:paraId="364E3547">
            <w:pPr>
              <w:pStyle w:val="5"/>
              <w:spacing w:before="0" w:after="0" w:line="440" w:lineRule="exact"/>
              <w:jc w:val="center"/>
              <w:rPr>
                <w:rFonts w:hint="eastAsia" w:ascii="宋体" w:hAnsi="宋体" w:eastAsia="宋体" w:cs="宋体"/>
                <w:b w:val="0"/>
                <w:bCs/>
                <w:color w:val="auto"/>
                <w:kern w:val="2"/>
                <w:sz w:val="21"/>
                <w:szCs w:val="21"/>
                <w:highlight w:val="none"/>
              </w:rPr>
            </w:pPr>
            <w:bookmarkStart w:id="22" w:name="_Toc19911"/>
            <w:bookmarkStart w:id="23" w:name="_Toc27452"/>
            <w:r>
              <w:rPr>
                <w:rFonts w:hint="eastAsia" w:ascii="宋体" w:hAnsi="宋体" w:eastAsia="宋体" w:cs="宋体"/>
                <w:b w:val="0"/>
                <w:bCs/>
                <w:color w:val="auto"/>
                <w:kern w:val="2"/>
                <w:sz w:val="21"/>
                <w:szCs w:val="21"/>
                <w:highlight w:val="none"/>
              </w:rPr>
              <w:t>竞争性磋商响应文件的制作</w:t>
            </w:r>
            <w:bookmarkEnd w:id="22"/>
            <w:bookmarkEnd w:id="23"/>
          </w:p>
          <w:p w14:paraId="47D83FF9">
            <w:pPr>
              <w:spacing w:line="440" w:lineRule="exact"/>
              <w:jc w:val="center"/>
              <w:rPr>
                <w:rFonts w:hint="eastAsia" w:ascii="宋体" w:hAnsi="宋体" w:eastAsia="宋体" w:cs="宋体"/>
                <w:color w:val="auto"/>
                <w:szCs w:val="21"/>
                <w:highlight w:val="none"/>
              </w:rPr>
            </w:pPr>
          </w:p>
        </w:tc>
        <w:tc>
          <w:tcPr>
            <w:tcW w:w="7160" w:type="dxa"/>
            <w:vAlign w:val="center"/>
          </w:tcPr>
          <w:p w14:paraId="325769D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16.1磋商供应商制作电子响应文件前，应登</w:t>
            </w:r>
            <w:r>
              <w:rPr>
                <w:rFonts w:hint="eastAsia" w:ascii="宋体" w:hAnsi="宋体" w:eastAsia="宋体" w:cs="宋体"/>
                <w:color w:val="auto"/>
                <w:szCs w:val="21"/>
                <w:highlight w:val="none"/>
                <w:lang w:val="en-US" w:eastAsia="zh-CN"/>
              </w:rPr>
              <w:t>录</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平台”进行“申请获取采购文件”操作，否则，有可能导致无法在线编制响应文件并参与投标，其不利后果由投标人自行承担。</w:t>
            </w:r>
          </w:p>
          <w:p w14:paraId="1FF25D8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08B4174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16.3供应商法人（负责人）或授权代表持有</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个人CA签章的，应在响应文件中涉及到签字的位置使用个人CA签章，没有办理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个人CA签章的可在响应文件中涉及到签字的位置手写签字后扫描或者拍照做成 PDF 的格式上传即可。</w:t>
            </w:r>
          </w:p>
          <w:p w14:paraId="435031F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磋商响应文件不得涂改，若有修改错漏处，须法定代表人（负责人）或授权委托人签字（或个人CA签章）。磋商响应文件因字迹潦草或表达不清所引起的后果由供应商负责。</w:t>
            </w:r>
          </w:p>
          <w:p w14:paraId="432A37C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16.5磋商前准备 </w:t>
            </w:r>
          </w:p>
          <w:p w14:paraId="2C7D760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16.5.1本项目实行在线磋商，采用电子磋商响应文件。若供应商参与磋商，自行承担磋商一切费用。 </w:t>
            </w:r>
          </w:p>
          <w:p w14:paraId="214A640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16.5.2各供应商应在截标前应确保成为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 xml:space="preserve">正式注册入库供应商，并完成 CA数字证书申领。因未注册入库、未办理 CA 数字证书等原因造成无法磋商或磋商失败等后果由供应商自行承担。 </w:t>
            </w:r>
          </w:p>
          <w:p w14:paraId="065025B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16.5.3供应商将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电子交易客户端下载、安装完成后，可通过账号密码或CA登录客户端进行响应文件制作。客户端请至网站下载专区查看，如有问题可拨打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客户服务热线</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进行咨询。</w:t>
            </w:r>
          </w:p>
        </w:tc>
      </w:tr>
      <w:tr w14:paraId="7E22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5DD20F3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42" w:type="dxa"/>
            <w:vAlign w:val="center"/>
          </w:tcPr>
          <w:p w14:paraId="3765F29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775" w:type="dxa"/>
            <w:vAlign w:val="center"/>
          </w:tcPr>
          <w:p w14:paraId="2994205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7160" w:type="dxa"/>
            <w:vAlign w:val="center"/>
          </w:tcPr>
          <w:p w14:paraId="02BEBDC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年05月26日</w:t>
            </w:r>
            <w:r>
              <w:rPr>
                <w:rFonts w:hint="eastAsia" w:ascii="宋体" w:hAnsi="宋体" w:eastAsia="宋体" w:cs="宋体"/>
                <w:color w:val="auto"/>
                <w:szCs w:val="21"/>
                <w:highlight w:val="none"/>
                <w:u w:val="single"/>
                <w:lang w:val="en-US" w:eastAsia="zh-CN"/>
              </w:rPr>
              <w:t>09</w:t>
            </w:r>
            <w:r>
              <w:rPr>
                <w:rFonts w:hint="eastAsia" w:ascii="宋体" w:hAnsi="宋体" w:eastAsia="宋体" w:cs="宋体"/>
                <w:color w:val="auto"/>
                <w:szCs w:val="21"/>
                <w:highlight w:val="none"/>
                <w:u w:val="single"/>
              </w:rPr>
              <w:t>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w:t>
            </w:r>
          </w:p>
        </w:tc>
      </w:tr>
      <w:tr w14:paraId="29B1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6B822010">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9</w:t>
            </w:r>
          </w:p>
        </w:tc>
        <w:tc>
          <w:tcPr>
            <w:tcW w:w="942" w:type="dxa"/>
            <w:vAlign w:val="center"/>
          </w:tcPr>
          <w:p w14:paraId="4AB27326">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18.2</w:t>
            </w:r>
          </w:p>
        </w:tc>
        <w:tc>
          <w:tcPr>
            <w:tcW w:w="1775" w:type="dxa"/>
            <w:vAlign w:val="center"/>
          </w:tcPr>
          <w:p w14:paraId="7EE3E97D">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rPr>
              <w:t>磋商响应文件解密时间</w:t>
            </w:r>
          </w:p>
        </w:tc>
        <w:tc>
          <w:tcPr>
            <w:tcW w:w="7160" w:type="dxa"/>
            <w:vAlign w:val="center"/>
          </w:tcPr>
          <w:p w14:paraId="26E45286">
            <w:pPr>
              <w:pStyle w:val="13"/>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磋商响应文件解密时间：截标时间后30分钟内（</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年05月26日</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rPr>
              <w:t>时30分至</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时00分)磋商供应商可以登录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，用“项目采购-开标评标”功能进行解密磋商响应文件。若磋商供应商在规定时间内无法解密或解密失败，可以以电子备份磋商响应文件作为依据</w:t>
            </w:r>
            <w:r>
              <w:rPr>
                <w:rFonts w:hint="eastAsia" w:ascii="宋体" w:hAnsi="宋体" w:eastAsia="宋体" w:cs="宋体"/>
                <w:b/>
                <w:bCs/>
                <w:color w:val="auto"/>
                <w:szCs w:val="21"/>
                <w:highlight w:val="none"/>
              </w:rPr>
              <w:t>【在接到无法解密或解密失败的通知后，磋商供应商可根据自身实际情况按通知时要求的时间到桂林市公共资源交易中心</w:t>
            </w:r>
            <w:r>
              <w:rPr>
                <w:rFonts w:hint="eastAsia" w:ascii="宋体" w:hAnsi="宋体" w:cs="宋体"/>
                <w:b/>
                <w:bCs/>
                <w:color w:val="auto"/>
                <w:szCs w:val="21"/>
                <w:highlight w:val="none"/>
                <w:lang w:eastAsia="zh-CN"/>
              </w:rPr>
              <w:t>政采开标仓</w:t>
            </w:r>
            <w:r>
              <w:rPr>
                <w:rFonts w:hint="eastAsia" w:ascii="宋体" w:hAnsi="宋体" w:eastAsia="宋体" w:cs="宋体"/>
                <w:b/>
                <w:bCs/>
                <w:color w:val="auto"/>
                <w:szCs w:val="21"/>
                <w:highlight w:val="none"/>
              </w:rPr>
              <w:t>现场提交或以电子邮件的形式（以通知时所告知的电子邮箱地址为准）提交电子备份磋商响应文件】</w:t>
            </w:r>
            <w:r>
              <w:rPr>
                <w:rFonts w:hint="eastAsia" w:ascii="宋体" w:hAnsi="宋体" w:eastAsia="宋体" w:cs="宋体"/>
                <w:color w:val="auto"/>
                <w:szCs w:val="21"/>
                <w:highlight w:val="none"/>
              </w:rPr>
              <w:t>，若磋商供应商在规定时间内无法解密或解密失败且未提供电子备份磋商响应文件的(包含提供的电子备份文件无效或无法解密的情况)，视为无效响应。</w:t>
            </w:r>
          </w:p>
        </w:tc>
      </w:tr>
      <w:tr w14:paraId="5E53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36ADF60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42" w:type="dxa"/>
            <w:vAlign w:val="center"/>
          </w:tcPr>
          <w:p w14:paraId="69BBFD09">
            <w:pPr>
              <w:spacing w:line="440" w:lineRule="exact"/>
              <w:ind w:firstLine="105" w:firstLineChars="50"/>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19.1</w:t>
            </w:r>
          </w:p>
        </w:tc>
        <w:tc>
          <w:tcPr>
            <w:tcW w:w="1775" w:type="dxa"/>
            <w:vAlign w:val="center"/>
          </w:tcPr>
          <w:p w14:paraId="0192EF2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7160" w:type="dxa"/>
            <w:vAlign w:val="center"/>
          </w:tcPr>
          <w:p w14:paraId="70A944A4">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人，专家</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人。</w:t>
            </w:r>
          </w:p>
        </w:tc>
      </w:tr>
      <w:tr w14:paraId="5F56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3946EE8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942" w:type="dxa"/>
            <w:vAlign w:val="center"/>
          </w:tcPr>
          <w:p w14:paraId="6024FAC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1775" w:type="dxa"/>
            <w:vAlign w:val="center"/>
          </w:tcPr>
          <w:p w14:paraId="24F14C4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磋商时间、地点、人员</w:t>
            </w:r>
          </w:p>
        </w:tc>
        <w:tc>
          <w:tcPr>
            <w:tcW w:w="7160" w:type="dxa"/>
          </w:tcPr>
          <w:p w14:paraId="53472BA9">
            <w:pPr>
              <w:spacing w:line="440" w:lineRule="exact"/>
              <w:ind w:left="31680" w:hanging="315" w:hanging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19.2.1磋商时间：响应文件递交截止时间后。</w:t>
            </w:r>
          </w:p>
          <w:p w14:paraId="59124488">
            <w:pPr>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19.2.2磋商地点：本项目需要磋商供应商代表在截标当天截标后，按磋商小组要求及时</w:t>
            </w:r>
            <w:r>
              <w:rPr>
                <w:rFonts w:hint="eastAsia" w:ascii="宋体" w:hAnsi="宋体" w:eastAsia="宋体" w:cs="宋体"/>
                <w:color w:val="auto"/>
                <w:szCs w:val="21"/>
                <w:highlight w:val="none"/>
                <w:lang w:eastAsia="zh-CN"/>
              </w:rPr>
              <w:t>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p>
          <w:p w14:paraId="0425F1C9">
            <w:pPr>
              <w:spacing w:line="440" w:lineRule="exact"/>
              <w:ind w:left="31680" w:hanging="14" w:hangingChars="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19.2.3磋商参加人员：供应商法定代表人、负责人、自然人或相应的委托代理人持有效身份证原件和供应商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CA数字证书参加磋商。请供应商按时到达指定地点等候磋商。</w:t>
            </w:r>
          </w:p>
          <w:p w14:paraId="32CB3836">
            <w:pPr>
              <w:tabs>
                <w:tab w:val="left" w:pos="1140"/>
              </w:tabs>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19.2.4响应文件递交截止时间后，由磋商小组在评标室内线上开启响应文件。</w:t>
            </w:r>
          </w:p>
        </w:tc>
      </w:tr>
      <w:tr w14:paraId="0ECE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707478C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12</w:t>
            </w:r>
          </w:p>
        </w:tc>
        <w:tc>
          <w:tcPr>
            <w:tcW w:w="942" w:type="dxa"/>
            <w:vAlign w:val="center"/>
          </w:tcPr>
          <w:p w14:paraId="6E58A2A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p>
        </w:tc>
        <w:tc>
          <w:tcPr>
            <w:tcW w:w="1775" w:type="dxa"/>
            <w:vAlign w:val="center"/>
          </w:tcPr>
          <w:p w14:paraId="01521869">
            <w:pPr>
              <w:pStyle w:val="18"/>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7160" w:type="dxa"/>
            <w:vAlign w:val="center"/>
          </w:tcPr>
          <w:p w14:paraId="17B7E053">
            <w:pPr>
              <w:tabs>
                <w:tab w:val="left" w:pos="1140"/>
              </w:tabs>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14:paraId="7918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0A3802A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942" w:type="dxa"/>
            <w:vAlign w:val="center"/>
          </w:tcPr>
          <w:p w14:paraId="4C82B92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75" w:type="dxa"/>
            <w:vAlign w:val="center"/>
          </w:tcPr>
          <w:p w14:paraId="4F79E0A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7160" w:type="dxa"/>
            <w:vAlign w:val="center"/>
          </w:tcPr>
          <w:p w14:paraId="2C85B54D">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66D44911">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⑴查询渠道：“信用中国”网站(www.creditchina.gov.cn)、中国政府采购网(www.ccgp.gov.cn)等；</w:t>
            </w:r>
          </w:p>
          <w:p w14:paraId="45649BAE">
            <w:pPr>
              <w:spacing w:line="440" w:lineRule="exact"/>
              <w:ind w:left="31680" w:hanging="315" w:hanging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⑵查询时间：成交通知书发出前；</w:t>
            </w:r>
          </w:p>
          <w:p w14:paraId="49505532">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⑶信用信息查询记录和证据留存方式：在查询网站中直接打印查询记录，打印材料作为采购活动资料保存；</w:t>
            </w:r>
          </w:p>
          <w:p w14:paraId="68D8A06C">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1A66EF6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51A7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5895A02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942" w:type="dxa"/>
            <w:vAlign w:val="center"/>
          </w:tcPr>
          <w:p w14:paraId="72A4C74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775" w:type="dxa"/>
            <w:vAlign w:val="center"/>
          </w:tcPr>
          <w:p w14:paraId="1693C5C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w:t>
            </w:r>
          </w:p>
          <w:p w14:paraId="2A65B3A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及成交通知书</w:t>
            </w:r>
          </w:p>
        </w:tc>
        <w:tc>
          <w:tcPr>
            <w:tcW w:w="7160" w:type="dxa"/>
          </w:tcPr>
          <w:p w14:paraId="5A95485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3F5A2C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27.2在发布成交公告的同时，采购代理机构向成交供应商发出成交通知书。成交供应商自接到通知之日起七个工作日内，办理成交通知书领取手续。</w:t>
            </w:r>
          </w:p>
        </w:tc>
      </w:tr>
      <w:tr w14:paraId="482E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2" w:type="dxa"/>
            <w:vAlign w:val="center"/>
          </w:tcPr>
          <w:p w14:paraId="3EE6B18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942" w:type="dxa"/>
            <w:vAlign w:val="center"/>
          </w:tcPr>
          <w:p w14:paraId="476F177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775" w:type="dxa"/>
            <w:vAlign w:val="center"/>
          </w:tcPr>
          <w:p w14:paraId="1D1798B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160" w:type="dxa"/>
            <w:vAlign w:val="center"/>
          </w:tcPr>
          <w:p w14:paraId="5C12115E">
            <w:pPr>
              <w:spacing w:line="440" w:lineRule="exact"/>
              <w:rPr>
                <w:rFonts w:hint="eastAsia" w:ascii="宋体" w:hAnsi="宋体" w:eastAsia="宋体" w:cs="宋体"/>
                <w:color w:val="auto"/>
                <w:szCs w:val="21"/>
                <w:highlight w:val="none"/>
              </w:rPr>
            </w:pPr>
            <w:r>
              <w:rPr>
                <w:rStyle w:val="102"/>
                <w:rFonts w:hint="eastAsia" w:hAnsi="宋体" w:cs="宋体"/>
                <w:color w:val="auto"/>
                <w:sz w:val="21"/>
                <w:szCs w:val="21"/>
                <w:highlight w:val="none"/>
                <w:lang w:val="en-US" w:eastAsia="zh-CN"/>
              </w:rPr>
              <w:t>本项目无需履约保证金</w:t>
            </w:r>
            <w:r>
              <w:rPr>
                <w:rStyle w:val="102"/>
                <w:rFonts w:hint="eastAsia" w:ascii="宋体" w:hAnsi="宋体" w:eastAsia="宋体" w:cs="宋体"/>
                <w:color w:val="auto"/>
                <w:sz w:val="21"/>
                <w:szCs w:val="21"/>
                <w:highlight w:val="none"/>
                <w:lang w:val="en-US" w:eastAsia="zh-CN"/>
              </w:rPr>
              <w:t>。</w:t>
            </w:r>
          </w:p>
        </w:tc>
      </w:tr>
      <w:tr w14:paraId="434E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1D1D76D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942" w:type="dxa"/>
            <w:vAlign w:val="center"/>
          </w:tcPr>
          <w:p w14:paraId="0D42FDC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75" w:type="dxa"/>
            <w:vAlign w:val="center"/>
          </w:tcPr>
          <w:p w14:paraId="6345071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7160" w:type="dxa"/>
          </w:tcPr>
          <w:p w14:paraId="3606D3BE">
            <w:pPr>
              <w:spacing w:line="440" w:lineRule="exact"/>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成交通知书发出之日起</w:t>
            </w:r>
            <w:r>
              <w:rPr>
                <w:rFonts w:hint="eastAsia" w:ascii="宋体" w:hAnsi="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en-US" w:eastAsia="zh-CN"/>
              </w:rPr>
              <w:t>个工作</w:t>
            </w:r>
            <w:r>
              <w:rPr>
                <w:rFonts w:hint="eastAsia" w:ascii="宋体" w:hAnsi="宋体" w:eastAsia="宋体" w:cs="宋体"/>
                <w:bCs/>
                <w:color w:val="auto"/>
                <w:kern w:val="0"/>
                <w:szCs w:val="21"/>
                <w:highlight w:val="none"/>
              </w:rPr>
              <w:t>日内签订合同</w:t>
            </w:r>
            <w:r>
              <w:rPr>
                <w:rFonts w:hint="eastAsia" w:ascii="宋体" w:hAnsi="宋体" w:eastAsia="宋体" w:cs="宋体"/>
                <w:color w:val="auto"/>
                <w:szCs w:val="21"/>
                <w:highlight w:val="none"/>
              </w:rPr>
              <w:t>。成交供应商领取成交通知书后，应按规定与采购人签订合同。</w:t>
            </w:r>
          </w:p>
        </w:tc>
      </w:tr>
      <w:tr w14:paraId="2C6D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56D0A71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942" w:type="dxa"/>
            <w:vAlign w:val="center"/>
          </w:tcPr>
          <w:p w14:paraId="1E57E88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w:t>
            </w:r>
          </w:p>
        </w:tc>
        <w:tc>
          <w:tcPr>
            <w:tcW w:w="1775" w:type="dxa"/>
            <w:vAlign w:val="center"/>
          </w:tcPr>
          <w:p w14:paraId="5C8A827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7160" w:type="dxa"/>
            <w:vAlign w:val="center"/>
          </w:tcPr>
          <w:p w14:paraId="6F3ADD3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采购代理机构存档。</w:t>
            </w:r>
          </w:p>
        </w:tc>
      </w:tr>
      <w:tr w14:paraId="6FD8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6559C55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942" w:type="dxa"/>
            <w:vAlign w:val="center"/>
          </w:tcPr>
          <w:p w14:paraId="10755FA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775" w:type="dxa"/>
            <w:vAlign w:val="center"/>
          </w:tcPr>
          <w:p w14:paraId="75F8607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7160" w:type="dxa"/>
          </w:tcPr>
          <w:p w14:paraId="0568A0A0">
            <w:pPr>
              <w:pStyle w:val="18"/>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30.1成交供应商</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领取成交通知书</w:t>
            </w:r>
            <w:r>
              <w:rPr>
                <w:rFonts w:hint="eastAsia" w:ascii="宋体" w:hAnsi="宋体" w:eastAsia="宋体" w:cs="宋体"/>
                <w:color w:val="auto"/>
                <w:szCs w:val="21"/>
                <w:highlight w:val="none"/>
                <w:lang w:val="en-US" w:eastAsia="zh-CN"/>
              </w:rPr>
              <w:t>时</w:t>
            </w:r>
            <w:r>
              <w:rPr>
                <w:rFonts w:hint="eastAsia" w:ascii="宋体" w:hAnsi="宋体" w:eastAsia="宋体" w:cs="宋体"/>
                <w:color w:val="auto"/>
                <w:szCs w:val="21"/>
                <w:highlight w:val="none"/>
              </w:rPr>
              <w:t>，向</w:t>
            </w:r>
            <w:r>
              <w:rPr>
                <w:rFonts w:hint="eastAsia" w:hAnsi="宋体" w:cs="宋体"/>
                <w:color w:val="auto"/>
                <w:szCs w:val="21"/>
                <w:highlight w:val="none"/>
                <w:lang w:val="en-US" w:eastAsia="zh-CN"/>
              </w:rPr>
              <w:t>采购代理机构</w:t>
            </w:r>
            <w:r>
              <w:rPr>
                <w:rFonts w:hint="eastAsia" w:ascii="宋体" w:hAnsi="宋体" w:eastAsia="宋体" w:cs="宋体"/>
                <w:color w:val="auto"/>
                <w:szCs w:val="21"/>
                <w:highlight w:val="none"/>
              </w:rPr>
              <w:t>一次性付清</w:t>
            </w: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代理服务费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本项目参照</w:t>
            </w:r>
            <w:r>
              <w:rPr>
                <w:rFonts w:hint="eastAsia" w:ascii="宋体" w:hAnsi="宋体" w:eastAsia="宋体" w:cs="宋体"/>
                <w:color w:val="auto"/>
                <w:szCs w:val="21"/>
                <w:highlight w:val="none"/>
              </w:rPr>
              <w:t>计价格[2002]1980号《招标代理服务收费管理暂行办法》服务类收费标准</w:t>
            </w:r>
            <w:r>
              <w:rPr>
                <w:rFonts w:hint="eastAsia" w:ascii="宋体" w:hAnsi="宋体" w:eastAsia="宋体" w:cs="宋体"/>
                <w:color w:val="auto"/>
                <w:szCs w:val="21"/>
                <w:highlight w:val="none"/>
                <w:lang w:val="en-US" w:eastAsia="zh-CN"/>
              </w:rPr>
              <w:t>向成交供应商收取。</w:t>
            </w:r>
          </w:p>
        </w:tc>
      </w:tr>
      <w:tr w14:paraId="4738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1E845FE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942" w:type="dxa"/>
            <w:vAlign w:val="center"/>
          </w:tcPr>
          <w:p w14:paraId="3197E89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75" w:type="dxa"/>
            <w:vAlign w:val="center"/>
          </w:tcPr>
          <w:p w14:paraId="480126A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7160" w:type="dxa"/>
          </w:tcPr>
          <w:p w14:paraId="620D48D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02C1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7249213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942" w:type="dxa"/>
            <w:vAlign w:val="center"/>
          </w:tcPr>
          <w:p w14:paraId="46FF326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775" w:type="dxa"/>
            <w:vAlign w:val="center"/>
          </w:tcPr>
          <w:p w14:paraId="1488914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监督管理机构</w:t>
            </w:r>
          </w:p>
        </w:tc>
        <w:tc>
          <w:tcPr>
            <w:tcW w:w="7160" w:type="dxa"/>
            <w:vAlign w:val="center"/>
          </w:tcPr>
          <w:p w14:paraId="44741F00">
            <w:pPr>
              <w:spacing w:line="4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 xml:space="preserve"> 恭城瑶族自治县政府采购管理办公室</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 xml:space="preserve">  电话：0773-8212104</w:t>
            </w:r>
          </w:p>
        </w:tc>
      </w:tr>
    </w:tbl>
    <w:p w14:paraId="4FB84925">
      <w:pPr>
        <w:widowControl/>
        <w:spacing w:line="440" w:lineRule="exact"/>
        <w:jc w:val="left"/>
        <w:rPr>
          <w:rFonts w:hint="eastAsia" w:ascii="宋体" w:hAnsi="宋体" w:eastAsia="宋体" w:cs="宋体"/>
          <w:b/>
          <w:color w:val="auto"/>
          <w:szCs w:val="21"/>
          <w:highlight w:val="none"/>
          <w:lang w:val="pt-BR"/>
        </w:rPr>
      </w:pPr>
      <w:bookmarkStart w:id="24" w:name="_Toc22792"/>
      <w:bookmarkStart w:id="25" w:name="_Toc10058"/>
    </w:p>
    <w:p w14:paraId="57A90864">
      <w:pPr>
        <w:pStyle w:val="38"/>
        <w:rPr>
          <w:rFonts w:hint="eastAsia" w:ascii="宋体" w:hAnsi="宋体" w:eastAsia="宋体" w:cs="宋体"/>
          <w:color w:val="auto"/>
          <w:highlight w:val="none"/>
          <w:lang w:val="pt-BR"/>
        </w:rPr>
      </w:pPr>
    </w:p>
    <w:p w14:paraId="29306ABA">
      <w:pPr>
        <w:pStyle w:val="4"/>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br w:type="page"/>
      </w:r>
      <w:r>
        <w:rPr>
          <w:rFonts w:hint="eastAsia" w:ascii="宋体" w:hAnsi="宋体" w:eastAsia="宋体" w:cs="宋体"/>
          <w:b/>
          <w:bCs w:val="0"/>
          <w:color w:val="auto"/>
          <w:sz w:val="21"/>
          <w:szCs w:val="21"/>
          <w:highlight w:val="none"/>
        </w:rPr>
        <w:t>一、总则</w:t>
      </w:r>
      <w:bookmarkEnd w:id="24"/>
      <w:bookmarkEnd w:id="25"/>
    </w:p>
    <w:p w14:paraId="2C393064">
      <w:pPr>
        <w:pStyle w:val="5"/>
        <w:spacing w:before="0" w:after="0" w:line="400" w:lineRule="exact"/>
        <w:ind w:firstLine="420" w:firstLineChars="200"/>
        <w:rPr>
          <w:rFonts w:hint="eastAsia" w:ascii="宋体" w:hAnsi="宋体" w:eastAsia="宋体" w:cs="宋体"/>
          <w:color w:val="auto"/>
          <w:sz w:val="21"/>
          <w:szCs w:val="21"/>
          <w:highlight w:val="none"/>
        </w:rPr>
      </w:pPr>
      <w:bookmarkStart w:id="26" w:name="_Toc6626"/>
      <w:bookmarkStart w:id="27" w:name="_Toc24721"/>
      <w:r>
        <w:rPr>
          <w:rFonts w:hint="eastAsia" w:ascii="宋体" w:hAnsi="宋体" w:eastAsia="宋体" w:cs="宋体"/>
          <w:color w:val="auto"/>
          <w:sz w:val="21"/>
          <w:szCs w:val="21"/>
          <w:highlight w:val="none"/>
        </w:rPr>
        <w:t>1. 适应范围</w:t>
      </w:r>
      <w:bookmarkEnd w:id="26"/>
      <w:bookmarkEnd w:id="27"/>
    </w:p>
    <w:p w14:paraId="0D13DE06">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项目名称及项目编号：</w:t>
      </w:r>
    </w:p>
    <w:p w14:paraId="1704D29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恭城县水网建设规划</w:t>
      </w:r>
      <w:r>
        <w:rPr>
          <w:rFonts w:hint="eastAsia" w:ascii="宋体" w:hAnsi="宋体" w:eastAsia="宋体" w:cs="宋体"/>
          <w:color w:val="auto"/>
          <w:szCs w:val="21"/>
          <w:highlight w:val="none"/>
        </w:rPr>
        <w:t xml:space="preserve"> </w:t>
      </w:r>
    </w:p>
    <w:p w14:paraId="427BA57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GLZC2025-C3-320022-AHHP</w:t>
      </w:r>
    </w:p>
    <w:p w14:paraId="369AE7F0">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1.2本竞争性磋商文件（以下简称磋商文件）适用于本磋商项目的磋商、评审、合同履约、验收、付款等行为（法律、法规另有规定的，从其规定）。</w:t>
      </w:r>
    </w:p>
    <w:p w14:paraId="09A0832D">
      <w:pPr>
        <w:pStyle w:val="5"/>
        <w:spacing w:before="0" w:after="0" w:line="400" w:lineRule="exact"/>
        <w:ind w:firstLine="420" w:firstLineChars="200"/>
        <w:rPr>
          <w:rFonts w:hint="eastAsia" w:ascii="宋体" w:hAnsi="宋体" w:eastAsia="宋体" w:cs="宋体"/>
          <w:color w:val="auto"/>
          <w:sz w:val="21"/>
          <w:szCs w:val="21"/>
          <w:highlight w:val="none"/>
        </w:rPr>
      </w:pPr>
      <w:bookmarkStart w:id="28" w:name="_Toc3355"/>
      <w:bookmarkStart w:id="29" w:name="_Toc28336"/>
      <w:r>
        <w:rPr>
          <w:rFonts w:hint="eastAsia" w:ascii="宋体" w:hAnsi="宋体" w:eastAsia="宋体" w:cs="宋体"/>
          <w:color w:val="auto"/>
          <w:sz w:val="21"/>
          <w:szCs w:val="21"/>
          <w:highlight w:val="none"/>
        </w:rPr>
        <w:t>2. 定义</w:t>
      </w:r>
      <w:bookmarkEnd w:id="28"/>
      <w:bookmarkEnd w:id="29"/>
    </w:p>
    <w:p w14:paraId="442F5D4D">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2.1“供应商”是指符合本次采购项目的供应商资格并提交响应文件、参加磋商的供应商。如果该供应商在本次磋商中成交，即成为“成交供应商”。</w:t>
      </w:r>
    </w:p>
    <w:p w14:paraId="7D170941">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2.2“货物”系指按磋商文件规定，供应商须向采购人提供的一切设备、保险、税金、备品备件、工具、手册及其它有关技术资料和材料。</w:t>
      </w:r>
    </w:p>
    <w:p w14:paraId="633EAEF2">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2.3“服务”系指按磋商文件规定，供应商须承担的安装、调试、技术协助、校准、培训、技术指导以及其他类似的义务。</w:t>
      </w:r>
    </w:p>
    <w:p w14:paraId="7B637848">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2.4“项目”系指供应商按磋商文件规定向采购人提供的货物和服务。</w:t>
      </w:r>
    </w:p>
    <w:p w14:paraId="2B3BEA0B">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14:paraId="4CD23C88">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2.6“响应文件”：本项目实行全流程电子化采购，供应商通过“</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平台”参与电子竞标。响应文件特指供应商按本磋商文件规定提交的电子响应文件（包括因特殊情况无法解密或解密失败提交的电子备份响应文件）。</w:t>
      </w:r>
    </w:p>
    <w:p w14:paraId="716A3CC6">
      <w:pPr>
        <w:pStyle w:val="16"/>
        <w:ind w:left="0" w:leftChars="0" w:firstLine="420" w:firstLineChars="200"/>
        <w:rPr>
          <w:rFonts w:hint="eastAsia"/>
          <w:color w:val="auto"/>
          <w:highlight w:val="none"/>
        </w:rPr>
      </w:pPr>
      <w:r>
        <w:rPr>
          <w:rFonts w:hint="eastAsia" w:ascii="新宋体" w:hAnsi="新宋体" w:eastAsia="新宋体" w:cs="新宋体"/>
          <w:color w:val="auto"/>
          <w:szCs w:val="21"/>
          <w:highlight w:val="none"/>
          <w:lang w:val="en-US" w:eastAsia="zh-CN"/>
        </w:rPr>
        <w:t>2</w:t>
      </w:r>
      <w:r>
        <w:rPr>
          <w:rFonts w:hint="eastAsia" w:ascii="新宋体" w:hAnsi="新宋体" w:eastAsia="新宋体" w:cs="新宋体"/>
          <w:color w:val="auto"/>
          <w:szCs w:val="21"/>
          <w:highlight w:val="none"/>
        </w:rPr>
        <w:t>.7实质性要求：</w:t>
      </w:r>
      <w:r>
        <w:rPr>
          <w:rFonts w:hint="eastAsia" w:ascii="新宋体" w:hAnsi="新宋体" w:eastAsia="新宋体" w:cs="新宋体"/>
          <w:b/>
          <w:bCs/>
          <w:color w:val="auto"/>
          <w:szCs w:val="21"/>
          <w:highlight w:val="none"/>
        </w:rPr>
        <w:t>“采购需求”中所有条款以及</w:t>
      </w:r>
      <w:r>
        <w:rPr>
          <w:rFonts w:hint="eastAsia" w:ascii="新宋体" w:hAnsi="新宋体" w:eastAsia="新宋体" w:cs="新宋体"/>
          <w:b/>
          <w:bCs/>
          <w:color w:val="auto"/>
          <w:szCs w:val="21"/>
          <w:highlight w:val="none"/>
          <w:lang w:val="en-US" w:eastAsia="zh-CN"/>
        </w:rPr>
        <w:t>磋商</w:t>
      </w:r>
      <w:r>
        <w:rPr>
          <w:rFonts w:hint="eastAsia" w:ascii="新宋体" w:hAnsi="新宋体" w:eastAsia="新宋体" w:cs="新宋体"/>
          <w:b/>
          <w:bCs/>
          <w:color w:val="auto"/>
          <w:szCs w:val="21"/>
          <w:highlight w:val="none"/>
        </w:rPr>
        <w:t>文件中要求“必须提供”的条款均属于实质性要求，投标人对实质性要求若有任意一项不满足，</w:t>
      </w:r>
      <w:r>
        <w:rPr>
          <w:rFonts w:hint="eastAsia" w:ascii="新宋体" w:hAnsi="新宋体" w:eastAsia="新宋体" w:cs="新宋体"/>
          <w:b/>
          <w:bCs/>
          <w:color w:val="auto"/>
          <w:szCs w:val="21"/>
          <w:highlight w:val="none"/>
          <w:lang w:val="en-US" w:eastAsia="zh-CN"/>
        </w:rPr>
        <w:t>响应</w:t>
      </w:r>
      <w:r>
        <w:rPr>
          <w:rFonts w:hint="eastAsia" w:ascii="新宋体" w:hAnsi="新宋体" w:eastAsia="新宋体" w:cs="新宋体"/>
          <w:b/>
          <w:bCs/>
          <w:color w:val="auto"/>
          <w:szCs w:val="21"/>
          <w:highlight w:val="none"/>
        </w:rPr>
        <w:t>文件作无效处理。</w:t>
      </w:r>
    </w:p>
    <w:p w14:paraId="7CC91956">
      <w:pPr>
        <w:pStyle w:val="5"/>
        <w:spacing w:before="0" w:after="0" w:line="400" w:lineRule="exact"/>
        <w:ind w:firstLine="420" w:firstLineChars="200"/>
        <w:rPr>
          <w:rFonts w:hint="eastAsia" w:ascii="宋体" w:hAnsi="宋体" w:eastAsia="宋体" w:cs="宋体"/>
          <w:color w:val="auto"/>
          <w:sz w:val="21"/>
          <w:szCs w:val="21"/>
          <w:highlight w:val="none"/>
        </w:rPr>
      </w:pPr>
      <w:bookmarkStart w:id="30" w:name="_Toc25441"/>
      <w:bookmarkStart w:id="31" w:name="_Toc23631"/>
      <w:r>
        <w:rPr>
          <w:rFonts w:hint="eastAsia" w:ascii="宋体" w:hAnsi="宋体" w:eastAsia="宋体" w:cs="宋体"/>
          <w:color w:val="auto"/>
          <w:sz w:val="21"/>
          <w:szCs w:val="21"/>
          <w:highlight w:val="none"/>
        </w:rPr>
        <w:t>3. 供应商资格</w:t>
      </w:r>
      <w:bookmarkEnd w:id="30"/>
      <w:bookmarkEnd w:id="31"/>
    </w:p>
    <w:p w14:paraId="74085CDF">
      <w:pPr>
        <w:spacing w:line="400" w:lineRule="exact"/>
        <w:ind w:firstLine="435"/>
        <w:rPr>
          <w:rFonts w:hint="eastAsia" w:ascii="宋体" w:hAnsi="宋体" w:eastAsia="宋体" w:cs="宋体"/>
          <w:color w:val="auto"/>
          <w:szCs w:val="21"/>
          <w:highlight w:val="none"/>
        </w:rPr>
      </w:pPr>
      <w:bookmarkStart w:id="32" w:name="_Toc16496"/>
      <w:bookmarkStart w:id="33" w:name="_Toc15983"/>
      <w:r>
        <w:rPr>
          <w:rFonts w:hint="eastAsia" w:ascii="宋体" w:hAnsi="宋体" w:eastAsia="宋体" w:cs="宋体"/>
          <w:color w:val="auto"/>
          <w:szCs w:val="21"/>
          <w:highlight w:val="none"/>
        </w:rPr>
        <w:t>3.1符合《中华人民共和国政府采购法》第二十二条规定。</w:t>
      </w:r>
    </w:p>
    <w:p w14:paraId="5EE08E0D">
      <w:pPr>
        <w:spacing w:line="400" w:lineRule="exact"/>
        <w:ind w:firstLine="4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3.2落实政府采购政策需满足的资格要求：</w:t>
      </w: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 w:val="21"/>
          <w:szCs w:val="21"/>
          <w:highlight w:val="none"/>
          <w:lang w:val="en-US" w:eastAsia="zh-CN"/>
        </w:rPr>
        <w:t>为非</w:t>
      </w:r>
      <w:r>
        <w:rPr>
          <w:rFonts w:hint="eastAsia" w:ascii="宋体" w:hAnsi="宋体" w:eastAsia="宋体" w:cs="宋体"/>
          <w:color w:val="auto"/>
          <w:sz w:val="21"/>
          <w:szCs w:val="21"/>
          <w:highlight w:val="none"/>
          <w:lang w:val="en-US" w:eastAsia="zh-CN"/>
        </w:rPr>
        <w:t>专门面向</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lang w:val="en-US" w:eastAsia="zh-CN"/>
        </w:rPr>
        <w:t>小企业采购的项目</w:t>
      </w:r>
      <w:r>
        <w:rPr>
          <w:rFonts w:hint="eastAsia" w:ascii="宋体" w:hAnsi="宋体" w:cs="宋体"/>
          <w:color w:val="auto"/>
          <w:sz w:val="21"/>
          <w:szCs w:val="21"/>
          <w:highlight w:val="none"/>
          <w:lang w:val="en-US" w:eastAsia="zh-CN"/>
        </w:rPr>
        <w:t>。</w:t>
      </w:r>
    </w:p>
    <w:p w14:paraId="2741A28F">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hint="eastAsia" w:ascii="宋体" w:hAnsi="宋体" w:eastAsia="宋体" w:cs="宋体"/>
          <w:color w:val="auto"/>
          <w:sz w:val="21"/>
          <w:szCs w:val="21"/>
          <w:highlight w:val="none"/>
        </w:rPr>
        <w:t>本项目的特定资格要求：</w:t>
      </w:r>
      <w:r>
        <w:rPr>
          <w:rFonts w:hint="eastAsia" w:ascii="宋体" w:hAnsi="宋体" w:cs="宋体"/>
          <w:szCs w:val="21"/>
          <w:highlight w:val="none"/>
        </w:rPr>
        <w:t>供应商为通过全国投资项目在线审批监管平台备案的工程咨询单位（咨询专业含水利水电，且水利水电专业服务范围含规划咨询或项目咨询或评估咨询）。</w:t>
      </w:r>
    </w:p>
    <w:p w14:paraId="15CDA6ED">
      <w:pPr>
        <w:spacing w:line="360" w:lineRule="exact"/>
        <w:ind w:firstLine="4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资格条件特别说明：</w:t>
      </w:r>
    </w:p>
    <w:p w14:paraId="066B87DA">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2D13AF1">
      <w:pPr>
        <w:spacing w:line="380" w:lineRule="exact"/>
        <w:ind w:firstLine="435" w:firstLineChars="0"/>
        <w:rPr>
          <w:rFonts w:hint="eastAsia" w:ascii="宋体" w:hAnsi="宋体" w:eastAsia="宋体" w:cs="宋体"/>
          <w:color w:val="auto"/>
          <w:highlight w:val="none"/>
        </w:rPr>
      </w:pPr>
      <w:r>
        <w:rPr>
          <w:rFonts w:hint="eastAsia" w:ascii="宋体" w:hAnsi="宋体" w:eastAsia="宋体" w:cs="宋体"/>
          <w:color w:val="auto"/>
          <w:sz w:val="21"/>
          <w:szCs w:val="24"/>
          <w:highlight w:val="none"/>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4018213">
      <w:pPr>
        <w:pStyle w:val="5"/>
        <w:numPr>
          <w:ilvl w:val="0"/>
          <w:numId w:val="0"/>
        </w:numPr>
        <w:spacing w:before="0" w:after="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4. </w:t>
      </w:r>
      <w:bookmarkEnd w:id="32"/>
      <w:bookmarkEnd w:id="33"/>
      <w:r>
        <w:rPr>
          <w:rFonts w:hint="eastAsia" w:ascii="宋体" w:hAnsi="宋体" w:eastAsia="宋体" w:cs="宋体"/>
          <w:color w:val="auto"/>
          <w:kern w:val="0"/>
          <w:sz w:val="21"/>
          <w:szCs w:val="21"/>
          <w:highlight w:val="none"/>
          <w:lang w:eastAsia="zh-CN"/>
        </w:rPr>
        <w:t>磋商费用</w:t>
      </w:r>
    </w:p>
    <w:p w14:paraId="10516FD2">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不论磋商结果如何，供应商均应自行承担所有与磋商有关的全部费用。 </w:t>
      </w:r>
    </w:p>
    <w:p w14:paraId="181A31D0">
      <w:pPr>
        <w:pStyle w:val="5"/>
        <w:numPr>
          <w:ilvl w:val="0"/>
          <w:numId w:val="6"/>
        </w:numPr>
        <w:spacing w:before="0" w:after="0" w:line="400" w:lineRule="exact"/>
        <w:ind w:firstLine="420" w:firstLineChars="200"/>
        <w:rPr>
          <w:rFonts w:hint="eastAsia" w:ascii="宋体" w:hAnsi="宋体" w:eastAsia="宋体" w:cs="宋体"/>
          <w:color w:val="auto"/>
          <w:sz w:val="21"/>
          <w:szCs w:val="21"/>
          <w:highlight w:val="none"/>
        </w:rPr>
      </w:pPr>
      <w:bookmarkStart w:id="34" w:name="_Toc31376"/>
      <w:bookmarkStart w:id="35" w:name="_Toc6933"/>
      <w:r>
        <w:rPr>
          <w:rFonts w:hint="eastAsia" w:ascii="宋体" w:hAnsi="宋体" w:eastAsia="宋体" w:cs="宋体"/>
          <w:color w:val="auto"/>
          <w:sz w:val="21"/>
          <w:szCs w:val="21"/>
          <w:highlight w:val="none"/>
        </w:rPr>
        <w:t>联合体要求</w:t>
      </w:r>
      <w:bookmarkEnd w:id="34"/>
      <w:bookmarkEnd w:id="35"/>
    </w:p>
    <w:p w14:paraId="0BEA3B54">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本项目不接受联合体参与磋商</w:t>
      </w:r>
    </w:p>
    <w:p w14:paraId="09229942">
      <w:pPr>
        <w:pStyle w:val="5"/>
        <w:spacing w:before="0" w:after="0" w:line="400" w:lineRule="exact"/>
        <w:ind w:firstLine="420" w:firstLineChars="200"/>
        <w:rPr>
          <w:rFonts w:hint="eastAsia" w:ascii="宋体" w:hAnsi="宋体" w:eastAsia="宋体" w:cs="宋体"/>
          <w:color w:val="auto"/>
          <w:sz w:val="21"/>
          <w:szCs w:val="21"/>
          <w:highlight w:val="none"/>
        </w:rPr>
      </w:pPr>
      <w:bookmarkStart w:id="36" w:name="_Toc16359"/>
      <w:bookmarkStart w:id="37" w:name="_Toc4152"/>
      <w:r>
        <w:rPr>
          <w:rFonts w:hint="eastAsia" w:ascii="宋体" w:hAnsi="宋体" w:eastAsia="宋体" w:cs="宋体"/>
          <w:color w:val="auto"/>
          <w:sz w:val="21"/>
          <w:szCs w:val="21"/>
          <w:highlight w:val="none"/>
        </w:rPr>
        <w:t>6. 质疑和投诉</w:t>
      </w:r>
      <w:bookmarkEnd w:id="36"/>
      <w:bookmarkEnd w:id="37"/>
      <w:r>
        <w:rPr>
          <w:rFonts w:hint="eastAsia" w:ascii="宋体" w:hAnsi="宋体" w:eastAsia="宋体" w:cs="宋体"/>
          <w:color w:val="auto"/>
          <w:sz w:val="21"/>
          <w:szCs w:val="21"/>
          <w:highlight w:val="none"/>
        </w:rPr>
        <w:tab/>
      </w:r>
    </w:p>
    <w:p w14:paraId="4AA784B2">
      <w:pPr>
        <w:tabs>
          <w:tab w:val="left" w:pos="2190"/>
        </w:tabs>
        <w:spacing w:line="400" w:lineRule="exact"/>
        <w:ind w:firstLine="435"/>
        <w:rPr>
          <w:rFonts w:hint="eastAsia" w:ascii="宋体" w:hAnsi="宋体" w:eastAsia="宋体" w:cs="宋体"/>
          <w:color w:val="auto"/>
          <w:szCs w:val="21"/>
          <w:highlight w:val="none"/>
        </w:rPr>
      </w:pPr>
      <w:bookmarkStart w:id="38" w:name="_Toc8195"/>
      <w:bookmarkStart w:id="39" w:name="_Toc26087"/>
      <w:r>
        <w:rPr>
          <w:rFonts w:hint="eastAsia" w:ascii="宋体" w:hAnsi="宋体" w:eastAsia="宋体" w:cs="宋体"/>
          <w:color w:val="auto"/>
          <w:szCs w:val="21"/>
          <w:highlight w:val="none"/>
        </w:rPr>
        <w:t>6.1供应对政府采购活动事项有疑问的，可以向采购人提出询问。</w:t>
      </w:r>
    </w:p>
    <w:p w14:paraId="3F54B836">
      <w:pPr>
        <w:tabs>
          <w:tab w:val="left" w:pos="2190"/>
        </w:tabs>
        <w:spacing w:line="400" w:lineRule="exact"/>
        <w:ind w:firstLine="4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质疑函格式详见附件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。采购代理机构应认真做好质疑处理工作。</w:t>
      </w:r>
      <w:r>
        <w:rPr>
          <w:rFonts w:hint="eastAsia" w:ascii="宋体" w:hAnsi="宋体" w:eastAsia="宋体" w:cs="宋体"/>
          <w:color w:val="auto"/>
          <w:szCs w:val="20"/>
          <w:highlight w:val="none"/>
        </w:rPr>
        <w:t>接收质疑函方式</w:t>
      </w:r>
      <w:r>
        <w:rPr>
          <w:rFonts w:hint="eastAsia" w:ascii="宋体" w:hAnsi="宋体" w:eastAsia="宋体" w:cs="宋体"/>
          <w:color w:val="auto"/>
          <w:szCs w:val="20"/>
          <w:highlight w:val="none"/>
          <w:lang w:eastAsia="zh-CN"/>
        </w:rPr>
        <w:t>为</w:t>
      </w:r>
      <w:r>
        <w:rPr>
          <w:rFonts w:hint="eastAsia" w:ascii="宋体" w:hAnsi="宋体" w:eastAsia="宋体" w:cs="宋体"/>
          <w:color w:val="auto"/>
          <w:szCs w:val="20"/>
          <w:highlight w:val="none"/>
        </w:rPr>
        <w:t>以书面形式（原件）提交</w:t>
      </w:r>
      <w:r>
        <w:rPr>
          <w:rFonts w:hint="eastAsia" w:ascii="宋体" w:hAnsi="宋体" w:eastAsia="宋体" w:cs="宋体"/>
          <w:color w:val="auto"/>
          <w:szCs w:val="20"/>
          <w:highlight w:val="none"/>
          <w:lang w:eastAsia="zh-CN"/>
        </w:rPr>
        <w:t>。</w:t>
      </w:r>
    </w:p>
    <w:p w14:paraId="3A73487A">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6.3供应商对采购代理机构的质疑答复不满意或者采购代理机构未在规定的时间内作出答复的，可以在答复期满后十五个工作日内向本级财政部门投诉（“投诉书”格式见附表2）。</w:t>
      </w:r>
    </w:p>
    <w:p w14:paraId="7A9BFA2A">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6.4质疑、投诉应当采用书面形式，质疑书、投诉书实行实名制，均应明确阐述磋商文件、采购过程或成交结果中使自己合法权益受到损害的实质性内容，提供相关事实、明确的请求，并提供必要的证明材料</w:t>
      </w:r>
      <w:r>
        <w:rPr>
          <w:rFonts w:hint="eastAsia" w:ascii="宋体" w:hAnsi="宋体" w:eastAsia="宋体" w:cs="宋体"/>
          <w:color w:val="auto"/>
          <w:szCs w:val="21"/>
          <w:highlight w:val="none"/>
          <w:lang w:eastAsia="zh-CN"/>
        </w:rPr>
        <w:t>。</w:t>
      </w:r>
    </w:p>
    <w:p w14:paraId="6D51E0DA">
      <w:pPr>
        <w:tabs>
          <w:tab w:val="left" w:pos="2190"/>
        </w:tabs>
        <w:spacing w:line="400" w:lineRule="exact"/>
        <w:ind w:firstLine="4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6.5质疑联系部门：</w:t>
      </w:r>
      <w:r>
        <w:rPr>
          <w:rFonts w:hint="eastAsia" w:ascii="宋体" w:hAnsi="宋体" w:cs="宋体"/>
          <w:color w:val="auto"/>
          <w:szCs w:val="21"/>
          <w:highlight w:val="none"/>
          <w:lang w:eastAsia="zh-CN"/>
        </w:rPr>
        <w:t>合普项目管理咨询集团有限公司</w:t>
      </w:r>
    </w:p>
    <w:p w14:paraId="5FA48FEB">
      <w:pPr>
        <w:tabs>
          <w:tab w:val="left" w:pos="2190"/>
        </w:tabs>
        <w:spacing w:line="400" w:lineRule="exact"/>
        <w:ind w:firstLine="840" w:firstLineChars="4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0773-3638280</w:t>
      </w:r>
    </w:p>
    <w:p w14:paraId="708FC69C">
      <w:pPr>
        <w:tabs>
          <w:tab w:val="left" w:pos="2190"/>
        </w:tabs>
        <w:spacing w:line="400" w:lineRule="exact"/>
        <w:ind w:firstLine="840" w:firstLineChars="4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w:t>
      </w:r>
      <w:r>
        <w:rPr>
          <w:rFonts w:hint="eastAsia" w:ascii="宋体" w:hAnsi="宋体" w:cs="宋体"/>
          <w:color w:val="auto"/>
          <w:szCs w:val="21"/>
          <w:highlight w:val="none"/>
          <w:lang w:val="en-US" w:eastAsia="zh-CN"/>
        </w:rPr>
        <w:t>唐工</w:t>
      </w:r>
    </w:p>
    <w:p w14:paraId="2E963074">
      <w:pPr>
        <w:tabs>
          <w:tab w:val="left" w:pos="2190"/>
        </w:tabs>
        <w:spacing w:line="400" w:lineRule="exact"/>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 w:val="21"/>
          <w:szCs w:val="21"/>
          <w:highlight w:val="none"/>
          <w:lang w:eastAsia="zh-CN"/>
        </w:rPr>
        <w:t>桂林市秀峰区骝马山北巷10号5栋</w:t>
      </w:r>
    </w:p>
    <w:p w14:paraId="32BF4FAF">
      <w:pPr>
        <w:tabs>
          <w:tab w:val="left" w:pos="2190"/>
        </w:tabs>
        <w:spacing w:line="400" w:lineRule="exact"/>
        <w:ind w:firstLine="4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6.6 投诉联系部门：</w:t>
      </w:r>
      <w:r>
        <w:rPr>
          <w:rFonts w:hint="eastAsia" w:cs="Times New Roman"/>
          <w:b w:val="0"/>
          <w:bCs w:val="0"/>
          <w:color w:val="auto"/>
          <w:spacing w:val="-1"/>
          <w:w w:val="100"/>
          <w:highlight w:val="none"/>
          <w:lang w:eastAsia="zh-CN"/>
        </w:rPr>
        <w:t xml:space="preserve"> 恭城瑶族自治县政府采购管理办公室</w:t>
      </w:r>
      <w:r>
        <w:rPr>
          <w:rFonts w:hint="eastAsia" w:ascii="Times New Roman" w:hAnsi="Times New Roman" w:cs="Times New Roman"/>
          <w:b w:val="0"/>
          <w:bCs w:val="0"/>
          <w:color w:val="auto"/>
          <w:spacing w:val="-1"/>
          <w:w w:val="100"/>
          <w:highlight w:val="none"/>
        </w:rPr>
        <w:t>；</w:t>
      </w:r>
      <w:r>
        <w:rPr>
          <w:rFonts w:hint="eastAsia" w:ascii="Times New Roman" w:hAnsi="Times New Roman" w:cs="Times New Roman"/>
          <w:b w:val="0"/>
          <w:bCs w:val="0"/>
          <w:color w:val="auto"/>
          <w:spacing w:val="-1"/>
          <w:w w:val="100"/>
          <w:highlight w:val="none"/>
          <w:lang w:val="en-US" w:eastAsia="zh-CN"/>
        </w:rPr>
        <w:t xml:space="preserve"> </w:t>
      </w:r>
      <w:r>
        <w:rPr>
          <w:rFonts w:hint="eastAsia" w:ascii="Times New Roman" w:hAnsi="Times New Roman" w:cs="Times New Roman"/>
          <w:b w:val="0"/>
          <w:bCs w:val="0"/>
          <w:color w:val="auto"/>
          <w:spacing w:val="-1"/>
          <w:w w:val="100"/>
          <w:highlight w:val="none"/>
        </w:rPr>
        <w:t>联系电话：</w:t>
      </w:r>
      <w:bookmarkEnd w:id="38"/>
      <w:bookmarkEnd w:id="39"/>
      <w:r>
        <w:rPr>
          <w:rFonts w:hint="eastAsia" w:cs="Times New Roman"/>
          <w:b w:val="0"/>
          <w:bCs w:val="0"/>
          <w:color w:val="auto"/>
          <w:spacing w:val="-1"/>
          <w:w w:val="100"/>
          <w:highlight w:val="none"/>
          <w:lang w:eastAsia="zh-CN"/>
        </w:rPr>
        <w:t>0773-8212104</w:t>
      </w:r>
    </w:p>
    <w:p w14:paraId="7664258F">
      <w:pPr>
        <w:pStyle w:val="5"/>
        <w:spacing w:before="0" w:after="0" w:line="400" w:lineRule="exact"/>
        <w:ind w:firstLine="420" w:firstLineChars="200"/>
        <w:rPr>
          <w:rFonts w:hint="eastAsia" w:ascii="宋体" w:hAnsi="宋体" w:eastAsia="宋体" w:cs="宋体"/>
          <w:color w:val="auto"/>
          <w:sz w:val="21"/>
          <w:szCs w:val="21"/>
          <w:highlight w:val="none"/>
        </w:rPr>
      </w:pPr>
      <w:bookmarkStart w:id="40" w:name="_Toc6998"/>
      <w:bookmarkStart w:id="41" w:name="_Toc13910"/>
      <w:r>
        <w:rPr>
          <w:rFonts w:hint="eastAsia" w:ascii="宋体" w:hAnsi="宋体" w:eastAsia="宋体" w:cs="宋体"/>
          <w:color w:val="auto"/>
          <w:sz w:val="21"/>
          <w:szCs w:val="21"/>
          <w:highlight w:val="none"/>
        </w:rPr>
        <w:t>7. 转包与分包</w:t>
      </w:r>
      <w:bookmarkEnd w:id="40"/>
      <w:bookmarkEnd w:id="41"/>
    </w:p>
    <w:p w14:paraId="0B33B62D">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本项目不允许转包。</w:t>
      </w:r>
    </w:p>
    <w:p w14:paraId="3C60C1CB">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本项目不可以分包。</w:t>
      </w:r>
    </w:p>
    <w:p w14:paraId="341011C7">
      <w:pPr>
        <w:pStyle w:val="5"/>
        <w:spacing w:before="0" w:after="0" w:line="400" w:lineRule="exact"/>
        <w:ind w:firstLine="420" w:firstLineChars="200"/>
        <w:rPr>
          <w:rFonts w:hint="eastAsia" w:ascii="宋体" w:hAnsi="宋体" w:eastAsia="宋体" w:cs="宋体"/>
          <w:color w:val="auto"/>
          <w:sz w:val="21"/>
          <w:szCs w:val="21"/>
          <w:highlight w:val="none"/>
        </w:rPr>
      </w:pPr>
      <w:bookmarkStart w:id="42" w:name="_Toc9415"/>
      <w:bookmarkStart w:id="43" w:name="_Toc3368"/>
      <w:r>
        <w:rPr>
          <w:rFonts w:hint="eastAsia" w:ascii="宋体" w:hAnsi="宋体" w:eastAsia="宋体" w:cs="宋体"/>
          <w:color w:val="auto"/>
          <w:sz w:val="21"/>
          <w:szCs w:val="21"/>
          <w:highlight w:val="none"/>
        </w:rPr>
        <w:t>8. 特别说明</w:t>
      </w:r>
      <w:bookmarkEnd w:id="42"/>
      <w:bookmarkEnd w:id="43"/>
    </w:p>
    <w:p w14:paraId="36EEC8ED">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8.1关联供应商不得参加同一合同项下政府采购活动，否则响应文件将被视为无效：</w:t>
      </w:r>
    </w:p>
    <w:p w14:paraId="01721D22">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（1）单位负责人为同一人或者存在直接控股、管理关系的，不得参加同一合同项下的政府采购活动。</w:t>
      </w:r>
    </w:p>
    <w:p w14:paraId="1979FB00">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（2）为本采购项目提供整体设计、规范编制或者项目管理、监理、检测等服务的供应商，不得再参加本次采购活动。</w:t>
      </w:r>
    </w:p>
    <w:p w14:paraId="423746F8">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8.2供应商应仔细阅读竞争性磋商文件的所有内容，按照竞争性磋商文件的要求提交响应文件，并对所提供 的全部资料的真实性承担法律责任。</w:t>
      </w:r>
    </w:p>
    <w:p w14:paraId="642A0A29">
      <w:pPr>
        <w:tabs>
          <w:tab w:val="left" w:pos="1635"/>
        </w:tabs>
        <w:spacing w:line="400" w:lineRule="exact"/>
        <w:ind w:firstLine="420" w:firstLineChars="200"/>
        <w:rPr>
          <w:rFonts w:hint="eastAsia" w:ascii="宋体" w:hAnsi="宋体" w:eastAsia="宋体" w:cs="宋体"/>
          <w:color w:val="auto"/>
          <w:szCs w:val="21"/>
          <w:highlight w:val="none"/>
        </w:rPr>
      </w:pPr>
    </w:p>
    <w:p w14:paraId="7B5BB342">
      <w:pPr>
        <w:pStyle w:val="4"/>
        <w:spacing w:line="400" w:lineRule="exact"/>
        <w:ind w:left="0"/>
        <w:jc w:val="center"/>
        <w:rPr>
          <w:rFonts w:hint="eastAsia" w:ascii="宋体" w:hAnsi="宋体" w:eastAsia="宋体" w:cs="宋体"/>
          <w:b/>
          <w:bCs w:val="0"/>
          <w:color w:val="auto"/>
          <w:szCs w:val="28"/>
          <w:highlight w:val="none"/>
        </w:rPr>
      </w:pPr>
      <w:bookmarkStart w:id="44" w:name="_Toc8933"/>
      <w:bookmarkStart w:id="45" w:name="_Toc22498"/>
      <w:r>
        <w:rPr>
          <w:rFonts w:hint="eastAsia" w:ascii="宋体" w:hAnsi="宋体" w:eastAsia="宋体" w:cs="宋体"/>
          <w:b/>
          <w:bCs w:val="0"/>
          <w:color w:val="auto"/>
          <w:szCs w:val="28"/>
          <w:highlight w:val="none"/>
        </w:rPr>
        <w:t>二、磋商文件</w:t>
      </w:r>
      <w:bookmarkEnd w:id="44"/>
      <w:bookmarkEnd w:id="45"/>
    </w:p>
    <w:p w14:paraId="632716F5">
      <w:pPr>
        <w:pStyle w:val="5"/>
        <w:spacing w:before="0" w:after="0" w:line="400" w:lineRule="exact"/>
        <w:ind w:firstLine="420" w:firstLineChars="200"/>
        <w:rPr>
          <w:rFonts w:hint="eastAsia" w:ascii="宋体" w:hAnsi="宋体" w:eastAsia="宋体" w:cs="宋体"/>
          <w:color w:val="auto"/>
          <w:sz w:val="21"/>
          <w:szCs w:val="21"/>
          <w:highlight w:val="none"/>
          <w:lang w:val="pt-BR"/>
        </w:rPr>
      </w:pPr>
      <w:bookmarkStart w:id="46" w:name="_Toc20523"/>
      <w:bookmarkStart w:id="47" w:name="_Toc18964"/>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46"/>
      <w:bookmarkEnd w:id="47"/>
    </w:p>
    <w:p w14:paraId="4AFD206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21045A7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0A3EFA05">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（3）采购需求</w:t>
      </w:r>
      <w:r>
        <w:rPr>
          <w:rFonts w:hint="eastAsia" w:ascii="宋体" w:hAnsi="宋体" w:eastAsia="宋体" w:cs="宋体"/>
          <w:bCs/>
          <w:color w:val="auto"/>
          <w:szCs w:val="21"/>
          <w:highlight w:val="none"/>
        </w:rPr>
        <w:t>；</w:t>
      </w:r>
    </w:p>
    <w:p w14:paraId="2B0DE73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14:paraId="7B393B6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14:paraId="0BE01E1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（6）响应文件（格式）。</w:t>
      </w:r>
    </w:p>
    <w:p w14:paraId="416A2F79">
      <w:pPr>
        <w:pStyle w:val="5"/>
        <w:spacing w:before="0" w:after="0" w:line="400" w:lineRule="exact"/>
        <w:ind w:firstLine="420" w:firstLineChars="200"/>
        <w:rPr>
          <w:rFonts w:hint="eastAsia" w:ascii="宋体" w:hAnsi="宋体" w:eastAsia="宋体" w:cs="宋体"/>
          <w:color w:val="auto"/>
          <w:sz w:val="21"/>
          <w:szCs w:val="21"/>
          <w:highlight w:val="none"/>
        </w:rPr>
      </w:pPr>
      <w:bookmarkStart w:id="48" w:name="_Toc1452"/>
      <w:bookmarkStart w:id="49" w:name="_Toc9103"/>
      <w:r>
        <w:rPr>
          <w:rFonts w:hint="eastAsia" w:ascii="宋体" w:hAnsi="宋体" w:eastAsia="宋体" w:cs="宋体"/>
          <w:color w:val="auto"/>
          <w:sz w:val="21"/>
          <w:szCs w:val="21"/>
          <w:highlight w:val="none"/>
        </w:rPr>
        <w:t>10. 磋商文件的澄清与修改</w:t>
      </w:r>
      <w:bookmarkEnd w:id="48"/>
      <w:bookmarkEnd w:id="49"/>
    </w:p>
    <w:p w14:paraId="2AF327D9">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Cs/>
          <w:color w:val="auto"/>
          <w:szCs w:val="21"/>
          <w:highlight w:val="none"/>
        </w:rPr>
        <w:t>五日</w:t>
      </w:r>
      <w:r>
        <w:rPr>
          <w:rFonts w:hint="eastAsia" w:ascii="宋体" w:hAnsi="宋体" w:eastAsia="宋体" w:cs="宋体"/>
          <w:color w:val="auto"/>
          <w:szCs w:val="21"/>
          <w:highlight w:val="none"/>
        </w:rPr>
        <w:t>前在本项目竞争性磋商公告发布的同一媒体上发布更正公告，不足</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的，应当顺延首次响应文件递交截止时间。</w:t>
      </w:r>
    </w:p>
    <w:p w14:paraId="79A13416">
      <w:pPr>
        <w:spacing w:line="40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10.2</w:t>
      </w:r>
      <w:r>
        <w:rPr>
          <w:rFonts w:hint="eastAsia" w:ascii="宋体" w:hAnsi="宋体" w:eastAsia="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2753841F">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10.3澄清或者修改的内容为磋商文件的组成部分。当澄清或者修改通知就同一内容的表述不一致时，以最后发出的文件为准。</w:t>
      </w:r>
    </w:p>
    <w:p w14:paraId="3DF7E949">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磋商文件的澄清或者修改都应该通过本项目采购代理机构以法定形式发布，采购人非通过本机构，不得擅自澄清或者修改磋商文件。</w:t>
      </w:r>
    </w:p>
    <w:p w14:paraId="41C3ED00">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10.5采购单位可以视采购具体情况，延长响应文件截止时间和磋商时间，在本项目竞争性磋商公告发布的同一媒体上发布变更公告。</w:t>
      </w:r>
    </w:p>
    <w:p w14:paraId="157C5767">
      <w:pPr>
        <w:pStyle w:val="57"/>
        <w:spacing w:line="400" w:lineRule="exact"/>
        <w:rPr>
          <w:rFonts w:hint="eastAsia" w:ascii="宋体" w:hAnsi="宋体" w:eastAsia="宋体" w:cs="宋体"/>
          <w:color w:val="auto"/>
          <w:highlight w:val="none"/>
        </w:rPr>
      </w:pPr>
    </w:p>
    <w:p w14:paraId="7A0F0890">
      <w:pPr>
        <w:pStyle w:val="4"/>
        <w:spacing w:line="400" w:lineRule="exact"/>
        <w:ind w:left="0"/>
        <w:jc w:val="center"/>
        <w:rPr>
          <w:rFonts w:hint="eastAsia" w:ascii="宋体" w:hAnsi="宋体" w:eastAsia="宋体" w:cs="宋体"/>
          <w:b/>
          <w:bCs w:val="0"/>
          <w:color w:val="auto"/>
          <w:szCs w:val="28"/>
          <w:highlight w:val="none"/>
        </w:rPr>
      </w:pPr>
      <w:bookmarkStart w:id="50" w:name="_Toc20830"/>
      <w:bookmarkStart w:id="51" w:name="_Toc20641"/>
      <w:r>
        <w:rPr>
          <w:rFonts w:hint="eastAsia" w:ascii="宋体" w:hAnsi="宋体" w:eastAsia="宋体" w:cs="宋体"/>
          <w:b/>
          <w:bCs w:val="0"/>
          <w:color w:val="auto"/>
          <w:szCs w:val="28"/>
          <w:highlight w:val="none"/>
        </w:rPr>
        <w:t>三、竞争性磋商响应文件的编制</w:t>
      </w:r>
      <w:bookmarkEnd w:id="50"/>
      <w:bookmarkEnd w:id="51"/>
    </w:p>
    <w:p w14:paraId="182E581A">
      <w:pPr>
        <w:pStyle w:val="5"/>
        <w:spacing w:before="0" w:after="0" w:line="400" w:lineRule="exact"/>
        <w:ind w:firstLine="420" w:firstLineChars="200"/>
        <w:rPr>
          <w:rFonts w:hint="eastAsia" w:ascii="宋体" w:hAnsi="宋体" w:eastAsia="宋体" w:cs="宋体"/>
          <w:color w:val="auto"/>
          <w:sz w:val="21"/>
          <w:szCs w:val="21"/>
          <w:highlight w:val="none"/>
        </w:rPr>
      </w:pPr>
      <w:bookmarkStart w:id="52" w:name="_Toc772"/>
      <w:r>
        <w:rPr>
          <w:rFonts w:hint="eastAsia" w:ascii="宋体" w:hAnsi="宋体" w:eastAsia="宋体" w:cs="宋体"/>
          <w:color w:val="auto"/>
          <w:sz w:val="21"/>
          <w:szCs w:val="21"/>
          <w:highlight w:val="none"/>
        </w:rPr>
        <w:t>11.竞争性磋商响应文件编制基本要求</w:t>
      </w:r>
      <w:bookmarkEnd w:id="52"/>
    </w:p>
    <w:p w14:paraId="4A462321">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11.1 本项目实行电子投标，供应商应准备电子磋商响应文件：</w:t>
      </w:r>
    </w:p>
    <w:p w14:paraId="382B8C74">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11.1.1 电子响应文件按</w:t>
      </w:r>
      <w:r>
        <w:rPr>
          <w:rFonts w:hint="eastAsia" w:ascii="宋体" w:hAnsi="宋体" w:cs="宋体"/>
          <w:b/>
          <w:bCs/>
          <w:color w:val="auto"/>
          <w:szCs w:val="21"/>
          <w:highlight w:val="none"/>
          <w:lang w:eastAsia="zh-CN"/>
        </w:rPr>
        <w:t>广西政府采购云平台</w:t>
      </w:r>
      <w:r>
        <w:rPr>
          <w:rFonts w:hint="eastAsia" w:ascii="宋体" w:hAnsi="宋体" w:eastAsia="宋体" w:cs="宋体"/>
          <w:b/>
          <w:bCs/>
          <w:color w:val="auto"/>
          <w:szCs w:val="21"/>
          <w:highlight w:val="none"/>
        </w:rPr>
        <w:t xml:space="preserve">要求及本磋商文件要求制作、加密并递交。具体操作流程可参考《政府采购项目电子交易管理操作指南-供应商》，指南可在 “http://www.ccgp-guangxi.gov.cn/PurchaseAdvisory/ImportantNotice/2866753.html”下载。 </w:t>
      </w:r>
    </w:p>
    <w:p w14:paraId="05B2BFEE">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11.2竞争性磋商响应文件（以下简称响应文件）的组成及要求</w:t>
      </w:r>
    </w:p>
    <w:p w14:paraId="31EB271E">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11.2.1响应文件组成【格式见第六章“响应文件（格式）”】</w:t>
      </w:r>
    </w:p>
    <w:p w14:paraId="5BD6DEF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11.2.1.1资格性响应证明材料：</w:t>
      </w:r>
    </w:p>
    <w:p w14:paraId="1D41B8D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266B6E1B">
      <w:pPr>
        <w:spacing w:line="440" w:lineRule="exact"/>
        <w:ind w:firstLine="420" w:firstLineChars="200"/>
        <w:rPr>
          <w:rFonts w:ascii="宋体" w:hAnsi="宋体" w:cs="宋体"/>
          <w:color w:val="auto"/>
          <w:szCs w:val="21"/>
          <w:highlight w:val="none"/>
        </w:rPr>
      </w:pPr>
      <w:r>
        <w:rPr>
          <w:rFonts w:hint="eastAsia" w:ascii="宋体" w:hAnsi="宋体" w:eastAsia="宋体" w:cs="宋体"/>
          <w:color w:val="auto"/>
          <w:szCs w:val="21"/>
          <w:highlight w:val="none"/>
        </w:rPr>
        <w:t>（2）供应商的授权委托书原件、委托代理人身份证正反面复印件以及由县级以上（含县级）社会养老保险经办机构出具的供应商为委托代理人交纳的</w:t>
      </w:r>
      <w:r>
        <w:rPr>
          <w:rFonts w:hint="eastAsia" w:ascii="宋体" w:hAnsi="宋体" w:cs="宋体"/>
          <w:b/>
          <w:bCs/>
          <w:color w:val="auto"/>
          <w:szCs w:val="21"/>
          <w:highlight w:val="none"/>
          <w:lang w:val="en-US" w:eastAsia="zh-CN"/>
        </w:rPr>
        <w:t>2024年10月以来任意一个月</w:t>
      </w:r>
      <w:r>
        <w:rPr>
          <w:rFonts w:hint="eastAsia" w:ascii="宋体" w:hAnsi="宋体" w:eastAsia="宋体" w:cs="宋体"/>
          <w:color w:val="auto"/>
          <w:szCs w:val="21"/>
          <w:highlight w:val="none"/>
        </w:rPr>
        <w:t>社保证明复印件</w:t>
      </w:r>
      <w:r>
        <w:rPr>
          <w:rFonts w:hint="eastAsia" w:ascii="宋体" w:hAnsi="宋体" w:cs="宋体"/>
          <w:color w:val="auto"/>
          <w:szCs w:val="21"/>
          <w:highlight w:val="none"/>
        </w:rPr>
        <w:t>，除供应商为以下三种情形的：</w:t>
      </w:r>
    </w:p>
    <w:p w14:paraId="4789BC7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2F7AEC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794CABB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4489AB44">
      <w:pPr>
        <w:spacing w:line="400" w:lineRule="exact"/>
        <w:ind w:firstLine="420"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w:t>
      </w:r>
      <w:r>
        <w:rPr>
          <w:rFonts w:hint="eastAsia" w:ascii="宋体" w:hAnsi="宋体" w:cs="宋体"/>
          <w:b/>
          <w:bCs/>
          <w:color w:val="auto"/>
          <w:szCs w:val="21"/>
          <w:highlight w:val="none"/>
          <w:lang w:val="en-US" w:eastAsia="zh-CN"/>
        </w:rPr>
        <w:t>2024年10月以来任意一个月</w:t>
      </w:r>
      <w:r>
        <w:rPr>
          <w:rFonts w:hint="eastAsia" w:ascii="宋体" w:hAnsi="宋体" w:eastAsia="宋体" w:cs="宋体"/>
          <w:b/>
          <w:bCs/>
          <w:color w:val="auto"/>
          <w:szCs w:val="21"/>
          <w:highlight w:val="none"/>
        </w:rPr>
        <w:t>社保证明复印件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w:t>
      </w:r>
      <w:r>
        <w:rPr>
          <w:rFonts w:hint="eastAsia" w:ascii="宋体" w:hAnsi="宋体" w:eastAsia="宋体" w:cs="宋体"/>
          <w:b/>
          <w:bCs/>
          <w:color w:val="auto"/>
          <w:szCs w:val="21"/>
          <w:highlight w:val="none"/>
          <w:lang w:eastAsia="zh-CN"/>
        </w:rPr>
        <w:t>；</w:t>
      </w:r>
    </w:p>
    <w:p w14:paraId="0BD693C5">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p>
    <w:p w14:paraId="6E87265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（4）供应商的法人或者其他组织营业执照等证明文件复印件</w:t>
      </w:r>
      <w:r>
        <w:rPr>
          <w:rFonts w:hint="eastAsia" w:ascii="宋体" w:hAnsi="宋体" w:eastAsia="宋体" w:cs="宋体"/>
          <w:b/>
          <w:bCs/>
          <w:color w:val="auto"/>
          <w:szCs w:val="21"/>
          <w:highlight w:val="none"/>
        </w:rPr>
        <w:t>（必须提供，自然人除外）；</w:t>
      </w:r>
    </w:p>
    <w:p w14:paraId="7B5B0B8B">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F8CA1DD">
      <w:pPr>
        <w:pStyle w:val="14"/>
        <w:spacing w:before="51"/>
        <w:ind w:right="0" w:firstLine="420" w:firstLineChars="200"/>
        <w:jc w:val="left"/>
        <w:rPr>
          <w:color w:val="auto"/>
          <w:highlight w:val="none"/>
        </w:rPr>
      </w:pPr>
      <w:r>
        <w:rPr>
          <w:rFonts w:hint="eastAsia" w:ascii="宋体" w:hAnsi="宋体" w:eastAsia="宋体" w:cs="宋体"/>
          <w:b w:val="0"/>
          <w:bCs w:val="0"/>
          <w:color w:val="auto"/>
          <w:kern w:val="2"/>
          <w:sz w:val="21"/>
          <w:szCs w:val="21"/>
          <w:highlight w:val="none"/>
          <w:lang w:val="en-US" w:eastAsia="zh-CN" w:bidi="ar-SA"/>
        </w:rPr>
        <w:t>（5）供应商有效的资质证书复印件</w:t>
      </w:r>
      <w:r>
        <w:rPr>
          <w:b/>
          <w:bCs/>
          <w:color w:val="auto"/>
          <w:spacing w:val="2"/>
          <w:w w:val="100"/>
          <w:highlight w:val="none"/>
        </w:rPr>
        <w:t>（必须</w:t>
      </w:r>
      <w:r>
        <w:rPr>
          <w:b/>
          <w:bCs/>
          <w:color w:val="auto"/>
          <w:spacing w:val="-1"/>
          <w:w w:val="100"/>
          <w:highlight w:val="none"/>
        </w:rPr>
        <w:t>提</w:t>
      </w:r>
      <w:r>
        <w:rPr>
          <w:b/>
          <w:bCs/>
          <w:color w:val="auto"/>
          <w:spacing w:val="2"/>
          <w:w w:val="100"/>
          <w:highlight w:val="none"/>
        </w:rPr>
        <w:t>供）</w:t>
      </w:r>
      <w:r>
        <w:rPr>
          <w:b/>
          <w:bCs/>
          <w:color w:val="auto"/>
          <w:spacing w:val="0"/>
          <w:w w:val="100"/>
          <w:highlight w:val="none"/>
        </w:rPr>
        <w:t>；</w:t>
      </w:r>
    </w:p>
    <w:p w14:paraId="2B91C452">
      <w:pPr>
        <w:pStyle w:val="16"/>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（6）供应商2023年度或2024年度的财务状况报告（或银行出具的资信证明）复印件</w:t>
      </w:r>
      <w:r>
        <w:rPr>
          <w:rFonts w:hint="eastAsia" w:ascii="宋体" w:hAnsi="宋体" w:cs="宋体"/>
          <w:b/>
          <w:bCs/>
          <w:color w:val="auto"/>
          <w:szCs w:val="21"/>
          <w:highlight w:val="none"/>
          <w:lang w:val="en-US" w:eastAsia="zh-CN"/>
        </w:rPr>
        <w:t>（必须提供，若为新成立的企业，请根据实际情况提供）；</w:t>
      </w:r>
    </w:p>
    <w:p w14:paraId="52EC5696">
      <w:pPr>
        <w:pStyle w:val="16"/>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（7）供应商近半年内任意一个月或任一季度在税务部门依法纳税、履行社会义务的证明材料【增值税发票按以下附注提供复印件</w:t>
      </w:r>
      <w:r>
        <w:rPr>
          <w:rFonts w:hint="eastAsia" w:ascii="宋体" w:hAnsi="宋体" w:cs="宋体"/>
          <w:b/>
          <w:bCs/>
          <w:color w:val="auto"/>
          <w:szCs w:val="21"/>
          <w:highlight w:val="none"/>
          <w:lang w:val="en-US" w:eastAsia="zh-CN"/>
        </w:rPr>
        <w:t>（必须提供）；</w:t>
      </w:r>
    </w:p>
    <w:p w14:paraId="2867B980">
      <w:pPr>
        <w:pStyle w:val="16"/>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注：①供应商无纳税记录的，应提供由供应商所在地的税务部门出具的免税证明复印件，从取得营业执照时间起到响应文件递交截止时间止不足要求月数的，只需提供从取得营业执照起的依法缴纳税费或依法免缴税费的凭据复印件；②供应商无社保缴费记录的，应提供由供应商所在地行政主管部门出具的依法免缴社保费证明复印 件，从取得营业执照时间起到响应文件递交截止时间止不足要求月数的只需提供从取得营业执照起的依法缴纳社 保费的缴费凭证复印件。</w:t>
      </w:r>
    </w:p>
    <w:p w14:paraId="5BF5E5E8">
      <w:pPr>
        <w:pStyle w:val="16"/>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8）《中小企业声明函》</w:t>
      </w:r>
      <w:r>
        <w:rPr>
          <w:rFonts w:hint="eastAsia" w:ascii="宋体" w:hAnsi="宋体" w:eastAsia="宋体" w:cs="宋体"/>
          <w:b/>
          <w:color w:val="auto"/>
          <w:szCs w:val="21"/>
          <w:highlight w:val="none"/>
        </w:rPr>
        <w:t>（如有，请提供）</w:t>
      </w:r>
      <w:r>
        <w:rPr>
          <w:rFonts w:hint="eastAsia" w:ascii="宋体" w:hAnsi="宋体" w:cs="宋体"/>
          <w:b/>
          <w:color w:val="auto"/>
          <w:szCs w:val="21"/>
          <w:highlight w:val="none"/>
          <w:lang w:eastAsia="zh-CN"/>
        </w:rPr>
        <w:t>。</w:t>
      </w:r>
    </w:p>
    <w:p w14:paraId="1E4E7363">
      <w:pPr>
        <w:pStyle w:val="16"/>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9</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符合在参加政府采购活</w:t>
      </w:r>
      <w:r>
        <w:rPr>
          <w:rFonts w:hint="eastAsia" w:ascii="宋体" w:hAnsi="宋体" w:eastAsia="宋体" w:cs="宋体"/>
          <w:color w:val="auto"/>
          <w:kern w:val="2"/>
          <w:sz w:val="21"/>
          <w:szCs w:val="21"/>
          <w:highlight w:val="none"/>
          <w:lang w:val="en-US" w:eastAsia="zh-CN" w:bidi="ar-SA"/>
        </w:rPr>
        <w:t>动时，应当提供《残疾人福利性单位声明函》，格式</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en-US" w:eastAsia="zh-CN" w:bidi="ar-SA"/>
        </w:rPr>
        <w:t>条件的残疾人福利性单位见附件）</w:t>
      </w:r>
    </w:p>
    <w:p w14:paraId="17EC1C6B">
      <w:pPr>
        <w:pStyle w:val="16"/>
        <w:tabs>
          <w:tab w:val="left" w:pos="584"/>
        </w:tabs>
        <w:spacing w:line="400" w:lineRule="exact"/>
        <w:ind w:left="0" w:leftChars="0" w:firstLine="31680"/>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（10）如提供服务的供应商属于监狱企业的，应当提供由省级以上监狱管理局、戒毒管理局等（含新疆生产建设兵团）出具的属于监狱企业的证明文件</w:t>
      </w:r>
      <w:r>
        <w:rPr>
          <w:rFonts w:hint="eastAsia" w:ascii="宋体" w:hAnsi="宋体" w:eastAsia="宋体" w:cs="宋体"/>
          <w:b/>
          <w:color w:val="auto"/>
          <w:kern w:val="2"/>
          <w:sz w:val="21"/>
          <w:szCs w:val="21"/>
          <w:highlight w:val="none"/>
          <w:lang w:val="en-US" w:eastAsia="zh-CN" w:bidi="ar-SA"/>
        </w:rPr>
        <w:t>（如有，请提供）</w:t>
      </w:r>
      <w:r>
        <w:rPr>
          <w:rFonts w:hint="eastAsia" w:ascii="宋体" w:hAnsi="宋体" w:eastAsia="宋体" w:cs="宋体"/>
          <w:b/>
          <w:bCs/>
          <w:color w:val="auto"/>
          <w:kern w:val="2"/>
          <w:sz w:val="21"/>
          <w:szCs w:val="21"/>
          <w:highlight w:val="none"/>
          <w:lang w:val="en-US" w:eastAsia="zh-CN" w:bidi="ar-SA"/>
        </w:rPr>
        <w:t>；</w:t>
      </w:r>
    </w:p>
    <w:p w14:paraId="1CA37AE2">
      <w:pPr>
        <w:pStyle w:val="16"/>
        <w:spacing w:line="400" w:lineRule="exact"/>
        <w:ind w:left="0" w:leftChars="0" w:firstLine="316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11.2.1.2符合性响应证明材料：</w:t>
      </w:r>
      <w:bookmarkStart w:id="53" w:name="_Toc16312"/>
      <w:bookmarkStart w:id="54" w:name="_Toc2809"/>
      <w:bookmarkStart w:id="55" w:name="_Toc28932"/>
      <w:bookmarkStart w:id="56" w:name="_Toc647"/>
    </w:p>
    <w:p w14:paraId="16319626">
      <w:pPr>
        <w:pStyle w:val="16"/>
        <w:spacing w:line="400" w:lineRule="exact"/>
        <w:ind w:left="0" w:leftChars="0" w:firstLine="31680"/>
        <w:rPr>
          <w:rFonts w:hint="eastAsia" w:ascii="宋体" w:hAnsi="宋体" w:eastAsia="宋体" w:cs="宋体"/>
          <w:b/>
          <w:color w:val="auto"/>
          <w:sz w:val="21"/>
          <w:szCs w:val="21"/>
          <w:highlight w:val="none"/>
          <w:lang w:val="en-US"/>
        </w:rPr>
      </w:pPr>
      <w:r>
        <w:rPr>
          <w:rFonts w:hint="eastAsia" w:ascii="宋体" w:hAnsi="宋体" w:eastAsia="宋体" w:cs="宋体"/>
          <w:bCs w:val="0"/>
          <w:color w:val="auto"/>
          <w:sz w:val="21"/>
          <w:szCs w:val="21"/>
          <w:highlight w:val="none"/>
          <w:lang w:val="en-US"/>
        </w:rPr>
        <w:t>（1）响应函（格式见附件）</w:t>
      </w:r>
      <w:r>
        <w:rPr>
          <w:rFonts w:hint="eastAsia" w:ascii="宋体" w:hAnsi="宋体" w:eastAsia="宋体" w:cs="宋体"/>
          <w:b/>
          <w:color w:val="auto"/>
          <w:sz w:val="21"/>
          <w:szCs w:val="21"/>
          <w:highlight w:val="none"/>
          <w:lang w:val="en-US"/>
        </w:rPr>
        <w:t>（必须提供）</w:t>
      </w:r>
      <w:bookmarkEnd w:id="53"/>
      <w:r>
        <w:rPr>
          <w:rFonts w:hint="eastAsia" w:ascii="宋体" w:hAnsi="宋体" w:eastAsia="宋体" w:cs="宋体"/>
          <w:b/>
          <w:color w:val="auto"/>
          <w:sz w:val="21"/>
          <w:szCs w:val="21"/>
          <w:highlight w:val="none"/>
          <w:lang w:val="en-US"/>
        </w:rPr>
        <w:t>；</w:t>
      </w:r>
      <w:bookmarkEnd w:id="54"/>
      <w:bookmarkEnd w:id="55"/>
      <w:bookmarkEnd w:id="56"/>
    </w:p>
    <w:p w14:paraId="60518852">
      <w:pPr>
        <w:pStyle w:val="16"/>
        <w:spacing w:line="400" w:lineRule="exact"/>
        <w:ind w:left="0" w:leftChars="0" w:firstLine="31680"/>
        <w:rPr>
          <w:rFonts w:hint="eastAsia" w:ascii="宋体" w:hAnsi="宋体" w:eastAsia="宋体" w:cs="宋体"/>
          <w:b/>
          <w:color w:val="auto"/>
          <w:sz w:val="21"/>
          <w:szCs w:val="21"/>
          <w:highlight w:val="none"/>
          <w:lang w:val="en-US"/>
        </w:rPr>
      </w:pPr>
      <w:r>
        <w:rPr>
          <w:rFonts w:hint="eastAsia" w:ascii="宋体" w:hAnsi="宋体" w:eastAsia="宋体" w:cs="宋体"/>
          <w:bCs w:val="0"/>
          <w:color w:val="auto"/>
          <w:sz w:val="21"/>
          <w:szCs w:val="21"/>
          <w:highlight w:val="none"/>
          <w:lang w:val="en-US"/>
        </w:rPr>
        <w:t>（2）</w:t>
      </w:r>
      <w:r>
        <w:rPr>
          <w:rFonts w:hint="eastAsia" w:ascii="宋体" w:hAnsi="宋体" w:eastAsia="宋体" w:cs="宋体"/>
          <w:bCs w:val="0"/>
          <w:color w:val="auto"/>
          <w:sz w:val="21"/>
          <w:szCs w:val="21"/>
          <w:highlight w:val="none"/>
          <w:lang w:val="en-US" w:eastAsia="zh-CN"/>
        </w:rPr>
        <w:t>磋商报价表（格式见附件）</w:t>
      </w:r>
      <w:r>
        <w:rPr>
          <w:rFonts w:hint="eastAsia" w:ascii="宋体" w:hAnsi="宋体" w:eastAsia="宋体" w:cs="宋体"/>
          <w:b/>
          <w:color w:val="auto"/>
          <w:sz w:val="21"/>
          <w:szCs w:val="21"/>
          <w:highlight w:val="none"/>
          <w:lang w:val="en-US"/>
        </w:rPr>
        <w:t>（必须提供）；</w:t>
      </w:r>
    </w:p>
    <w:p w14:paraId="4150501E">
      <w:pPr>
        <w:pStyle w:val="16"/>
        <w:spacing w:line="400" w:lineRule="exact"/>
        <w:ind w:left="0" w:leftChars="0" w:firstLine="31680"/>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（3）</w:t>
      </w:r>
      <w:r>
        <w:rPr>
          <w:rFonts w:hint="eastAsia" w:ascii="宋体" w:hAnsi="宋体" w:eastAsia="宋体" w:cs="宋体"/>
          <w:bCs w:val="0"/>
          <w:color w:val="auto"/>
          <w:sz w:val="21"/>
          <w:szCs w:val="21"/>
          <w:highlight w:val="none"/>
          <w:lang w:val="en-US"/>
        </w:rPr>
        <w:t>项目实施方案（由供应商根据“采购需求”要求及评审办法提供，格式自拟）</w:t>
      </w:r>
      <w:r>
        <w:rPr>
          <w:rFonts w:hint="eastAsia" w:ascii="宋体" w:hAnsi="宋体" w:eastAsia="宋体" w:cs="宋体"/>
          <w:b/>
          <w:color w:val="auto"/>
          <w:sz w:val="21"/>
          <w:szCs w:val="21"/>
          <w:highlight w:val="none"/>
          <w:lang w:val="en-US"/>
        </w:rPr>
        <w:t>（必须提供）</w:t>
      </w:r>
      <w:r>
        <w:rPr>
          <w:rFonts w:hint="eastAsia" w:ascii="宋体" w:hAnsi="宋体" w:eastAsia="宋体" w:cs="宋体"/>
          <w:b/>
          <w:color w:val="auto"/>
          <w:sz w:val="21"/>
          <w:szCs w:val="21"/>
          <w:highlight w:val="none"/>
          <w:lang w:val="en-US" w:eastAsia="zh-CN"/>
        </w:rPr>
        <w:t>；</w:t>
      </w:r>
    </w:p>
    <w:p w14:paraId="6AAB9C84">
      <w:pPr>
        <w:pStyle w:val="4"/>
        <w:spacing w:line="400" w:lineRule="exact"/>
        <w:ind w:left="10" w:leftChars="0" w:firstLine="262" w:firstLineChars="125"/>
        <w:rPr>
          <w:rFonts w:hint="eastAsia" w:ascii="宋体" w:hAnsi="宋体" w:eastAsia="宋体" w:cs="宋体"/>
          <w:bCs w:val="0"/>
          <w:color w:val="auto"/>
          <w:sz w:val="21"/>
          <w:szCs w:val="21"/>
          <w:highlight w:val="none"/>
          <w:lang w:val="en-US" w:eastAsia="zh-CN"/>
        </w:rPr>
      </w:pPr>
      <w:bookmarkStart w:id="57" w:name="_Toc6048"/>
      <w:r>
        <w:rPr>
          <w:rFonts w:hint="eastAsia" w:ascii="宋体" w:hAnsi="宋体" w:eastAsia="宋体" w:cs="宋体"/>
          <w:bCs w:val="0"/>
          <w:color w:val="auto"/>
          <w:sz w:val="21"/>
          <w:szCs w:val="21"/>
          <w:highlight w:val="none"/>
          <w:lang w:val="en-US"/>
        </w:rPr>
        <w:t>（</w:t>
      </w:r>
      <w:r>
        <w:rPr>
          <w:rFonts w:hint="eastAsia" w:ascii="宋体" w:hAnsi="宋体" w:eastAsia="宋体" w:cs="宋体"/>
          <w:bCs w:val="0"/>
          <w:color w:val="auto"/>
          <w:sz w:val="21"/>
          <w:szCs w:val="21"/>
          <w:highlight w:val="none"/>
          <w:lang w:val="en-US" w:eastAsia="zh-CN"/>
        </w:rPr>
        <w:t>4</w:t>
      </w:r>
      <w:r>
        <w:rPr>
          <w:rFonts w:hint="eastAsia" w:ascii="宋体" w:hAnsi="宋体" w:eastAsia="宋体" w:cs="宋体"/>
          <w:bCs w:val="0"/>
          <w:color w:val="auto"/>
          <w:sz w:val="21"/>
          <w:szCs w:val="21"/>
          <w:highlight w:val="none"/>
          <w:lang w:val="en-US"/>
        </w:rPr>
        <w:t>）服务内容及要求、商务要求响应表</w:t>
      </w:r>
      <w:r>
        <w:rPr>
          <w:rFonts w:hint="eastAsia" w:ascii="宋体" w:hAnsi="宋体" w:eastAsia="宋体" w:cs="宋体"/>
          <w:b/>
          <w:bCs/>
          <w:color w:val="auto"/>
          <w:sz w:val="21"/>
          <w:szCs w:val="21"/>
          <w:highlight w:val="none"/>
          <w:lang w:val="en-US"/>
        </w:rPr>
        <w:t>（必须提供）</w:t>
      </w:r>
      <w:r>
        <w:rPr>
          <w:rFonts w:hint="eastAsia" w:ascii="宋体" w:hAnsi="宋体" w:cs="宋体"/>
          <w:b/>
          <w:bCs/>
          <w:color w:val="auto"/>
          <w:sz w:val="21"/>
          <w:szCs w:val="21"/>
          <w:highlight w:val="none"/>
          <w:lang w:val="en-US" w:eastAsia="zh-CN"/>
        </w:rPr>
        <w:t>；</w:t>
      </w:r>
    </w:p>
    <w:p w14:paraId="535FBB0E">
      <w:pPr>
        <w:pStyle w:val="4"/>
        <w:spacing w:line="400" w:lineRule="exact"/>
        <w:ind w:left="10" w:leftChars="0" w:firstLine="262" w:firstLineChars="125"/>
        <w:rPr>
          <w:rFonts w:hint="eastAsia" w:ascii="宋体" w:hAnsi="宋体" w:eastAsia="宋体" w:cs="宋体"/>
          <w:bCs w:val="0"/>
          <w:color w:val="auto"/>
          <w:sz w:val="21"/>
          <w:szCs w:val="21"/>
          <w:highlight w:val="none"/>
          <w:lang w:val="en-US"/>
        </w:rPr>
      </w:pPr>
      <w:r>
        <w:rPr>
          <w:rFonts w:hint="eastAsia" w:ascii="宋体" w:hAnsi="宋体" w:cs="宋体"/>
          <w:bCs w:val="0"/>
          <w:color w:val="auto"/>
          <w:sz w:val="21"/>
          <w:szCs w:val="21"/>
          <w:highlight w:val="none"/>
          <w:lang w:val="en-US" w:eastAsia="zh-CN"/>
        </w:rPr>
        <w:t>（5）</w:t>
      </w:r>
      <w:r>
        <w:rPr>
          <w:rFonts w:hint="eastAsia" w:ascii="宋体" w:hAnsi="宋体" w:eastAsia="宋体" w:cs="宋体"/>
          <w:bCs w:val="0"/>
          <w:color w:val="auto"/>
          <w:sz w:val="21"/>
          <w:szCs w:val="21"/>
          <w:highlight w:val="none"/>
          <w:lang w:val="en-US"/>
        </w:rPr>
        <w:t>项目实施人员一览表</w:t>
      </w:r>
      <w:r>
        <w:rPr>
          <w:rFonts w:hint="eastAsia" w:ascii="宋体" w:hAnsi="宋体" w:eastAsia="宋体" w:cs="宋体"/>
          <w:b/>
          <w:color w:val="auto"/>
          <w:sz w:val="21"/>
          <w:szCs w:val="21"/>
          <w:highlight w:val="none"/>
          <w:lang w:val="en-US"/>
        </w:rPr>
        <w:t>（</w:t>
      </w:r>
      <w:r>
        <w:rPr>
          <w:rFonts w:hint="eastAsia" w:ascii="宋体" w:hAnsi="宋体" w:cs="宋体"/>
          <w:b/>
          <w:color w:val="auto"/>
          <w:sz w:val="21"/>
          <w:szCs w:val="21"/>
          <w:highlight w:val="none"/>
          <w:lang w:val="en-US" w:eastAsia="zh-CN"/>
        </w:rPr>
        <w:t>如有，请</w:t>
      </w:r>
      <w:r>
        <w:rPr>
          <w:rFonts w:hint="eastAsia" w:ascii="宋体" w:hAnsi="宋体" w:eastAsia="宋体" w:cs="宋体"/>
          <w:b/>
          <w:color w:val="auto"/>
          <w:sz w:val="21"/>
          <w:szCs w:val="21"/>
          <w:highlight w:val="none"/>
          <w:lang w:val="en-US"/>
        </w:rPr>
        <w:t>提供）；</w:t>
      </w:r>
      <w:bookmarkEnd w:id="57"/>
      <w:r>
        <w:rPr>
          <w:rFonts w:hint="eastAsia" w:ascii="宋体" w:hAnsi="宋体" w:eastAsia="宋体" w:cs="宋体"/>
          <w:b/>
          <w:color w:val="auto"/>
          <w:sz w:val="21"/>
          <w:szCs w:val="21"/>
          <w:highlight w:val="none"/>
          <w:lang w:val="en-US"/>
        </w:rPr>
        <w:t xml:space="preserve"> </w:t>
      </w:r>
    </w:p>
    <w:p w14:paraId="400DC54F">
      <w:pPr>
        <w:pStyle w:val="4"/>
        <w:spacing w:line="400" w:lineRule="exact"/>
        <w:ind w:left="10" w:leftChars="0" w:firstLine="262" w:firstLineChars="125"/>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rPr>
        <w:t>（</w:t>
      </w:r>
      <w:r>
        <w:rPr>
          <w:rFonts w:hint="eastAsia" w:ascii="宋体" w:hAnsi="宋体" w:cs="宋体"/>
          <w:bCs w:val="0"/>
          <w:color w:val="auto"/>
          <w:sz w:val="21"/>
          <w:szCs w:val="21"/>
          <w:highlight w:val="none"/>
          <w:lang w:val="en-US" w:eastAsia="zh-CN"/>
        </w:rPr>
        <w:t>6</w:t>
      </w:r>
      <w:r>
        <w:rPr>
          <w:rFonts w:hint="eastAsia" w:ascii="宋体" w:hAnsi="宋体" w:eastAsia="宋体" w:cs="宋体"/>
          <w:bCs w:val="0"/>
          <w:color w:val="auto"/>
          <w:sz w:val="21"/>
          <w:szCs w:val="21"/>
          <w:highlight w:val="none"/>
          <w:lang w:val="en-US"/>
        </w:rPr>
        <w:t>）供应商</w:t>
      </w:r>
      <w:r>
        <w:rPr>
          <w:rFonts w:hint="eastAsia" w:ascii="宋体" w:hAnsi="宋体" w:cs="宋体"/>
          <w:bCs w:val="0"/>
          <w:color w:val="auto"/>
          <w:sz w:val="21"/>
          <w:szCs w:val="21"/>
          <w:highlight w:val="none"/>
          <w:lang w:val="en-US" w:eastAsia="zh-CN"/>
        </w:rPr>
        <w:t>针对本项目</w:t>
      </w:r>
      <w:r>
        <w:rPr>
          <w:rFonts w:hint="eastAsia" w:ascii="宋体" w:hAnsi="宋体" w:eastAsia="宋体" w:cs="宋体"/>
          <w:bCs w:val="0"/>
          <w:color w:val="auto"/>
          <w:sz w:val="21"/>
          <w:szCs w:val="21"/>
          <w:highlight w:val="none"/>
          <w:lang w:val="en-US"/>
        </w:rPr>
        <w:t>的服务承诺书（由供应商根据“采购需求”要求及评审办法提供，格式自拟）</w:t>
      </w:r>
      <w:r>
        <w:rPr>
          <w:rFonts w:hint="eastAsia" w:ascii="宋体" w:hAnsi="宋体" w:eastAsia="宋体" w:cs="宋体"/>
          <w:b/>
          <w:color w:val="auto"/>
          <w:sz w:val="21"/>
          <w:szCs w:val="21"/>
          <w:highlight w:val="none"/>
          <w:lang w:val="en-US"/>
        </w:rPr>
        <w:t>（必须提供）</w:t>
      </w:r>
      <w:r>
        <w:rPr>
          <w:rFonts w:hint="eastAsia" w:ascii="宋体" w:hAnsi="宋体" w:eastAsia="宋体" w:cs="宋体"/>
          <w:b/>
          <w:color w:val="auto"/>
          <w:sz w:val="21"/>
          <w:szCs w:val="21"/>
          <w:highlight w:val="none"/>
          <w:lang w:val="en-US" w:eastAsia="zh-CN"/>
        </w:rPr>
        <w:t>。</w:t>
      </w:r>
    </w:p>
    <w:p w14:paraId="048E2585">
      <w:pPr>
        <w:pStyle w:val="16"/>
        <w:spacing w:line="400" w:lineRule="exact"/>
        <w:ind w:left="0" w:leftChars="0" w:firstLine="316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11.2.1.3其他有效证明材料</w:t>
      </w:r>
    </w:p>
    <w:p w14:paraId="1230D9CD">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w:t>
      </w:r>
      <w:r>
        <w:rPr>
          <w:rFonts w:hint="eastAsia" w:ascii="宋体" w:hAnsi="宋体" w:cs="Times New Roman"/>
          <w:color w:val="auto"/>
          <w:kern w:val="2"/>
          <w:sz w:val="21"/>
          <w:szCs w:val="20"/>
          <w:highlight w:val="none"/>
          <w:lang w:val="en-US" w:eastAsia="zh-CN" w:bidi="ar"/>
        </w:rPr>
        <w:t>供应商2022年以来相关业绩的证明材料复印件</w:t>
      </w:r>
      <w:r>
        <w:rPr>
          <w:rFonts w:hint="eastAsia" w:ascii="宋体" w:hAnsi="宋体" w:eastAsia="宋体" w:cs="Times New Roman"/>
          <w:b/>
          <w:bCs/>
          <w:color w:val="auto"/>
          <w:kern w:val="2"/>
          <w:sz w:val="21"/>
          <w:szCs w:val="20"/>
          <w:highlight w:val="none"/>
          <w:lang w:val="en-US" w:eastAsia="zh-CN" w:bidi="ar"/>
        </w:rPr>
        <w:t>（如有，请提供）；</w:t>
      </w:r>
    </w:p>
    <w:p w14:paraId="382BB7A0">
      <w:pPr>
        <w:spacing w:line="400" w:lineRule="exact"/>
        <w:ind w:firstLine="420" w:firstLineChars="200"/>
        <w:rPr>
          <w:rFonts w:hint="eastAsia" w:ascii="宋体" w:hAnsi="宋体"/>
          <w:b/>
          <w:color w:val="auto"/>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olor w:val="auto"/>
          <w:szCs w:val="20"/>
          <w:highlight w:val="none"/>
          <w:lang w:eastAsia="zh-CN"/>
        </w:rPr>
        <w:t>供应商</w:t>
      </w:r>
      <w:r>
        <w:rPr>
          <w:rFonts w:hint="eastAsia" w:ascii="宋体" w:hAnsi="宋体"/>
          <w:color w:val="auto"/>
          <w:szCs w:val="20"/>
          <w:highlight w:val="none"/>
        </w:rPr>
        <w:t>相关获奖证书、认证证书等复印件</w:t>
      </w:r>
      <w:r>
        <w:rPr>
          <w:rFonts w:hint="eastAsia" w:ascii="宋体" w:hAnsi="宋体"/>
          <w:b/>
          <w:color w:val="auto"/>
          <w:highlight w:val="none"/>
        </w:rPr>
        <w:t>（如有，请提供）</w:t>
      </w:r>
      <w:r>
        <w:rPr>
          <w:rFonts w:hint="eastAsia" w:ascii="宋体" w:hAnsi="宋体"/>
          <w:b/>
          <w:color w:val="auto"/>
          <w:highlight w:val="none"/>
          <w:lang w:eastAsia="zh-CN"/>
        </w:rPr>
        <w:t>；</w:t>
      </w:r>
    </w:p>
    <w:p w14:paraId="0329A92D">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供应商可结合本项目的评审办法视自身情况自行提交其它相关证明材料</w:t>
      </w:r>
      <w:r>
        <w:rPr>
          <w:rFonts w:hint="eastAsia" w:ascii="宋体" w:hAnsi="宋体" w:eastAsia="宋体" w:cs="宋体"/>
          <w:b/>
          <w:color w:val="auto"/>
          <w:kern w:val="0"/>
          <w:sz w:val="21"/>
          <w:szCs w:val="24"/>
          <w:highlight w:val="none"/>
        </w:rPr>
        <w:t>（如有，请提供）</w:t>
      </w:r>
      <w:r>
        <w:rPr>
          <w:rFonts w:hint="eastAsia" w:ascii="宋体" w:hAnsi="宋体" w:eastAsia="宋体" w:cs="宋体"/>
          <w:color w:val="auto"/>
          <w:szCs w:val="21"/>
          <w:highlight w:val="none"/>
        </w:rPr>
        <w:t>。</w:t>
      </w:r>
    </w:p>
    <w:p w14:paraId="43C350C3">
      <w:pPr>
        <w:spacing w:line="400" w:lineRule="exact"/>
        <w:ind w:firstLine="42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供应商</w:t>
      </w:r>
      <w:r>
        <w:rPr>
          <w:rFonts w:hint="eastAsia" w:ascii="宋体" w:hAnsi="宋体" w:eastAsia="宋体" w:cs="宋体"/>
          <w:b/>
          <w:bCs/>
          <w:color w:val="auto"/>
          <w:highlight w:val="none"/>
        </w:rPr>
        <w:t>提供的以上相关证明材料属于“必须提供”的文件应加盖磋商供应商公章（CA签章）/自然人签字或个人CA签章，否则响应无效。</w:t>
      </w:r>
    </w:p>
    <w:p w14:paraId="784968F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供应商应按竞争性磋商文件第六章“响应文件（格式）”编制响应文件。</w:t>
      </w:r>
    </w:p>
    <w:p w14:paraId="4794D087">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14:paraId="7A34B674">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（1）响</w:t>
      </w:r>
      <w:r>
        <w:rPr>
          <w:rFonts w:hint="eastAsia" w:ascii="宋体" w:hAnsi="宋体" w:eastAsia="宋体" w:cs="宋体"/>
          <w:b/>
          <w:color w:val="auto"/>
          <w:szCs w:val="21"/>
          <w:highlight w:val="none"/>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4F3F8472">
      <w:pPr>
        <w:numPr>
          <w:ilvl w:val="0"/>
          <w:numId w:val="7"/>
        </w:numPr>
        <w:spacing w:line="400" w:lineRule="exact"/>
        <w:ind w:firstLine="420" w:firstLineChars="200"/>
        <w:rPr>
          <w:rFonts w:hint="eastAsia" w:ascii="宋体" w:hAnsi="宋体" w:eastAsia="宋体" w:cs="宋体"/>
          <w:b/>
          <w:color w:val="auto"/>
          <w:highlight w:val="none"/>
          <w:u w:val="single"/>
        </w:rPr>
      </w:pPr>
      <w:r>
        <w:rPr>
          <w:rFonts w:hint="eastAsia" w:ascii="宋体" w:hAnsi="宋体" w:eastAsia="宋体" w:cs="宋体"/>
          <w:b/>
          <w:bCs/>
          <w:color w:val="auto"/>
          <w:szCs w:val="21"/>
          <w:highlight w:val="none"/>
        </w:rPr>
        <w:t>磋商文件要求法定代表人（负责人）或委托代理人签字的部分必须签字然后扫描或者拍照做成 pdf 格式上传（或加盖个人CA签章），无签字的视为响应无效。</w:t>
      </w:r>
    </w:p>
    <w:p w14:paraId="4361F3A4">
      <w:pPr>
        <w:pStyle w:val="5"/>
        <w:spacing w:before="0" w:after="0" w:line="400" w:lineRule="exact"/>
        <w:ind w:firstLine="420" w:firstLineChars="200"/>
        <w:rPr>
          <w:rFonts w:hint="eastAsia" w:ascii="宋体" w:hAnsi="宋体" w:eastAsia="宋体" w:cs="宋体"/>
          <w:color w:val="auto"/>
          <w:sz w:val="21"/>
          <w:szCs w:val="21"/>
          <w:highlight w:val="none"/>
        </w:rPr>
      </w:pPr>
      <w:bookmarkStart w:id="58" w:name="_Toc6845"/>
      <w:bookmarkStart w:id="59" w:name="_Toc2180"/>
      <w:r>
        <w:rPr>
          <w:rFonts w:hint="eastAsia" w:ascii="宋体" w:hAnsi="宋体" w:eastAsia="宋体" w:cs="宋体"/>
          <w:color w:val="auto"/>
          <w:sz w:val="21"/>
          <w:szCs w:val="21"/>
          <w:highlight w:val="none"/>
        </w:rPr>
        <w:t>12. 响应文件的语言及计量</w:t>
      </w:r>
      <w:bookmarkEnd w:id="58"/>
      <w:bookmarkEnd w:id="59"/>
    </w:p>
    <w:p w14:paraId="6E0FED5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0F39BFF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14:paraId="4CB244EC">
      <w:pPr>
        <w:pStyle w:val="5"/>
        <w:spacing w:before="0" w:after="0" w:line="400" w:lineRule="exact"/>
        <w:ind w:firstLine="420" w:firstLineChars="200"/>
        <w:rPr>
          <w:rFonts w:hint="eastAsia" w:ascii="宋体" w:hAnsi="宋体" w:eastAsia="宋体" w:cs="宋体"/>
          <w:color w:val="auto"/>
          <w:sz w:val="21"/>
          <w:szCs w:val="21"/>
          <w:highlight w:val="none"/>
        </w:rPr>
      </w:pPr>
      <w:bookmarkStart w:id="60" w:name="_Toc30930"/>
      <w:bookmarkStart w:id="61" w:name="_Toc10838"/>
      <w:r>
        <w:rPr>
          <w:rFonts w:hint="eastAsia" w:ascii="宋体" w:hAnsi="宋体" w:eastAsia="宋体" w:cs="宋体"/>
          <w:color w:val="auto"/>
          <w:sz w:val="21"/>
          <w:szCs w:val="21"/>
          <w:highlight w:val="none"/>
        </w:rPr>
        <w:t>13. 磋商报价及采购预算金额</w:t>
      </w:r>
      <w:bookmarkEnd w:id="60"/>
      <w:bookmarkEnd w:id="61"/>
    </w:p>
    <w:p w14:paraId="398F290B">
      <w:pPr>
        <w:spacing w:line="440" w:lineRule="exact"/>
        <w:ind w:firstLine="420" w:firstLineChars="200"/>
        <w:rPr>
          <w:rFonts w:hint="eastAsia" w:ascii="宋体" w:hAnsi="宋体" w:eastAsia="宋体" w:cs="宋体"/>
          <w:b w:val="0"/>
          <w:bCs w:val="0"/>
          <w:color w:val="auto"/>
          <w:spacing w:val="2"/>
          <w:w w:val="100"/>
          <w:sz w:val="21"/>
          <w:szCs w:val="21"/>
          <w:highlight w:val="none"/>
        </w:rPr>
      </w:pPr>
      <w:r>
        <w:rPr>
          <w:rFonts w:hint="eastAsia" w:ascii="宋体" w:hAnsi="宋体" w:cs="宋体"/>
          <w:color w:val="auto"/>
          <w:szCs w:val="21"/>
          <w:highlight w:val="none"/>
          <w:lang w:val="en-US" w:eastAsia="zh-CN"/>
        </w:rPr>
        <w:t>13.1</w:t>
      </w:r>
      <w:r>
        <w:rPr>
          <w:rFonts w:hint="eastAsia" w:ascii="宋体" w:hAnsi="宋体" w:eastAsia="宋体" w:cs="宋体"/>
          <w:color w:val="auto"/>
          <w:szCs w:val="21"/>
          <w:highlight w:val="none"/>
        </w:rPr>
        <w:t>磋商报价应按磋商文件中相关附表格式填写。</w:t>
      </w:r>
      <w:r>
        <w:rPr>
          <w:rFonts w:hint="eastAsia" w:ascii="宋体" w:hAnsi="宋体" w:eastAsia="宋体" w:cs="宋体"/>
          <w:b/>
          <w:bCs/>
          <w:color w:val="auto"/>
          <w:szCs w:val="21"/>
          <w:highlight w:val="none"/>
        </w:rPr>
        <w:t>采购预算金额</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人民币</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约为捌拾伍万元整，小写：￥850000.00元，仅供投标单位参考，投标时无需提及，最终以实际批复为准</w:t>
      </w:r>
      <w:r>
        <w:rPr>
          <w:rFonts w:hint="eastAsia" w:ascii="宋体" w:hAnsi="宋体" w:eastAsia="宋体" w:cs="宋体"/>
          <w:b/>
          <w:bCs/>
          <w:color w:val="auto"/>
          <w:szCs w:val="21"/>
          <w:highlight w:val="none"/>
        </w:rPr>
        <w:t>。</w:t>
      </w:r>
      <w:r>
        <w:rPr>
          <w:rFonts w:hint="eastAsia" w:ascii="宋体" w:hAnsi="宋体" w:eastAsia="宋体" w:cs="宋体"/>
          <w:b w:val="0"/>
          <w:bCs w:val="0"/>
          <w:color w:val="auto"/>
          <w:spacing w:val="2"/>
          <w:w w:val="100"/>
          <w:sz w:val="21"/>
          <w:szCs w:val="21"/>
          <w:highlight w:val="none"/>
        </w:rPr>
        <w:t>供应商报价超出采购</w:t>
      </w:r>
      <w:r>
        <w:rPr>
          <w:rFonts w:hint="eastAsia" w:ascii="宋体" w:hAnsi="宋体" w:cs="宋体"/>
          <w:b w:val="0"/>
          <w:bCs w:val="0"/>
          <w:color w:val="auto"/>
          <w:spacing w:val="2"/>
          <w:w w:val="100"/>
          <w:sz w:val="21"/>
          <w:szCs w:val="21"/>
          <w:highlight w:val="none"/>
          <w:lang w:val="en-US" w:eastAsia="zh-CN"/>
        </w:rPr>
        <w:t>预算</w:t>
      </w:r>
      <w:r>
        <w:rPr>
          <w:rFonts w:hint="eastAsia" w:ascii="宋体" w:hAnsi="宋体" w:eastAsia="宋体" w:cs="宋体"/>
          <w:b w:val="0"/>
          <w:bCs w:val="0"/>
          <w:color w:val="auto"/>
          <w:spacing w:val="2"/>
          <w:w w:val="100"/>
          <w:sz w:val="21"/>
          <w:szCs w:val="21"/>
          <w:highlight w:val="none"/>
        </w:rPr>
        <w:t>的，响应文件按无效处理。</w:t>
      </w:r>
    </w:p>
    <w:p w14:paraId="26D03AD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13.2供应商必须就“采购需求”中所竞所有内容作完整唯一报价，否则，其响应文件无效。响应文件只允许有一个报价，有选择的或有条件的报价将不予接受。</w:t>
      </w:r>
    </w:p>
    <w:p w14:paraId="28AE06ED">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13.3 </w:t>
      </w:r>
      <w:r>
        <w:rPr>
          <w:rFonts w:hint="eastAsia" w:ascii="宋体" w:hAnsi="宋体" w:eastAsia="宋体" w:cs="宋体"/>
          <w:color w:val="auto"/>
          <w:highlight w:val="none"/>
        </w:rPr>
        <w:t>磋商报价应包括本次采购范围内组织协调、邀请所有嘉宾、差旅、翻译、设备、人工、培训、运输、保险、利润、各项税金、政策性文件规定及合同包含的所有风险、责任等完成本项目的各项应有费用等全部费用；投标人综合考虑在报价中。</w:t>
      </w:r>
    </w:p>
    <w:p w14:paraId="5F057549">
      <w:pPr>
        <w:tabs>
          <w:tab w:val="left" w:pos="1305"/>
        </w:tabs>
        <w:spacing w:line="380" w:lineRule="exact"/>
        <w:ind w:firstLine="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13.4供应商应在规定时间内在</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”在线</w:t>
      </w:r>
      <w:r>
        <w:rPr>
          <w:rFonts w:hint="eastAsia" w:ascii="宋体" w:hAnsi="宋体" w:eastAsia="宋体" w:cs="宋体"/>
          <w:color w:val="auto"/>
          <w:szCs w:val="21"/>
          <w:highlight w:val="none"/>
        </w:rPr>
        <w:t>提交最后报价，</w:t>
      </w:r>
      <w:r>
        <w:rPr>
          <w:rFonts w:hint="eastAsia" w:ascii="宋体" w:hAnsi="宋体" w:eastAsia="宋体" w:cs="宋体"/>
          <w:color w:val="auto"/>
          <w:kern w:val="0"/>
          <w:sz w:val="21"/>
          <w:szCs w:val="21"/>
          <w:highlight w:val="none"/>
        </w:rPr>
        <w:t>其最后报价不得超出</w:t>
      </w:r>
      <w:r>
        <w:rPr>
          <w:rFonts w:hint="eastAsia" w:ascii="宋体" w:hAnsi="宋体" w:cs="宋体"/>
          <w:color w:val="auto"/>
          <w:kern w:val="0"/>
          <w:sz w:val="21"/>
          <w:szCs w:val="21"/>
          <w:highlight w:val="none"/>
          <w:lang w:val="en-US" w:eastAsia="zh-CN"/>
        </w:rPr>
        <w:t>最高限价</w:t>
      </w:r>
      <w:r>
        <w:rPr>
          <w:rFonts w:hint="eastAsia" w:ascii="宋体" w:hAnsi="宋体" w:eastAsia="宋体" w:cs="宋体"/>
          <w:color w:val="auto"/>
          <w:kern w:val="0"/>
          <w:sz w:val="21"/>
          <w:szCs w:val="21"/>
          <w:highlight w:val="none"/>
        </w:rPr>
        <w:t>；磋商过程中磋商文件未作实质性变动的，</w:t>
      </w:r>
      <w:r>
        <w:rPr>
          <w:rFonts w:hint="eastAsia" w:ascii="宋体" w:hAnsi="宋体" w:eastAsia="宋体" w:cs="宋体"/>
          <w:b/>
          <w:color w:val="auto"/>
          <w:kern w:val="0"/>
          <w:sz w:val="21"/>
          <w:szCs w:val="21"/>
          <w:highlight w:val="none"/>
        </w:rPr>
        <w:t>最后报价不得超过首次报价。</w:t>
      </w:r>
    </w:p>
    <w:p w14:paraId="55A4CECA">
      <w:pPr>
        <w:pStyle w:val="5"/>
        <w:spacing w:before="0" w:after="0" w:line="400" w:lineRule="exact"/>
        <w:ind w:firstLine="420" w:firstLineChars="200"/>
        <w:rPr>
          <w:rFonts w:hint="eastAsia" w:ascii="宋体" w:hAnsi="宋体" w:eastAsia="宋体" w:cs="宋体"/>
          <w:color w:val="auto"/>
          <w:sz w:val="21"/>
          <w:szCs w:val="21"/>
          <w:highlight w:val="none"/>
        </w:rPr>
      </w:pPr>
      <w:bookmarkStart w:id="62" w:name="_Toc26881"/>
      <w:bookmarkStart w:id="63" w:name="_Toc27015"/>
      <w:r>
        <w:rPr>
          <w:rFonts w:hint="eastAsia" w:ascii="宋体" w:hAnsi="宋体" w:eastAsia="宋体" w:cs="宋体"/>
          <w:color w:val="auto"/>
          <w:sz w:val="21"/>
          <w:szCs w:val="21"/>
          <w:highlight w:val="none"/>
        </w:rPr>
        <w:t>14. 响应文件有效期</w:t>
      </w:r>
      <w:bookmarkEnd w:id="62"/>
      <w:bookmarkEnd w:id="63"/>
    </w:p>
    <w:p w14:paraId="577321C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14:paraId="7C67E30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出现特殊情况下，需要延长响应文件有效期的，采购代理机构书面通知供应商延长响应文件有效期。供应商同意延长的，但不能修改响应文件。供应商拒绝延长的，其响应文件无效。</w:t>
      </w:r>
    </w:p>
    <w:p w14:paraId="234D63FA">
      <w:pPr>
        <w:pStyle w:val="5"/>
        <w:spacing w:before="0" w:after="0" w:line="400" w:lineRule="exact"/>
        <w:ind w:firstLine="420" w:firstLineChars="200"/>
        <w:rPr>
          <w:rFonts w:hint="eastAsia" w:ascii="宋体" w:hAnsi="宋体" w:eastAsia="宋体" w:cs="宋体"/>
          <w:color w:val="auto"/>
          <w:sz w:val="21"/>
          <w:szCs w:val="21"/>
          <w:highlight w:val="none"/>
        </w:rPr>
      </w:pPr>
      <w:bookmarkStart w:id="64" w:name="_Toc22602"/>
      <w:bookmarkStart w:id="65" w:name="_Toc24706"/>
      <w:r>
        <w:rPr>
          <w:rFonts w:hint="eastAsia" w:ascii="宋体" w:hAnsi="宋体" w:eastAsia="宋体" w:cs="宋体"/>
          <w:color w:val="auto"/>
          <w:sz w:val="21"/>
          <w:szCs w:val="21"/>
          <w:highlight w:val="none"/>
        </w:rPr>
        <w:t>15. 保证金</w:t>
      </w:r>
      <w:bookmarkEnd w:id="64"/>
      <w:bookmarkEnd w:id="65"/>
    </w:p>
    <w:p w14:paraId="2C25C1EF">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本项目无需缴纳磋商保证金。</w:t>
      </w:r>
    </w:p>
    <w:p w14:paraId="119C72C1">
      <w:pPr>
        <w:pStyle w:val="5"/>
        <w:spacing w:before="0" w:after="0" w:line="400" w:lineRule="exact"/>
        <w:ind w:firstLine="420" w:firstLineChars="200"/>
        <w:rPr>
          <w:rFonts w:hint="eastAsia" w:ascii="宋体" w:hAnsi="宋体" w:eastAsia="宋体" w:cs="宋体"/>
          <w:color w:val="auto"/>
          <w:sz w:val="21"/>
          <w:szCs w:val="21"/>
          <w:highlight w:val="none"/>
        </w:rPr>
      </w:pPr>
      <w:bookmarkStart w:id="66" w:name="_Toc387"/>
      <w:bookmarkStart w:id="67" w:name="_Toc8815"/>
      <w:r>
        <w:rPr>
          <w:rFonts w:hint="eastAsia" w:ascii="宋体" w:hAnsi="宋体" w:eastAsia="宋体" w:cs="宋体"/>
          <w:color w:val="auto"/>
          <w:sz w:val="21"/>
          <w:szCs w:val="21"/>
          <w:highlight w:val="none"/>
        </w:rPr>
        <w:t>16. 竞争性磋商响应文件的</w:t>
      </w:r>
      <w:bookmarkEnd w:id="66"/>
      <w:r>
        <w:rPr>
          <w:rFonts w:hint="eastAsia" w:ascii="宋体" w:hAnsi="宋体" w:eastAsia="宋体" w:cs="宋体"/>
          <w:color w:val="auto"/>
          <w:sz w:val="21"/>
          <w:szCs w:val="21"/>
          <w:highlight w:val="none"/>
        </w:rPr>
        <w:t>制作</w:t>
      </w:r>
      <w:bookmarkEnd w:id="67"/>
    </w:p>
    <w:p w14:paraId="1623FA1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16.1磋商供应商制作电子响应文件前，应</w:t>
      </w:r>
      <w:r>
        <w:rPr>
          <w:rFonts w:hint="eastAsia" w:ascii="宋体" w:hAnsi="宋体" w:eastAsia="宋体" w:cs="宋体"/>
          <w:color w:val="auto"/>
          <w:szCs w:val="21"/>
          <w:highlight w:val="none"/>
          <w:lang w:eastAsia="zh-CN"/>
        </w:rPr>
        <w:t>登录</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”进行“申请获取采购文件”操作，否则，有可能导致无法在线编制响应文件并参与投标，其不利后果由投标人自行承担。</w:t>
      </w:r>
    </w:p>
    <w:p w14:paraId="6871761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55DCFF4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16.3供应商法人（负责人）或授权代表持有</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个人CA签章的，应在响应文件中涉及到签字的位置使用个人CA签章，没有办理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个人CA签章的可在响应文件中涉及到签字的位置手写签字后扫描或者拍照做成 PDF 的格式上传即可。</w:t>
      </w:r>
    </w:p>
    <w:p w14:paraId="5641012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磋商响应文件不得涂改，若有修改错漏处，须法定代表人（负责人）或授权委托人签字（或个人CA签章）。磋商响应文件因字迹潦草或表达不清所引起的后果由供应商负责。</w:t>
      </w:r>
    </w:p>
    <w:p w14:paraId="476E3F7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16.5磋商前准备 </w:t>
      </w:r>
    </w:p>
    <w:p w14:paraId="55E4BCD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16.5.1本项目实行在线磋商，采用电子磋商响应文件。若供应商参与磋商，自行承担磋商一切费用。 </w:t>
      </w:r>
    </w:p>
    <w:p w14:paraId="1B52EEC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16.5.2各供应商应在截标前应确保成为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 xml:space="preserve">正式注册入库供应商，并完成 CA 数字证书申领。因未注册入库、未办理 CA 数字证书等原因造成无法磋商或磋商失败等后果由供应商自行承担。 </w:t>
      </w:r>
    </w:p>
    <w:p w14:paraId="7F0921D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16.5.3供应商将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电子交易客户端下载、安装完成后，可通过账号密码或 CA 登录客户端进行响应文件制作。客户端请至网站下载专区查看，如有问题可拨打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客户服务热线</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进行咨询。</w:t>
      </w:r>
    </w:p>
    <w:p w14:paraId="5E0FAC9E">
      <w:pPr>
        <w:pStyle w:val="5"/>
        <w:spacing w:before="0" w:after="0" w:line="400" w:lineRule="exact"/>
        <w:ind w:firstLine="420" w:firstLineChars="200"/>
        <w:rPr>
          <w:rFonts w:hint="eastAsia" w:ascii="宋体" w:hAnsi="宋体" w:eastAsia="宋体" w:cs="宋体"/>
          <w:color w:val="auto"/>
          <w:sz w:val="21"/>
          <w:szCs w:val="21"/>
          <w:highlight w:val="none"/>
        </w:rPr>
      </w:pPr>
      <w:bookmarkStart w:id="68" w:name="_Toc8570"/>
      <w:r>
        <w:rPr>
          <w:rFonts w:hint="eastAsia" w:ascii="宋体" w:hAnsi="宋体" w:eastAsia="宋体" w:cs="宋体"/>
          <w:color w:val="auto"/>
          <w:sz w:val="21"/>
          <w:szCs w:val="21"/>
          <w:highlight w:val="none"/>
        </w:rPr>
        <w:t>17. 响应文件的修改和撤回</w:t>
      </w:r>
      <w:bookmarkEnd w:id="68"/>
    </w:p>
    <w:p w14:paraId="1E23E2C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71E5F2C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在响应文件递交截止时间后的响应文件有效期内，供应商不得撤回其响应文件。</w:t>
      </w:r>
    </w:p>
    <w:p w14:paraId="5529BAA3">
      <w:pPr>
        <w:pStyle w:val="5"/>
        <w:spacing w:before="0" w:after="0" w:line="400" w:lineRule="exact"/>
        <w:ind w:firstLine="420" w:firstLineChars="200"/>
        <w:rPr>
          <w:rFonts w:hint="eastAsia" w:ascii="宋体" w:hAnsi="宋体" w:eastAsia="宋体" w:cs="宋体"/>
          <w:color w:val="auto"/>
          <w:sz w:val="21"/>
          <w:szCs w:val="21"/>
          <w:highlight w:val="none"/>
        </w:rPr>
      </w:pPr>
      <w:bookmarkStart w:id="69" w:name="_Toc27030"/>
      <w:bookmarkStart w:id="70" w:name="_Toc30156"/>
      <w:r>
        <w:rPr>
          <w:rFonts w:hint="eastAsia" w:ascii="宋体" w:hAnsi="宋体" w:eastAsia="宋体" w:cs="宋体"/>
          <w:color w:val="auto"/>
          <w:sz w:val="21"/>
          <w:szCs w:val="21"/>
          <w:highlight w:val="none"/>
        </w:rPr>
        <w:t>18. 响应文件的递交和解密</w:t>
      </w:r>
      <w:bookmarkEnd w:id="69"/>
      <w:bookmarkEnd w:id="70"/>
    </w:p>
    <w:p w14:paraId="514F071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18.1响应文件递交截止时间：于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年05月26日</w:t>
      </w:r>
      <w:r>
        <w:rPr>
          <w:rFonts w:hint="eastAsia" w:ascii="宋体" w:hAnsi="宋体" w:eastAsia="宋体" w:cs="宋体"/>
          <w:color w:val="auto"/>
          <w:szCs w:val="21"/>
          <w:highlight w:val="none"/>
          <w:u w:val="single"/>
          <w:lang w:val="en-US" w:eastAsia="zh-CN"/>
        </w:rPr>
        <w:t>09</w:t>
      </w:r>
      <w:r>
        <w:rPr>
          <w:rFonts w:hint="eastAsia" w:ascii="宋体" w:hAnsi="宋体" w:eastAsia="宋体" w:cs="宋体"/>
          <w:color w:val="auto"/>
          <w:szCs w:val="21"/>
          <w:highlight w:val="none"/>
          <w:u w:val="single"/>
        </w:rPr>
        <w:t>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w:t>
      </w:r>
    </w:p>
    <w:p w14:paraId="749775A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18.2磋商响应文件解密时间：截标时间后</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分钟内（</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年05月26日</w:t>
      </w:r>
      <w:r>
        <w:rPr>
          <w:rFonts w:hint="eastAsia" w:ascii="宋体" w:hAnsi="宋体" w:eastAsia="宋体" w:cs="宋体"/>
          <w:color w:val="auto"/>
          <w:szCs w:val="21"/>
          <w:highlight w:val="none"/>
          <w:u w:val="single"/>
          <w:lang w:val="en-US" w:eastAsia="zh-CN"/>
        </w:rPr>
        <w:t>09</w:t>
      </w:r>
      <w:r>
        <w:rPr>
          <w:rFonts w:hint="eastAsia" w:ascii="宋体" w:hAnsi="宋体" w:eastAsia="宋体" w:cs="宋体"/>
          <w:color w:val="auto"/>
          <w:szCs w:val="21"/>
          <w:highlight w:val="none"/>
          <w:u w:val="single"/>
        </w:rPr>
        <w:t>时30分至</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时00分</w:t>
      </w:r>
      <w:r>
        <w:rPr>
          <w:rFonts w:hint="eastAsia" w:ascii="宋体" w:hAnsi="宋体" w:eastAsia="宋体" w:cs="宋体"/>
          <w:color w:val="auto"/>
          <w:szCs w:val="21"/>
          <w:highlight w:val="none"/>
        </w:rPr>
        <w:t>)磋商供应商可以登录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Cs w:val="21"/>
          <w:highlight w:val="none"/>
        </w:rPr>
        <w:t>【在接到无法解密或解密失败的通知后，磋商供应商可根据自身实际情况按通知时要求的时间到桂林市公共资源交易中心</w:t>
      </w:r>
      <w:r>
        <w:rPr>
          <w:rFonts w:hint="eastAsia" w:ascii="宋体" w:hAnsi="宋体" w:cs="宋体"/>
          <w:b/>
          <w:bCs/>
          <w:color w:val="auto"/>
          <w:szCs w:val="21"/>
          <w:highlight w:val="none"/>
          <w:u w:val="single"/>
          <w:lang w:eastAsia="zh-CN"/>
        </w:rPr>
        <w:t>政采开标仓</w:t>
      </w:r>
      <w:r>
        <w:rPr>
          <w:rFonts w:hint="eastAsia" w:ascii="宋体" w:hAnsi="宋体" w:eastAsia="宋体" w:cs="宋体"/>
          <w:b/>
          <w:bCs/>
          <w:color w:val="auto"/>
          <w:szCs w:val="21"/>
          <w:highlight w:val="none"/>
        </w:rPr>
        <w:t>现场提交或以电子邮件的形式（以通知时所告知的电子邮箱地址为准）提交电子备份磋商响应文件】</w:t>
      </w:r>
      <w:r>
        <w:rPr>
          <w:rFonts w:hint="eastAsia" w:ascii="宋体" w:hAnsi="宋体" w:eastAsia="宋体" w:cs="宋体"/>
          <w:color w:val="auto"/>
          <w:szCs w:val="21"/>
          <w:highlight w:val="none"/>
        </w:rPr>
        <w:t>，若磋商供应商在规定时间内无法解密或解密失败且未提供电子备份磋商响应文件的(包含提供的电子备份文件无效或无法解密的情况)，视为响应文件撤回。</w:t>
      </w:r>
    </w:p>
    <w:p w14:paraId="3A4C189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除竞争性磋商文件另有规定外，供应商所递交的响应文件不予退还。</w:t>
      </w:r>
    </w:p>
    <w:p w14:paraId="6F7AA9F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 电子响应文件的相关说明</w:t>
      </w:r>
    </w:p>
    <w:p w14:paraId="04C39B5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14C35912">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（2）如有特殊情况，采购代理机构延长截止时间和开标时间，采购代理机构和供应商的权利和义务将受到新的截止时间和开标时间的约束。</w:t>
      </w:r>
    </w:p>
    <w:p w14:paraId="793417AE">
      <w:pPr>
        <w:pStyle w:val="4"/>
        <w:spacing w:line="400" w:lineRule="exact"/>
        <w:ind w:left="0"/>
        <w:jc w:val="center"/>
        <w:rPr>
          <w:rFonts w:hint="eastAsia" w:ascii="宋体" w:hAnsi="宋体" w:eastAsia="宋体" w:cs="宋体"/>
          <w:b/>
          <w:bCs w:val="0"/>
          <w:color w:val="auto"/>
          <w:szCs w:val="28"/>
          <w:highlight w:val="none"/>
        </w:rPr>
      </w:pPr>
      <w:bookmarkStart w:id="71" w:name="_Toc2433"/>
      <w:bookmarkStart w:id="72" w:name="_Toc18044"/>
      <w:r>
        <w:rPr>
          <w:rFonts w:hint="eastAsia" w:ascii="宋体" w:hAnsi="宋体" w:eastAsia="宋体" w:cs="宋体"/>
          <w:b/>
          <w:bCs w:val="0"/>
          <w:color w:val="auto"/>
          <w:szCs w:val="28"/>
          <w:highlight w:val="none"/>
        </w:rPr>
        <w:t>四、竞争性磋商（简称磋商）与评审</w:t>
      </w:r>
      <w:bookmarkEnd w:id="71"/>
      <w:bookmarkEnd w:id="72"/>
    </w:p>
    <w:p w14:paraId="56E1D43D">
      <w:pPr>
        <w:pStyle w:val="5"/>
        <w:spacing w:before="0" w:after="0" w:line="400" w:lineRule="exact"/>
        <w:ind w:firstLine="420" w:firstLineChars="200"/>
        <w:rPr>
          <w:rFonts w:hint="eastAsia" w:ascii="宋体" w:hAnsi="宋体" w:eastAsia="宋体" w:cs="宋体"/>
          <w:color w:val="auto"/>
          <w:sz w:val="21"/>
          <w:szCs w:val="21"/>
          <w:highlight w:val="none"/>
        </w:rPr>
      </w:pPr>
      <w:bookmarkStart w:id="73" w:name="_Toc16714"/>
      <w:bookmarkStart w:id="74" w:name="_Toc31588"/>
      <w:r>
        <w:rPr>
          <w:rFonts w:hint="eastAsia" w:ascii="宋体" w:hAnsi="宋体" w:eastAsia="宋体" w:cs="宋体"/>
          <w:color w:val="auto"/>
          <w:sz w:val="21"/>
          <w:szCs w:val="21"/>
          <w:highlight w:val="none"/>
        </w:rPr>
        <w:t>19. 磋商小组组成及磋商时间、地点、人员</w:t>
      </w:r>
      <w:bookmarkEnd w:id="73"/>
      <w:bookmarkEnd w:id="74"/>
    </w:p>
    <w:p w14:paraId="584862E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磋商小组组成：</w:t>
      </w:r>
    </w:p>
    <w:p w14:paraId="2B0E818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人， 专家</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人。</w:t>
      </w:r>
    </w:p>
    <w:p w14:paraId="02C7125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磋商时间、地点、人员：</w:t>
      </w:r>
    </w:p>
    <w:p w14:paraId="1A2DB1CF">
      <w:pPr>
        <w:spacing w:line="400" w:lineRule="exact"/>
        <w:ind w:firstLine="420" w:firstLineChars="200"/>
        <w:rPr>
          <w:rFonts w:hint="eastAsia" w:ascii="宋体" w:hAnsi="宋体" w:eastAsia="宋体" w:cs="宋体"/>
          <w:color w:val="auto"/>
          <w:szCs w:val="21"/>
          <w:highlight w:val="none"/>
        </w:rPr>
      </w:pPr>
      <w:bookmarkStart w:id="75" w:name="_Toc9878"/>
      <w:r>
        <w:rPr>
          <w:rFonts w:hint="eastAsia" w:ascii="宋体" w:hAnsi="宋体" w:eastAsia="宋体" w:cs="宋体"/>
          <w:color w:val="auto"/>
          <w:szCs w:val="21"/>
          <w:highlight w:val="none"/>
        </w:rPr>
        <w:t>19.2.1磋商时间：响应文件递交截止时间后。</w:t>
      </w:r>
      <w:bookmarkEnd w:id="75"/>
    </w:p>
    <w:p w14:paraId="6C64DB5A">
      <w:pPr>
        <w:spacing w:line="400" w:lineRule="exact"/>
        <w:ind w:firstLine="420" w:firstLineChars="200"/>
        <w:rPr>
          <w:rFonts w:hint="eastAsia" w:ascii="宋体" w:hAnsi="宋体" w:eastAsia="宋体" w:cs="宋体"/>
          <w:color w:val="auto"/>
          <w:szCs w:val="21"/>
          <w:highlight w:val="none"/>
        </w:rPr>
      </w:pPr>
      <w:bookmarkStart w:id="76" w:name="_Toc29268"/>
      <w:r>
        <w:rPr>
          <w:rFonts w:hint="eastAsia" w:ascii="宋体" w:hAnsi="宋体" w:eastAsia="宋体" w:cs="宋体"/>
          <w:color w:val="auto"/>
          <w:szCs w:val="21"/>
          <w:highlight w:val="none"/>
        </w:rPr>
        <w:t>19.2.2磋商地点：</w:t>
      </w:r>
      <w:bookmarkEnd w:id="76"/>
      <w:r>
        <w:rPr>
          <w:rFonts w:hint="eastAsia" w:ascii="宋体" w:hAnsi="宋体" w:eastAsia="宋体" w:cs="宋体"/>
          <w:color w:val="auto"/>
          <w:szCs w:val="21"/>
          <w:highlight w:val="none"/>
        </w:rPr>
        <w:t>本项目需要磋商供应商代表在截标当天截标后，按磋商小组要求及时</w:t>
      </w:r>
      <w:r>
        <w:rPr>
          <w:rFonts w:hint="eastAsia" w:ascii="宋体" w:hAnsi="宋体" w:eastAsia="宋体" w:cs="宋体"/>
          <w:color w:val="auto"/>
          <w:szCs w:val="21"/>
          <w:highlight w:val="none"/>
          <w:lang w:eastAsia="zh-CN"/>
        </w:rPr>
        <w:t>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p>
    <w:p w14:paraId="427EB18D">
      <w:pPr>
        <w:spacing w:line="400" w:lineRule="exact"/>
        <w:ind w:firstLine="420" w:firstLineChars="200"/>
        <w:rPr>
          <w:rFonts w:hint="eastAsia" w:ascii="宋体" w:hAnsi="宋体" w:eastAsia="宋体" w:cs="宋体"/>
          <w:bCs/>
          <w:color w:val="auto"/>
          <w:szCs w:val="21"/>
          <w:highlight w:val="none"/>
        </w:rPr>
      </w:pPr>
      <w:bookmarkStart w:id="77" w:name="_Toc21307"/>
      <w:r>
        <w:rPr>
          <w:rFonts w:hint="eastAsia" w:ascii="宋体" w:hAnsi="宋体" w:eastAsia="宋体" w:cs="宋体"/>
          <w:color w:val="auto"/>
          <w:szCs w:val="21"/>
          <w:highlight w:val="none"/>
        </w:rPr>
        <w:t>19</w:t>
      </w:r>
      <w:r>
        <w:rPr>
          <w:rFonts w:hint="eastAsia" w:ascii="宋体" w:hAnsi="宋体" w:eastAsia="宋体" w:cs="宋体"/>
          <w:bCs/>
          <w:color w:val="auto"/>
          <w:szCs w:val="21"/>
          <w:highlight w:val="none"/>
        </w:rPr>
        <w:t>.2.3磋商参加人员：供应商法定代表人、负责人、自然人或相应的委托代理人持</w:t>
      </w:r>
      <w:r>
        <w:rPr>
          <w:rFonts w:hint="eastAsia" w:ascii="宋体" w:hAnsi="宋体" w:eastAsia="宋体" w:cs="宋体"/>
          <w:bCs/>
          <w:color w:val="auto"/>
          <w:szCs w:val="21"/>
          <w:highlight w:val="none"/>
          <w:u w:val="single"/>
        </w:rPr>
        <w:t>有效身份证原件</w:t>
      </w:r>
      <w:r>
        <w:rPr>
          <w:rFonts w:hint="eastAsia" w:ascii="宋体" w:hAnsi="宋体" w:eastAsia="宋体" w:cs="宋体"/>
          <w:bCs/>
          <w:color w:val="auto"/>
          <w:szCs w:val="21"/>
          <w:highlight w:val="none"/>
        </w:rPr>
        <w:t>和供应商</w:t>
      </w:r>
      <w:r>
        <w:rPr>
          <w:rFonts w:hint="eastAsia" w:ascii="宋体" w:hAnsi="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CA数字证书</w:t>
      </w:r>
      <w:r>
        <w:rPr>
          <w:rFonts w:hint="eastAsia" w:ascii="宋体" w:hAnsi="宋体" w:eastAsia="宋体" w:cs="宋体"/>
          <w:bCs/>
          <w:color w:val="auto"/>
          <w:szCs w:val="21"/>
          <w:highlight w:val="none"/>
        </w:rPr>
        <w:t>参加磋商。请供应商按时到达指定地点等候磋商。</w:t>
      </w:r>
      <w:bookmarkEnd w:id="77"/>
    </w:p>
    <w:p w14:paraId="22492E41">
      <w:pPr>
        <w:spacing w:line="400" w:lineRule="exact"/>
        <w:ind w:firstLine="420" w:firstLineChars="200"/>
        <w:rPr>
          <w:rFonts w:hint="eastAsia" w:ascii="宋体" w:hAnsi="宋体" w:eastAsia="宋体" w:cs="宋体"/>
          <w:bCs/>
          <w:color w:val="auto"/>
          <w:szCs w:val="21"/>
          <w:highlight w:val="none"/>
        </w:rPr>
      </w:pPr>
      <w:bookmarkStart w:id="78" w:name="_Toc6288"/>
      <w:r>
        <w:rPr>
          <w:rFonts w:hint="eastAsia" w:ascii="宋体" w:hAnsi="宋体" w:eastAsia="宋体" w:cs="宋体"/>
          <w:bCs/>
          <w:color w:val="auto"/>
          <w:szCs w:val="21"/>
          <w:highlight w:val="none"/>
        </w:rPr>
        <w:t>19.2.4响应文件递交截止时间后，由磋商小组在评标室内线上开启响应文件。</w:t>
      </w:r>
      <w:bookmarkEnd w:id="78"/>
    </w:p>
    <w:p w14:paraId="362BCDEE">
      <w:pPr>
        <w:pStyle w:val="5"/>
        <w:spacing w:before="0" w:after="0" w:line="400" w:lineRule="exact"/>
        <w:ind w:firstLine="420" w:firstLineChars="200"/>
        <w:rPr>
          <w:rFonts w:hint="eastAsia" w:ascii="宋体" w:hAnsi="宋体" w:eastAsia="宋体" w:cs="宋体"/>
          <w:color w:val="auto"/>
          <w:sz w:val="21"/>
          <w:szCs w:val="21"/>
          <w:highlight w:val="none"/>
        </w:rPr>
      </w:pPr>
      <w:bookmarkStart w:id="79" w:name="_Toc18640"/>
      <w:bookmarkStart w:id="80" w:name="_Toc25258"/>
      <w:r>
        <w:rPr>
          <w:rFonts w:hint="eastAsia" w:ascii="宋体" w:hAnsi="宋体" w:eastAsia="宋体" w:cs="宋体"/>
          <w:color w:val="auto"/>
          <w:sz w:val="21"/>
          <w:szCs w:val="21"/>
          <w:highlight w:val="none"/>
        </w:rPr>
        <w:t>20. 评审原则</w:t>
      </w:r>
      <w:bookmarkEnd w:id="79"/>
      <w:bookmarkEnd w:id="80"/>
    </w:p>
    <w:p w14:paraId="35152D3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磋商小组必须坚持公平、公正、科学和择优的原则。</w:t>
      </w:r>
    </w:p>
    <w:p w14:paraId="23D3B4A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评审办法：综合评分法，具体详见第四章评审办法。</w:t>
      </w:r>
    </w:p>
    <w:p w14:paraId="2955B0F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磋商小组应按磋商文件进行评审，不得擅自更改评审办法。</w:t>
      </w:r>
    </w:p>
    <w:p w14:paraId="37C9C30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在评审过程中，磋商小组任何人不得对某个供应商发表任何倾向性意见，不得向其他磋商小组成员明示或者暗示自己的评审意见。</w:t>
      </w:r>
    </w:p>
    <w:p w14:paraId="61FBC0F6">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0E6203F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 响应文件最后报价出现前后不一致的，除竞争性磋商文件另有规定外，按照下列规定修正：</w:t>
      </w:r>
    </w:p>
    <w:p w14:paraId="56927F60">
      <w:pPr>
        <w:pStyle w:val="58"/>
        <w:keepNext w:val="0"/>
        <w:keepLines w:val="0"/>
        <w:pageBreakBefore w:val="0"/>
        <w:widowControl w:val="0"/>
        <w:tabs>
          <w:tab w:val="left" w:pos="1099"/>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highlight w:val="none"/>
        </w:rPr>
        <w:t>响应文件中磋商报价表内容与响应文件中相应内容不一致的，以最后磋商报价表为准；</w:t>
      </w:r>
    </w:p>
    <w:p w14:paraId="08C9C6DB">
      <w:pPr>
        <w:pStyle w:val="58"/>
        <w:keepNext w:val="0"/>
        <w:keepLines w:val="0"/>
        <w:pageBreakBefore w:val="0"/>
        <w:widowControl w:val="0"/>
        <w:tabs>
          <w:tab w:val="left" w:pos="1099"/>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 xml:space="preserve"> 大写金额和小写金额不一致的，以大写金额为准；</w:t>
      </w:r>
    </w:p>
    <w:p w14:paraId="034BEFE1">
      <w:pPr>
        <w:pStyle w:val="58"/>
        <w:keepNext w:val="0"/>
        <w:keepLines w:val="0"/>
        <w:pageBreakBefore w:val="0"/>
        <w:widowControl w:val="0"/>
        <w:tabs>
          <w:tab w:val="left" w:pos="1099"/>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 xml:space="preserve"> 单价金额小数点或者百分比有明显错位的，以报价表的总价为准，并修改单价；</w:t>
      </w:r>
    </w:p>
    <w:p w14:paraId="41123A69">
      <w:pPr>
        <w:pStyle w:val="58"/>
        <w:keepNext w:val="0"/>
        <w:keepLines w:val="0"/>
        <w:pageBreakBefore w:val="0"/>
        <w:widowControl w:val="0"/>
        <w:tabs>
          <w:tab w:val="left" w:pos="1099"/>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(4) </w:t>
      </w:r>
      <w:r>
        <w:rPr>
          <w:rFonts w:hint="eastAsia" w:ascii="宋体" w:hAnsi="宋体" w:eastAsia="宋体" w:cs="宋体"/>
          <w:color w:val="auto"/>
          <w:highlight w:val="none"/>
        </w:rPr>
        <w:t>总价金额与按单价汇总金额不一致的，以单价金额计算结果为准。</w:t>
      </w:r>
    </w:p>
    <w:p w14:paraId="1EC2D34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27BE7D7">
      <w:pPr>
        <w:pStyle w:val="5"/>
        <w:spacing w:before="0" w:after="0" w:line="400" w:lineRule="exact"/>
        <w:ind w:firstLine="420" w:firstLineChars="200"/>
        <w:rPr>
          <w:rFonts w:hint="eastAsia" w:ascii="宋体" w:hAnsi="宋体" w:eastAsia="宋体" w:cs="宋体"/>
          <w:color w:val="auto"/>
          <w:sz w:val="21"/>
          <w:szCs w:val="21"/>
          <w:highlight w:val="none"/>
        </w:rPr>
      </w:pPr>
      <w:bookmarkStart w:id="81" w:name="_Toc27193"/>
      <w:bookmarkStart w:id="82" w:name="_Toc1312"/>
      <w:r>
        <w:rPr>
          <w:rFonts w:hint="eastAsia" w:ascii="宋体" w:hAnsi="宋体" w:eastAsia="宋体" w:cs="宋体"/>
          <w:color w:val="auto"/>
          <w:sz w:val="21"/>
          <w:szCs w:val="21"/>
          <w:highlight w:val="none"/>
        </w:rPr>
        <w:t>21. 评审程序及磋商要求</w:t>
      </w:r>
      <w:bookmarkEnd w:id="81"/>
      <w:bookmarkEnd w:id="82"/>
    </w:p>
    <w:p w14:paraId="391D1F5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21.1采购代理机构核实磋商小组成员身份，告知回避要求，宣布评审工作纪律和程序，统一保管通讯工具或相关电子设备，推选磋商小组组长。</w:t>
      </w:r>
    </w:p>
    <w:p w14:paraId="1C96901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4F044BD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21.3 磋商小组依据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 </w:t>
      </w:r>
    </w:p>
    <w:p w14:paraId="434CD506">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21.4 磋商小组在对供应商进行资格性审查时，将对供应商企业股东及出资等信息进行查询。根据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第十八条第一款规定，审查中如发现供应商存在单位负责人为同一人或者存在直接控股、管理关系的不同供应商参加同一合同项下的政府采购活动的，按响应文件无效处理 。</w:t>
      </w:r>
    </w:p>
    <w:p w14:paraId="5D44D45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 查询渠道：《国家企业信用信息公示系统》（网址：www.gsxt.gov.cn/index.html）</w:t>
      </w:r>
    </w:p>
    <w:p w14:paraId="2F45F5B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 审查流程：</w:t>
      </w:r>
    </w:p>
    <w:p w14:paraId="376E9C1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（1）进入《国家企业信用信息公示系统》（网址：www.gsxt.gov.cn/index.html），输入企业名称，进入企业信息主页面；</w:t>
      </w:r>
    </w:p>
    <w:p w14:paraId="0CF93F8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14:paraId="6B3E49C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（3）将各供应商的股东及出资信息进行比对，得出审查结论；</w:t>
      </w:r>
    </w:p>
    <w:p w14:paraId="1D2708E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14:paraId="3DB0D68C">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09985EB2">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21.5 磋商小组如发现供应商提供的证明文件不齐全或不符合规定格式的，应一次性告知供应商，供应商应在规定的时间内线上补正或更正。</w:t>
      </w:r>
    </w:p>
    <w:p w14:paraId="1F2C544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highlight w:val="none"/>
        </w:rPr>
        <w:t>个人CA签章)</w:t>
      </w:r>
      <w:r>
        <w:rPr>
          <w:rFonts w:hint="eastAsia" w:ascii="宋体" w:hAnsi="宋体" w:eastAsia="宋体" w:cs="宋体"/>
          <w:color w:val="auto"/>
          <w:szCs w:val="21"/>
          <w:highlight w:val="none"/>
        </w:rPr>
        <w:t>或者加盖供应商公章(CA签章)。</w:t>
      </w:r>
    </w:p>
    <w:p w14:paraId="477FEE1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根据磋商文件规定的程序、评定成交的标准等事项与实质性响应竞争性磋商文件要求的供应商进行磋商。未实质性响应磋商文件的响应文件按无效处理，磋商小组应当告知有关供应商。 </w:t>
      </w:r>
    </w:p>
    <w:p w14:paraId="04B6C5C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磋商小组所有成员应当按已确定的磋商顺序集中与单一供应商分别进行磋商，并给予所有实质性响应竞争性磋商文件要求的供应商平等的磋商机会。 </w:t>
      </w:r>
    </w:p>
    <w:p w14:paraId="562C6DD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磋商中，磋商小组不得透露与磋商有关的其他供应商的技术资料、价格和其他信息。 </w:t>
      </w:r>
    </w:p>
    <w:p w14:paraId="4F0E015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磋商小组对磋商过程和重要磋商内容进行记录，磋商双方在记录上签字确认。 </w:t>
      </w:r>
    </w:p>
    <w:p w14:paraId="22D017BF">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8B1124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6218149F">
      <w:pPr>
        <w:spacing w:line="40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对磋商文件作出的实质性变动是磋商文件的有效组成部分，磋商小组应当及时通过</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 xml:space="preserve">同时通知所有参加磋商的供应商。 </w:t>
      </w:r>
    </w:p>
    <w:p w14:paraId="145F162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7531917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 第二轮磋商</w:t>
      </w:r>
    </w:p>
    <w:p w14:paraId="6D0A927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磋商小组集中就重新提交的响应文件或磋商小组提出的磋商意见与单一响应供应商分别进行磋商。磋商小组对磋商过程和重要磋商内容进行记录，磋商双方在记录上签字确认（CA签章确认）。</w:t>
      </w:r>
    </w:p>
    <w:p w14:paraId="3AE04E4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磋商后，供应商根据磋商小组统一整理的书面磋商记录要求做出书面承诺，并由其法定代表人或授权代表签字或者加盖公章（CA签章）后按时线上提交。</w:t>
      </w:r>
    </w:p>
    <w:p w14:paraId="2F6B461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4F988BA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21.10 在采购过程中符合竞争要求的供应商或者报价未超过采购预算的供应商不足 3 家的，采购人或者采购代理机构应当终止竞争性磋商采购活动。 </w:t>
      </w:r>
    </w:p>
    <w:p w14:paraId="3F996CB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 最后报价 </w:t>
      </w:r>
    </w:p>
    <w:p w14:paraId="0FFBBB6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21.11.1 磋商文件能够详细列明采购标的的技术、服务要求的，磋商结束后，磋商小组应当要求所有继续参加磋商的供应商在规定时间内线上提交最后报价，提交最后报价的供应商不得少于 3 家。 </w:t>
      </w:r>
    </w:p>
    <w:p w14:paraId="42D9C88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3E23441A">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21.11.3 根据《财政部关于政府采购竞争性磋商采购方式管理暂行办法有关问题的补充通知》(财库〔2014〕214 号)的规定，如采购项目为政府购买服务项目（含政府和社会资本合作项目），在采购过程中符合要求的供应商（社会资本）只有2家的，竞争性磋商采购活动可以继续进行，并要求其在规定时间内线上提交最后报价；采购过程中符合要求的供应商（社会资本）只有1家的，采购人或者采购代理机构应当终止竞争性磋商采购活动，发布项目终止公告并说明原因，重新开展采购活动。 </w:t>
      </w:r>
    </w:p>
    <w:p w14:paraId="23EA53CD">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21.11.4 根据《政府采购竞争性磋商采购方式管理暂行办法》(财库〔2014〕214 号)的规定：</w:t>
      </w:r>
      <w:r>
        <w:rPr>
          <w:rFonts w:hint="eastAsia" w:ascii="宋体" w:hAnsi="宋体" w:eastAsia="宋体" w:cs="宋体"/>
          <w:b/>
          <w:bCs/>
          <w:color w:val="auto"/>
          <w:szCs w:val="21"/>
          <w:highlight w:val="none"/>
        </w:rPr>
        <w:t xml:space="preserve">最后报价是供应商响应文件的有效组成部分。 </w:t>
      </w:r>
      <w:r>
        <w:rPr>
          <w:rFonts w:hint="eastAsia" w:ascii="宋体" w:hAnsi="宋体" w:eastAsia="宋体" w:cs="宋体"/>
          <w:color w:val="auto"/>
          <w:szCs w:val="21"/>
          <w:highlight w:val="none"/>
        </w:rPr>
        <w:t>符合本办法(财库〔2014〕214号文)第三条第四项情形的，提交最后报价的供应商可以为2家。</w:t>
      </w:r>
      <w:r>
        <w:rPr>
          <w:rFonts w:hint="eastAsia" w:ascii="宋体" w:hAnsi="宋体" w:eastAsia="宋体" w:cs="宋体"/>
          <w:b/>
          <w:bCs/>
          <w:color w:val="auto"/>
          <w:szCs w:val="21"/>
          <w:highlight w:val="none"/>
        </w:rPr>
        <w:t>（财库〔2014〕214号文第三条第四项：市场竞争不充分的科研项目，以及需要扶持的科技成果转化项目。）</w:t>
      </w:r>
    </w:p>
    <w:p w14:paraId="4EE213E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21.12 已提交响应文件的供应商，在提交最后报价之前，可以根据磋商情况书面退出磋商。 </w:t>
      </w:r>
    </w:p>
    <w:p w14:paraId="2E4003E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未书面退出磋商的供应商在规定时间内线上提交最后报价，其最后报价超出采购预算导致已通过评审的响应文件无效的，按供应商在提交响应文件截止时间后撤回响应文件处理。 </w:t>
      </w:r>
    </w:p>
    <w:p w14:paraId="5402792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21.13 评审报告 </w:t>
      </w:r>
    </w:p>
    <w:p w14:paraId="5F9FC4A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磋商小组应当从质量和服务均能满足磋商文件全部实质性响应要求的供应商中，按照最后综合得分由高到低的顺序提出 3 名以上（含 3 名）成交候选人，并编写评审报告。</w:t>
      </w:r>
    </w:p>
    <w:p w14:paraId="5114984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4F0E138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21.15 采购代理机构发现磋商小组有明显的违规倾向或歧视现象，或不按评审办法进行，或其他不正常行为的，应当及时制止。如制止无效，应及时向</w:t>
      </w:r>
      <w:r>
        <w:rPr>
          <w:rFonts w:hint="eastAsia" w:ascii="宋体" w:hAnsi="宋体" w:cs="宋体"/>
          <w:color w:val="auto"/>
          <w:szCs w:val="21"/>
          <w:highlight w:val="none"/>
          <w:lang w:val="en-US" w:eastAsia="zh-CN"/>
        </w:rPr>
        <w:t xml:space="preserve"> 恭城瑶族自治县政府采购管理办公室</w:t>
      </w:r>
      <w:r>
        <w:rPr>
          <w:rFonts w:hint="eastAsia" w:ascii="宋体" w:hAnsi="宋体" w:eastAsia="宋体" w:cs="宋体"/>
          <w:color w:val="auto"/>
          <w:szCs w:val="21"/>
          <w:highlight w:val="none"/>
        </w:rPr>
        <w:t>报告。</w:t>
      </w:r>
    </w:p>
    <w:p w14:paraId="6E66B644">
      <w:pPr>
        <w:spacing w:line="400" w:lineRule="exact"/>
        <w:ind w:firstLine="420" w:firstLineChars="200"/>
        <w:rPr>
          <w:rFonts w:hint="eastAsia" w:ascii="宋体" w:hAnsi="宋体" w:eastAsia="宋体" w:cs="宋体"/>
          <w:b/>
          <w:bCs/>
          <w:color w:val="auto"/>
          <w:highlight w:val="none"/>
        </w:rPr>
      </w:pPr>
      <w:r>
        <w:rPr>
          <w:rFonts w:hint="eastAsia" w:ascii="宋体" w:hAnsi="宋体" w:eastAsia="宋体" w:cs="宋体"/>
          <w:color w:val="auto"/>
          <w:szCs w:val="21"/>
          <w:highlight w:val="none"/>
        </w:rPr>
        <w:t>21.16 本采购项目的评审依据为竞争性磋商文件和竞争性磋商响应文件，采用的评审方法为</w:t>
      </w:r>
      <w:r>
        <w:rPr>
          <w:rFonts w:hint="eastAsia" w:ascii="宋体" w:hAnsi="宋体" w:eastAsia="宋体" w:cs="宋体"/>
          <w:b/>
          <w:bCs/>
          <w:color w:val="auto"/>
          <w:szCs w:val="21"/>
          <w:highlight w:val="none"/>
        </w:rPr>
        <w:t>综合评分法。</w:t>
      </w:r>
    </w:p>
    <w:p w14:paraId="2A1F0101">
      <w:pPr>
        <w:pStyle w:val="5"/>
        <w:spacing w:before="0" w:after="0" w:line="400" w:lineRule="exact"/>
        <w:ind w:firstLine="420" w:firstLineChars="200"/>
        <w:rPr>
          <w:rFonts w:hint="eastAsia" w:ascii="宋体" w:hAnsi="宋体" w:eastAsia="宋体" w:cs="宋体"/>
          <w:color w:val="auto"/>
          <w:sz w:val="21"/>
          <w:szCs w:val="21"/>
          <w:highlight w:val="none"/>
        </w:rPr>
      </w:pPr>
      <w:bookmarkStart w:id="83" w:name="_Toc32470"/>
      <w:bookmarkStart w:id="84" w:name="_Toc26487"/>
      <w:r>
        <w:rPr>
          <w:rFonts w:hint="eastAsia" w:ascii="宋体" w:hAnsi="宋体" w:eastAsia="宋体" w:cs="宋体"/>
          <w:color w:val="auto"/>
          <w:sz w:val="21"/>
          <w:szCs w:val="21"/>
          <w:highlight w:val="none"/>
        </w:rPr>
        <w:t>22. 确定成交供应商</w:t>
      </w:r>
      <w:bookmarkEnd w:id="83"/>
      <w:bookmarkEnd w:id="84"/>
    </w:p>
    <w:p w14:paraId="39D3624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r>
        <w:rPr>
          <w:b w:val="0"/>
          <w:bCs w:val="0"/>
          <w:color w:val="auto"/>
          <w:spacing w:val="2"/>
          <w:w w:val="100"/>
          <w:highlight w:val="none"/>
        </w:rPr>
        <w:t>；</w:t>
      </w:r>
      <w:r>
        <w:rPr>
          <w:b w:val="0"/>
          <w:bCs w:val="0"/>
          <w:color w:val="auto"/>
          <w:spacing w:val="-1"/>
          <w:w w:val="100"/>
          <w:highlight w:val="none"/>
        </w:rPr>
        <w:t>若</w:t>
      </w:r>
      <w:r>
        <w:rPr>
          <w:b w:val="0"/>
          <w:bCs w:val="0"/>
          <w:color w:val="auto"/>
          <w:spacing w:val="2"/>
          <w:w w:val="100"/>
          <w:highlight w:val="none"/>
        </w:rPr>
        <w:t>仍</w:t>
      </w:r>
      <w:r>
        <w:rPr>
          <w:b w:val="0"/>
          <w:bCs w:val="0"/>
          <w:color w:val="auto"/>
          <w:spacing w:val="-1"/>
          <w:w w:val="100"/>
          <w:highlight w:val="none"/>
        </w:rPr>
        <w:t>相</w:t>
      </w:r>
      <w:r>
        <w:rPr>
          <w:b w:val="0"/>
          <w:bCs w:val="0"/>
          <w:color w:val="auto"/>
          <w:spacing w:val="2"/>
          <w:w w:val="100"/>
          <w:highlight w:val="none"/>
        </w:rPr>
        <w:t>同</w:t>
      </w:r>
      <w:r>
        <w:rPr>
          <w:b w:val="0"/>
          <w:bCs w:val="0"/>
          <w:color w:val="auto"/>
          <w:spacing w:val="-1"/>
          <w:w w:val="100"/>
          <w:highlight w:val="none"/>
        </w:rPr>
        <w:t>的</w:t>
      </w:r>
      <w:r>
        <w:rPr>
          <w:b w:val="0"/>
          <w:bCs w:val="0"/>
          <w:color w:val="auto"/>
          <w:spacing w:val="2"/>
          <w:w w:val="100"/>
          <w:highlight w:val="none"/>
        </w:rPr>
        <w:t>，</w:t>
      </w:r>
      <w:r>
        <w:rPr>
          <w:b w:val="0"/>
          <w:bCs w:val="0"/>
          <w:color w:val="auto"/>
          <w:spacing w:val="-1"/>
          <w:w w:val="100"/>
          <w:highlight w:val="none"/>
        </w:rPr>
        <w:t>以</w:t>
      </w:r>
      <w:r>
        <w:rPr>
          <w:b w:val="0"/>
          <w:bCs w:val="0"/>
          <w:color w:val="auto"/>
          <w:spacing w:val="2"/>
          <w:w w:val="100"/>
          <w:highlight w:val="none"/>
        </w:rPr>
        <w:t>项</w:t>
      </w:r>
      <w:r>
        <w:rPr>
          <w:b w:val="0"/>
          <w:bCs w:val="0"/>
          <w:color w:val="auto"/>
          <w:spacing w:val="-1"/>
          <w:w w:val="100"/>
          <w:highlight w:val="none"/>
        </w:rPr>
        <w:t>目</w:t>
      </w:r>
      <w:r>
        <w:rPr>
          <w:rFonts w:hint="eastAsia"/>
          <w:b w:val="0"/>
          <w:bCs w:val="0"/>
          <w:color w:val="auto"/>
          <w:spacing w:val="-1"/>
          <w:w w:val="100"/>
          <w:highlight w:val="none"/>
          <w:lang w:eastAsia="zh-CN"/>
        </w:rPr>
        <w:t>实施及服务</w:t>
      </w:r>
      <w:r>
        <w:rPr>
          <w:b w:val="0"/>
          <w:bCs w:val="0"/>
          <w:color w:val="auto"/>
          <w:spacing w:val="2"/>
          <w:w w:val="100"/>
          <w:highlight w:val="none"/>
        </w:rPr>
        <w:t>方</w:t>
      </w:r>
      <w:r>
        <w:rPr>
          <w:b w:val="0"/>
          <w:bCs w:val="0"/>
          <w:color w:val="auto"/>
          <w:spacing w:val="-1"/>
          <w:w w:val="100"/>
          <w:highlight w:val="none"/>
        </w:rPr>
        <w:t>案</w:t>
      </w:r>
      <w:r>
        <w:rPr>
          <w:b w:val="0"/>
          <w:bCs w:val="0"/>
          <w:color w:val="auto"/>
          <w:spacing w:val="2"/>
          <w:w w:val="100"/>
          <w:highlight w:val="none"/>
        </w:rPr>
        <w:t>分</w:t>
      </w:r>
      <w:r>
        <w:rPr>
          <w:b w:val="0"/>
          <w:bCs w:val="0"/>
          <w:color w:val="auto"/>
          <w:spacing w:val="-1"/>
          <w:w w:val="100"/>
          <w:highlight w:val="none"/>
        </w:rPr>
        <w:t>由</w:t>
      </w:r>
      <w:r>
        <w:rPr>
          <w:rFonts w:hint="eastAsia"/>
          <w:b w:val="0"/>
          <w:bCs w:val="0"/>
          <w:color w:val="auto"/>
          <w:spacing w:val="-1"/>
          <w:w w:val="100"/>
          <w:highlight w:val="none"/>
          <w:lang w:eastAsia="zh-CN"/>
        </w:rPr>
        <w:t>高</w:t>
      </w:r>
      <w:r>
        <w:rPr>
          <w:b w:val="0"/>
          <w:bCs w:val="0"/>
          <w:color w:val="auto"/>
          <w:spacing w:val="-1"/>
          <w:w w:val="100"/>
          <w:highlight w:val="none"/>
        </w:rPr>
        <w:t>到</w:t>
      </w:r>
      <w:r>
        <w:rPr>
          <w:rFonts w:hint="eastAsia"/>
          <w:b w:val="0"/>
          <w:bCs w:val="0"/>
          <w:color w:val="auto"/>
          <w:spacing w:val="-1"/>
          <w:w w:val="100"/>
          <w:highlight w:val="none"/>
          <w:lang w:eastAsia="zh-CN"/>
        </w:rPr>
        <w:t>低</w:t>
      </w:r>
      <w:r>
        <w:rPr>
          <w:b w:val="0"/>
          <w:bCs w:val="0"/>
          <w:color w:val="auto"/>
          <w:spacing w:val="-1"/>
          <w:w w:val="100"/>
          <w:highlight w:val="none"/>
        </w:rPr>
        <w:t>顺</w:t>
      </w:r>
      <w:r>
        <w:rPr>
          <w:b w:val="0"/>
          <w:bCs w:val="0"/>
          <w:color w:val="auto"/>
          <w:spacing w:val="2"/>
          <w:w w:val="100"/>
          <w:highlight w:val="none"/>
        </w:rPr>
        <w:t>序</w:t>
      </w:r>
      <w:r>
        <w:rPr>
          <w:b w:val="0"/>
          <w:bCs w:val="0"/>
          <w:color w:val="auto"/>
          <w:spacing w:val="-1"/>
          <w:w w:val="100"/>
          <w:highlight w:val="none"/>
        </w:rPr>
        <w:t>排</w:t>
      </w:r>
      <w:r>
        <w:rPr>
          <w:b w:val="0"/>
          <w:bCs w:val="0"/>
          <w:color w:val="auto"/>
          <w:spacing w:val="2"/>
          <w:w w:val="100"/>
          <w:highlight w:val="none"/>
        </w:rPr>
        <w:t>列</w:t>
      </w:r>
      <w:r>
        <w:rPr>
          <w:b w:val="0"/>
          <w:bCs w:val="0"/>
          <w:color w:val="auto"/>
          <w:spacing w:val="0"/>
          <w:w w:val="100"/>
          <w:highlight w:val="none"/>
        </w:rPr>
        <w:t>。</w:t>
      </w:r>
    </w:p>
    <w:p w14:paraId="1AC60831">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22.2采购单位应当确定磋商小组推荐排名第一的成交候选人为成交供应商。</w:t>
      </w:r>
    </w:p>
    <w:p w14:paraId="49369B6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4B99FEB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22.4排名第二的成交候选人因前款规定的同样原因不能签订合同的，采购单位可以确定排名第三的成交候选人为成交供应商。</w:t>
      </w:r>
    </w:p>
    <w:p w14:paraId="05440F71">
      <w:pPr>
        <w:pStyle w:val="5"/>
        <w:spacing w:before="0" w:after="0" w:line="400" w:lineRule="exact"/>
        <w:ind w:firstLine="420" w:firstLineChars="200"/>
        <w:rPr>
          <w:rFonts w:hint="eastAsia" w:ascii="宋体" w:hAnsi="宋体" w:eastAsia="宋体" w:cs="宋体"/>
          <w:color w:val="auto"/>
          <w:sz w:val="21"/>
          <w:szCs w:val="21"/>
          <w:highlight w:val="none"/>
        </w:rPr>
      </w:pPr>
      <w:bookmarkStart w:id="85" w:name="_Toc2766"/>
      <w:bookmarkStart w:id="86" w:name="_Toc21715"/>
      <w:r>
        <w:rPr>
          <w:rFonts w:hint="eastAsia" w:ascii="宋体" w:hAnsi="宋体" w:eastAsia="宋体" w:cs="宋体"/>
          <w:color w:val="auto"/>
          <w:sz w:val="21"/>
          <w:szCs w:val="21"/>
          <w:highlight w:val="none"/>
        </w:rPr>
        <w:t>23. 属于下列情况之一者，响应文件无效</w:t>
      </w:r>
      <w:bookmarkEnd w:id="85"/>
      <w:bookmarkEnd w:id="86"/>
    </w:p>
    <w:p w14:paraId="28DB0C1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（1）未按磋商文件规定完整线上提交响应文件或未按规定要求线上签字、签章的；</w:t>
      </w:r>
    </w:p>
    <w:p w14:paraId="74F5444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（2）不具备磋商文件规定的资格要求的；</w:t>
      </w:r>
    </w:p>
    <w:p w14:paraId="5332349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（3）响应文件未按磋商文件的内容和要求编制，或提供虚假材料的；</w:t>
      </w:r>
    </w:p>
    <w:p w14:paraId="22C0732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（4）响应文件有效期、交货时间、免费保修期（升级、维护）期/维护期、售后服务不能满足磋商文件要求的；</w:t>
      </w:r>
    </w:p>
    <w:p w14:paraId="1F7EFE1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（5）供应商未就“采购需求”中的所有内容作完整唯一报价的，或报价超出采购预算总金额的；</w:t>
      </w:r>
    </w:p>
    <w:p w14:paraId="5A73B6B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（6）未在磋商小组规定的时间内提交响应文件(包括最后报价)的；</w:t>
      </w:r>
    </w:p>
    <w:p w14:paraId="6B4638E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（7）超越了按照法律法规规定必须获得行政许可或者行政审批的经营范围的；</w:t>
      </w:r>
    </w:p>
    <w:p w14:paraId="084FC3D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（8）未满足磋商文件实质性要求的或者响应文件有采购人不能接受的附加条件的；</w:t>
      </w:r>
    </w:p>
    <w:p w14:paraId="55CB32F1">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（9）响应文件实质性要求未做变动，供应商最后报价高于第一次报价的；</w:t>
      </w:r>
    </w:p>
    <w:p w14:paraId="2169D94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（10）不符合法律、法规和磋商文件规定的其他实质性要求和条件的。</w:t>
      </w:r>
    </w:p>
    <w:p w14:paraId="04DAD933">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供应商有下列情形之一的视为供应商相互串通磋商，响应文件将被视为无效</w:t>
      </w:r>
    </w:p>
    <w:p w14:paraId="5382869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（1）不同供应商的响应文件由同一单位或者个人编制；或不同供应商报名的IP地址一致的；</w:t>
      </w:r>
    </w:p>
    <w:p w14:paraId="69C2701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（2）不同供应商委托同一单位或者个人办理磋商事宜；</w:t>
      </w:r>
    </w:p>
    <w:p w14:paraId="7B22CFB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63540A8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（4）不同供应商的响应文件异常一致或竞标报价呈规律性差异；</w:t>
      </w:r>
    </w:p>
    <w:p w14:paraId="38E3408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（5）不同供应商的响应文件相互混编；</w:t>
      </w:r>
    </w:p>
    <w:p w14:paraId="4FF9FB6C">
      <w:pPr>
        <w:pStyle w:val="5"/>
        <w:spacing w:before="0" w:after="0" w:line="400" w:lineRule="exact"/>
        <w:ind w:firstLine="420" w:firstLineChars="200"/>
        <w:rPr>
          <w:rFonts w:hint="eastAsia" w:ascii="宋体" w:hAnsi="宋体" w:eastAsia="宋体" w:cs="宋体"/>
          <w:color w:val="auto"/>
          <w:sz w:val="21"/>
          <w:szCs w:val="21"/>
          <w:highlight w:val="none"/>
        </w:rPr>
      </w:pPr>
      <w:bookmarkStart w:id="87" w:name="_Toc20770"/>
      <w:bookmarkStart w:id="88" w:name="_Toc5714"/>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87"/>
      <w:bookmarkEnd w:id="88"/>
    </w:p>
    <w:p w14:paraId="151343A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14:paraId="692A887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（2）出现影响采购公正的违法、违规行为的； </w:t>
      </w:r>
    </w:p>
    <w:p w14:paraId="0DB1F0DA">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（3）在采购过程中符合竞争要求的供应商或者报价未超过采购预算的供应商不足3家的。</w:t>
      </w:r>
      <w:r>
        <w:rPr>
          <w:rFonts w:hint="eastAsia" w:ascii="宋体" w:hAnsi="宋体" w:eastAsia="宋体" w:cs="宋体"/>
          <w:b/>
          <w:bCs/>
          <w:color w:val="auto"/>
          <w:szCs w:val="21"/>
          <w:highlight w:val="none"/>
        </w:rPr>
        <w:t xml:space="preserve">（除财库〔2014〕214 号《政府采购竞争性磋商采购方式管理暂行办法》第二十一条第三款规定的情形外） </w:t>
      </w:r>
    </w:p>
    <w:p w14:paraId="269D1285">
      <w:pPr>
        <w:pStyle w:val="5"/>
        <w:spacing w:before="0" w:after="0" w:line="400" w:lineRule="exact"/>
        <w:ind w:firstLine="420" w:firstLineChars="200"/>
        <w:rPr>
          <w:rFonts w:hint="eastAsia" w:ascii="宋体" w:hAnsi="宋体" w:eastAsia="宋体" w:cs="宋体"/>
          <w:color w:val="auto"/>
          <w:sz w:val="21"/>
          <w:szCs w:val="21"/>
          <w:highlight w:val="none"/>
        </w:rPr>
      </w:pPr>
      <w:bookmarkStart w:id="89" w:name="_Toc19105"/>
      <w:bookmarkStart w:id="90" w:name="_Toc32461"/>
      <w:r>
        <w:rPr>
          <w:rFonts w:hint="eastAsia" w:ascii="宋体" w:hAnsi="宋体" w:eastAsia="宋体" w:cs="宋体"/>
          <w:color w:val="auto"/>
          <w:sz w:val="21"/>
          <w:szCs w:val="21"/>
          <w:highlight w:val="none"/>
        </w:rPr>
        <w:t>25. 磋商过程的监控</w:t>
      </w:r>
      <w:bookmarkEnd w:id="89"/>
      <w:bookmarkEnd w:id="90"/>
    </w:p>
    <w:p w14:paraId="33775A1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本项目磋商过程实行全程录音、录像监控，供应商在磋商过程中所进行的试图影响磋商结果的不公正活动，可能导致其磋商被拒绝。</w:t>
      </w:r>
    </w:p>
    <w:p w14:paraId="71F51368">
      <w:pPr>
        <w:pStyle w:val="5"/>
        <w:numPr>
          <w:ilvl w:val="0"/>
          <w:numId w:val="8"/>
        </w:numPr>
        <w:spacing w:before="0" w:after="0" w:line="400" w:lineRule="exact"/>
        <w:ind w:firstLine="420" w:firstLineChars="200"/>
        <w:rPr>
          <w:rFonts w:hint="eastAsia" w:ascii="宋体" w:hAnsi="宋体" w:eastAsia="宋体" w:cs="宋体"/>
          <w:color w:val="auto"/>
          <w:sz w:val="21"/>
          <w:szCs w:val="21"/>
          <w:highlight w:val="none"/>
        </w:rPr>
      </w:pPr>
      <w:bookmarkStart w:id="91" w:name="_Toc14787"/>
      <w:bookmarkStart w:id="92" w:name="_Toc32457"/>
      <w:r>
        <w:rPr>
          <w:rFonts w:hint="eastAsia" w:ascii="宋体" w:hAnsi="宋体" w:eastAsia="宋体" w:cs="宋体"/>
          <w:color w:val="auto"/>
          <w:sz w:val="21"/>
          <w:szCs w:val="21"/>
          <w:highlight w:val="none"/>
        </w:rPr>
        <w:t>信用查询</w:t>
      </w:r>
      <w:bookmarkEnd w:id="91"/>
      <w:bookmarkEnd w:id="92"/>
    </w:p>
    <w:p w14:paraId="71D65BE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43CEB084">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（1）查询渠道：“信用中国”网站(www.creditchina.gov.cn)、中国政府采购网(www.ccgp.gov.cn)等；</w:t>
      </w:r>
    </w:p>
    <w:p w14:paraId="6A718821">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（2）查询时间：成交通知书发出前；</w:t>
      </w:r>
    </w:p>
    <w:p w14:paraId="6E12D0EB">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（3）信用信息查询记录和证据留存方式：在查询网站中直接打印查询记录，打印材料作为采购活动资料保存。</w:t>
      </w:r>
    </w:p>
    <w:p w14:paraId="16043851">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2E5C78F0">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C75E391">
      <w:pPr>
        <w:pStyle w:val="5"/>
        <w:spacing w:before="0" w:after="0" w:line="400" w:lineRule="exact"/>
        <w:ind w:firstLine="420" w:firstLineChars="200"/>
        <w:rPr>
          <w:rFonts w:hint="eastAsia" w:ascii="宋体" w:hAnsi="宋体" w:eastAsia="宋体" w:cs="宋体"/>
          <w:color w:val="auto"/>
          <w:sz w:val="21"/>
          <w:szCs w:val="21"/>
          <w:highlight w:val="none"/>
        </w:rPr>
      </w:pPr>
      <w:bookmarkStart w:id="93" w:name="_Toc9438"/>
      <w:bookmarkStart w:id="94" w:name="_Toc778"/>
      <w:r>
        <w:rPr>
          <w:rFonts w:hint="eastAsia" w:ascii="宋体" w:hAnsi="宋体" w:eastAsia="宋体" w:cs="宋体"/>
          <w:color w:val="auto"/>
          <w:sz w:val="21"/>
          <w:szCs w:val="21"/>
          <w:highlight w:val="none"/>
        </w:rPr>
        <w:t>27. 成交结果公告及成交通知书</w:t>
      </w:r>
      <w:bookmarkEnd w:id="93"/>
      <w:bookmarkEnd w:id="94"/>
    </w:p>
    <w:p w14:paraId="598723C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E61401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 在发布成交公告的同时，采购代理机构向成交供应商发出成交通知书。成交供应商自接到通知之日起七个工作日内，办理成交通知书领取手续。</w:t>
      </w:r>
    </w:p>
    <w:p w14:paraId="25D398F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采购代理机构无义务向未成交的供应商解释未成交原因和退还响应文件。</w:t>
      </w:r>
    </w:p>
    <w:p w14:paraId="76BE8589">
      <w:pPr>
        <w:pStyle w:val="4"/>
        <w:spacing w:line="400" w:lineRule="exact"/>
        <w:ind w:left="0"/>
        <w:jc w:val="center"/>
        <w:rPr>
          <w:rFonts w:hint="eastAsia" w:ascii="宋体" w:hAnsi="宋体" w:eastAsia="宋体" w:cs="宋体"/>
          <w:b/>
          <w:bCs w:val="0"/>
          <w:color w:val="auto"/>
          <w:szCs w:val="28"/>
          <w:highlight w:val="none"/>
        </w:rPr>
      </w:pPr>
      <w:bookmarkStart w:id="95" w:name="_Toc25593"/>
      <w:bookmarkStart w:id="96" w:name="_Toc19479"/>
      <w:r>
        <w:rPr>
          <w:rFonts w:hint="eastAsia" w:ascii="宋体" w:hAnsi="宋体" w:eastAsia="宋体" w:cs="宋体"/>
          <w:b/>
          <w:bCs w:val="0"/>
          <w:color w:val="auto"/>
          <w:szCs w:val="28"/>
          <w:highlight w:val="none"/>
        </w:rPr>
        <w:t>五、签订合同</w:t>
      </w:r>
      <w:bookmarkEnd w:id="95"/>
      <w:bookmarkEnd w:id="96"/>
    </w:p>
    <w:p w14:paraId="33B8EE24">
      <w:pPr>
        <w:pStyle w:val="5"/>
        <w:spacing w:before="0" w:after="0" w:line="400" w:lineRule="exact"/>
        <w:ind w:firstLine="420" w:firstLineChars="200"/>
        <w:rPr>
          <w:rFonts w:hint="eastAsia" w:ascii="宋体" w:hAnsi="宋体" w:eastAsia="宋体" w:cs="宋体"/>
          <w:color w:val="auto"/>
          <w:highlight w:val="none"/>
        </w:rPr>
      </w:pPr>
      <w:bookmarkStart w:id="97" w:name="_Toc26520"/>
      <w:bookmarkStart w:id="98" w:name="_Toc2100"/>
      <w:r>
        <w:rPr>
          <w:rFonts w:hint="eastAsia" w:ascii="宋体" w:hAnsi="宋体" w:eastAsia="宋体" w:cs="宋体"/>
          <w:color w:val="auto"/>
          <w:sz w:val="21"/>
          <w:szCs w:val="21"/>
          <w:highlight w:val="none"/>
        </w:rPr>
        <w:t>28. 履约保证金</w:t>
      </w:r>
      <w:bookmarkEnd w:id="97"/>
      <w:bookmarkEnd w:id="98"/>
      <w:r>
        <w:rPr>
          <w:rFonts w:hint="eastAsia" w:ascii="宋体" w:hAnsi="宋体" w:eastAsia="宋体" w:cs="宋体"/>
          <w:color w:val="auto"/>
          <w:sz w:val="21"/>
          <w:szCs w:val="21"/>
          <w:highlight w:val="none"/>
        </w:rPr>
        <w:t>（</w:t>
      </w:r>
      <w:r>
        <w:rPr>
          <w:rStyle w:val="102"/>
          <w:rFonts w:hint="eastAsia" w:hAnsi="宋体" w:cs="宋体"/>
          <w:color w:val="auto"/>
          <w:sz w:val="21"/>
          <w:szCs w:val="21"/>
          <w:highlight w:val="none"/>
          <w:lang w:val="en-US" w:eastAsia="zh-CN"/>
        </w:rPr>
        <w:t>本项目无需履约保证金</w:t>
      </w:r>
      <w:r>
        <w:rPr>
          <w:rStyle w:val="102"/>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261443AF">
      <w:pPr>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28.1</w:t>
      </w:r>
      <w:r>
        <w:rPr>
          <w:rFonts w:hint="eastAsia" w:ascii="宋体" w:hAnsi="宋体" w:eastAsia="宋体" w:cs="宋体"/>
          <w:color w:val="auto"/>
          <w:kern w:val="0"/>
          <w:sz w:val="21"/>
          <w:szCs w:val="21"/>
          <w:highlight w:val="none"/>
        </w:rPr>
        <w:t>履约保证金金额按政府采购合同金额的5%（人民币，四舍五入到元）提交（若成交供应商为中型企业的，则按合同金额的2%提交；若成交供应商为小微企业的，则免收履约保证金）。成交供应商在与采购人签订合同前将履约保证金以支票、汇票、本票或者金融机构、担保机构出具的保函等非现金形式提交至采购人。</w:t>
      </w:r>
    </w:p>
    <w:p w14:paraId="0723150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28.2如果成交供应商没能按第29.1款规定执行，采购代理机构将上报</w:t>
      </w:r>
      <w:r>
        <w:rPr>
          <w:rFonts w:hint="eastAsia" w:ascii="宋体" w:hAnsi="宋体" w:cs="宋体"/>
          <w:color w:val="auto"/>
          <w:szCs w:val="21"/>
          <w:highlight w:val="none"/>
          <w:lang w:val="en-US" w:eastAsia="zh-CN"/>
        </w:rPr>
        <w:t xml:space="preserve"> 恭城瑶族自治县政府采购管理办公室</w:t>
      </w:r>
      <w:r>
        <w:rPr>
          <w:rFonts w:hint="eastAsia" w:ascii="宋体" w:hAnsi="宋体" w:eastAsia="宋体" w:cs="宋体"/>
          <w:color w:val="auto"/>
          <w:szCs w:val="21"/>
          <w:highlight w:val="none"/>
        </w:rPr>
        <w:t>，并有权授予第二成交候选供应商为成交供应商资格或重新组织招标。</w:t>
      </w:r>
    </w:p>
    <w:p w14:paraId="33C8FE8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28.3如成交供应商不按双方签订的合同规定履约，则没收其全部履约保证金，履约保证金不足以赔偿损失的，按实际损失赔偿。</w:t>
      </w:r>
    </w:p>
    <w:p w14:paraId="685F7ED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28.4在履约保证金到期退还前，若成交供应商的开户名称、开户银行、账号有变动的，以书面形式通知采购人，否则由此产生的后果由成交供应商自负。</w:t>
      </w:r>
    </w:p>
    <w:p w14:paraId="47CA27FD">
      <w:pPr>
        <w:pStyle w:val="5"/>
        <w:spacing w:before="0" w:after="0" w:line="400" w:lineRule="exact"/>
        <w:ind w:firstLine="420" w:firstLineChars="200"/>
        <w:rPr>
          <w:rFonts w:hint="eastAsia" w:ascii="宋体" w:hAnsi="宋体" w:eastAsia="宋体" w:cs="宋体"/>
          <w:color w:val="auto"/>
          <w:sz w:val="21"/>
          <w:szCs w:val="21"/>
          <w:highlight w:val="none"/>
        </w:rPr>
      </w:pPr>
      <w:bookmarkStart w:id="99" w:name="_Toc1023"/>
      <w:bookmarkStart w:id="100" w:name="_Toc4956"/>
      <w:r>
        <w:rPr>
          <w:rFonts w:hint="eastAsia" w:ascii="宋体" w:hAnsi="宋体" w:eastAsia="宋体" w:cs="宋体"/>
          <w:color w:val="auto"/>
          <w:sz w:val="21"/>
          <w:szCs w:val="21"/>
          <w:highlight w:val="none"/>
        </w:rPr>
        <w:t>29. 签订合同</w:t>
      </w:r>
      <w:bookmarkEnd w:id="99"/>
      <w:bookmarkEnd w:id="100"/>
    </w:p>
    <w:p w14:paraId="7126B8D6">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29.1 签订合同时间：成交通知书发出之日起</w:t>
      </w:r>
      <w:r>
        <w:rPr>
          <w:rFonts w:hint="eastAsia" w:ascii="宋体" w:hAnsi="宋体" w:cs="宋体"/>
          <w:b/>
          <w:bCs/>
          <w:color w:val="auto"/>
          <w:szCs w:val="21"/>
          <w:highlight w:val="none"/>
          <w:lang w:val="en-US" w:eastAsia="zh-CN"/>
        </w:rPr>
        <w:t>15</w:t>
      </w:r>
      <w:r>
        <w:rPr>
          <w:rFonts w:hint="eastAsia" w:ascii="宋体" w:hAnsi="宋体" w:eastAsia="宋体" w:cs="宋体"/>
          <w:b/>
          <w:bCs/>
          <w:color w:val="auto"/>
          <w:szCs w:val="21"/>
          <w:highlight w:val="none"/>
          <w:lang w:val="en-US" w:eastAsia="zh-CN"/>
        </w:rPr>
        <w:t>个工作</w:t>
      </w:r>
      <w:r>
        <w:rPr>
          <w:rFonts w:hint="eastAsia" w:ascii="宋体" w:hAnsi="宋体" w:eastAsia="宋体" w:cs="宋体"/>
          <w:b/>
          <w:bCs/>
          <w:color w:val="auto"/>
          <w:szCs w:val="21"/>
          <w:highlight w:val="none"/>
        </w:rPr>
        <w:t>日内签订合同。成交供应商领取成交通知书后，应按规定与采购人签订合同。</w:t>
      </w:r>
    </w:p>
    <w:p w14:paraId="5277C3E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500F6F2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（1）成交后不与采购人签订合同的（不可抗力除外）；</w:t>
      </w:r>
    </w:p>
    <w:p w14:paraId="58BC6BE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（2）将成交项目转让给他人，或者在响应文件中未说明，且未经采购人同意，将成交项目分包给他人的；</w:t>
      </w:r>
    </w:p>
    <w:p w14:paraId="396D9BE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14:paraId="6E7250E8">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29.3 合同备案存档：</w:t>
      </w: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采购代理机构存档。</w:t>
      </w:r>
    </w:p>
    <w:p w14:paraId="452C733F">
      <w:pPr>
        <w:pStyle w:val="4"/>
        <w:spacing w:line="400" w:lineRule="exact"/>
        <w:ind w:left="0"/>
        <w:jc w:val="center"/>
        <w:rPr>
          <w:rFonts w:hint="eastAsia" w:ascii="宋体" w:hAnsi="宋体" w:eastAsia="宋体" w:cs="宋体"/>
          <w:b/>
          <w:bCs w:val="0"/>
          <w:color w:val="auto"/>
          <w:szCs w:val="28"/>
          <w:highlight w:val="none"/>
        </w:rPr>
      </w:pPr>
      <w:bookmarkStart w:id="101" w:name="_Toc16348"/>
      <w:bookmarkStart w:id="102" w:name="_Toc24170"/>
      <w:r>
        <w:rPr>
          <w:rFonts w:hint="eastAsia" w:ascii="宋体" w:hAnsi="宋体" w:eastAsia="宋体" w:cs="宋体"/>
          <w:b/>
          <w:bCs w:val="0"/>
          <w:color w:val="auto"/>
          <w:szCs w:val="28"/>
          <w:highlight w:val="none"/>
        </w:rPr>
        <w:t>六、其他事项</w:t>
      </w:r>
      <w:bookmarkEnd w:id="101"/>
      <w:bookmarkEnd w:id="102"/>
    </w:p>
    <w:p w14:paraId="53EB54FA">
      <w:pPr>
        <w:pStyle w:val="5"/>
        <w:spacing w:before="0" w:after="0" w:line="400" w:lineRule="exact"/>
        <w:ind w:firstLine="420" w:firstLineChars="200"/>
        <w:rPr>
          <w:rFonts w:hint="eastAsia" w:ascii="宋体" w:hAnsi="宋体" w:eastAsia="宋体" w:cs="宋体"/>
          <w:color w:val="auto"/>
          <w:sz w:val="21"/>
          <w:szCs w:val="21"/>
          <w:highlight w:val="none"/>
        </w:rPr>
      </w:pPr>
      <w:bookmarkStart w:id="103" w:name="_Toc2872"/>
      <w:bookmarkStart w:id="104" w:name="_Toc28647"/>
      <w:r>
        <w:rPr>
          <w:rFonts w:hint="eastAsia" w:ascii="宋体" w:hAnsi="宋体" w:eastAsia="宋体" w:cs="宋体"/>
          <w:color w:val="auto"/>
          <w:sz w:val="21"/>
          <w:szCs w:val="21"/>
          <w:highlight w:val="none"/>
        </w:rPr>
        <w:t>30. 采购代理服务费</w:t>
      </w:r>
      <w:bookmarkEnd w:id="103"/>
      <w:bookmarkEnd w:id="104"/>
    </w:p>
    <w:p w14:paraId="68E388F9">
      <w:pPr>
        <w:pStyle w:val="18"/>
        <w:spacing w:line="400" w:lineRule="exact"/>
        <w:ind w:firstLine="420" w:firstLineChars="200"/>
        <w:rPr>
          <w:rFonts w:hint="default" w:ascii="宋体" w:hAnsi="宋体" w:eastAsia="宋体" w:cs="宋体"/>
          <w:color w:val="auto"/>
          <w:szCs w:val="21"/>
          <w:highlight w:val="none"/>
          <w:lang w:val="en-US" w:eastAsia="zh-CN"/>
        </w:rPr>
      </w:pPr>
      <w:bookmarkStart w:id="105" w:name="_Toc8271"/>
      <w:bookmarkStart w:id="106" w:name="_Toc12374"/>
      <w:r>
        <w:rPr>
          <w:rFonts w:hint="eastAsia" w:ascii="宋体" w:hAnsi="宋体" w:eastAsia="宋体" w:cs="宋体"/>
          <w:color w:val="auto"/>
          <w:szCs w:val="21"/>
          <w:highlight w:val="none"/>
        </w:rPr>
        <w:t>30.1成交供应商</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领取成交通知书</w:t>
      </w:r>
      <w:r>
        <w:rPr>
          <w:rFonts w:hint="eastAsia" w:ascii="宋体" w:hAnsi="宋体" w:eastAsia="宋体" w:cs="宋体"/>
          <w:color w:val="auto"/>
          <w:szCs w:val="21"/>
          <w:highlight w:val="none"/>
          <w:lang w:val="en-US" w:eastAsia="zh-CN"/>
        </w:rPr>
        <w:t>时</w:t>
      </w:r>
      <w:r>
        <w:rPr>
          <w:rFonts w:hint="eastAsia" w:ascii="宋体" w:hAnsi="宋体" w:eastAsia="宋体" w:cs="宋体"/>
          <w:color w:val="auto"/>
          <w:szCs w:val="21"/>
          <w:highlight w:val="none"/>
        </w:rPr>
        <w:t>，向</w:t>
      </w:r>
      <w:r>
        <w:rPr>
          <w:rFonts w:hint="eastAsia" w:hAnsi="宋体" w:cs="宋体"/>
          <w:color w:val="auto"/>
          <w:szCs w:val="21"/>
          <w:highlight w:val="none"/>
          <w:lang w:val="en-US" w:eastAsia="zh-CN"/>
        </w:rPr>
        <w:t>采购代理机构</w:t>
      </w:r>
      <w:r>
        <w:rPr>
          <w:rFonts w:hint="eastAsia" w:ascii="宋体" w:hAnsi="宋体" w:eastAsia="宋体" w:cs="宋体"/>
          <w:color w:val="auto"/>
          <w:szCs w:val="21"/>
          <w:highlight w:val="none"/>
        </w:rPr>
        <w:t>一次性付清</w:t>
      </w: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代理服务费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本项目参照</w:t>
      </w:r>
      <w:r>
        <w:rPr>
          <w:rFonts w:hint="eastAsia" w:ascii="宋体" w:hAnsi="宋体" w:eastAsia="宋体" w:cs="宋体"/>
          <w:color w:val="auto"/>
          <w:szCs w:val="21"/>
          <w:highlight w:val="none"/>
        </w:rPr>
        <w:t>计价格[2002]1980号《招标代理服务收费管理暂行办法》服务类收费标准</w:t>
      </w:r>
      <w:r>
        <w:rPr>
          <w:rFonts w:hint="eastAsia" w:ascii="宋体" w:hAnsi="宋体" w:eastAsia="宋体" w:cs="宋体"/>
          <w:color w:val="auto"/>
          <w:szCs w:val="21"/>
          <w:highlight w:val="none"/>
          <w:lang w:val="en-US" w:eastAsia="zh-CN"/>
        </w:rPr>
        <w:t>向成交供应商收取。</w:t>
      </w:r>
    </w:p>
    <w:p w14:paraId="2C33394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采购代理服务收费标准</w:t>
      </w:r>
    </w:p>
    <w:tbl>
      <w:tblPr>
        <w:tblStyle w:val="29"/>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95"/>
        <w:gridCol w:w="2095"/>
        <w:gridCol w:w="2097"/>
      </w:tblGrid>
      <w:tr w14:paraId="7A07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60FB689F">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291465</wp:posOffset>
                      </wp:positionH>
                      <wp:positionV relativeFrom="paragraph">
                        <wp:posOffset>5715</wp:posOffset>
                      </wp:positionV>
                      <wp:extent cx="1352550" cy="467360"/>
                      <wp:effectExtent l="1270" t="4445" r="17780" b="444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352358" cy="467581"/>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95pt;margin-top:0.45pt;height:36.8pt;width:106.5pt;z-index:251659264;mso-width-relative:page;mso-height-relative:page;" filled="f" stroked="t" coordsize="21600,21600" o:gfxdata="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zl11tUAAAAGAQAADwAAAAAAAAABACAAAAAiAAAAZHJzL2Rvd25yZXYueG1sUEsBAhQAFAAAAAgA&#10;h07iQHF9D63vAQAAvQ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费率           服务类型</w:t>
            </w:r>
          </w:p>
          <w:p w14:paraId="2624A1AA">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40640</wp:posOffset>
                      </wp:positionV>
                      <wp:extent cx="1713865" cy="191135"/>
                      <wp:effectExtent l="635" t="4445" r="19050" b="1397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714057" cy="191386"/>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55pt;margin-top:3.2pt;height:15.05pt;width:134.95pt;z-index:251660288;mso-width-relative:page;mso-height-relative:page;" filled="f" stroked="t" coordsize="21600,21600" o:gfxdata="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ieZS1wAAAAgBAAAPAAAAAAAAAAEAIAAAACIAAABkcnMvZG93bnJldi54bWxQSwECFAAUAAAA&#10;CACHTuJAnMjpZ+8BAAC9AwAADgAAAAAAAAABACAAAAAmAQAAZHJzL2Uyb0RvYy54bWxQSwUGAAAA&#10;AAYABgBZAQAAhwUAAAAA&#10;">
                      <v:fill on="f" focussize="0,0"/>
                      <v:stroke color="#000000" joinstyle="round"/>
                      <v:imagedata o:title=""/>
                      <o:lock v:ext="edit" aspectratio="f"/>
                    </v:line>
                  </w:pict>
                </mc:Fallback>
              </mc:AlternateContent>
            </w:r>
          </w:p>
          <w:p w14:paraId="3215375F">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中标金额（万元）</w:t>
            </w:r>
          </w:p>
        </w:tc>
        <w:tc>
          <w:tcPr>
            <w:tcW w:w="2095" w:type="dxa"/>
            <w:vAlign w:val="center"/>
          </w:tcPr>
          <w:p w14:paraId="51128702">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2095" w:type="dxa"/>
            <w:vAlign w:val="center"/>
          </w:tcPr>
          <w:p w14:paraId="141C0C3A">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2097" w:type="dxa"/>
            <w:vAlign w:val="center"/>
          </w:tcPr>
          <w:p w14:paraId="2F21211C">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5FFE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3C0E8EE1">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2095" w:type="dxa"/>
          </w:tcPr>
          <w:p w14:paraId="12BAD037">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5" w:type="dxa"/>
          </w:tcPr>
          <w:p w14:paraId="550E122A">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7" w:type="dxa"/>
          </w:tcPr>
          <w:p w14:paraId="590A9211">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29F3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45E8D612">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2095" w:type="dxa"/>
          </w:tcPr>
          <w:p w14:paraId="2324F34D">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2095" w:type="dxa"/>
          </w:tcPr>
          <w:p w14:paraId="4DCC2A49">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7" w:type="dxa"/>
          </w:tcPr>
          <w:p w14:paraId="5D5069AB">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2F19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B8835A6">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2095" w:type="dxa"/>
          </w:tcPr>
          <w:p w14:paraId="781EA400">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5" w:type="dxa"/>
          </w:tcPr>
          <w:p w14:paraId="4B4D2C45">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2097" w:type="dxa"/>
          </w:tcPr>
          <w:p w14:paraId="46F6F9D9">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55DF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1ECA3914">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2095" w:type="dxa"/>
          </w:tcPr>
          <w:p w14:paraId="6C5CC059">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2095" w:type="dxa"/>
          </w:tcPr>
          <w:p w14:paraId="1D49BF1E">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7" w:type="dxa"/>
          </w:tcPr>
          <w:p w14:paraId="43DB7EDA">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2F8A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66D6F6CC">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2095" w:type="dxa"/>
          </w:tcPr>
          <w:p w14:paraId="6DE1F713">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5" w:type="dxa"/>
          </w:tcPr>
          <w:p w14:paraId="3217240B">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2097" w:type="dxa"/>
          </w:tcPr>
          <w:p w14:paraId="553323D3">
            <w:pPr>
              <w:pStyle w:val="1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bl>
    <w:p w14:paraId="45DC4581">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注：采购代理服务收费按差额定率累进法计算。</w:t>
      </w:r>
    </w:p>
    <w:p w14:paraId="684F5EBD">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30.2交纳代理服务费银行账户：</w:t>
      </w:r>
    </w:p>
    <w:p w14:paraId="166151D9">
      <w:pPr>
        <w:pStyle w:val="18"/>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采购代理机构银行账户：</w:t>
      </w:r>
    </w:p>
    <w:p w14:paraId="6E3F5D8B">
      <w:pPr>
        <w:pStyle w:val="18"/>
        <w:snapToGrid w:val="0"/>
        <w:spacing w:line="38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账户名称：</w:t>
      </w:r>
      <w:r>
        <w:rPr>
          <w:rFonts w:hint="eastAsia" w:hAnsi="宋体" w:cs="宋体"/>
          <w:color w:val="auto"/>
          <w:highlight w:val="none"/>
          <w:lang w:eastAsia="zh-CN"/>
        </w:rPr>
        <w:t>合普项目管理咨询集团有限公司桂林分公司</w:t>
      </w:r>
    </w:p>
    <w:p w14:paraId="24ADF482">
      <w:pPr>
        <w:pStyle w:val="18"/>
        <w:snapToGrid w:val="0"/>
        <w:spacing w:line="38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开户银行：</w:t>
      </w:r>
      <w:r>
        <w:rPr>
          <w:rFonts w:hint="eastAsia" w:hAnsi="宋体" w:cs="宋体"/>
          <w:color w:val="auto"/>
          <w:highlight w:val="none"/>
          <w:lang w:val="en-US" w:eastAsia="zh-CN"/>
        </w:rPr>
        <w:t>中国建设银行股份有限公司桂林叠彩支行</w:t>
      </w:r>
    </w:p>
    <w:p w14:paraId="30219D74">
      <w:pPr>
        <w:spacing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银行账号：</w:t>
      </w:r>
      <w:r>
        <w:rPr>
          <w:rFonts w:hint="eastAsia" w:ascii="宋体" w:hAnsi="宋体" w:cs="宋体"/>
          <w:color w:val="auto"/>
          <w:highlight w:val="none"/>
          <w:lang w:val="en-US" w:eastAsia="zh-CN"/>
        </w:rPr>
        <w:t>45050163540800000721</w:t>
      </w:r>
      <w:r>
        <w:rPr>
          <w:rFonts w:hint="eastAsia" w:ascii="宋体" w:hAnsi="宋体" w:eastAsia="宋体" w:cs="宋体"/>
          <w:color w:val="auto"/>
          <w:highlight w:val="none"/>
          <w:lang w:eastAsia="zh-CN"/>
        </w:rPr>
        <w:t xml:space="preserve"> </w:t>
      </w:r>
    </w:p>
    <w:p w14:paraId="009A43A7">
      <w:pPr>
        <w:spacing w:line="400" w:lineRule="exact"/>
        <w:ind w:firstLine="420" w:firstLineChars="200"/>
        <w:rPr>
          <w:rFonts w:hint="eastAsia" w:ascii="宋体" w:hAnsi="宋体" w:eastAsia="宋体" w:cs="宋体"/>
          <w:color w:val="auto"/>
          <w:szCs w:val="21"/>
          <w:highlight w:val="none"/>
        </w:rPr>
      </w:pPr>
      <w:r>
        <w:rPr>
          <w:rStyle w:val="42"/>
          <w:rFonts w:hint="eastAsia" w:ascii="宋体" w:hAnsi="宋体" w:eastAsia="宋体" w:cs="宋体"/>
          <w:color w:val="auto"/>
          <w:sz w:val="21"/>
          <w:szCs w:val="21"/>
          <w:highlight w:val="none"/>
        </w:rPr>
        <w:t>31. 解释权</w:t>
      </w:r>
      <w:bookmarkEnd w:id="105"/>
      <w:bookmarkEnd w:id="106"/>
      <w:r>
        <w:rPr>
          <w:rFonts w:hint="eastAsia" w:ascii="宋体" w:hAnsi="宋体" w:eastAsia="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43EC2F16">
      <w:pPr>
        <w:tabs>
          <w:tab w:val="left" w:pos="2190"/>
        </w:tabs>
        <w:spacing w:line="400" w:lineRule="exact"/>
        <w:ind w:firstLine="435"/>
        <w:rPr>
          <w:rFonts w:hint="eastAsia" w:ascii="宋体" w:hAnsi="宋体" w:eastAsia="宋体" w:cs="宋体"/>
          <w:color w:val="auto"/>
          <w:szCs w:val="21"/>
          <w:highlight w:val="none"/>
          <w:lang w:eastAsia="zh-CN"/>
        </w:rPr>
      </w:pPr>
      <w:bookmarkStart w:id="107" w:name="_Toc24443"/>
      <w:r>
        <w:rPr>
          <w:rStyle w:val="42"/>
          <w:rFonts w:hint="eastAsia" w:ascii="宋体" w:hAnsi="宋体" w:eastAsia="宋体" w:cs="宋体"/>
          <w:color w:val="auto"/>
          <w:sz w:val="21"/>
          <w:szCs w:val="21"/>
          <w:highlight w:val="none"/>
        </w:rPr>
        <w:t>32. 监督管理机构</w:t>
      </w:r>
      <w:bookmarkEnd w:id="107"/>
      <w:r>
        <w:rPr>
          <w:rFonts w:hint="eastAsia" w:ascii="宋体" w:hAnsi="宋体" w:eastAsia="宋体" w:cs="宋体"/>
          <w:color w:val="auto"/>
          <w:szCs w:val="21"/>
          <w:highlight w:val="none"/>
        </w:rPr>
        <w:t>：</w:t>
      </w:r>
      <w:r>
        <w:rPr>
          <w:rFonts w:hint="eastAsia" w:cs="Times New Roman"/>
          <w:b w:val="0"/>
          <w:bCs w:val="0"/>
          <w:color w:val="auto"/>
          <w:spacing w:val="-1"/>
          <w:w w:val="100"/>
          <w:highlight w:val="none"/>
          <w:lang w:eastAsia="zh-CN"/>
        </w:rPr>
        <w:t xml:space="preserve"> 恭城瑶族自治县政府采购管理办公室</w:t>
      </w:r>
      <w:r>
        <w:rPr>
          <w:rFonts w:hint="eastAsia" w:ascii="Times New Roman" w:hAnsi="Times New Roman" w:cs="Times New Roman"/>
          <w:b w:val="0"/>
          <w:bCs w:val="0"/>
          <w:color w:val="auto"/>
          <w:spacing w:val="-1"/>
          <w:w w:val="100"/>
          <w:highlight w:val="none"/>
        </w:rPr>
        <w:t>；</w:t>
      </w:r>
      <w:r>
        <w:rPr>
          <w:rFonts w:hint="eastAsia" w:ascii="Times New Roman" w:hAnsi="Times New Roman" w:cs="Times New Roman"/>
          <w:b w:val="0"/>
          <w:bCs w:val="0"/>
          <w:color w:val="auto"/>
          <w:spacing w:val="-1"/>
          <w:w w:val="100"/>
          <w:highlight w:val="none"/>
          <w:lang w:val="en-US" w:eastAsia="zh-CN"/>
        </w:rPr>
        <w:t xml:space="preserve"> </w:t>
      </w:r>
      <w:r>
        <w:rPr>
          <w:rFonts w:hint="eastAsia" w:ascii="Times New Roman" w:hAnsi="Times New Roman" w:cs="Times New Roman"/>
          <w:b w:val="0"/>
          <w:bCs w:val="0"/>
          <w:color w:val="auto"/>
          <w:spacing w:val="-1"/>
          <w:w w:val="100"/>
          <w:highlight w:val="none"/>
        </w:rPr>
        <w:t>联系电话：</w:t>
      </w:r>
      <w:r>
        <w:rPr>
          <w:rFonts w:hint="eastAsia" w:cs="Times New Roman"/>
          <w:b w:val="0"/>
          <w:bCs w:val="0"/>
          <w:color w:val="auto"/>
          <w:spacing w:val="-1"/>
          <w:w w:val="100"/>
          <w:highlight w:val="none"/>
          <w:lang w:eastAsia="zh-CN"/>
        </w:rPr>
        <w:t>0773-8212104</w:t>
      </w:r>
    </w:p>
    <w:p w14:paraId="736FA522">
      <w:pPr>
        <w:snapToGrid w:val="0"/>
        <w:spacing w:line="400" w:lineRule="exact"/>
        <w:ind w:firstLine="420"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33. 广西线上“政采贷”政策告知函</w:t>
      </w:r>
    </w:p>
    <w:p w14:paraId="7A1B1E1D">
      <w:pPr>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见附件</w:t>
      </w:r>
    </w:p>
    <w:p w14:paraId="0079A355">
      <w:pPr>
        <w:pStyle w:val="16"/>
        <w:rPr>
          <w:rFonts w:hint="eastAsia" w:ascii="宋体" w:hAnsi="宋体" w:eastAsia="宋体" w:cs="宋体"/>
          <w:color w:val="auto"/>
          <w:highlight w:val="none"/>
          <w:lang w:eastAsia="zh-CN"/>
        </w:rPr>
      </w:pPr>
    </w:p>
    <w:p w14:paraId="0AFEC832">
      <w:pPr>
        <w:widowControl/>
        <w:jc w:val="left"/>
        <w:rPr>
          <w:rFonts w:hint="eastAsia" w:ascii="宋体" w:hAnsi="宋体" w:eastAsia="宋体" w:cs="宋体"/>
          <w:b/>
          <w:color w:val="auto"/>
          <w:sz w:val="24"/>
          <w:szCs w:val="24"/>
          <w:highlight w:val="none"/>
        </w:rPr>
      </w:pPr>
      <w:r>
        <w:rPr>
          <w:rFonts w:hint="eastAsia" w:ascii="宋体" w:hAnsi="宋体" w:eastAsia="宋体" w:cs="宋体"/>
          <w:b/>
          <w:bCs/>
          <w:color w:val="auto"/>
          <w:highlight w:val="none"/>
          <w:lang w:eastAsia="zh-CN"/>
        </w:rPr>
        <w:drawing>
          <wp:inline distT="0" distB="0" distL="114300" distR="114300">
            <wp:extent cx="6182995" cy="8745855"/>
            <wp:effectExtent l="0" t="0" r="8255" b="17145"/>
            <wp:docPr id="3" name="图片 2" descr="通知（加入政采招标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通知（加入政采招标文件）"/>
                    <pic:cNvPicPr>
                      <a:picLocks noChangeAspect="1"/>
                    </pic:cNvPicPr>
                  </pic:nvPicPr>
                  <pic:blipFill>
                    <a:blip r:embed="rId10"/>
                    <a:stretch>
                      <a:fillRect/>
                    </a:stretch>
                  </pic:blipFill>
                  <pic:spPr>
                    <a:xfrm>
                      <a:off x="0" y="0"/>
                      <a:ext cx="6182995" cy="8745855"/>
                    </a:xfrm>
                    <a:prstGeom prst="rect">
                      <a:avLst/>
                    </a:prstGeom>
                    <a:noFill/>
                    <a:ln>
                      <a:noFill/>
                    </a:ln>
                  </pic:spPr>
                </pic:pic>
              </a:graphicData>
            </a:graphic>
          </wp:inline>
        </w:drawing>
      </w: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eastAsia="zh-CN"/>
        </w:rPr>
        <w:t>表</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p>
    <w:p w14:paraId="4B847CF1">
      <w:pPr>
        <w:spacing w:line="4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质疑函（格式）</w:t>
      </w:r>
    </w:p>
    <w:p w14:paraId="46810261">
      <w:pPr>
        <w:pStyle w:val="18"/>
        <w:snapToGrid w:val="0"/>
        <w:spacing w:line="36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一、质疑供应商基本信息：</w:t>
      </w:r>
    </w:p>
    <w:p w14:paraId="4F1D4CA3">
      <w:pPr>
        <w:pStyle w:val="18"/>
        <w:snapToGrid w:val="0"/>
        <w:spacing w:line="36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质疑供应商：</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49BA460E">
      <w:pPr>
        <w:pStyle w:val="18"/>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0A29FCAC">
      <w:pPr>
        <w:pStyle w:val="18"/>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39E62D6C">
      <w:pPr>
        <w:pStyle w:val="18"/>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授权代表：</w:t>
      </w:r>
      <w:r>
        <w:rPr>
          <w:rFonts w:hint="eastAsia" w:ascii="宋体" w:hAnsi="宋体" w:eastAsia="宋体" w:cs="宋体"/>
          <w:bCs/>
          <w:color w:val="auto"/>
          <w:szCs w:val="21"/>
          <w:highlight w:val="none"/>
          <w:u w:val="single"/>
        </w:rPr>
        <w:t xml:space="preserve">                      </w:t>
      </w:r>
    </w:p>
    <w:p w14:paraId="5E5E7E30">
      <w:pPr>
        <w:pStyle w:val="18"/>
        <w:snapToGrid w:val="0"/>
        <w:spacing w:line="36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73A2AF9E">
      <w:pPr>
        <w:pStyle w:val="18"/>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7C7E53CB">
      <w:pPr>
        <w:pStyle w:val="18"/>
        <w:snapToGrid w:val="0"/>
        <w:spacing w:line="36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二、质疑项目基本情况：</w:t>
      </w:r>
    </w:p>
    <w:p w14:paraId="4C3E9E4A">
      <w:pPr>
        <w:pStyle w:val="1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质疑</w:t>
      </w:r>
      <w:r>
        <w:rPr>
          <w:rFonts w:hint="eastAsia" w:ascii="宋体" w:hAnsi="宋体" w:eastAsia="宋体" w:cs="宋体"/>
          <w:color w:val="auto"/>
          <w:szCs w:val="21"/>
          <w:highlight w:val="none"/>
        </w:rPr>
        <w:t>项目的名称：</w:t>
      </w:r>
      <w:r>
        <w:rPr>
          <w:rFonts w:hint="eastAsia" w:ascii="宋体" w:hAnsi="宋体" w:eastAsia="宋体" w:cs="宋体"/>
          <w:bCs/>
          <w:color w:val="auto"/>
          <w:szCs w:val="21"/>
          <w:highlight w:val="none"/>
          <w:u w:val="single"/>
        </w:rPr>
        <w:t xml:space="preserve">                                     </w:t>
      </w:r>
    </w:p>
    <w:p w14:paraId="227647DE">
      <w:pPr>
        <w:pStyle w:val="1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质疑</w:t>
      </w:r>
      <w:r>
        <w:rPr>
          <w:rFonts w:hint="eastAsia" w:ascii="宋体" w:hAnsi="宋体" w:eastAsia="宋体" w:cs="宋体"/>
          <w:color w:val="auto"/>
          <w:szCs w:val="21"/>
          <w:highlight w:val="none"/>
        </w:rPr>
        <w:t>项目的编号：</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w:t>
      </w:r>
    </w:p>
    <w:p w14:paraId="36F860EB">
      <w:pPr>
        <w:pStyle w:val="1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r>
        <w:rPr>
          <w:rFonts w:hint="eastAsia" w:ascii="宋体" w:hAnsi="宋体" w:eastAsia="宋体" w:cs="宋体"/>
          <w:bCs/>
          <w:color w:val="auto"/>
          <w:szCs w:val="21"/>
          <w:highlight w:val="none"/>
          <w:u w:val="single"/>
        </w:rPr>
        <w:t xml:space="preserve">                                         </w:t>
      </w:r>
    </w:p>
    <w:p w14:paraId="20590CE1">
      <w:pPr>
        <w:pStyle w:val="1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w:t>
      </w:r>
    </w:p>
    <w:p w14:paraId="6C5A9E03">
      <w:pPr>
        <w:pStyle w:val="18"/>
        <w:spacing w:line="360" w:lineRule="exact"/>
        <w:ind w:left="25" w:leftChars="12"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   采购文件获取日期：</w:t>
      </w:r>
      <w:r>
        <w:rPr>
          <w:rFonts w:hint="eastAsia" w:ascii="宋体" w:hAnsi="宋体" w:eastAsia="宋体" w:cs="宋体"/>
          <w:bCs/>
          <w:color w:val="auto"/>
          <w:szCs w:val="21"/>
          <w:highlight w:val="none"/>
          <w:u w:val="single"/>
        </w:rPr>
        <w:t xml:space="preserve">                                   </w:t>
      </w:r>
    </w:p>
    <w:p w14:paraId="552C0A51">
      <w:pPr>
        <w:pStyle w:val="18"/>
        <w:spacing w:line="360" w:lineRule="exact"/>
        <w:ind w:left="25" w:leftChars="12"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□采购过程   </w:t>
      </w:r>
    </w:p>
    <w:p w14:paraId="7C5F4E32">
      <w:pPr>
        <w:pStyle w:val="18"/>
        <w:spacing w:line="360" w:lineRule="exact"/>
        <w:ind w:left="25" w:leftChars="12" w:firstLine="308" w:firstLineChars="147"/>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 xml:space="preserve">□成交结果   </w:t>
      </w:r>
    </w:p>
    <w:p w14:paraId="464D1976">
      <w:pPr>
        <w:pStyle w:val="18"/>
        <w:spacing w:line="360" w:lineRule="exact"/>
        <w:ind w:left="25" w:leftChars="12" w:firstLine="411"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三、质疑事项具体内容</w:t>
      </w:r>
    </w:p>
    <w:p w14:paraId="4560AD0C">
      <w:pPr>
        <w:pStyle w:val="1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质疑事项1：</w:t>
      </w:r>
      <w:r>
        <w:rPr>
          <w:rFonts w:hint="eastAsia" w:ascii="宋体" w:hAnsi="宋体" w:eastAsia="宋体" w:cs="宋体"/>
          <w:bCs/>
          <w:color w:val="auto"/>
          <w:szCs w:val="21"/>
          <w:highlight w:val="none"/>
          <w:u w:val="single"/>
        </w:rPr>
        <w:t xml:space="preserve">                                                                    </w:t>
      </w:r>
    </w:p>
    <w:p w14:paraId="4CD13EBD">
      <w:pPr>
        <w:pStyle w:val="1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事实依据：</w:t>
      </w:r>
      <w:r>
        <w:rPr>
          <w:rFonts w:hint="eastAsia" w:ascii="宋体" w:hAnsi="宋体" w:eastAsia="宋体" w:cs="宋体"/>
          <w:bCs/>
          <w:color w:val="auto"/>
          <w:szCs w:val="21"/>
          <w:highlight w:val="none"/>
          <w:u w:val="single"/>
        </w:rPr>
        <w:t xml:space="preserve">                                                                      </w:t>
      </w:r>
    </w:p>
    <w:p w14:paraId="61C17C02">
      <w:pPr>
        <w:pStyle w:val="1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 xml:space="preserve">               </w:t>
      </w:r>
    </w:p>
    <w:p w14:paraId="56E6A9C8">
      <w:pPr>
        <w:pStyle w:val="1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质疑事项2</w:t>
      </w:r>
    </w:p>
    <w:p w14:paraId="63C1EA27">
      <w:pPr>
        <w:pStyle w:val="1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21EF5CEC">
      <w:pPr>
        <w:pStyle w:val="1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四、与质疑事项相关的质疑请求：</w:t>
      </w:r>
    </w:p>
    <w:p w14:paraId="44AB87AB">
      <w:pPr>
        <w:pStyle w:val="1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r>
        <w:rPr>
          <w:rFonts w:hint="eastAsia" w:ascii="宋体" w:hAnsi="宋体" w:eastAsia="宋体" w:cs="宋体"/>
          <w:bCs/>
          <w:color w:val="auto"/>
          <w:szCs w:val="21"/>
          <w:highlight w:val="none"/>
          <w:u w:val="single"/>
        </w:rPr>
        <w:t xml:space="preserve">                                                                </w:t>
      </w:r>
    </w:p>
    <w:p w14:paraId="05C37DDF">
      <w:pPr>
        <w:pStyle w:val="18"/>
        <w:spacing w:line="360" w:lineRule="exact"/>
        <w:ind w:left="25" w:leftChars="12" w:firstLine="308" w:firstLineChars="147"/>
        <w:rPr>
          <w:rFonts w:hint="eastAsia" w:ascii="宋体" w:hAnsi="宋体" w:eastAsia="宋体" w:cs="宋体"/>
          <w:color w:val="auto"/>
          <w:szCs w:val="21"/>
          <w:highlight w:val="none"/>
        </w:rPr>
      </w:pPr>
    </w:p>
    <w:p w14:paraId="77D7D385">
      <w:pPr>
        <w:pStyle w:val="1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签字（签章）：                                       公章：</w:t>
      </w:r>
    </w:p>
    <w:p w14:paraId="3E57B670">
      <w:pPr>
        <w:pStyle w:val="18"/>
        <w:spacing w:line="360" w:lineRule="exact"/>
        <w:ind w:left="25" w:leftChars="12" w:firstLine="308" w:firstLineChars="147"/>
        <w:rPr>
          <w:rFonts w:hint="eastAsia" w:ascii="宋体" w:hAnsi="宋体" w:eastAsia="宋体" w:cs="宋体"/>
          <w:color w:val="auto"/>
          <w:szCs w:val="21"/>
          <w:highlight w:val="none"/>
        </w:rPr>
      </w:pPr>
    </w:p>
    <w:p w14:paraId="7324051B">
      <w:pPr>
        <w:pStyle w:val="1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7834941C">
      <w:pPr>
        <w:pStyle w:val="18"/>
        <w:snapToGri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498E2125">
      <w:pPr>
        <w:pStyle w:val="18"/>
        <w:spacing w:line="340" w:lineRule="exact"/>
        <w:ind w:left="25" w:leftChars="12" w:firstLine="308" w:firstLineChars="147"/>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1.供应商提出质疑时，应提交质疑函和必要的证明材料</w:t>
      </w:r>
      <w:r>
        <w:rPr>
          <w:rFonts w:hint="eastAsia" w:ascii="宋体" w:hAnsi="宋体" w:eastAsia="宋体" w:cs="宋体"/>
          <w:b/>
          <w:bCs/>
          <w:color w:val="auto"/>
          <w:szCs w:val="21"/>
          <w:highlight w:val="none"/>
        </w:rPr>
        <w:t>。</w:t>
      </w:r>
    </w:p>
    <w:p w14:paraId="207E6E88">
      <w:pPr>
        <w:pStyle w:val="18"/>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A529683">
      <w:pPr>
        <w:pStyle w:val="18"/>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3.质疑函的质疑事项应具体、明确，并有必要的事实依据和法律依据。</w:t>
      </w:r>
    </w:p>
    <w:p w14:paraId="525AA35A">
      <w:pPr>
        <w:pStyle w:val="18"/>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4.质疑函的质疑请求应与质疑事项相关。</w:t>
      </w:r>
    </w:p>
    <w:p w14:paraId="5B2A0887">
      <w:pPr>
        <w:pStyle w:val="18"/>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5.质疑供应商为自然人的，质疑函应由本人签字；质疑供应商为法人或者其他组织的，质疑函应由法定代表人、主要负责人，或者其授权代表签字或者盖章，并加盖公章。</w:t>
      </w:r>
    </w:p>
    <w:p w14:paraId="00F7371D">
      <w:pPr>
        <w:pStyle w:val="10"/>
        <w:rPr>
          <w:rFonts w:hint="eastAsia" w:ascii="宋体" w:hAnsi="宋体" w:eastAsia="宋体" w:cs="宋体"/>
          <w:color w:val="auto"/>
          <w:szCs w:val="21"/>
          <w:highlight w:val="none"/>
        </w:rPr>
      </w:pPr>
    </w:p>
    <w:p w14:paraId="4D82302C">
      <w:pPr>
        <w:rPr>
          <w:rFonts w:hint="eastAsia" w:ascii="宋体" w:hAnsi="宋体" w:eastAsia="宋体" w:cs="宋体"/>
          <w:color w:val="auto"/>
          <w:highlight w:val="none"/>
        </w:rPr>
      </w:pPr>
    </w:p>
    <w:p w14:paraId="7638629A">
      <w:pPr>
        <w:pStyle w:val="18"/>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附表2：</w:t>
      </w:r>
    </w:p>
    <w:p w14:paraId="54F1A31D">
      <w:pPr>
        <w:spacing w:line="4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投诉书（格式）</w:t>
      </w:r>
    </w:p>
    <w:p w14:paraId="3DCF8123">
      <w:pPr>
        <w:pStyle w:val="18"/>
        <w:snapToGrid w:val="0"/>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一、投诉相关主体基本情况：</w:t>
      </w:r>
    </w:p>
    <w:p w14:paraId="19F52BBB">
      <w:pPr>
        <w:pStyle w:val="18"/>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投标人：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02928E2E">
      <w:pPr>
        <w:pStyle w:val="18"/>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2F20D21B">
      <w:pPr>
        <w:pStyle w:val="18"/>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法定代表人/主要负责人：</w:t>
      </w:r>
      <w:r>
        <w:rPr>
          <w:rFonts w:hint="eastAsia" w:ascii="宋体" w:hAnsi="宋体" w:eastAsia="宋体" w:cs="宋体"/>
          <w:bCs/>
          <w:color w:val="auto"/>
          <w:szCs w:val="21"/>
          <w:highlight w:val="none"/>
          <w:u w:val="single"/>
        </w:rPr>
        <w:t xml:space="preserve">                                                         </w:t>
      </w:r>
    </w:p>
    <w:p w14:paraId="4BAF5712">
      <w:pPr>
        <w:pStyle w:val="18"/>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3CBFBF2D">
      <w:pPr>
        <w:pStyle w:val="18"/>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授权代表：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4502642C">
      <w:pPr>
        <w:pStyle w:val="18"/>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p>
    <w:p w14:paraId="5D73538E">
      <w:pPr>
        <w:pStyle w:val="18"/>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被投诉人1：</w:t>
      </w:r>
    </w:p>
    <w:p w14:paraId="0B24FBA2">
      <w:pPr>
        <w:pStyle w:val="18"/>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p>
    <w:p w14:paraId="16008E93">
      <w:pPr>
        <w:pStyle w:val="18"/>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4489B83D">
      <w:pPr>
        <w:pStyle w:val="18"/>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被投诉人2：</w:t>
      </w:r>
    </w:p>
    <w:p w14:paraId="649D24EB">
      <w:pPr>
        <w:pStyle w:val="18"/>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p w14:paraId="1019CC66">
      <w:pPr>
        <w:pStyle w:val="18"/>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相关供应商：</w:t>
      </w:r>
      <w:r>
        <w:rPr>
          <w:rFonts w:hint="eastAsia" w:ascii="宋体" w:hAnsi="宋体" w:eastAsia="宋体" w:cs="宋体"/>
          <w:bCs/>
          <w:color w:val="auto"/>
          <w:szCs w:val="21"/>
          <w:highlight w:val="none"/>
          <w:u w:val="single"/>
        </w:rPr>
        <w:t xml:space="preserve">                                                                       </w:t>
      </w:r>
    </w:p>
    <w:p w14:paraId="075DD3DE">
      <w:pPr>
        <w:pStyle w:val="18"/>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p>
    <w:p w14:paraId="0B4AE9C6">
      <w:pPr>
        <w:pStyle w:val="18"/>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20245430">
      <w:pPr>
        <w:pStyle w:val="18"/>
        <w:snapToGrid w:val="0"/>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二、投诉项目基本情况：</w:t>
      </w:r>
    </w:p>
    <w:p w14:paraId="432C2CD3">
      <w:pPr>
        <w:pStyle w:val="1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采购</w:t>
      </w:r>
      <w:r>
        <w:rPr>
          <w:rFonts w:hint="eastAsia" w:ascii="宋体" w:hAnsi="宋体" w:eastAsia="宋体" w:cs="宋体"/>
          <w:color w:val="auto"/>
          <w:szCs w:val="21"/>
          <w:highlight w:val="none"/>
        </w:rPr>
        <w:t>项目的名称：</w:t>
      </w:r>
      <w:r>
        <w:rPr>
          <w:rFonts w:hint="eastAsia" w:ascii="宋体" w:hAnsi="宋体" w:eastAsia="宋体" w:cs="宋体"/>
          <w:bCs/>
          <w:color w:val="auto"/>
          <w:szCs w:val="21"/>
          <w:highlight w:val="none"/>
          <w:u w:val="single"/>
        </w:rPr>
        <w:t xml:space="preserve">                                                                   </w:t>
      </w:r>
    </w:p>
    <w:p w14:paraId="67D47985">
      <w:pPr>
        <w:pStyle w:val="1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采购</w:t>
      </w:r>
      <w:r>
        <w:rPr>
          <w:rFonts w:hint="eastAsia" w:ascii="宋体" w:hAnsi="宋体" w:eastAsia="宋体" w:cs="宋体"/>
          <w:color w:val="auto"/>
          <w:szCs w:val="21"/>
          <w:highlight w:val="none"/>
        </w:rPr>
        <w:t>项目的编号：</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w:t>
      </w:r>
    </w:p>
    <w:p w14:paraId="5878B082">
      <w:pPr>
        <w:pStyle w:val="18"/>
        <w:spacing w:line="400" w:lineRule="exact"/>
        <w:ind w:left="25" w:leftChars="12" w:firstLine="413" w:firstLineChars="197"/>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采购人名称：</w:t>
      </w:r>
      <w:r>
        <w:rPr>
          <w:rFonts w:hint="eastAsia" w:ascii="宋体" w:hAnsi="宋体" w:eastAsia="宋体" w:cs="宋体"/>
          <w:bCs/>
          <w:color w:val="auto"/>
          <w:szCs w:val="21"/>
          <w:highlight w:val="none"/>
          <w:u w:val="single"/>
        </w:rPr>
        <w:t xml:space="preserve">                                                                        </w:t>
      </w:r>
    </w:p>
    <w:p w14:paraId="1EF860CA">
      <w:pPr>
        <w:pStyle w:val="18"/>
        <w:spacing w:line="400" w:lineRule="exact"/>
        <w:ind w:left="25" w:leftChars="12" w:firstLine="413" w:firstLineChars="197"/>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代理机构名称：</w:t>
      </w:r>
      <w:r>
        <w:rPr>
          <w:rFonts w:hint="eastAsia" w:ascii="宋体" w:hAnsi="宋体" w:eastAsia="宋体" w:cs="宋体"/>
          <w:bCs/>
          <w:color w:val="auto"/>
          <w:szCs w:val="21"/>
          <w:highlight w:val="none"/>
          <w:u w:val="single"/>
        </w:rPr>
        <w:t xml:space="preserve">                                                                      </w:t>
      </w:r>
    </w:p>
    <w:p w14:paraId="328BB322">
      <w:pPr>
        <w:pStyle w:val="18"/>
        <w:spacing w:line="400" w:lineRule="exact"/>
        <w:ind w:left="25" w:leftChars="12" w:firstLine="413" w:firstLineChars="197"/>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采购文件公告：</w:t>
      </w:r>
      <w:r>
        <w:rPr>
          <w:rFonts w:hint="eastAsia" w:ascii="宋体" w:hAnsi="宋体" w:eastAsia="宋体" w:cs="宋体"/>
          <w:bCs/>
          <w:color w:val="auto"/>
          <w:szCs w:val="21"/>
          <w:highlight w:val="none"/>
          <w:u w:val="single"/>
        </w:rPr>
        <w:t>是/否</w:t>
      </w:r>
      <w:r>
        <w:rPr>
          <w:rFonts w:hint="eastAsia" w:ascii="宋体" w:hAnsi="宋体" w:eastAsia="宋体" w:cs="宋体"/>
          <w:bCs/>
          <w:color w:val="auto"/>
          <w:szCs w:val="21"/>
          <w:highlight w:val="none"/>
        </w:rPr>
        <w:t>公告期限：</w:t>
      </w:r>
      <w:r>
        <w:rPr>
          <w:rFonts w:hint="eastAsia" w:ascii="宋体" w:hAnsi="宋体" w:eastAsia="宋体" w:cs="宋体"/>
          <w:bCs/>
          <w:color w:val="auto"/>
          <w:szCs w:val="21"/>
          <w:highlight w:val="none"/>
          <w:u w:val="single"/>
        </w:rPr>
        <w:t xml:space="preserve">                                                       </w:t>
      </w:r>
    </w:p>
    <w:p w14:paraId="0AE2E5DC">
      <w:pPr>
        <w:pStyle w:val="18"/>
        <w:spacing w:line="400" w:lineRule="exact"/>
        <w:ind w:left="25" w:leftChars="12" w:firstLine="413" w:firstLineChars="197"/>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采购结果公告：</w:t>
      </w:r>
      <w:r>
        <w:rPr>
          <w:rFonts w:hint="eastAsia" w:ascii="宋体" w:hAnsi="宋体" w:eastAsia="宋体" w:cs="宋体"/>
          <w:bCs/>
          <w:color w:val="auto"/>
          <w:szCs w:val="21"/>
          <w:highlight w:val="none"/>
          <w:u w:val="single"/>
        </w:rPr>
        <w:t>是/否</w:t>
      </w:r>
      <w:r>
        <w:rPr>
          <w:rFonts w:hint="eastAsia" w:ascii="宋体" w:hAnsi="宋体" w:eastAsia="宋体" w:cs="宋体"/>
          <w:bCs/>
          <w:color w:val="auto"/>
          <w:szCs w:val="21"/>
          <w:highlight w:val="none"/>
        </w:rPr>
        <w:t>公告期限：</w:t>
      </w:r>
      <w:r>
        <w:rPr>
          <w:rFonts w:hint="eastAsia" w:ascii="宋体" w:hAnsi="宋体" w:eastAsia="宋体" w:cs="宋体"/>
          <w:bCs/>
          <w:color w:val="auto"/>
          <w:szCs w:val="21"/>
          <w:highlight w:val="none"/>
          <w:u w:val="single"/>
        </w:rPr>
        <w:t xml:space="preserve">                                                       </w:t>
      </w:r>
    </w:p>
    <w:p w14:paraId="479507AA">
      <w:pPr>
        <w:pStyle w:val="18"/>
        <w:spacing w:line="400" w:lineRule="exact"/>
        <w:ind w:left="25" w:leftChars="12" w:firstLine="411"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三、质疑基本情况</w:t>
      </w:r>
    </w:p>
    <w:p w14:paraId="173BC2D4">
      <w:pPr>
        <w:pStyle w:val="18"/>
        <w:spacing w:line="400" w:lineRule="exact"/>
        <w:ind w:left="25" w:leftChars="12" w:firstLine="833" w:firstLineChars="3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提出质疑，质疑事项为：</w:t>
      </w:r>
    </w:p>
    <w:p w14:paraId="6841B1B9">
      <w:pPr>
        <w:pStyle w:val="18"/>
        <w:spacing w:line="400" w:lineRule="exac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u w:val="single"/>
        </w:rPr>
        <w:t xml:space="preserve">                                                                                      </w:t>
      </w:r>
    </w:p>
    <w:p w14:paraId="129202D2">
      <w:pPr>
        <w:pStyle w:val="18"/>
        <w:spacing w:line="400" w:lineRule="exact"/>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 xml:space="preserve">                                                                                      </w:t>
      </w:r>
    </w:p>
    <w:p w14:paraId="59DA7E41">
      <w:pPr>
        <w:pStyle w:val="18"/>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采购人/代理机构</w:t>
      </w:r>
      <w:r>
        <w:rPr>
          <w:rFonts w:hint="eastAsia" w:ascii="宋体" w:hAnsi="宋体" w:eastAsia="宋体" w:cs="宋体"/>
          <w:bCs/>
          <w:color w:val="auto"/>
          <w:szCs w:val="21"/>
          <w:highlight w:val="none"/>
        </w:rPr>
        <w:t>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bCs/>
          <w:color w:val="auto"/>
          <w:szCs w:val="21"/>
          <w:highlight w:val="none"/>
        </w:rPr>
        <w:t xml:space="preserve">就质疑事项作出了答复/没有在法定期限内作出答复。                                                                                             </w:t>
      </w:r>
    </w:p>
    <w:p w14:paraId="37DC1B7E">
      <w:pPr>
        <w:pStyle w:val="18"/>
        <w:spacing w:line="400" w:lineRule="exact"/>
        <w:ind w:left="25" w:leftChars="12" w:firstLine="411"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四、投诉事项具体内容</w:t>
      </w:r>
    </w:p>
    <w:p w14:paraId="4E5C55C2">
      <w:pPr>
        <w:pStyle w:val="18"/>
        <w:spacing w:line="400" w:lineRule="exact"/>
        <w:ind w:left="25" w:leftChars="12" w:firstLine="413" w:firstLineChars="197"/>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投诉事项1：</w:t>
      </w:r>
      <w:r>
        <w:rPr>
          <w:rFonts w:hint="eastAsia" w:ascii="宋体" w:hAnsi="宋体" w:eastAsia="宋体" w:cs="宋体"/>
          <w:bCs/>
          <w:color w:val="auto"/>
          <w:szCs w:val="21"/>
          <w:highlight w:val="none"/>
          <w:u w:val="single"/>
        </w:rPr>
        <w:t xml:space="preserve">                                                                           </w:t>
      </w:r>
    </w:p>
    <w:p w14:paraId="7F9FAABE">
      <w:pPr>
        <w:pStyle w:val="18"/>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事实依据：</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u w:val="single"/>
        </w:rPr>
        <w:t xml:space="preserve">                                                                                   </w:t>
      </w:r>
    </w:p>
    <w:p w14:paraId="5C76042F">
      <w:pPr>
        <w:pStyle w:val="1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u w:val="single"/>
        </w:rPr>
        <w:t xml:space="preserve">                                                                                        </w:t>
      </w:r>
    </w:p>
    <w:p w14:paraId="50FF982C">
      <w:pPr>
        <w:pStyle w:val="18"/>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法律依据：</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u w:val="single"/>
        </w:rPr>
        <w:t xml:space="preserve">                                                                                   </w:t>
      </w:r>
    </w:p>
    <w:p w14:paraId="7D84B6F6">
      <w:pPr>
        <w:pStyle w:val="18"/>
        <w:spacing w:line="400" w:lineRule="exact"/>
        <w:ind w:left="25" w:leftChars="12" w:firstLine="308" w:firstLineChars="147"/>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 xml:space="preserve">                                                                                        </w:t>
      </w:r>
    </w:p>
    <w:p w14:paraId="12C89C7B">
      <w:pPr>
        <w:pStyle w:val="18"/>
        <w:spacing w:line="400" w:lineRule="exact"/>
        <w:ind w:left="25" w:leftChars="12" w:firstLine="413" w:firstLineChars="197"/>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 xml:space="preserve">投诉事项2  </w:t>
      </w:r>
      <w:r>
        <w:rPr>
          <w:rFonts w:hint="eastAsia" w:ascii="宋体" w:hAnsi="宋体" w:eastAsia="宋体" w:cs="宋体"/>
          <w:bCs/>
          <w:color w:val="auto"/>
          <w:szCs w:val="21"/>
          <w:highlight w:val="none"/>
        </w:rPr>
        <w:t xml:space="preserve">   </w:t>
      </w:r>
    </w:p>
    <w:p w14:paraId="2BA7FD99">
      <w:pPr>
        <w:pStyle w:val="18"/>
        <w:spacing w:line="400" w:lineRule="exact"/>
        <w:ind w:left="25" w:leftChars="12" w:firstLine="413" w:firstLineChars="197"/>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p w14:paraId="7780A5E1">
      <w:pPr>
        <w:pStyle w:val="18"/>
        <w:spacing w:line="400" w:lineRule="exact"/>
        <w:ind w:left="25" w:leftChars="12" w:firstLine="411"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五、与投诉事项相关的投诉请求：</w:t>
      </w:r>
    </w:p>
    <w:p w14:paraId="238E5815">
      <w:pPr>
        <w:pStyle w:val="1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r>
        <w:rPr>
          <w:rFonts w:hint="eastAsia" w:ascii="宋体" w:hAnsi="宋体" w:eastAsia="宋体" w:cs="宋体"/>
          <w:bCs/>
          <w:color w:val="auto"/>
          <w:szCs w:val="21"/>
          <w:highlight w:val="none"/>
          <w:u w:val="single"/>
        </w:rPr>
        <w:t xml:space="preserve">                                                                                 </w:t>
      </w:r>
    </w:p>
    <w:p w14:paraId="164104C4">
      <w:pPr>
        <w:pStyle w:val="18"/>
        <w:spacing w:line="400" w:lineRule="exact"/>
        <w:ind w:left="25" w:leftChars="12" w:firstLine="308" w:firstLineChars="147"/>
        <w:rPr>
          <w:rFonts w:hint="eastAsia" w:ascii="宋体" w:hAnsi="宋体" w:eastAsia="宋体" w:cs="宋体"/>
          <w:color w:val="auto"/>
          <w:szCs w:val="21"/>
          <w:highlight w:val="none"/>
        </w:rPr>
      </w:pPr>
    </w:p>
    <w:p w14:paraId="2DC85432">
      <w:pPr>
        <w:pStyle w:val="1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签字（签章）：                                       公章：</w:t>
      </w:r>
    </w:p>
    <w:p w14:paraId="2E32756B">
      <w:pPr>
        <w:pStyle w:val="18"/>
        <w:spacing w:line="400" w:lineRule="exact"/>
        <w:ind w:left="25" w:leftChars="12" w:firstLine="308" w:firstLineChars="147"/>
        <w:rPr>
          <w:rFonts w:hint="eastAsia" w:ascii="宋体" w:hAnsi="宋体" w:eastAsia="宋体" w:cs="宋体"/>
          <w:color w:val="auto"/>
          <w:szCs w:val="21"/>
          <w:highlight w:val="none"/>
        </w:rPr>
      </w:pPr>
    </w:p>
    <w:p w14:paraId="7AE3051C">
      <w:pPr>
        <w:pStyle w:val="1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2C8302BE">
      <w:pPr>
        <w:pStyle w:val="1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 xml:space="preserve">                                                                                 </w:t>
      </w:r>
    </w:p>
    <w:p w14:paraId="0DF7F2D8">
      <w:pPr>
        <w:pStyle w:val="18"/>
        <w:snapToGrid w:val="0"/>
        <w:spacing w:line="340" w:lineRule="exact"/>
        <w:rPr>
          <w:rFonts w:hint="eastAsia" w:ascii="宋体" w:hAnsi="宋体" w:eastAsia="宋体" w:cs="宋体"/>
          <w:b/>
          <w:color w:val="auto"/>
          <w:szCs w:val="21"/>
          <w:highlight w:val="none"/>
        </w:rPr>
      </w:pPr>
    </w:p>
    <w:p w14:paraId="2A4B1643">
      <w:pPr>
        <w:pStyle w:val="18"/>
        <w:snapToGri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41EFE26F">
      <w:pPr>
        <w:pStyle w:val="18"/>
        <w:spacing w:line="340" w:lineRule="exact"/>
        <w:ind w:left="25" w:leftChars="12" w:firstLine="308" w:firstLineChars="147"/>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Cs w:val="21"/>
          <w:highlight w:val="none"/>
        </w:rPr>
        <w:t>。</w:t>
      </w:r>
    </w:p>
    <w:p w14:paraId="3A60F37B">
      <w:pPr>
        <w:pStyle w:val="18"/>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4B92B33">
      <w:pPr>
        <w:pStyle w:val="18"/>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3.投诉书应简要列明质疑事项，质疑函、质疑答复等作为附件材料提供。</w:t>
      </w:r>
    </w:p>
    <w:p w14:paraId="520FFA0C">
      <w:pPr>
        <w:pStyle w:val="18"/>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4.投诉书的投诉事项应具体、明确，并有必要的事实依据和法律依据。</w:t>
      </w:r>
    </w:p>
    <w:p w14:paraId="00735AA4">
      <w:pPr>
        <w:pStyle w:val="18"/>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5.投诉书的投诉请求应与投诉事项相关。</w:t>
      </w:r>
    </w:p>
    <w:p w14:paraId="4AACEA15">
      <w:pPr>
        <w:pStyle w:val="18"/>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6.投诉人为自然人的，投诉书应由本人签字；投诉人为法人或者其他组织的，投诉书应由法定代表人、主要负责人，或者其授权代表签字或者盖章，并加盖公章。</w:t>
      </w:r>
    </w:p>
    <w:p w14:paraId="37F73DC9">
      <w:pPr>
        <w:pStyle w:val="18"/>
        <w:snapToGrid w:val="0"/>
        <w:spacing w:line="380" w:lineRule="exact"/>
        <w:ind w:firstLine="420" w:firstLineChars="200"/>
        <w:rPr>
          <w:rFonts w:hint="eastAsia" w:ascii="宋体" w:hAnsi="宋体" w:eastAsia="宋体" w:cs="宋体"/>
          <w:color w:val="auto"/>
          <w:szCs w:val="21"/>
          <w:highlight w:val="none"/>
        </w:rPr>
      </w:pPr>
    </w:p>
    <w:p w14:paraId="17B807B0">
      <w:pPr>
        <w:pStyle w:val="10"/>
        <w:ind w:left="0"/>
        <w:rPr>
          <w:rFonts w:hint="eastAsia" w:ascii="宋体" w:hAnsi="宋体" w:eastAsia="宋体" w:cs="宋体"/>
          <w:color w:val="auto"/>
          <w:szCs w:val="21"/>
          <w:highlight w:val="none"/>
        </w:rPr>
      </w:pPr>
    </w:p>
    <w:p w14:paraId="77FC873B">
      <w:pPr>
        <w:spacing w:line="360" w:lineRule="exact"/>
        <w:rPr>
          <w:rFonts w:hint="eastAsia" w:ascii="宋体" w:hAnsi="宋体" w:eastAsia="宋体" w:cs="宋体"/>
          <w:b/>
          <w:color w:val="auto"/>
          <w:szCs w:val="21"/>
          <w:highlight w:val="none"/>
        </w:rPr>
      </w:pPr>
    </w:p>
    <w:p w14:paraId="62FFD52B">
      <w:pPr>
        <w:widowControl/>
        <w:spacing w:line="480" w:lineRule="exact"/>
        <w:jc w:val="center"/>
        <w:outlineLvl w:val="0"/>
        <w:rPr>
          <w:rFonts w:hint="eastAsia" w:ascii="宋体" w:hAnsi="宋体" w:eastAsia="宋体" w:cs="宋体"/>
          <w:b/>
          <w:color w:val="auto"/>
          <w:sz w:val="32"/>
          <w:szCs w:val="32"/>
          <w:highlight w:val="none"/>
        </w:rPr>
      </w:pPr>
    </w:p>
    <w:p w14:paraId="286D4D9C">
      <w:pPr>
        <w:widowControl/>
        <w:spacing w:line="480" w:lineRule="exact"/>
        <w:jc w:val="center"/>
        <w:outlineLvl w:val="0"/>
        <w:rPr>
          <w:rFonts w:hint="eastAsia" w:ascii="宋体" w:hAnsi="宋体" w:eastAsia="宋体" w:cs="宋体"/>
          <w:b/>
          <w:color w:val="auto"/>
          <w:sz w:val="32"/>
          <w:szCs w:val="32"/>
          <w:highlight w:val="none"/>
        </w:rPr>
      </w:pPr>
    </w:p>
    <w:p w14:paraId="71B97A57">
      <w:pPr>
        <w:widowControl/>
        <w:spacing w:line="480" w:lineRule="exact"/>
        <w:jc w:val="center"/>
        <w:outlineLvl w:val="0"/>
        <w:rPr>
          <w:rFonts w:hint="eastAsia" w:ascii="宋体" w:hAnsi="宋体" w:eastAsia="宋体" w:cs="宋体"/>
          <w:b/>
          <w:color w:val="auto"/>
          <w:sz w:val="32"/>
          <w:szCs w:val="32"/>
          <w:highlight w:val="none"/>
        </w:rPr>
      </w:pPr>
    </w:p>
    <w:p w14:paraId="7BB5CA5C">
      <w:pPr>
        <w:pStyle w:val="37"/>
        <w:rPr>
          <w:rFonts w:hint="eastAsia" w:ascii="宋体" w:hAnsi="宋体" w:eastAsia="宋体" w:cs="宋体"/>
          <w:color w:val="auto"/>
          <w:highlight w:val="none"/>
        </w:rPr>
      </w:pPr>
    </w:p>
    <w:p w14:paraId="72D2A895">
      <w:pPr>
        <w:pStyle w:val="3"/>
        <w:spacing w:before="0" w:after="0" w:line="360" w:lineRule="auto"/>
        <w:jc w:val="center"/>
        <w:rPr>
          <w:rFonts w:hint="eastAsia" w:ascii="宋体" w:hAnsi="宋体" w:eastAsia="宋体" w:cs="宋体"/>
          <w:color w:val="auto"/>
          <w:sz w:val="32"/>
          <w:szCs w:val="32"/>
          <w:highlight w:val="none"/>
          <w:u w:val="none"/>
        </w:rPr>
      </w:pPr>
      <w:bookmarkStart w:id="108" w:name="_Toc15642"/>
      <w:bookmarkStart w:id="109" w:name="_Toc29649"/>
      <w:r>
        <w:rPr>
          <w:rFonts w:hint="eastAsia" w:ascii="宋体" w:hAnsi="宋体" w:eastAsia="宋体" w:cs="宋体"/>
          <w:b w:val="0"/>
          <w:bCs w:val="0"/>
          <w:color w:val="auto"/>
          <w:sz w:val="32"/>
          <w:szCs w:val="32"/>
          <w:highlight w:val="none"/>
        </w:rPr>
        <w:br w:type="page"/>
      </w:r>
      <w:r>
        <w:rPr>
          <w:rFonts w:hint="eastAsia" w:ascii="宋体" w:hAnsi="宋体" w:eastAsia="宋体" w:cs="宋体"/>
          <w:b w:val="0"/>
          <w:bCs w:val="0"/>
          <w:color w:val="auto"/>
          <w:sz w:val="32"/>
          <w:szCs w:val="32"/>
          <w:highlight w:val="none"/>
          <w:u w:val="none"/>
        </w:rPr>
        <w:t>第三章 采购需求</w:t>
      </w:r>
    </w:p>
    <w:tbl>
      <w:tblPr>
        <w:tblStyle w:val="30"/>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00"/>
        <w:gridCol w:w="5877"/>
        <w:gridCol w:w="600"/>
        <w:gridCol w:w="657"/>
      </w:tblGrid>
      <w:tr w14:paraId="6ABD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535D10C">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default" w:ascii="宋体" w:hAnsi="宋体" w:eastAsia="宋体" w:cs="宋体"/>
                <w:b/>
                <w:bCs w:val="0"/>
                <w:color w:val="auto"/>
                <w:sz w:val="21"/>
                <w:szCs w:val="21"/>
                <w:highlight w:val="none"/>
                <w:u w:val="none"/>
                <w:vertAlign w:val="baseline"/>
                <w:lang w:val="en-US" w:eastAsia="zh-CN"/>
              </w:rPr>
            </w:pPr>
            <w:r>
              <w:rPr>
                <w:rFonts w:hint="eastAsia" w:ascii="宋体" w:hAnsi="宋体" w:eastAsia="宋体" w:cs="宋体"/>
                <w:b/>
                <w:bCs w:val="0"/>
                <w:color w:val="auto"/>
                <w:sz w:val="21"/>
                <w:szCs w:val="21"/>
                <w:highlight w:val="none"/>
                <w:u w:val="none"/>
                <w:vertAlign w:val="baseline"/>
                <w:lang w:val="en-US" w:eastAsia="zh-CN"/>
              </w:rPr>
              <w:t>项号</w:t>
            </w:r>
          </w:p>
        </w:tc>
        <w:tc>
          <w:tcPr>
            <w:tcW w:w="1200" w:type="dxa"/>
            <w:vAlign w:val="center"/>
          </w:tcPr>
          <w:p w14:paraId="192A6BC3">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default" w:ascii="宋体" w:hAnsi="宋体" w:eastAsia="宋体" w:cs="宋体"/>
                <w:b/>
                <w:bCs w:val="0"/>
                <w:color w:val="auto"/>
                <w:sz w:val="21"/>
                <w:szCs w:val="21"/>
                <w:highlight w:val="none"/>
                <w:u w:val="none"/>
                <w:vertAlign w:val="baseline"/>
                <w:lang w:val="en-US" w:eastAsia="zh-CN"/>
              </w:rPr>
            </w:pPr>
            <w:r>
              <w:rPr>
                <w:rFonts w:hint="eastAsia" w:ascii="宋体" w:hAnsi="宋体" w:eastAsia="宋体" w:cs="宋体"/>
                <w:b/>
                <w:bCs w:val="0"/>
                <w:color w:val="auto"/>
                <w:sz w:val="21"/>
                <w:szCs w:val="21"/>
                <w:highlight w:val="none"/>
                <w:u w:val="none"/>
                <w:vertAlign w:val="baseline"/>
                <w:lang w:val="en-US" w:eastAsia="zh-CN"/>
              </w:rPr>
              <w:t>服务名称</w:t>
            </w:r>
          </w:p>
        </w:tc>
        <w:tc>
          <w:tcPr>
            <w:tcW w:w="5877" w:type="dxa"/>
            <w:vAlign w:val="center"/>
          </w:tcPr>
          <w:p w14:paraId="575D6A03">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default" w:ascii="宋体" w:hAnsi="宋体" w:eastAsia="宋体" w:cs="宋体"/>
                <w:b/>
                <w:bCs w:val="0"/>
                <w:color w:val="auto"/>
                <w:sz w:val="21"/>
                <w:szCs w:val="21"/>
                <w:highlight w:val="none"/>
                <w:u w:val="none"/>
                <w:vertAlign w:val="baseline"/>
                <w:lang w:val="en-US" w:eastAsia="zh-CN"/>
              </w:rPr>
            </w:pPr>
            <w:r>
              <w:rPr>
                <w:rFonts w:hint="eastAsia" w:ascii="宋体" w:hAnsi="宋体" w:eastAsia="宋体" w:cs="宋体"/>
                <w:b/>
                <w:bCs w:val="0"/>
                <w:color w:val="auto"/>
                <w:sz w:val="21"/>
                <w:szCs w:val="21"/>
                <w:highlight w:val="none"/>
                <w:u w:val="none"/>
                <w:vertAlign w:val="baseline"/>
                <w:lang w:val="en-US" w:eastAsia="zh-CN"/>
              </w:rPr>
              <w:t>服务需求</w:t>
            </w:r>
          </w:p>
        </w:tc>
        <w:tc>
          <w:tcPr>
            <w:tcW w:w="600" w:type="dxa"/>
            <w:vAlign w:val="center"/>
          </w:tcPr>
          <w:p w14:paraId="5EFC5236">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b/>
                <w:bCs w:val="0"/>
                <w:color w:val="auto"/>
                <w:sz w:val="21"/>
                <w:szCs w:val="21"/>
                <w:highlight w:val="none"/>
                <w:u w:val="none"/>
                <w:vertAlign w:val="baseline"/>
                <w:lang w:val="en-US" w:eastAsia="zh-CN"/>
              </w:rPr>
            </w:pPr>
            <w:r>
              <w:rPr>
                <w:rFonts w:hint="eastAsia" w:ascii="宋体" w:hAnsi="宋体" w:eastAsia="宋体" w:cs="宋体"/>
                <w:b/>
                <w:bCs w:val="0"/>
                <w:color w:val="auto"/>
                <w:sz w:val="21"/>
                <w:szCs w:val="21"/>
                <w:highlight w:val="none"/>
                <w:u w:val="none"/>
                <w:vertAlign w:val="baseline"/>
                <w:lang w:val="en-US" w:eastAsia="zh-CN"/>
              </w:rPr>
              <w:t>数量</w:t>
            </w:r>
          </w:p>
        </w:tc>
        <w:tc>
          <w:tcPr>
            <w:tcW w:w="657" w:type="dxa"/>
            <w:vAlign w:val="center"/>
          </w:tcPr>
          <w:p w14:paraId="11260D11">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b/>
                <w:bCs w:val="0"/>
                <w:color w:val="auto"/>
                <w:sz w:val="21"/>
                <w:szCs w:val="21"/>
                <w:highlight w:val="none"/>
                <w:u w:val="none"/>
                <w:vertAlign w:val="baseline"/>
                <w:lang w:val="en-US" w:eastAsia="zh-CN"/>
              </w:rPr>
            </w:pPr>
            <w:r>
              <w:rPr>
                <w:rFonts w:hint="eastAsia" w:ascii="宋体" w:hAnsi="宋体" w:eastAsia="宋体" w:cs="宋体"/>
                <w:b/>
                <w:bCs w:val="0"/>
                <w:color w:val="auto"/>
                <w:sz w:val="21"/>
                <w:szCs w:val="21"/>
                <w:highlight w:val="none"/>
                <w:u w:val="none"/>
                <w:vertAlign w:val="baseline"/>
                <w:lang w:val="en-US" w:eastAsia="zh-CN"/>
              </w:rPr>
              <w:t>单位</w:t>
            </w:r>
          </w:p>
        </w:tc>
      </w:tr>
      <w:tr w14:paraId="70C9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0AB7B9">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1</w:t>
            </w:r>
          </w:p>
        </w:tc>
        <w:tc>
          <w:tcPr>
            <w:tcW w:w="1200" w:type="dxa"/>
            <w:vAlign w:val="center"/>
          </w:tcPr>
          <w:p w14:paraId="4683E5F1">
            <w:pPr>
              <w:pStyle w:val="4"/>
              <w:keepNext/>
              <w:keepLines/>
              <w:pageBreakBefore w:val="0"/>
              <w:widowControl w:val="0"/>
              <w:tabs>
                <w:tab w:val="clear" w:pos="567"/>
              </w:tabs>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color w:val="auto"/>
                <w:sz w:val="21"/>
                <w:szCs w:val="21"/>
                <w:highlight w:val="none"/>
                <w:u w:val="none"/>
                <w:vertAlign w:val="baseline"/>
                <w:lang w:eastAsia="zh-CN"/>
              </w:rPr>
            </w:pPr>
            <w:r>
              <w:rPr>
                <w:rFonts w:hint="eastAsia" w:ascii="宋体" w:hAnsi="宋体" w:cs="宋体"/>
                <w:color w:val="auto"/>
                <w:sz w:val="21"/>
                <w:szCs w:val="21"/>
                <w:highlight w:val="none"/>
                <w:u w:val="none"/>
                <w:vertAlign w:val="baseline"/>
                <w:lang w:eastAsia="zh-CN"/>
              </w:rPr>
              <w:t>恭城县水网建设规划</w:t>
            </w:r>
          </w:p>
        </w:tc>
        <w:tc>
          <w:tcPr>
            <w:tcW w:w="5877" w:type="dxa"/>
            <w:vAlign w:val="center"/>
          </w:tcPr>
          <w:p w14:paraId="77F0ED19">
            <w:pPr>
              <w:spacing w:line="400" w:lineRule="exact"/>
              <w:rPr>
                <w:rFonts w:ascii="宋体" w:hAnsi="宋体" w:cs="宋体"/>
                <w:kern w:val="0"/>
                <w:highlight w:val="none"/>
              </w:rPr>
            </w:pPr>
            <w:r>
              <w:rPr>
                <w:rFonts w:hint="eastAsia" w:ascii="宋体" w:hAnsi="宋体" w:cs="宋体"/>
                <w:kern w:val="0"/>
                <w:highlight w:val="none"/>
              </w:rPr>
              <w:t>1.项目名称：恭城县水网建设规划。</w:t>
            </w:r>
          </w:p>
          <w:p w14:paraId="02A96138">
            <w:pPr>
              <w:spacing w:line="400" w:lineRule="exact"/>
              <w:rPr>
                <w:rFonts w:ascii="宋体" w:hAnsi="宋体" w:cs="宋体"/>
                <w:kern w:val="0"/>
                <w:highlight w:val="none"/>
              </w:rPr>
            </w:pPr>
            <w:r>
              <w:rPr>
                <w:rFonts w:hint="eastAsia" w:ascii="宋体" w:hAnsi="宋体" w:cs="宋体"/>
                <w:kern w:val="0"/>
                <w:highlight w:val="none"/>
              </w:rPr>
              <w:t>2.指导思想和编制原则</w:t>
            </w:r>
          </w:p>
          <w:p w14:paraId="39C9E5E7">
            <w:pPr>
              <w:spacing w:line="400" w:lineRule="exact"/>
              <w:rPr>
                <w:rFonts w:ascii="宋体" w:hAnsi="宋体" w:cs="宋体"/>
                <w:kern w:val="0"/>
                <w:highlight w:val="none"/>
              </w:rPr>
            </w:pPr>
            <w:r>
              <w:rPr>
                <w:rFonts w:hint="eastAsia" w:ascii="宋体" w:hAnsi="宋体" w:cs="宋体"/>
                <w:kern w:val="0"/>
                <w:highlight w:val="none"/>
              </w:rPr>
              <w:t>2.1指导思想</w:t>
            </w:r>
          </w:p>
          <w:p w14:paraId="39B4CAB4">
            <w:pPr>
              <w:spacing w:line="400" w:lineRule="exact"/>
              <w:rPr>
                <w:rFonts w:ascii="宋体" w:hAnsi="宋体" w:cs="宋体"/>
                <w:kern w:val="0"/>
                <w:highlight w:val="none"/>
              </w:rPr>
            </w:pPr>
            <w:r>
              <w:rPr>
                <w:rFonts w:hint="eastAsia" w:ascii="宋体" w:hAnsi="宋体" w:cs="宋体"/>
                <w:kern w:val="0"/>
                <w:highlight w:val="none"/>
              </w:rPr>
              <w:t>以习近平新时代中国特色社会主义思想为指导，全面贯彻党的二十大和二十届三中等历次会议精神，完整、准确、全面贯彻新发展理念，深入践行“节水优先、空间均衡、系统治理、两手发力”的治水思路，坚持人民至上，立足流域整体和水资源空间均衡配置，统筹发展和安全，以全面提升水安全保障能力为目标，以完善水资源优化配置体系、流域防洪减灾体系、水生态保护治理体系为重点，统筹存量与增量，加强互联互通，锚定“系统完备、安全可靠、集约高效、绿色智能、循环通畅、调控有序”的水网建设目标，统筹推进防洪排涝、水资源配置、供水灌溉、水生态治理修复等水利基础设施建设，加快形成城乡一体、互联互通的恭城县水网体系。</w:t>
            </w:r>
          </w:p>
          <w:p w14:paraId="428AA2F9">
            <w:pPr>
              <w:spacing w:line="400" w:lineRule="exact"/>
              <w:rPr>
                <w:rFonts w:ascii="宋体" w:hAnsi="宋体" w:cs="宋体"/>
                <w:kern w:val="0"/>
                <w:highlight w:val="none"/>
              </w:rPr>
            </w:pPr>
            <w:r>
              <w:rPr>
                <w:rFonts w:hint="eastAsia" w:ascii="宋体" w:hAnsi="宋体" w:cs="宋体"/>
                <w:kern w:val="0"/>
                <w:highlight w:val="none"/>
              </w:rPr>
              <w:t>2.2编制原则</w:t>
            </w:r>
          </w:p>
          <w:p w14:paraId="6CDE492E">
            <w:pPr>
              <w:spacing w:line="400" w:lineRule="exact"/>
              <w:rPr>
                <w:rFonts w:ascii="宋体" w:hAnsi="宋体" w:cs="宋体"/>
                <w:kern w:val="0"/>
                <w:highlight w:val="none"/>
              </w:rPr>
            </w:pPr>
            <w:r>
              <w:rPr>
                <w:rFonts w:hint="eastAsia" w:ascii="宋体" w:hAnsi="宋体" w:cs="宋体"/>
                <w:kern w:val="0"/>
                <w:highlight w:val="none"/>
              </w:rPr>
              <w:t>坚持立足全局、统筹谋划。</w:t>
            </w:r>
          </w:p>
          <w:p w14:paraId="3D1A4401">
            <w:pPr>
              <w:spacing w:line="400" w:lineRule="exact"/>
              <w:rPr>
                <w:rFonts w:ascii="宋体" w:hAnsi="宋体" w:cs="宋体"/>
                <w:kern w:val="0"/>
                <w:highlight w:val="none"/>
              </w:rPr>
            </w:pPr>
            <w:r>
              <w:rPr>
                <w:rFonts w:hint="eastAsia" w:ascii="宋体" w:hAnsi="宋体" w:cs="宋体"/>
                <w:kern w:val="0"/>
                <w:highlight w:val="none"/>
              </w:rPr>
              <w:t>坚持节水优先、空间均衡。坚持绿色生态、人水和谐。坚持系统观念、防控风险。坚持两手发力、改革创新。</w:t>
            </w:r>
          </w:p>
          <w:p w14:paraId="722EE77E">
            <w:pPr>
              <w:spacing w:line="400" w:lineRule="exact"/>
              <w:rPr>
                <w:rFonts w:ascii="宋体" w:hAnsi="宋体" w:cs="宋体"/>
                <w:kern w:val="0"/>
                <w:highlight w:val="none"/>
              </w:rPr>
            </w:pPr>
            <w:r>
              <w:rPr>
                <w:rFonts w:hint="eastAsia" w:ascii="宋体" w:hAnsi="宋体" w:cs="宋体"/>
                <w:kern w:val="0"/>
                <w:highlight w:val="none"/>
              </w:rPr>
              <w:t>3.水平年及工作范围</w:t>
            </w:r>
          </w:p>
          <w:p w14:paraId="2E1ED03C">
            <w:pPr>
              <w:spacing w:line="400" w:lineRule="exact"/>
              <w:rPr>
                <w:rFonts w:ascii="宋体" w:hAnsi="宋体" w:cs="宋体"/>
                <w:kern w:val="0"/>
                <w:highlight w:val="none"/>
              </w:rPr>
            </w:pPr>
            <w:r>
              <w:rPr>
                <w:rFonts w:hint="eastAsia" w:ascii="宋体" w:hAnsi="宋体" w:cs="宋体"/>
                <w:kern w:val="0"/>
                <w:highlight w:val="none"/>
              </w:rPr>
              <w:t>现状水平年为2022年，规划水平年为2035年，展望至2050年。</w:t>
            </w:r>
          </w:p>
          <w:p w14:paraId="0BD3EA79">
            <w:pPr>
              <w:spacing w:line="400" w:lineRule="exact"/>
              <w:rPr>
                <w:rFonts w:ascii="宋体" w:hAnsi="宋体" w:cs="宋体"/>
                <w:kern w:val="0"/>
                <w:highlight w:val="none"/>
              </w:rPr>
            </w:pPr>
            <w:r>
              <w:rPr>
                <w:rFonts w:hint="eastAsia" w:ascii="宋体" w:hAnsi="宋体" w:cs="宋体"/>
                <w:kern w:val="0"/>
                <w:highlight w:val="none"/>
              </w:rPr>
              <w:t>规划范围为广西恭城县。</w:t>
            </w:r>
          </w:p>
          <w:p w14:paraId="1D352DED">
            <w:pPr>
              <w:spacing w:line="400" w:lineRule="exact"/>
              <w:rPr>
                <w:rFonts w:ascii="宋体" w:hAnsi="宋体" w:cs="宋体"/>
                <w:kern w:val="0"/>
                <w:highlight w:val="none"/>
              </w:rPr>
            </w:pPr>
            <w:r>
              <w:rPr>
                <w:rFonts w:hint="eastAsia" w:ascii="宋体" w:hAnsi="宋体" w:cs="宋体"/>
                <w:kern w:val="0"/>
                <w:highlight w:val="none"/>
              </w:rPr>
              <w:t>4.主要工作内容</w:t>
            </w:r>
          </w:p>
          <w:p w14:paraId="102A4C95">
            <w:pPr>
              <w:spacing w:line="400" w:lineRule="exact"/>
              <w:rPr>
                <w:rFonts w:ascii="宋体" w:hAnsi="宋体" w:cs="宋体"/>
                <w:kern w:val="0"/>
                <w:highlight w:val="none"/>
              </w:rPr>
            </w:pPr>
            <w:r>
              <w:rPr>
                <w:rFonts w:hint="eastAsia" w:ascii="宋体" w:hAnsi="宋体" w:cs="宋体"/>
                <w:kern w:val="0"/>
                <w:highlight w:val="none"/>
              </w:rPr>
              <w:t>4.1基本资料收集整理</w:t>
            </w:r>
          </w:p>
          <w:p w14:paraId="477D597F">
            <w:pPr>
              <w:spacing w:line="400" w:lineRule="exact"/>
              <w:rPr>
                <w:rFonts w:ascii="宋体" w:hAnsi="宋体" w:cs="宋体"/>
                <w:kern w:val="0"/>
                <w:highlight w:val="none"/>
              </w:rPr>
            </w:pPr>
            <w:r>
              <w:rPr>
                <w:rFonts w:hint="eastAsia" w:ascii="宋体" w:hAnsi="宋体" w:cs="宋体"/>
                <w:kern w:val="0"/>
                <w:highlight w:val="none"/>
              </w:rPr>
              <w:t>收集项目相关基础资料。</w:t>
            </w:r>
          </w:p>
          <w:p w14:paraId="23F31856">
            <w:pPr>
              <w:spacing w:line="400" w:lineRule="exact"/>
              <w:rPr>
                <w:rFonts w:ascii="宋体" w:hAnsi="宋体" w:cs="宋体"/>
                <w:kern w:val="0"/>
                <w:highlight w:val="none"/>
              </w:rPr>
            </w:pPr>
            <w:r>
              <w:rPr>
                <w:rFonts w:hint="eastAsia" w:ascii="宋体" w:hAnsi="宋体" w:cs="宋体"/>
                <w:kern w:val="0"/>
                <w:highlight w:val="none"/>
              </w:rPr>
              <w:t>4.2规划基础与面临形势</w:t>
            </w:r>
          </w:p>
          <w:p w14:paraId="39ADE1CE">
            <w:pPr>
              <w:spacing w:line="400" w:lineRule="exact"/>
              <w:rPr>
                <w:rFonts w:ascii="宋体" w:hAnsi="宋体" w:cs="宋体"/>
                <w:kern w:val="0"/>
                <w:highlight w:val="none"/>
              </w:rPr>
            </w:pPr>
            <w:r>
              <w:rPr>
                <w:rFonts w:hint="eastAsia" w:ascii="宋体" w:hAnsi="宋体" w:cs="宋体"/>
                <w:kern w:val="0"/>
                <w:highlight w:val="none"/>
              </w:rPr>
              <w:t>根据全县范围内自然河湖水系分布、水利基础设施建设等情况，全面摸清全区水网建设的基本条件和建设基础。</w:t>
            </w:r>
          </w:p>
          <w:p w14:paraId="14C70EE1">
            <w:pPr>
              <w:spacing w:line="400" w:lineRule="exact"/>
              <w:rPr>
                <w:rFonts w:ascii="宋体" w:hAnsi="宋体" w:cs="宋体"/>
                <w:kern w:val="0"/>
                <w:highlight w:val="none"/>
              </w:rPr>
            </w:pPr>
            <w:r>
              <w:rPr>
                <w:rFonts w:hint="eastAsia" w:ascii="宋体" w:hAnsi="宋体" w:cs="宋体"/>
                <w:kern w:val="0"/>
                <w:highlight w:val="none"/>
              </w:rPr>
              <w:t>根据自治区和区域发展战略定位与要求，对照构建现代化、高质量基础设施体系要求，分析水利基础设施体系存在的短板弱项，从完善防洪减灾体系、水资源配置和供水保障体系、水生态保护修复体系等方面，综合分析今后一个时期恭城县水网建设需求和发展方向，提出水网建设必要性。</w:t>
            </w:r>
          </w:p>
          <w:p w14:paraId="0E28ADB0">
            <w:pPr>
              <w:spacing w:line="400" w:lineRule="exact"/>
              <w:rPr>
                <w:rFonts w:ascii="宋体" w:hAnsi="宋体" w:cs="宋体"/>
                <w:kern w:val="0"/>
                <w:highlight w:val="none"/>
              </w:rPr>
            </w:pPr>
            <w:r>
              <w:rPr>
                <w:rFonts w:hint="eastAsia" w:ascii="宋体" w:hAnsi="宋体" w:cs="宋体"/>
                <w:kern w:val="0"/>
                <w:highlight w:val="none"/>
              </w:rPr>
              <w:t>4.3总体思路与目标任务</w:t>
            </w:r>
          </w:p>
          <w:p w14:paraId="033B73DE">
            <w:pPr>
              <w:spacing w:line="400" w:lineRule="exact"/>
              <w:rPr>
                <w:rFonts w:ascii="宋体" w:hAnsi="宋体" w:cs="宋体"/>
                <w:kern w:val="0"/>
                <w:highlight w:val="none"/>
              </w:rPr>
            </w:pPr>
            <w:r>
              <w:rPr>
                <w:rFonts w:hint="eastAsia" w:ascii="宋体" w:hAnsi="宋体" w:cs="宋体"/>
                <w:kern w:val="0"/>
                <w:highlight w:val="none"/>
              </w:rPr>
              <w:t>在全面分析恭城县水网建设基础条件和面临需求的基础上，按照“三新一高”要求，着眼于提高恭城县水网水旱灾害防御能力、水资源调配能力、城乡供水保障能力、河湖生态保护治理能力、水网智慧化水平、体制机制法治管理水平，研究提出恭城县水网建设总体思路，明确2035年的主要目标，并展望至2050年，科学确定水网覆盖范围、水流调控能力、防洪排涝、城乡供水、灌溉排水、水生态保护与治理、水网智慧化等具体指标。</w:t>
            </w:r>
          </w:p>
          <w:p w14:paraId="33FE354A">
            <w:pPr>
              <w:spacing w:line="400" w:lineRule="exact"/>
              <w:rPr>
                <w:rFonts w:ascii="宋体" w:hAnsi="宋体" w:cs="宋体"/>
                <w:kern w:val="0"/>
                <w:highlight w:val="none"/>
              </w:rPr>
            </w:pPr>
            <w:r>
              <w:rPr>
                <w:rFonts w:hint="eastAsia" w:ascii="宋体" w:hAnsi="宋体" w:cs="宋体"/>
                <w:kern w:val="0"/>
                <w:highlight w:val="none"/>
              </w:rPr>
              <w:t>4.4总体布局</w:t>
            </w:r>
          </w:p>
          <w:p w14:paraId="21758BCA">
            <w:pPr>
              <w:spacing w:line="400" w:lineRule="exact"/>
              <w:rPr>
                <w:rFonts w:ascii="宋体" w:hAnsi="宋体" w:cs="宋体"/>
                <w:kern w:val="0"/>
                <w:highlight w:val="none"/>
              </w:rPr>
            </w:pPr>
            <w:r>
              <w:rPr>
                <w:rFonts w:hint="eastAsia" w:ascii="宋体" w:hAnsi="宋体" w:cs="宋体"/>
                <w:kern w:val="0"/>
                <w:highlight w:val="none"/>
              </w:rPr>
              <w:t>统筹谋划恭城县水网的“纲”“目”“结”，研究提出防洪减灾、水资源配置与城乡供水保障、水生态保护与修复等水网骨干工程合理布局，构建符合区域特点的水网。统筹国家、自治区、桂林市及恭城县水安全保障需求，加强与自治区干网的衔接和互联互通，优化市县水网建设布局，落实水网建设“最后一公里”，形成恭城县水网“一张图”。</w:t>
            </w:r>
          </w:p>
          <w:p w14:paraId="5D4361EC">
            <w:pPr>
              <w:spacing w:line="400" w:lineRule="exact"/>
              <w:rPr>
                <w:rFonts w:ascii="宋体" w:hAnsi="宋体" w:cs="宋体"/>
                <w:kern w:val="0"/>
                <w:highlight w:val="none"/>
              </w:rPr>
            </w:pPr>
            <w:r>
              <w:rPr>
                <w:rFonts w:hint="eastAsia" w:ascii="宋体" w:hAnsi="宋体" w:cs="宋体"/>
                <w:kern w:val="0"/>
                <w:highlight w:val="none"/>
              </w:rPr>
              <w:t>4.5重点建设任务</w:t>
            </w:r>
          </w:p>
          <w:p w14:paraId="2C2415D9">
            <w:pPr>
              <w:spacing w:line="400" w:lineRule="exact"/>
              <w:rPr>
                <w:rFonts w:ascii="宋体" w:hAnsi="宋体" w:cs="宋体"/>
                <w:kern w:val="0"/>
                <w:highlight w:val="none"/>
              </w:rPr>
            </w:pPr>
            <w:r>
              <w:rPr>
                <w:rFonts w:hint="eastAsia" w:ascii="宋体" w:hAnsi="宋体" w:cs="宋体"/>
                <w:kern w:val="0"/>
                <w:highlight w:val="none"/>
              </w:rPr>
              <w:t>（1）完善防洪减灾体系</w:t>
            </w:r>
          </w:p>
          <w:p w14:paraId="6CF61862">
            <w:pPr>
              <w:spacing w:line="400" w:lineRule="exact"/>
              <w:rPr>
                <w:rFonts w:ascii="宋体" w:hAnsi="宋体" w:cs="宋体"/>
                <w:kern w:val="0"/>
                <w:highlight w:val="none"/>
              </w:rPr>
            </w:pPr>
            <w:r>
              <w:rPr>
                <w:rFonts w:hint="eastAsia" w:ascii="宋体" w:hAnsi="宋体" w:cs="宋体"/>
                <w:kern w:val="0"/>
                <w:highlight w:val="none"/>
              </w:rPr>
              <w:t>针对水旱灾害防御新形势和新要求，依据流域防洪规划布局安排和区域防洪减灾要求，提出河道堤防达标提标建设和河道整治、控制性枢纽工程建设、排涝能力建设、洪水风险防控等重点任务和骨干工程。</w:t>
            </w:r>
          </w:p>
          <w:p w14:paraId="29BC9052">
            <w:pPr>
              <w:spacing w:line="400" w:lineRule="exact"/>
              <w:rPr>
                <w:rFonts w:ascii="宋体" w:hAnsi="宋体" w:cs="宋体"/>
                <w:kern w:val="0"/>
                <w:highlight w:val="none"/>
              </w:rPr>
            </w:pPr>
            <w:r>
              <w:rPr>
                <w:rFonts w:hint="eastAsia" w:ascii="宋体" w:hAnsi="宋体" w:cs="宋体"/>
                <w:kern w:val="0"/>
                <w:highlight w:val="none"/>
              </w:rPr>
              <w:t>（2）提升水资源调配能力</w:t>
            </w:r>
          </w:p>
          <w:p w14:paraId="48B7A7F0">
            <w:pPr>
              <w:spacing w:line="400" w:lineRule="exact"/>
              <w:rPr>
                <w:rFonts w:ascii="宋体" w:hAnsi="宋体" w:cs="宋体"/>
                <w:kern w:val="0"/>
                <w:highlight w:val="none"/>
              </w:rPr>
            </w:pPr>
            <w:r>
              <w:rPr>
                <w:rFonts w:hint="eastAsia" w:ascii="宋体" w:hAnsi="宋体" w:cs="宋体"/>
                <w:kern w:val="0"/>
                <w:highlight w:val="none"/>
              </w:rPr>
              <w:t>根据恭城县水资源条件和经济社会发展布局，围绕全面提升供水安全保障能力，坚持节水优先、量水而行，提出区域水资源配置、城乡供水、灌溉排水、水源建设等重点任务和骨干工程。</w:t>
            </w:r>
          </w:p>
          <w:p w14:paraId="23A77730">
            <w:pPr>
              <w:spacing w:line="400" w:lineRule="exact"/>
              <w:rPr>
                <w:rFonts w:ascii="宋体" w:hAnsi="宋体" w:cs="宋体"/>
                <w:kern w:val="0"/>
                <w:highlight w:val="none"/>
              </w:rPr>
            </w:pPr>
            <w:r>
              <w:rPr>
                <w:rFonts w:hint="eastAsia" w:ascii="宋体" w:hAnsi="宋体" w:cs="宋体"/>
                <w:kern w:val="0"/>
                <w:highlight w:val="none"/>
              </w:rPr>
              <w:t>（3）优化水生态保护治理格局</w:t>
            </w:r>
          </w:p>
          <w:p w14:paraId="47563E80">
            <w:pPr>
              <w:spacing w:line="400" w:lineRule="exact"/>
              <w:rPr>
                <w:rFonts w:ascii="宋体" w:hAnsi="宋体" w:cs="宋体"/>
                <w:kern w:val="0"/>
                <w:highlight w:val="none"/>
              </w:rPr>
            </w:pPr>
            <w:r>
              <w:rPr>
                <w:rFonts w:hint="eastAsia" w:ascii="宋体" w:hAnsi="宋体" w:cs="宋体"/>
                <w:kern w:val="0"/>
                <w:highlight w:val="none"/>
              </w:rPr>
              <w:t>着眼提升生态系统质量和稳定性，根据水生态保护与修复要求，坚持综合治理、系统治理、源头治理，提出河湖生态环境保护修复、水系连通、地下水超采区治理、水源涵养与水土保持等重点任务和骨干工程。</w:t>
            </w:r>
          </w:p>
          <w:p w14:paraId="216F8AD2">
            <w:pPr>
              <w:spacing w:line="400" w:lineRule="exact"/>
              <w:rPr>
                <w:rFonts w:ascii="宋体" w:hAnsi="宋体" w:cs="宋体"/>
                <w:kern w:val="0"/>
                <w:highlight w:val="none"/>
              </w:rPr>
            </w:pPr>
            <w:r>
              <w:rPr>
                <w:rFonts w:hint="eastAsia" w:ascii="宋体" w:hAnsi="宋体" w:cs="宋体"/>
                <w:kern w:val="0"/>
                <w:highlight w:val="none"/>
              </w:rPr>
              <w:t>（4）提升水网智慧化</w:t>
            </w:r>
          </w:p>
          <w:p w14:paraId="2468BB35">
            <w:pPr>
              <w:spacing w:line="400" w:lineRule="exact"/>
              <w:rPr>
                <w:rFonts w:ascii="宋体" w:hAnsi="宋体" w:cs="宋体"/>
                <w:kern w:val="0"/>
                <w:highlight w:val="none"/>
              </w:rPr>
            </w:pPr>
            <w:r>
              <w:rPr>
                <w:rFonts w:hint="eastAsia" w:ascii="宋体" w:hAnsi="宋体" w:cs="宋体"/>
                <w:kern w:val="0"/>
                <w:highlight w:val="none"/>
              </w:rPr>
              <w:t>以提升水网智慧化水平为目标，提出水网监测能力建设、智能化改造与建设、数字孪生水网、调度运行体系建设等举措。</w:t>
            </w:r>
          </w:p>
          <w:p w14:paraId="5955547C">
            <w:pPr>
              <w:spacing w:line="400" w:lineRule="exact"/>
              <w:rPr>
                <w:rFonts w:ascii="宋体" w:hAnsi="宋体" w:cs="宋体"/>
                <w:kern w:val="0"/>
                <w:highlight w:val="none"/>
              </w:rPr>
            </w:pPr>
            <w:r>
              <w:rPr>
                <w:rFonts w:hint="eastAsia" w:ascii="宋体" w:hAnsi="宋体" w:cs="宋体"/>
                <w:kern w:val="0"/>
                <w:highlight w:val="none"/>
              </w:rPr>
              <w:t>（5）强化水网一体化管理</w:t>
            </w:r>
          </w:p>
          <w:p w14:paraId="67D1D290">
            <w:pPr>
              <w:spacing w:line="400" w:lineRule="exact"/>
              <w:rPr>
                <w:rFonts w:ascii="宋体" w:hAnsi="宋体" w:cs="宋体"/>
                <w:kern w:val="0"/>
                <w:highlight w:val="none"/>
              </w:rPr>
            </w:pPr>
            <w:r>
              <w:rPr>
                <w:rFonts w:hint="eastAsia" w:ascii="宋体" w:hAnsi="宋体" w:cs="宋体"/>
                <w:kern w:val="0"/>
                <w:highlight w:val="none"/>
              </w:rPr>
              <w:t>从强化体制机制法治入手，提出建立完善水网工程管理体制和运行机制、加强法治管理的措施意见。</w:t>
            </w:r>
          </w:p>
          <w:p w14:paraId="0E125156">
            <w:pPr>
              <w:spacing w:line="400" w:lineRule="exact"/>
              <w:rPr>
                <w:rFonts w:ascii="宋体" w:hAnsi="宋体" w:cs="宋体"/>
                <w:kern w:val="0"/>
                <w:highlight w:val="none"/>
              </w:rPr>
            </w:pPr>
            <w:r>
              <w:rPr>
                <w:rFonts w:hint="eastAsia" w:ascii="宋体" w:hAnsi="宋体" w:cs="宋体"/>
                <w:kern w:val="0"/>
                <w:highlight w:val="none"/>
              </w:rPr>
              <w:t>4.6环境影响评价</w:t>
            </w:r>
          </w:p>
          <w:p w14:paraId="477A0E0F">
            <w:pPr>
              <w:spacing w:line="400" w:lineRule="exact"/>
              <w:rPr>
                <w:rFonts w:ascii="宋体" w:hAnsi="宋体" w:cs="宋体"/>
                <w:kern w:val="0"/>
                <w:highlight w:val="none"/>
              </w:rPr>
            </w:pPr>
            <w:r>
              <w:rPr>
                <w:rFonts w:hint="eastAsia" w:ascii="宋体" w:hAnsi="宋体" w:cs="宋体"/>
                <w:kern w:val="0"/>
                <w:highlight w:val="none"/>
              </w:rPr>
              <w:t>对规划协调性进行评价，总体谋划广西水网建设任务，合理安排水网基础设施空间；对规划项目的环境影响进行初步分析，并提出减缓措施。</w:t>
            </w:r>
          </w:p>
          <w:p w14:paraId="386509E6">
            <w:pPr>
              <w:spacing w:line="400" w:lineRule="exact"/>
              <w:rPr>
                <w:rFonts w:ascii="宋体" w:hAnsi="宋体" w:cs="宋体"/>
                <w:kern w:val="0"/>
                <w:highlight w:val="none"/>
              </w:rPr>
            </w:pPr>
            <w:r>
              <w:rPr>
                <w:rFonts w:hint="eastAsia" w:ascii="宋体" w:hAnsi="宋体" w:cs="宋体"/>
                <w:kern w:val="0"/>
                <w:highlight w:val="none"/>
              </w:rPr>
              <w:t>4.7实施安排</w:t>
            </w:r>
          </w:p>
          <w:p w14:paraId="3BC34F71">
            <w:pPr>
              <w:spacing w:line="400" w:lineRule="exact"/>
              <w:rPr>
                <w:rFonts w:ascii="宋体" w:hAnsi="宋体" w:cs="宋体"/>
                <w:kern w:val="0"/>
                <w:highlight w:val="none"/>
              </w:rPr>
            </w:pPr>
            <w:r>
              <w:rPr>
                <w:rFonts w:hint="eastAsia" w:ascii="宋体" w:hAnsi="宋体" w:cs="宋体"/>
                <w:kern w:val="0"/>
                <w:highlight w:val="none"/>
              </w:rPr>
              <w:t>匡算投资规模，提出资金筹措方案。研究提出实施安排。</w:t>
            </w:r>
          </w:p>
          <w:p w14:paraId="2198DEEB">
            <w:pPr>
              <w:spacing w:line="400" w:lineRule="exact"/>
              <w:rPr>
                <w:rFonts w:ascii="宋体" w:hAnsi="宋体" w:cs="宋体"/>
                <w:kern w:val="0"/>
                <w:highlight w:val="none"/>
              </w:rPr>
            </w:pPr>
            <w:r>
              <w:rPr>
                <w:rFonts w:hint="eastAsia" w:ascii="宋体" w:hAnsi="宋体" w:cs="宋体"/>
                <w:kern w:val="0"/>
                <w:highlight w:val="none"/>
              </w:rPr>
              <w:t>4.8保障措施</w:t>
            </w:r>
          </w:p>
          <w:p w14:paraId="3982246B">
            <w:pPr>
              <w:spacing w:line="400" w:lineRule="exact"/>
              <w:rPr>
                <w:rFonts w:ascii="宋体" w:hAnsi="宋体" w:cs="宋体"/>
                <w:kern w:val="0"/>
                <w:highlight w:val="none"/>
              </w:rPr>
            </w:pPr>
            <w:r>
              <w:rPr>
                <w:rFonts w:hint="eastAsia" w:ascii="宋体" w:hAnsi="宋体" w:cs="宋体"/>
                <w:kern w:val="0"/>
                <w:highlight w:val="none"/>
              </w:rPr>
              <w:t>提出推进广西水网建设规划实施的保障措施。</w:t>
            </w:r>
          </w:p>
          <w:p w14:paraId="4E8D8848">
            <w:pPr>
              <w:spacing w:line="400" w:lineRule="exact"/>
              <w:rPr>
                <w:rFonts w:ascii="宋体" w:hAnsi="宋体" w:cs="宋体"/>
                <w:kern w:val="0"/>
                <w:highlight w:val="none"/>
              </w:rPr>
            </w:pPr>
            <w:r>
              <w:rPr>
                <w:rFonts w:hint="eastAsia" w:ascii="宋体" w:hAnsi="宋体" w:cs="宋体"/>
                <w:kern w:val="0"/>
                <w:highlight w:val="none"/>
              </w:rPr>
              <w:t>5.规划报审协调</w:t>
            </w:r>
          </w:p>
          <w:p w14:paraId="49340D2F">
            <w:pPr>
              <w:spacing w:line="400" w:lineRule="exact"/>
              <w:rPr>
                <w:rFonts w:ascii="宋体" w:hAnsi="宋体" w:cs="宋体"/>
                <w:kern w:val="0"/>
                <w:highlight w:val="none"/>
              </w:rPr>
            </w:pPr>
            <w:r>
              <w:rPr>
                <w:rFonts w:hint="eastAsia" w:ascii="宋体" w:hAnsi="宋体" w:cs="宋体"/>
                <w:kern w:val="0"/>
                <w:highlight w:val="none"/>
              </w:rPr>
              <w:t>根据《水利部关于加快推进省级水网建设的指导意见》，在规划成果完成后、审批前报市水利局审核，根据要求修改完善等工作。</w:t>
            </w:r>
          </w:p>
          <w:p w14:paraId="6AD725AD">
            <w:pPr>
              <w:spacing w:line="400" w:lineRule="exact"/>
              <w:rPr>
                <w:rFonts w:ascii="宋体" w:hAnsi="宋体" w:cs="宋体"/>
                <w:kern w:val="0"/>
                <w:highlight w:val="none"/>
              </w:rPr>
            </w:pPr>
            <w:r>
              <w:rPr>
                <w:rFonts w:hint="eastAsia" w:ascii="宋体" w:hAnsi="宋体" w:cs="宋体"/>
                <w:kern w:val="0"/>
                <w:highlight w:val="none"/>
              </w:rPr>
              <w:t>6. 成果文件要求：报告文本电子版2份、纸质版4份。</w:t>
            </w:r>
          </w:p>
          <w:p w14:paraId="1EF50504">
            <w:pPr>
              <w:spacing w:line="400" w:lineRule="exact"/>
              <w:rPr>
                <w:rFonts w:ascii="宋体" w:hAnsi="宋体" w:cs="宋体"/>
                <w:kern w:val="0"/>
                <w:highlight w:val="none"/>
              </w:rPr>
            </w:pPr>
            <w:r>
              <w:rPr>
                <w:rFonts w:hint="eastAsia" w:ascii="宋体" w:hAnsi="宋体" w:cs="宋体"/>
                <w:kern w:val="0"/>
                <w:highlight w:val="none"/>
              </w:rPr>
              <w:t>7.质量要求：成果文件符合国家、地方的相关规范、标准、规程等要求，以通过专家评审为验收合格标准。</w:t>
            </w:r>
          </w:p>
          <w:p w14:paraId="4C2AB135">
            <w:pPr>
              <w:spacing w:line="400" w:lineRule="exact"/>
              <w:rPr>
                <w:rFonts w:ascii="宋体" w:hAnsi="宋体" w:cs="宋体"/>
                <w:kern w:val="0"/>
                <w:highlight w:val="none"/>
              </w:rPr>
            </w:pPr>
            <w:r>
              <w:rPr>
                <w:rFonts w:hint="eastAsia" w:ascii="宋体" w:hAnsi="宋体" w:cs="宋体"/>
                <w:kern w:val="0"/>
                <w:highlight w:val="none"/>
              </w:rPr>
              <w:t>8.成果归属</w:t>
            </w:r>
          </w:p>
          <w:p w14:paraId="7FC40786">
            <w:pPr>
              <w:spacing w:line="400" w:lineRule="exact"/>
              <w:rPr>
                <w:rFonts w:ascii="宋体" w:hAnsi="宋体" w:cs="宋体"/>
                <w:kern w:val="0"/>
                <w:highlight w:val="none"/>
              </w:rPr>
            </w:pPr>
            <w:r>
              <w:rPr>
                <w:rFonts w:hint="eastAsia" w:ascii="宋体" w:hAnsi="宋体" w:cs="宋体"/>
                <w:kern w:val="0"/>
                <w:highlight w:val="none"/>
              </w:rPr>
              <w:t>本次项目成果归采购人所有，成交人不得擅自对外发表、出版。</w:t>
            </w:r>
          </w:p>
          <w:p w14:paraId="1D86B773">
            <w:pPr>
              <w:spacing w:line="400" w:lineRule="exact"/>
              <w:rPr>
                <w:rFonts w:ascii="宋体" w:hAnsi="宋体" w:cs="宋体"/>
                <w:kern w:val="0"/>
                <w:highlight w:val="none"/>
              </w:rPr>
            </w:pPr>
            <w:r>
              <w:rPr>
                <w:rFonts w:hint="eastAsia" w:ascii="宋体" w:hAnsi="宋体" w:cs="宋体"/>
                <w:kern w:val="0"/>
                <w:highlight w:val="none"/>
              </w:rPr>
              <w:t>9.人员配备要求</w:t>
            </w:r>
          </w:p>
          <w:p w14:paraId="45D54BF9">
            <w:pPr>
              <w:spacing w:line="320" w:lineRule="exact"/>
              <w:jc w:val="left"/>
              <w:rPr>
                <w:rFonts w:ascii="宋体" w:hAnsi="宋体" w:eastAsia="宋体" w:cs="宋体"/>
                <w:b w:val="0"/>
                <w:bCs w:val="0"/>
                <w:color w:val="auto"/>
                <w:spacing w:val="0"/>
                <w:w w:val="100"/>
                <w:sz w:val="21"/>
                <w:szCs w:val="21"/>
                <w:highlight w:val="none"/>
                <w:u w:val="none"/>
              </w:rPr>
            </w:pPr>
            <w:r>
              <w:rPr>
                <w:rFonts w:hint="eastAsia" w:ascii="宋体" w:hAnsi="宋体" w:cs="宋体"/>
                <w:kern w:val="0"/>
                <w:highlight w:val="none"/>
              </w:rPr>
              <w:t>本项目应至少配备一名项目负责人，五名实施人员，项目负责人具高级职称。响应文件中提供负责人的资格及职称证书及供应商单位为其缴纳的2024年10月以来任意1个月连续3个月的社保证明复印件并加盖供应商单位公章。</w:t>
            </w:r>
          </w:p>
        </w:tc>
        <w:tc>
          <w:tcPr>
            <w:tcW w:w="600" w:type="dxa"/>
            <w:vAlign w:val="center"/>
          </w:tcPr>
          <w:p w14:paraId="1AC98CE2">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1</w:t>
            </w:r>
          </w:p>
        </w:tc>
        <w:tc>
          <w:tcPr>
            <w:tcW w:w="657" w:type="dxa"/>
            <w:vAlign w:val="center"/>
          </w:tcPr>
          <w:p w14:paraId="427045AB">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color w:val="auto"/>
                <w:sz w:val="21"/>
                <w:szCs w:val="21"/>
                <w:highlight w:val="none"/>
                <w:u w:val="none"/>
                <w:vertAlign w:val="baseline"/>
                <w:lang w:val="en-US" w:eastAsia="zh-CN"/>
              </w:rPr>
            </w:pPr>
            <w:r>
              <w:rPr>
                <w:rFonts w:hint="eastAsia" w:ascii="宋体" w:hAnsi="宋体" w:cs="宋体"/>
                <w:color w:val="auto"/>
                <w:sz w:val="21"/>
                <w:szCs w:val="21"/>
                <w:highlight w:val="none"/>
                <w:u w:val="none"/>
                <w:vertAlign w:val="baseline"/>
                <w:lang w:val="en-US" w:eastAsia="zh-CN"/>
              </w:rPr>
              <w:t>项</w:t>
            </w:r>
          </w:p>
        </w:tc>
      </w:tr>
      <w:tr w14:paraId="374F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gridSpan w:val="2"/>
            <w:vAlign w:val="center"/>
          </w:tcPr>
          <w:p w14:paraId="7969BBA6">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b w:val="0"/>
                <w:bCs w:val="0"/>
                <w:color w:val="auto"/>
                <w:spacing w:val="0"/>
                <w:w w:val="100"/>
                <w:sz w:val="21"/>
                <w:szCs w:val="21"/>
                <w:highlight w:val="none"/>
                <w:u w:val="none"/>
                <w:lang w:val="zh-CN" w:eastAsia="zh-CN"/>
              </w:rPr>
            </w:pPr>
            <w:r>
              <w:rPr>
                <w:rFonts w:hint="eastAsia" w:ascii="宋体" w:hAnsi="宋体" w:eastAsia="宋体" w:cs="宋体"/>
                <w:b w:val="0"/>
                <w:bCs w:val="0"/>
                <w:color w:val="auto"/>
                <w:spacing w:val="0"/>
                <w:w w:val="100"/>
                <w:sz w:val="21"/>
                <w:szCs w:val="21"/>
                <w:highlight w:val="none"/>
                <w:u w:val="none"/>
              </w:rPr>
              <w:t>服务质量要求</w:t>
            </w:r>
          </w:p>
        </w:tc>
        <w:tc>
          <w:tcPr>
            <w:tcW w:w="7134" w:type="dxa"/>
            <w:gridSpan w:val="3"/>
            <w:vAlign w:val="top"/>
          </w:tcPr>
          <w:p w14:paraId="7FCDAEE5">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lang w:val="zh-CN" w:eastAsia="zh-CN"/>
              </w:rPr>
            </w:pPr>
            <w:r>
              <w:rPr>
                <w:rFonts w:hint="eastAsia" w:ascii="宋体" w:hAnsi="宋体" w:eastAsia="宋体" w:cs="宋体"/>
                <w:b w:val="0"/>
                <w:bCs w:val="0"/>
                <w:color w:val="auto"/>
                <w:spacing w:val="0"/>
                <w:w w:val="100"/>
                <w:sz w:val="21"/>
                <w:szCs w:val="21"/>
                <w:highlight w:val="none"/>
                <w:u w:val="none"/>
              </w:rPr>
              <w:t>符合国家规定的工程技术质量合格标准和现行技术规范、规程要求，且通过相关部门组织的审查和评审，并获得相关行业主管部门的批复。</w:t>
            </w:r>
          </w:p>
        </w:tc>
      </w:tr>
      <w:tr w14:paraId="7BA3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gridSpan w:val="2"/>
            <w:vAlign w:val="center"/>
          </w:tcPr>
          <w:p w14:paraId="4E53C6DE">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cs="宋体"/>
                <w:b w:val="0"/>
                <w:bCs w:val="0"/>
                <w:color w:val="auto"/>
                <w:spacing w:val="0"/>
                <w:w w:val="100"/>
                <w:sz w:val="21"/>
                <w:szCs w:val="21"/>
                <w:highlight w:val="none"/>
                <w:u w:val="none"/>
                <w:lang w:eastAsia="zh-CN"/>
              </w:rPr>
              <w:t>服务时间</w:t>
            </w:r>
            <w:r>
              <w:rPr>
                <w:rFonts w:hint="eastAsia" w:ascii="宋体" w:hAnsi="宋体" w:eastAsia="宋体" w:cs="宋体"/>
                <w:b w:val="0"/>
                <w:bCs w:val="0"/>
                <w:color w:val="auto"/>
                <w:spacing w:val="0"/>
                <w:w w:val="100"/>
                <w:sz w:val="21"/>
                <w:szCs w:val="21"/>
                <w:highlight w:val="none"/>
                <w:u w:val="none"/>
              </w:rPr>
              <w:t>及地点</w:t>
            </w:r>
          </w:p>
        </w:tc>
        <w:tc>
          <w:tcPr>
            <w:tcW w:w="7134" w:type="dxa"/>
            <w:gridSpan w:val="3"/>
            <w:vAlign w:val="center"/>
          </w:tcPr>
          <w:p w14:paraId="7211756A">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cs="宋体"/>
                <w:b w:val="0"/>
                <w:bCs w:val="0"/>
                <w:color w:val="auto"/>
                <w:spacing w:val="0"/>
                <w:w w:val="100"/>
                <w:sz w:val="21"/>
                <w:szCs w:val="21"/>
                <w:highlight w:val="none"/>
                <w:u w:val="none"/>
                <w:lang w:val="en-US" w:eastAsia="zh-CN"/>
              </w:rPr>
            </w:pPr>
            <w:r>
              <w:rPr>
                <w:rFonts w:hint="eastAsia" w:ascii="宋体" w:hAnsi="宋体" w:cs="宋体"/>
                <w:b w:val="0"/>
                <w:bCs w:val="0"/>
                <w:color w:val="auto"/>
                <w:spacing w:val="0"/>
                <w:w w:val="100"/>
                <w:sz w:val="21"/>
                <w:szCs w:val="21"/>
                <w:highlight w:val="none"/>
                <w:u w:val="none"/>
                <w:lang w:val="en-US" w:eastAsia="zh-CN"/>
              </w:rPr>
              <w:t>1、</w:t>
            </w:r>
            <w:r>
              <w:rPr>
                <w:rFonts w:hint="eastAsia" w:ascii="宋体" w:hAnsi="宋体" w:eastAsia="宋体" w:cs="宋体"/>
                <w:b w:val="0"/>
                <w:bCs w:val="0"/>
                <w:color w:val="auto"/>
                <w:spacing w:val="0"/>
                <w:w w:val="100"/>
                <w:sz w:val="21"/>
                <w:szCs w:val="21"/>
                <w:highlight w:val="none"/>
                <w:u w:val="none"/>
              </w:rPr>
              <w:t>合同履行期限：</w:t>
            </w:r>
            <w:r>
              <w:rPr>
                <w:rFonts w:hint="eastAsia" w:ascii="宋体" w:hAnsi="宋体" w:cs="宋体"/>
                <w:bCs w:val="0"/>
                <w:color w:val="auto"/>
                <w:sz w:val="21"/>
                <w:szCs w:val="21"/>
                <w:highlight w:val="none"/>
              </w:rPr>
              <w:t>自合同签订之日起10日内提交规划报告送审稿；规划报告送审稿经上级主管部门组织审查后15天内提交规划报告报批稿。</w:t>
            </w:r>
          </w:p>
          <w:p w14:paraId="78877F10">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cs="宋体"/>
                <w:b w:val="0"/>
                <w:bCs w:val="0"/>
                <w:color w:val="auto"/>
                <w:spacing w:val="0"/>
                <w:w w:val="100"/>
                <w:sz w:val="21"/>
                <w:szCs w:val="21"/>
                <w:highlight w:val="none"/>
                <w:u w:val="none"/>
                <w:lang w:val="en-US" w:eastAsia="zh-CN"/>
              </w:rPr>
              <w:t>2、</w:t>
            </w:r>
            <w:r>
              <w:rPr>
                <w:rFonts w:hint="eastAsia" w:ascii="宋体" w:hAnsi="宋体" w:eastAsia="宋体" w:cs="宋体"/>
                <w:b w:val="0"/>
                <w:bCs w:val="0"/>
                <w:color w:val="auto"/>
                <w:spacing w:val="0"/>
                <w:w w:val="100"/>
                <w:sz w:val="21"/>
                <w:szCs w:val="21"/>
                <w:highlight w:val="none"/>
                <w:u w:val="none"/>
              </w:rPr>
              <w:t>服务地点：采购人指定地点。</w:t>
            </w:r>
          </w:p>
        </w:tc>
      </w:tr>
      <w:tr w14:paraId="649F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gridSpan w:val="2"/>
            <w:vAlign w:val="center"/>
          </w:tcPr>
          <w:p w14:paraId="3860FB4C">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付款方式</w:t>
            </w:r>
          </w:p>
        </w:tc>
        <w:tc>
          <w:tcPr>
            <w:tcW w:w="7134" w:type="dxa"/>
            <w:gridSpan w:val="3"/>
            <w:vAlign w:val="center"/>
          </w:tcPr>
          <w:p w14:paraId="5DC12FB2">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rPr>
            </w:pPr>
            <w:bookmarkStart w:id="110" w:name="OLE_LINK27"/>
            <w:bookmarkStart w:id="111" w:name="OLE_LINK26"/>
            <w:r>
              <w:rPr>
                <w:rFonts w:hint="eastAsia" w:ascii="宋体" w:hAnsi="宋体" w:cs="宋体"/>
                <w:bCs w:val="0"/>
                <w:color w:val="auto"/>
                <w:sz w:val="21"/>
                <w:szCs w:val="21"/>
                <w:highlight w:val="none"/>
              </w:rPr>
              <w:t>合同签订成交供应商提交送审稿后，采购人支付成交供应商合同金额的70%，报告经审查通过并获得批复后，将余款支付给成交供应商。</w:t>
            </w:r>
            <w:bookmarkEnd w:id="110"/>
            <w:bookmarkEnd w:id="111"/>
          </w:p>
        </w:tc>
      </w:tr>
      <w:tr w14:paraId="6430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gridSpan w:val="2"/>
            <w:vAlign w:val="center"/>
          </w:tcPr>
          <w:p w14:paraId="34AB44D0">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其他要求</w:t>
            </w:r>
          </w:p>
        </w:tc>
        <w:tc>
          <w:tcPr>
            <w:tcW w:w="7134" w:type="dxa"/>
            <w:gridSpan w:val="3"/>
            <w:vAlign w:val="center"/>
          </w:tcPr>
          <w:p w14:paraId="350A83D7">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1、成交供应商在调查过程获取的调查成果数据必须全部提交给采购人，不得外传和留存。</w:t>
            </w:r>
          </w:p>
          <w:p w14:paraId="5262D31E">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2、纸质文件成果由勘察设计图纸以及各种必要的技术研究资料构成。内容必须清晰完整，说明书应准确、完整地阐述设计意图和内容。</w:t>
            </w:r>
          </w:p>
          <w:p w14:paraId="3026BD11">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3、设计成果包括纸质文件及相应的电子版文件(PDF格式)。</w:t>
            </w:r>
          </w:p>
          <w:p w14:paraId="6228EAD5">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4、本项目采购预算金额</w:t>
            </w:r>
            <w:r>
              <w:rPr>
                <w:rFonts w:hint="eastAsia" w:ascii="宋体" w:hAnsi="宋体" w:cs="宋体"/>
                <w:b w:val="0"/>
                <w:bCs w:val="0"/>
                <w:color w:val="auto"/>
                <w:spacing w:val="0"/>
                <w:w w:val="100"/>
                <w:sz w:val="21"/>
                <w:szCs w:val="21"/>
                <w:highlight w:val="none"/>
                <w:u w:val="none"/>
                <w:lang w:eastAsia="zh-CN"/>
              </w:rPr>
              <w:t>（</w:t>
            </w:r>
            <w:r>
              <w:rPr>
                <w:rFonts w:hint="eastAsia" w:ascii="宋体" w:hAnsi="宋体" w:cs="宋体"/>
                <w:b w:val="0"/>
                <w:bCs w:val="0"/>
                <w:color w:val="auto"/>
                <w:spacing w:val="0"/>
                <w:w w:val="100"/>
                <w:sz w:val="21"/>
                <w:szCs w:val="21"/>
                <w:highlight w:val="none"/>
                <w:u w:val="none"/>
                <w:lang w:val="en-US" w:eastAsia="zh-CN"/>
              </w:rPr>
              <w:t>人民币）</w:t>
            </w:r>
            <w:r>
              <w:rPr>
                <w:rFonts w:hint="eastAsia" w:ascii="宋体" w:hAnsi="宋体" w:eastAsia="宋体" w:cs="宋体"/>
                <w:b w:val="0"/>
                <w:bCs w:val="0"/>
                <w:color w:val="auto"/>
                <w:spacing w:val="0"/>
                <w:w w:val="100"/>
                <w:sz w:val="21"/>
                <w:szCs w:val="21"/>
                <w:highlight w:val="none"/>
                <w:u w:val="none"/>
              </w:rPr>
              <w:t>：</w:t>
            </w:r>
            <w:r>
              <w:rPr>
                <w:rFonts w:hint="eastAsia" w:ascii="宋体" w:hAnsi="宋体" w:cs="宋体"/>
                <w:b w:val="0"/>
                <w:bCs w:val="0"/>
                <w:color w:val="auto"/>
                <w:sz w:val="21"/>
                <w:szCs w:val="21"/>
                <w:highlight w:val="none"/>
                <w:u w:val="none"/>
                <w:lang w:val="en-US" w:eastAsia="zh-CN"/>
              </w:rPr>
              <w:t>约为捌拾伍万元整，小写：￥850000.00元，仅供投标单位参考，投标时无需提及，最终以实际批复为准</w:t>
            </w:r>
            <w:r>
              <w:rPr>
                <w:rFonts w:hint="eastAsia" w:ascii="宋体" w:hAnsi="宋体" w:eastAsia="宋体" w:cs="宋体"/>
                <w:b w:val="0"/>
                <w:bCs w:val="0"/>
                <w:color w:val="auto"/>
                <w:spacing w:val="0"/>
                <w:w w:val="100"/>
                <w:sz w:val="21"/>
                <w:szCs w:val="21"/>
                <w:highlight w:val="none"/>
                <w:u w:val="none"/>
                <w:lang w:eastAsia="zh-CN"/>
              </w:rPr>
              <w:t>。</w:t>
            </w:r>
            <w:r>
              <w:rPr>
                <w:rFonts w:hint="eastAsia" w:ascii="宋体" w:hAnsi="宋体" w:eastAsia="宋体" w:cs="宋体"/>
                <w:b w:val="0"/>
                <w:bCs w:val="0"/>
                <w:color w:val="auto"/>
                <w:spacing w:val="0"/>
                <w:w w:val="100"/>
                <w:sz w:val="21"/>
                <w:szCs w:val="21"/>
                <w:highlight w:val="none"/>
                <w:u w:val="none"/>
              </w:rPr>
              <w:t>供应商报价超出采购</w:t>
            </w:r>
            <w:r>
              <w:rPr>
                <w:rFonts w:hint="eastAsia" w:ascii="宋体" w:hAnsi="宋体" w:cs="宋体"/>
                <w:b w:val="0"/>
                <w:bCs w:val="0"/>
                <w:color w:val="auto"/>
                <w:spacing w:val="0"/>
                <w:w w:val="100"/>
                <w:sz w:val="21"/>
                <w:szCs w:val="21"/>
                <w:highlight w:val="none"/>
                <w:u w:val="none"/>
                <w:lang w:val="en-US" w:eastAsia="zh-CN"/>
              </w:rPr>
              <w:t>预算</w:t>
            </w:r>
            <w:r>
              <w:rPr>
                <w:rFonts w:hint="eastAsia" w:ascii="宋体" w:hAnsi="宋体" w:eastAsia="宋体" w:cs="宋体"/>
                <w:b w:val="0"/>
                <w:bCs w:val="0"/>
                <w:color w:val="auto"/>
                <w:spacing w:val="0"/>
                <w:w w:val="100"/>
                <w:sz w:val="21"/>
                <w:szCs w:val="21"/>
                <w:highlight w:val="none"/>
                <w:u w:val="none"/>
              </w:rPr>
              <w:t>的，响应文件按无效处理。</w:t>
            </w:r>
            <w:r>
              <w:rPr>
                <w:rFonts w:hint="eastAsia" w:ascii="宋体" w:hAnsi="宋体" w:eastAsia="宋体" w:cs="宋体"/>
                <w:b w:val="0"/>
                <w:bCs w:val="0"/>
                <w:color w:val="auto"/>
                <w:sz w:val="21"/>
                <w:szCs w:val="21"/>
                <w:highlight w:val="none"/>
                <w:u w:val="none"/>
              </w:rPr>
              <w:br w:type="page"/>
            </w:r>
          </w:p>
        </w:tc>
      </w:tr>
      <w:bookmarkEnd w:id="108"/>
      <w:bookmarkEnd w:id="109"/>
    </w:tbl>
    <w:p w14:paraId="7D83D237">
      <w:pPr>
        <w:pStyle w:val="25"/>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lang w:val="en-US"/>
        </w:rPr>
      </w:pPr>
      <w:bookmarkStart w:id="112" w:name="_Toc15942"/>
      <w:bookmarkStart w:id="113" w:name="_Toc2989"/>
      <w:bookmarkStart w:id="114" w:name="_Toc6574"/>
    </w:p>
    <w:p w14:paraId="742A68F0">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14:paraId="23D2A63B">
      <w:pPr>
        <w:pStyle w:val="3"/>
        <w:spacing w:before="0" w:after="0" w:line="360" w:lineRule="auto"/>
        <w:ind w:left="0" w:leftChars="0" w:right="0" w:rightChars="0" w:firstLine="0" w:firstLine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第四章 评审办法</w:t>
      </w:r>
      <w:bookmarkEnd w:id="112"/>
      <w:bookmarkEnd w:id="113"/>
      <w:bookmarkEnd w:id="114"/>
    </w:p>
    <w:p w14:paraId="1EC71C21">
      <w:pPr>
        <w:spacing w:line="400" w:lineRule="exact"/>
        <w:ind w:firstLine="420" w:firstLineChars="200"/>
        <w:rPr>
          <w:rFonts w:hint="eastAsia" w:ascii="宋体" w:hAnsi="宋体" w:eastAsia="宋体" w:cs="宋体"/>
          <w:b/>
          <w:bCs/>
          <w:color w:val="auto"/>
          <w:szCs w:val="21"/>
          <w:highlight w:val="none"/>
        </w:rPr>
      </w:pPr>
      <w:bookmarkStart w:id="115" w:name="_Toc4774"/>
      <w:bookmarkStart w:id="116" w:name="_Toc5351"/>
      <w:bookmarkStart w:id="117" w:name="_Toc17956"/>
      <w:bookmarkStart w:id="118" w:name="_Toc8466"/>
      <w:r>
        <w:rPr>
          <w:rFonts w:hint="eastAsia" w:ascii="宋体" w:hAnsi="宋体" w:eastAsia="宋体" w:cs="宋体"/>
          <w:b/>
          <w:bCs/>
          <w:color w:val="auto"/>
          <w:szCs w:val="21"/>
          <w:highlight w:val="none"/>
        </w:rPr>
        <w:t>一、评标依据及方式</w:t>
      </w:r>
    </w:p>
    <w:p w14:paraId="4DE3F19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评标依据：磋商小组以采购文件和响应文件为评标依据，对投标人的响应文件进行评审。</w:t>
      </w:r>
    </w:p>
    <w:p w14:paraId="2A5EAB4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评标方式：以封闭方式进行评标。</w:t>
      </w:r>
    </w:p>
    <w:p w14:paraId="565D5E3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根据财库〔2012〕69号文规定，采购人和采购代理机构、磋商小组成员要严格遵守政府采购相关法律制度，依法履行各自职责，公正、客观、审慎地组织和参与评审工作。</w:t>
      </w:r>
    </w:p>
    <w:p w14:paraId="0921A723">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w:t>
      </w:r>
      <w:r>
        <w:rPr>
          <w:rFonts w:hint="eastAsia" w:ascii="宋体" w:hAnsi="宋体" w:eastAsia="宋体" w:cs="宋体"/>
          <w:b/>
          <w:bCs/>
          <w:color w:val="auto"/>
          <w:szCs w:val="21"/>
          <w:highlight w:val="none"/>
          <w:lang w:eastAsia="zh-CN"/>
        </w:rPr>
        <w:t>审</w:t>
      </w:r>
      <w:r>
        <w:rPr>
          <w:rFonts w:hint="eastAsia" w:ascii="宋体" w:hAnsi="宋体" w:eastAsia="宋体" w:cs="宋体"/>
          <w:b/>
          <w:bCs/>
          <w:color w:val="auto"/>
          <w:szCs w:val="21"/>
          <w:highlight w:val="none"/>
        </w:rPr>
        <w:t>办法</w:t>
      </w:r>
    </w:p>
    <w:p w14:paraId="7D3B9CF3">
      <w:pPr>
        <w:keepNext/>
        <w:keepLines/>
        <w:spacing w:line="400" w:lineRule="exact"/>
        <w:outlineLvl w:val="1"/>
        <w:rPr>
          <w:rFonts w:hint="eastAsia" w:ascii="宋体" w:hAnsi="宋体" w:eastAsia="宋体" w:cs="宋体"/>
          <w:b w:val="0"/>
          <w:bCs w:val="0"/>
          <w:color w:val="auto"/>
          <w:szCs w:val="21"/>
          <w:highlight w:val="none"/>
        </w:rPr>
      </w:pPr>
      <w:bookmarkStart w:id="119" w:name="OLE_LINK10"/>
      <w:r>
        <w:rPr>
          <w:rFonts w:hint="eastAsia" w:ascii="宋体" w:hAnsi="宋体" w:eastAsia="宋体" w:cs="宋体"/>
          <w:b w:val="0"/>
          <w:bCs w:val="0"/>
          <w:color w:val="auto"/>
          <w:szCs w:val="21"/>
          <w:highlight w:val="none"/>
        </w:rPr>
        <w:t>（1）按照《政府采购促进中小企业发展管理办法》（财库[2020]46号）规定：</w:t>
      </w:r>
    </w:p>
    <w:p w14:paraId="133467F9">
      <w:pPr>
        <w:keepNext/>
        <w:keepLines/>
        <w:spacing w:line="400" w:lineRule="exact"/>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①供应商承接本项目的全部服务且供应商为符合政策要求的小型、微型企业的，其最后报价给予20%的扣除，扣除后的价格为评审报价，即供应商的评审报价=最后报价×（1-20%）；</w:t>
      </w:r>
    </w:p>
    <w:p w14:paraId="31A91375">
      <w:pPr>
        <w:keepNext/>
        <w:keepLines/>
        <w:spacing w:line="400" w:lineRule="exact"/>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②除上述情况外，评审报价=最后报价。</w:t>
      </w:r>
    </w:p>
    <w:p w14:paraId="68A7685C">
      <w:pPr>
        <w:keepNext/>
        <w:keepLines/>
        <w:spacing w:line="400" w:lineRule="exact"/>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注：评审报价为供应商的最后报价进行政策性扣除后的价格，评审报价只是作为评审时使用。最终成交供应商的成交金额＝最后报价。</w:t>
      </w:r>
    </w:p>
    <w:p w14:paraId="04EE5CDE">
      <w:pPr>
        <w:keepNext/>
        <w:keepLines/>
        <w:spacing w:line="400" w:lineRule="exact"/>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监狱企业、残疾人福利性单位属于小型、微型企业的，不重复享受政策。</w:t>
      </w:r>
    </w:p>
    <w:p w14:paraId="6BD435E8">
      <w:pPr>
        <w:keepNext/>
        <w:keepLines/>
        <w:spacing w:line="400" w:lineRule="exact"/>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（3）以进入综合评分环节的最低的评审报价为基准价，基准价报价得分为30分。</w:t>
      </w:r>
    </w:p>
    <w:p w14:paraId="7FC0CB40">
      <w:pPr>
        <w:keepNext/>
        <w:keepLines/>
        <w:spacing w:line="400" w:lineRule="exact"/>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 xml:space="preserve">（4）供应商磋商报价得分=（磋商基准价/供应商的评审报价）×30分。 </w:t>
      </w:r>
    </w:p>
    <w:bookmarkEnd w:id="119"/>
    <w:p w14:paraId="0E78FE27">
      <w:pPr>
        <w:keepNext/>
        <w:keepLines/>
        <w:spacing w:line="400" w:lineRule="exac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1.价格分…………………………………………………………………………………………30分</w:t>
      </w:r>
    </w:p>
    <w:p w14:paraId="69DC997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（1）以进入综合评分环节的最低的评审报价为基准价，基准价报价得分为30分。</w:t>
      </w:r>
    </w:p>
    <w:p w14:paraId="7635EB8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）供应商磋商报价得分=（磋商基准价</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供应商的评审报价）×30分。</w:t>
      </w:r>
    </w:p>
    <w:p w14:paraId="0A13F81E">
      <w:pPr>
        <w:spacing w:line="460" w:lineRule="exact"/>
        <w:ind w:firstLine="420" w:firstLineChars="200"/>
        <w:rPr>
          <w:rFonts w:ascii="宋体" w:hAnsi="宋体" w:cs="宋体"/>
          <w:b/>
          <w:szCs w:val="21"/>
          <w:highlight w:val="none"/>
        </w:rPr>
      </w:pPr>
      <w:r>
        <w:rPr>
          <w:rFonts w:hint="eastAsia" w:ascii="宋体" w:hAnsi="宋体" w:cs="宋体"/>
          <w:b/>
          <w:szCs w:val="21"/>
          <w:highlight w:val="none"/>
          <w:lang w:bidi="ar"/>
        </w:rPr>
        <w:t>2、技术方案分……………………………………………………………………………………28分</w:t>
      </w:r>
    </w:p>
    <w:p w14:paraId="7C0155A1">
      <w:pPr>
        <w:pStyle w:val="18"/>
        <w:widowControl/>
        <w:spacing w:line="460" w:lineRule="exact"/>
        <w:ind w:firstLine="420" w:firstLineChars="200"/>
        <w:rPr>
          <w:rFonts w:hAnsi="宋体" w:cs="宋体"/>
          <w:szCs w:val="21"/>
          <w:highlight w:val="none"/>
        </w:rPr>
      </w:pPr>
      <w:r>
        <w:rPr>
          <w:rFonts w:hint="eastAsia" w:hAnsi="宋体" w:cs="宋体"/>
          <w:szCs w:val="21"/>
          <w:highlight w:val="none"/>
        </w:rPr>
        <w:t>根据磋商供应商提供的技术方案、工作计划，内容包括基本内容和纲要、技术路线、方式方法和成果目标方案、质量保障措施等。</w:t>
      </w:r>
    </w:p>
    <w:p w14:paraId="6C3AF037">
      <w:pPr>
        <w:pStyle w:val="18"/>
        <w:widowControl/>
        <w:spacing w:line="460" w:lineRule="exact"/>
        <w:ind w:firstLine="420" w:firstLineChars="200"/>
        <w:rPr>
          <w:rFonts w:hAnsi="宋体" w:cs="宋体"/>
          <w:szCs w:val="21"/>
          <w:highlight w:val="none"/>
        </w:rPr>
      </w:pPr>
      <w:r>
        <w:rPr>
          <w:rFonts w:hint="eastAsia" w:hAnsi="宋体" w:cs="宋体"/>
          <w:szCs w:val="21"/>
          <w:highlight w:val="none"/>
        </w:rPr>
        <w:t>一档（4分）技术方案、工作计划内容不具体，缺乏先进性和可操作性，无法充分满足项目要求。</w:t>
      </w:r>
    </w:p>
    <w:p w14:paraId="6F504732">
      <w:pPr>
        <w:pStyle w:val="18"/>
        <w:widowControl/>
        <w:spacing w:line="460" w:lineRule="exact"/>
        <w:ind w:firstLine="420" w:firstLineChars="200"/>
        <w:rPr>
          <w:rFonts w:hAnsi="宋体" w:cs="宋体"/>
          <w:szCs w:val="21"/>
          <w:highlight w:val="none"/>
        </w:rPr>
      </w:pPr>
      <w:r>
        <w:rPr>
          <w:rFonts w:hint="eastAsia" w:hAnsi="宋体" w:cs="宋体"/>
          <w:szCs w:val="21"/>
          <w:highlight w:val="none"/>
        </w:rPr>
        <w:t>二档（16分）技术方案、工作计划内容基本完整，较详细描述了，技术方案可行，具有一定的先进性和可操作性，基本满足项目要求，基本能够保证项目质量，方案有较详细描述。</w:t>
      </w:r>
    </w:p>
    <w:p w14:paraId="18AC667A">
      <w:pPr>
        <w:pStyle w:val="18"/>
        <w:widowControl/>
        <w:spacing w:line="460" w:lineRule="exact"/>
        <w:ind w:firstLine="420" w:firstLineChars="200"/>
        <w:rPr>
          <w:rFonts w:hAnsi="宋体" w:cs="宋体"/>
          <w:szCs w:val="21"/>
          <w:highlight w:val="none"/>
        </w:rPr>
      </w:pPr>
      <w:r>
        <w:rPr>
          <w:rFonts w:hint="eastAsia" w:hAnsi="宋体" w:cs="宋体"/>
          <w:szCs w:val="21"/>
          <w:highlight w:val="none"/>
        </w:rPr>
        <w:t>三档（28分）技术方案、工作计划内容具体完善，详细描述了实现方式，完全满足项目要求，措施切实可行，技术方案具有较强的先进性和可操作性，质量保证措施合理，能切实地确保项目质量。技术方案有详细的描述，对本方案所采用的技术优势有充分分析。</w:t>
      </w:r>
    </w:p>
    <w:p w14:paraId="014F2168">
      <w:pPr>
        <w:spacing w:line="460" w:lineRule="exact"/>
        <w:ind w:firstLine="420" w:firstLineChars="200"/>
        <w:rPr>
          <w:rFonts w:ascii="宋体" w:hAnsi="宋体" w:cs="宋体"/>
          <w:b/>
          <w:szCs w:val="21"/>
          <w:highlight w:val="none"/>
        </w:rPr>
      </w:pPr>
      <w:r>
        <w:rPr>
          <w:rFonts w:hint="eastAsia" w:ascii="宋体" w:hAnsi="宋体" w:cs="宋体"/>
          <w:b/>
          <w:szCs w:val="21"/>
          <w:highlight w:val="none"/>
          <w:lang w:bidi="ar"/>
        </w:rPr>
        <w:t>3、对项目的理解分………………………………………………………………………………15分</w:t>
      </w:r>
    </w:p>
    <w:p w14:paraId="1F87CF10">
      <w:pPr>
        <w:pStyle w:val="18"/>
        <w:widowControl/>
        <w:spacing w:line="460" w:lineRule="exact"/>
        <w:ind w:firstLine="420" w:firstLineChars="200"/>
        <w:rPr>
          <w:rFonts w:hAnsi="宋体" w:cs="宋体"/>
          <w:szCs w:val="21"/>
          <w:highlight w:val="none"/>
        </w:rPr>
      </w:pPr>
      <w:r>
        <w:rPr>
          <w:rFonts w:hint="eastAsia" w:hAnsi="宋体" w:cs="宋体"/>
          <w:szCs w:val="21"/>
          <w:highlight w:val="none"/>
        </w:rPr>
        <w:t>一档（5分）对项目背景和基本情况了解一般，对项目涉及的相关政策法律有基本了解，资料掌握情况较少。</w:t>
      </w:r>
    </w:p>
    <w:p w14:paraId="0595F8C2">
      <w:pPr>
        <w:pStyle w:val="18"/>
        <w:widowControl/>
        <w:spacing w:line="460" w:lineRule="exact"/>
        <w:ind w:firstLine="420" w:firstLineChars="200"/>
        <w:rPr>
          <w:rFonts w:hAnsi="宋体" w:cs="宋体"/>
          <w:szCs w:val="21"/>
          <w:highlight w:val="none"/>
        </w:rPr>
      </w:pPr>
      <w:r>
        <w:rPr>
          <w:rFonts w:hint="eastAsia" w:hAnsi="宋体" w:cs="宋体"/>
          <w:szCs w:val="21"/>
          <w:highlight w:val="none"/>
        </w:rPr>
        <w:t>二档（10分）对项目背景和基本情况较为了解，对项目涉及的相关政策法律比较了解，资料掌握情况较完整。</w:t>
      </w:r>
    </w:p>
    <w:p w14:paraId="5F347F7A">
      <w:pPr>
        <w:pStyle w:val="18"/>
        <w:widowControl/>
        <w:spacing w:line="460" w:lineRule="exact"/>
        <w:ind w:firstLine="420" w:firstLineChars="200"/>
        <w:rPr>
          <w:rFonts w:hAnsi="宋体" w:cs="宋体"/>
          <w:szCs w:val="21"/>
          <w:highlight w:val="none"/>
        </w:rPr>
      </w:pPr>
      <w:r>
        <w:rPr>
          <w:rFonts w:hint="eastAsia" w:hAnsi="宋体" w:cs="宋体"/>
          <w:szCs w:val="21"/>
          <w:highlight w:val="none"/>
        </w:rPr>
        <w:t>三档（15分）对项目背景和基本情况理解把握准确，对项目涉及的相关政策法律了解到位，资料掌握详实，能较深入分析项目现状，提出针对项目的见解。</w:t>
      </w:r>
    </w:p>
    <w:p w14:paraId="622CFADC">
      <w:pPr>
        <w:pStyle w:val="18"/>
        <w:spacing w:line="400" w:lineRule="exact"/>
        <w:ind w:left="210" w:leftChars="100" w:firstLine="210" w:firstLineChars="100"/>
        <w:rPr>
          <w:rFonts w:hAnsi="宋体"/>
          <w:b/>
          <w:bCs/>
          <w:szCs w:val="21"/>
          <w:highlight w:val="none"/>
        </w:rPr>
      </w:pPr>
      <w:r>
        <w:rPr>
          <w:rFonts w:hint="eastAsia" w:hAnsi="宋体"/>
          <w:b/>
          <w:bCs/>
          <w:szCs w:val="21"/>
          <w:highlight w:val="none"/>
        </w:rPr>
        <w:t xml:space="preserve">4.人员配置分……………………………………………………………………………………17 分 </w:t>
      </w:r>
    </w:p>
    <w:p w14:paraId="7930BAFA">
      <w:pPr>
        <w:pStyle w:val="18"/>
        <w:widowControl/>
        <w:spacing w:line="460" w:lineRule="exact"/>
        <w:ind w:firstLine="420" w:firstLineChars="200"/>
        <w:rPr>
          <w:rFonts w:hAnsi="宋体" w:cs="宋体"/>
          <w:szCs w:val="21"/>
          <w:highlight w:val="none"/>
        </w:rPr>
      </w:pPr>
      <w:r>
        <w:rPr>
          <w:rFonts w:hint="eastAsia" w:hAnsi="宋体" w:cs="宋体"/>
          <w:kern w:val="0"/>
          <w:highlight w:val="none"/>
        </w:rPr>
        <w:t>（1）</w:t>
      </w:r>
      <w:r>
        <w:rPr>
          <w:rFonts w:hint="eastAsia" w:hAnsi="宋体" w:cs="宋体"/>
          <w:szCs w:val="21"/>
          <w:highlight w:val="none"/>
        </w:rPr>
        <w:t>项目负责人具有水利水电工程相关专业正高职称得3分，具有高级职称得得2分，同时且具有注册土木工程师及咨询工程师（投资）登记证书（专业以技术职称证书所填写专业为准，如技术职称证书不填写专业的，则以毕业证书或执业资格证所填专业为准）的得2分，满分5分。</w:t>
      </w:r>
    </w:p>
    <w:p w14:paraId="5F0F3712">
      <w:pPr>
        <w:pStyle w:val="18"/>
        <w:spacing w:line="340" w:lineRule="exact"/>
        <w:ind w:firstLine="420"/>
        <w:rPr>
          <w:rFonts w:hAnsi="宋体" w:cs="宋体"/>
          <w:kern w:val="0"/>
          <w:highlight w:val="none"/>
        </w:rPr>
      </w:pPr>
      <w:r>
        <w:rPr>
          <w:rFonts w:hint="eastAsia" w:hAnsi="宋体" w:cs="宋体"/>
          <w:kern w:val="0"/>
          <w:highlight w:val="none"/>
        </w:rPr>
        <w:t xml:space="preserve">（须提供有效职称证书复印件及响应文件递交截止时间前半年内任意连续1个月社保证明复印件）。 </w:t>
      </w:r>
    </w:p>
    <w:p w14:paraId="45F0BB8D">
      <w:pPr>
        <w:pStyle w:val="18"/>
        <w:spacing w:line="340" w:lineRule="exact"/>
        <w:ind w:firstLine="420"/>
        <w:rPr>
          <w:rFonts w:hAnsi="宋体" w:cs="宋体"/>
          <w:kern w:val="0"/>
          <w:highlight w:val="none"/>
        </w:rPr>
      </w:pPr>
      <w:r>
        <w:rPr>
          <w:rFonts w:hint="eastAsia" w:hAnsi="宋体" w:cs="宋体"/>
          <w:kern w:val="0"/>
          <w:highlight w:val="none"/>
        </w:rPr>
        <w:t>（2）</w:t>
      </w:r>
      <w:r>
        <w:rPr>
          <w:rFonts w:hint="eastAsia" w:hAnsi="宋体" w:cs="宋体"/>
          <w:szCs w:val="21"/>
          <w:highlight w:val="none"/>
        </w:rPr>
        <w:t>拟投入人员中（不含项目负责人）具有水利水电工程相关专业高级职称的每人得</w:t>
      </w:r>
      <w:r>
        <w:rPr>
          <w:rFonts w:hAnsi="宋体" w:cs="宋体"/>
          <w:szCs w:val="21"/>
          <w:highlight w:val="none"/>
        </w:rPr>
        <w:t>0.5</w:t>
      </w:r>
      <w:r>
        <w:rPr>
          <w:rFonts w:hint="eastAsia" w:hAnsi="宋体" w:cs="宋体"/>
          <w:szCs w:val="21"/>
          <w:highlight w:val="none"/>
        </w:rPr>
        <w:t>分，具有与本项目相关专业正高级职称的每人得</w:t>
      </w:r>
      <w:r>
        <w:rPr>
          <w:rFonts w:hAnsi="宋体" w:cs="宋体"/>
          <w:szCs w:val="21"/>
          <w:highlight w:val="none"/>
        </w:rPr>
        <w:t>1</w:t>
      </w:r>
      <w:r>
        <w:rPr>
          <w:rFonts w:hint="eastAsia" w:hAnsi="宋体" w:cs="宋体"/>
          <w:szCs w:val="21"/>
          <w:highlight w:val="none"/>
        </w:rPr>
        <w:t>分，满分</w:t>
      </w:r>
      <w:r>
        <w:rPr>
          <w:rFonts w:hAnsi="宋体" w:cs="宋体"/>
          <w:szCs w:val="21"/>
          <w:highlight w:val="none"/>
        </w:rPr>
        <w:t>1</w:t>
      </w:r>
      <w:r>
        <w:rPr>
          <w:rFonts w:hint="eastAsia" w:hAnsi="宋体" w:cs="宋体"/>
          <w:szCs w:val="21"/>
          <w:highlight w:val="none"/>
        </w:rPr>
        <w:t>2分。</w:t>
      </w:r>
      <w:r>
        <w:rPr>
          <w:rFonts w:hint="eastAsia" w:hAnsi="宋体" w:cs="宋体"/>
          <w:kern w:val="0"/>
          <w:highlight w:val="none"/>
        </w:rPr>
        <w:t xml:space="preserve"> （须提供有效职称证书、注册证书及响应文件递交截止时间前半年内任意任意1个月社保证明复印件）。 </w:t>
      </w:r>
    </w:p>
    <w:p w14:paraId="1903B177">
      <w:pPr>
        <w:keepNext/>
        <w:keepLines/>
        <w:spacing w:line="400" w:lineRule="exact"/>
        <w:ind w:firstLine="420" w:firstLineChars="200"/>
        <w:outlineLvl w:val="1"/>
        <w:rPr>
          <w:rFonts w:ascii="宋体" w:hAnsi="宋体" w:cs="宋体"/>
          <w:b/>
          <w:bCs/>
          <w:szCs w:val="21"/>
          <w:highlight w:val="none"/>
        </w:rPr>
      </w:pPr>
      <w:r>
        <w:rPr>
          <w:rFonts w:hint="eastAsia" w:ascii="宋体" w:hAnsi="宋体" w:cs="宋体"/>
          <w:b/>
          <w:bCs/>
          <w:szCs w:val="21"/>
          <w:highlight w:val="none"/>
        </w:rPr>
        <w:t>5.业绩分……………………………………………………………………………………………6分</w:t>
      </w:r>
      <w:r>
        <w:rPr>
          <w:rFonts w:hint="eastAsia" w:ascii="宋体" w:hAnsi="宋体" w:cs="宋体"/>
          <w:b/>
          <w:bCs/>
          <w:szCs w:val="21"/>
          <w:highlight w:val="none"/>
        </w:rPr>
        <w:tab/>
      </w:r>
    </w:p>
    <w:p w14:paraId="6928DDE0">
      <w:pPr>
        <w:keepNext/>
        <w:keepLines/>
        <w:spacing w:line="400" w:lineRule="exact"/>
        <w:ind w:firstLine="420" w:firstLineChars="200"/>
        <w:outlineLvl w:val="1"/>
        <w:rPr>
          <w:rFonts w:ascii="宋体" w:hAnsi="宋体" w:cs="宋体"/>
          <w:szCs w:val="21"/>
          <w:highlight w:val="none"/>
        </w:rPr>
      </w:pPr>
      <w:r>
        <w:rPr>
          <w:rFonts w:hint="eastAsia" w:ascii="宋体" w:hAnsi="宋体" w:cs="宋体"/>
          <w:szCs w:val="21"/>
          <w:highlight w:val="none"/>
        </w:rPr>
        <w:t>供应商供应商自2022年1月1日至本项目磋商截止之日止，完成过同类或类似（</w:t>
      </w:r>
      <w:bookmarkStart w:id="120" w:name="OLE_LINK38"/>
      <w:bookmarkStart w:id="121" w:name="OLE_LINK37"/>
      <w:bookmarkStart w:id="122" w:name="OLE_LINK35"/>
      <w:bookmarkStart w:id="123" w:name="OLE_LINK34"/>
      <w:r>
        <w:rPr>
          <w:rFonts w:hint="eastAsia" w:ascii="宋体" w:hAnsi="宋体" w:cs="宋体"/>
          <w:szCs w:val="21"/>
          <w:highlight w:val="none"/>
        </w:rPr>
        <w:t>水网</w:t>
      </w:r>
      <w:bookmarkEnd w:id="120"/>
      <w:bookmarkEnd w:id="121"/>
      <w:r>
        <w:rPr>
          <w:rFonts w:hint="eastAsia" w:hAnsi="宋体" w:cs="宋体"/>
          <w:szCs w:val="21"/>
          <w:highlight w:val="none"/>
        </w:rPr>
        <w:t>规划、</w:t>
      </w:r>
      <w:r>
        <w:rPr>
          <w:rFonts w:hint="eastAsia" w:ascii="宋体" w:hAnsi="宋体" w:cs="宋体"/>
          <w:szCs w:val="21"/>
          <w:highlight w:val="none"/>
        </w:rPr>
        <w:t>水网</w:t>
      </w:r>
      <w:r>
        <w:rPr>
          <w:rFonts w:hint="eastAsia" w:hAnsi="宋体" w:cs="宋体"/>
          <w:szCs w:val="21"/>
          <w:highlight w:val="none"/>
        </w:rPr>
        <w:t>先导区、</w:t>
      </w:r>
      <w:r>
        <w:rPr>
          <w:rFonts w:hint="eastAsia" w:ascii="宋体" w:hAnsi="宋体" w:cs="宋体"/>
          <w:szCs w:val="21"/>
          <w:highlight w:val="none"/>
        </w:rPr>
        <w:t>水网</w:t>
      </w:r>
      <w:r>
        <w:rPr>
          <w:rFonts w:hint="eastAsia" w:hAnsi="宋体" w:cs="宋体"/>
          <w:szCs w:val="21"/>
          <w:highlight w:val="none"/>
        </w:rPr>
        <w:t>建设提升等</w:t>
      </w:r>
      <w:bookmarkEnd w:id="122"/>
      <w:bookmarkEnd w:id="123"/>
      <w:r>
        <w:rPr>
          <w:rFonts w:hint="eastAsia" w:ascii="宋体" w:hAnsi="宋体" w:cs="宋体"/>
          <w:szCs w:val="21"/>
          <w:highlight w:val="none"/>
        </w:rPr>
        <w:t>）的项目相关业绩，每个业绩得1分，满分6分（磋商供应商需附中标通知书或合同复印件，并加盖磋商供应商公章作为计分依据，未提供中标通知书或合同协议书复印件的不得分）。</w:t>
      </w:r>
    </w:p>
    <w:p w14:paraId="392A74D9">
      <w:pPr>
        <w:pStyle w:val="18"/>
        <w:spacing w:line="400" w:lineRule="exact"/>
        <w:ind w:firstLine="420" w:firstLineChars="200"/>
        <w:rPr>
          <w:rFonts w:hAnsi="宋体"/>
          <w:szCs w:val="21"/>
          <w:highlight w:val="none"/>
        </w:rPr>
      </w:pPr>
      <w:r>
        <w:rPr>
          <w:rFonts w:hint="eastAsia" w:hAnsi="宋体" w:cs="宋体"/>
          <w:b/>
          <w:bCs/>
          <w:szCs w:val="21"/>
          <w:highlight w:val="none"/>
        </w:rPr>
        <w:t>6.</w:t>
      </w:r>
      <w:r>
        <w:rPr>
          <w:rFonts w:hint="eastAsia" w:hAnsi="宋体"/>
          <w:b/>
          <w:bCs/>
          <w:szCs w:val="21"/>
          <w:highlight w:val="none"/>
        </w:rPr>
        <w:t>企业实力分……………………………………………………………………………………4 分</w:t>
      </w:r>
      <w:r>
        <w:rPr>
          <w:rFonts w:hint="eastAsia" w:hAnsi="宋体"/>
          <w:szCs w:val="21"/>
          <w:highlight w:val="none"/>
        </w:rPr>
        <w:t xml:space="preserve"> </w:t>
      </w:r>
    </w:p>
    <w:p w14:paraId="6657B25D">
      <w:pPr>
        <w:spacing w:line="380" w:lineRule="exact"/>
        <w:ind w:firstLine="480"/>
        <w:rPr>
          <w:rFonts w:ascii="宋体" w:hAnsi="宋体"/>
          <w:highlight w:val="none"/>
        </w:rPr>
      </w:pPr>
      <w:r>
        <w:rPr>
          <w:rFonts w:hint="eastAsia" w:ascii="宋体" w:hAnsi="宋体"/>
          <w:highlight w:val="none"/>
        </w:rPr>
        <w:t>（1）供应商同时获得</w:t>
      </w:r>
      <w:r>
        <w:rPr>
          <w:rFonts w:hint="eastAsia" w:ascii="宋体" w:hAnsi="宋体"/>
          <w:highlight w:val="none"/>
          <w:lang w:val="zh-CN"/>
        </w:rPr>
        <w:t>《质量管理体系认证证书》、《环境管理体系认证证书》、《职业健康安全管理体系认证证书》</w:t>
      </w:r>
      <w:r>
        <w:rPr>
          <w:rFonts w:hint="eastAsia" w:ascii="宋体" w:hAnsi="宋体"/>
          <w:highlight w:val="none"/>
        </w:rPr>
        <w:t>的得2分，缺其中任意一项得1分，满分2分（需提供有效证书复印件）。</w:t>
      </w:r>
    </w:p>
    <w:p w14:paraId="5DAA836D">
      <w:pPr>
        <w:keepNext/>
        <w:keepLines/>
        <w:spacing w:line="400" w:lineRule="exact"/>
        <w:ind w:firstLine="420" w:firstLineChars="200"/>
        <w:outlineLvl w:val="1"/>
        <w:rPr>
          <w:rFonts w:hAnsi="宋体" w:cs="宋体"/>
          <w:szCs w:val="21"/>
          <w:highlight w:val="none"/>
        </w:rPr>
      </w:pPr>
      <w:r>
        <w:rPr>
          <w:rFonts w:hint="eastAsia" w:ascii="宋体" w:hAnsi="宋体"/>
          <w:highlight w:val="none"/>
        </w:rPr>
        <w:t>（2）投标人获得2022年度以来中</w:t>
      </w:r>
      <w:r>
        <w:rPr>
          <w:rFonts w:hint="eastAsia" w:hAnsi="宋体" w:cs="宋体"/>
          <w:szCs w:val="21"/>
          <w:highlight w:val="none"/>
        </w:rPr>
        <w:t>以来（以证书注明时间为准），获得省（自治区、直辖市）优秀工程成果奖的，每项得</w:t>
      </w:r>
      <w:r>
        <w:rPr>
          <w:rFonts w:hAnsi="宋体" w:cs="宋体"/>
          <w:szCs w:val="21"/>
          <w:highlight w:val="none"/>
        </w:rPr>
        <w:t>0.5</w:t>
      </w:r>
      <w:r>
        <w:rPr>
          <w:rFonts w:hint="eastAsia" w:hAnsi="宋体" w:cs="宋体"/>
          <w:szCs w:val="21"/>
          <w:highlight w:val="none"/>
        </w:rPr>
        <w:t>分；获全国优秀工程咨询成果奖类奖项的，每项得</w:t>
      </w:r>
      <w:r>
        <w:rPr>
          <w:rFonts w:hAnsi="宋体" w:cs="宋体"/>
          <w:szCs w:val="21"/>
          <w:highlight w:val="none"/>
        </w:rPr>
        <w:t>1</w:t>
      </w:r>
      <w:r>
        <w:rPr>
          <w:rFonts w:hint="eastAsia" w:hAnsi="宋体" w:cs="宋体"/>
          <w:szCs w:val="21"/>
          <w:highlight w:val="none"/>
        </w:rPr>
        <w:t>分，本项满分2分。</w:t>
      </w:r>
    </w:p>
    <w:p w14:paraId="194C362D">
      <w:pPr>
        <w:keepNext/>
        <w:keepLines/>
        <w:spacing w:line="400" w:lineRule="exact"/>
        <w:ind w:firstLine="420" w:firstLineChars="200"/>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7.总得分=1+2+3+4+5+6</w:t>
      </w:r>
    </w:p>
    <w:p w14:paraId="6953C653">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三、推荐及确定中标候选供应商原则</w:t>
      </w:r>
    </w:p>
    <w:p w14:paraId="478CCF39">
      <w:pPr>
        <w:pStyle w:val="18"/>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根据综合得分由高到低排列次序，若得分相同时，以评审报价由低到高顺序排列；若得分相同且评审报价相同的，以最后报价由低到高顺序排列；若仍相同的，由磋商小组按照抽签的方式决定排列次序</w:t>
      </w:r>
      <w:r>
        <w:rPr>
          <w:b w:val="0"/>
          <w:bCs w:val="0"/>
          <w:color w:val="auto"/>
          <w:spacing w:val="2"/>
          <w:w w:val="100"/>
          <w:highlight w:val="none"/>
        </w:rPr>
        <w:t>；</w:t>
      </w:r>
      <w:r>
        <w:rPr>
          <w:b w:val="0"/>
          <w:bCs w:val="0"/>
          <w:color w:val="auto"/>
          <w:spacing w:val="-1"/>
          <w:w w:val="100"/>
          <w:highlight w:val="none"/>
        </w:rPr>
        <w:t>若</w:t>
      </w:r>
      <w:r>
        <w:rPr>
          <w:b w:val="0"/>
          <w:bCs w:val="0"/>
          <w:color w:val="auto"/>
          <w:spacing w:val="2"/>
          <w:w w:val="100"/>
          <w:highlight w:val="none"/>
        </w:rPr>
        <w:t>仍</w:t>
      </w:r>
      <w:r>
        <w:rPr>
          <w:b w:val="0"/>
          <w:bCs w:val="0"/>
          <w:color w:val="auto"/>
          <w:spacing w:val="-1"/>
          <w:w w:val="100"/>
          <w:highlight w:val="none"/>
        </w:rPr>
        <w:t>相</w:t>
      </w:r>
      <w:r>
        <w:rPr>
          <w:b w:val="0"/>
          <w:bCs w:val="0"/>
          <w:color w:val="auto"/>
          <w:spacing w:val="2"/>
          <w:w w:val="100"/>
          <w:highlight w:val="none"/>
        </w:rPr>
        <w:t>同</w:t>
      </w:r>
      <w:r>
        <w:rPr>
          <w:b w:val="0"/>
          <w:bCs w:val="0"/>
          <w:color w:val="auto"/>
          <w:spacing w:val="-1"/>
          <w:w w:val="100"/>
          <w:highlight w:val="none"/>
        </w:rPr>
        <w:t>的</w:t>
      </w:r>
      <w:r>
        <w:rPr>
          <w:b w:val="0"/>
          <w:bCs w:val="0"/>
          <w:color w:val="auto"/>
          <w:spacing w:val="2"/>
          <w:w w:val="100"/>
          <w:highlight w:val="none"/>
        </w:rPr>
        <w:t>，</w:t>
      </w:r>
      <w:r>
        <w:rPr>
          <w:b w:val="0"/>
          <w:bCs w:val="0"/>
          <w:color w:val="auto"/>
          <w:spacing w:val="-1"/>
          <w:w w:val="100"/>
          <w:highlight w:val="none"/>
        </w:rPr>
        <w:t>以</w:t>
      </w:r>
      <w:r>
        <w:rPr>
          <w:b w:val="0"/>
          <w:bCs w:val="0"/>
          <w:color w:val="auto"/>
          <w:spacing w:val="2"/>
          <w:w w:val="100"/>
          <w:highlight w:val="none"/>
        </w:rPr>
        <w:t>项</w:t>
      </w:r>
      <w:r>
        <w:rPr>
          <w:b w:val="0"/>
          <w:bCs w:val="0"/>
          <w:color w:val="auto"/>
          <w:spacing w:val="-1"/>
          <w:w w:val="100"/>
          <w:highlight w:val="none"/>
        </w:rPr>
        <w:t>目</w:t>
      </w:r>
      <w:r>
        <w:rPr>
          <w:rFonts w:hint="eastAsia"/>
          <w:b w:val="0"/>
          <w:bCs w:val="0"/>
          <w:color w:val="auto"/>
          <w:spacing w:val="-1"/>
          <w:w w:val="100"/>
          <w:highlight w:val="none"/>
          <w:lang w:eastAsia="zh-CN"/>
        </w:rPr>
        <w:t>实施及服务</w:t>
      </w:r>
      <w:r>
        <w:rPr>
          <w:b w:val="0"/>
          <w:bCs w:val="0"/>
          <w:color w:val="auto"/>
          <w:spacing w:val="2"/>
          <w:w w:val="100"/>
          <w:highlight w:val="none"/>
        </w:rPr>
        <w:t>方</w:t>
      </w:r>
      <w:r>
        <w:rPr>
          <w:b w:val="0"/>
          <w:bCs w:val="0"/>
          <w:color w:val="auto"/>
          <w:spacing w:val="-1"/>
          <w:w w:val="100"/>
          <w:highlight w:val="none"/>
        </w:rPr>
        <w:t>案</w:t>
      </w:r>
      <w:r>
        <w:rPr>
          <w:b w:val="0"/>
          <w:bCs w:val="0"/>
          <w:color w:val="auto"/>
          <w:spacing w:val="2"/>
          <w:w w:val="100"/>
          <w:highlight w:val="none"/>
        </w:rPr>
        <w:t>分</w:t>
      </w:r>
      <w:r>
        <w:rPr>
          <w:b w:val="0"/>
          <w:bCs w:val="0"/>
          <w:color w:val="auto"/>
          <w:spacing w:val="-1"/>
          <w:w w:val="100"/>
          <w:highlight w:val="none"/>
        </w:rPr>
        <w:t>由</w:t>
      </w:r>
      <w:r>
        <w:rPr>
          <w:rFonts w:hint="eastAsia"/>
          <w:b w:val="0"/>
          <w:bCs w:val="0"/>
          <w:color w:val="auto"/>
          <w:spacing w:val="-1"/>
          <w:w w:val="100"/>
          <w:highlight w:val="none"/>
          <w:lang w:eastAsia="zh-CN"/>
        </w:rPr>
        <w:t>高</w:t>
      </w:r>
      <w:r>
        <w:rPr>
          <w:b w:val="0"/>
          <w:bCs w:val="0"/>
          <w:color w:val="auto"/>
          <w:spacing w:val="-1"/>
          <w:w w:val="100"/>
          <w:highlight w:val="none"/>
        </w:rPr>
        <w:t>到</w:t>
      </w:r>
      <w:r>
        <w:rPr>
          <w:rFonts w:hint="eastAsia"/>
          <w:b w:val="0"/>
          <w:bCs w:val="0"/>
          <w:color w:val="auto"/>
          <w:spacing w:val="-1"/>
          <w:w w:val="100"/>
          <w:highlight w:val="none"/>
          <w:lang w:eastAsia="zh-CN"/>
        </w:rPr>
        <w:t>低</w:t>
      </w:r>
      <w:r>
        <w:rPr>
          <w:b w:val="0"/>
          <w:bCs w:val="0"/>
          <w:color w:val="auto"/>
          <w:spacing w:val="-1"/>
          <w:w w:val="100"/>
          <w:highlight w:val="none"/>
        </w:rPr>
        <w:t>顺</w:t>
      </w:r>
      <w:r>
        <w:rPr>
          <w:b w:val="0"/>
          <w:bCs w:val="0"/>
          <w:color w:val="auto"/>
          <w:spacing w:val="2"/>
          <w:w w:val="100"/>
          <w:highlight w:val="none"/>
        </w:rPr>
        <w:t>序</w:t>
      </w:r>
      <w:r>
        <w:rPr>
          <w:b w:val="0"/>
          <w:bCs w:val="0"/>
          <w:color w:val="auto"/>
          <w:spacing w:val="-1"/>
          <w:w w:val="100"/>
          <w:highlight w:val="none"/>
        </w:rPr>
        <w:t>排</w:t>
      </w:r>
      <w:r>
        <w:rPr>
          <w:b w:val="0"/>
          <w:bCs w:val="0"/>
          <w:color w:val="auto"/>
          <w:spacing w:val="2"/>
          <w:w w:val="100"/>
          <w:highlight w:val="none"/>
        </w:rPr>
        <w:t>列</w:t>
      </w:r>
      <w:r>
        <w:rPr>
          <w:b w:val="0"/>
          <w:bCs w:val="0"/>
          <w:color w:val="auto"/>
          <w:spacing w:val="0"/>
          <w:w w:val="100"/>
          <w:highlight w:val="none"/>
        </w:rPr>
        <w:t>。</w:t>
      </w:r>
    </w:p>
    <w:p w14:paraId="0D2D8867">
      <w:pPr>
        <w:pStyle w:val="18"/>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（2）磋商小组可推荐前三名为中标候选人，采购人应当确定磋商小组推荐排名第一的中标候选人为中标人。</w:t>
      </w:r>
    </w:p>
    <w:p w14:paraId="07D878AA">
      <w:pPr>
        <w:pStyle w:val="18"/>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名第一的中标候选人放弃中标、因不可抗力提出不能履行合同，或者采购文件规定应当提交履约保证金而在规定的期限内未能提交的，或因失信行为被取消中标候选人资格的，采购人可以确定排名第二的中标候选人为中标人，并依此类推。</w:t>
      </w:r>
    </w:p>
    <w:p w14:paraId="6FE31AD8">
      <w:pPr>
        <w:spacing w:line="360" w:lineRule="exact"/>
        <w:ind w:firstLine="424" w:firstLineChars="20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四、特别说明</w:t>
      </w:r>
    </w:p>
    <w:p w14:paraId="00F47D27">
      <w:pPr>
        <w:spacing w:line="36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w:t>
      </w:r>
      <w:r>
        <w:rPr>
          <w:rFonts w:hint="eastAsia" w:ascii="宋体" w:hAnsi="宋体" w:cs="宋体"/>
          <w:b/>
          <w:bCs/>
          <w:color w:val="auto"/>
          <w:szCs w:val="21"/>
          <w:highlight w:val="none"/>
          <w:lang w:val="en-US" w:eastAsia="zh-CN"/>
        </w:rPr>
        <w:t>审小组</w:t>
      </w:r>
      <w:r>
        <w:rPr>
          <w:rFonts w:hint="eastAsia" w:ascii="宋体" w:hAnsi="宋体" w:eastAsia="宋体" w:cs="宋体"/>
          <w:b/>
          <w:bCs/>
          <w:color w:val="auto"/>
          <w:szCs w:val="21"/>
          <w:highlight w:val="none"/>
        </w:rPr>
        <w:t>认为</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rPr>
        <w:t>的报价明显低于其它通过符合性审查</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rPr>
        <w:t>的报价，有可能影响</w:t>
      </w:r>
      <w:r>
        <w:rPr>
          <w:rFonts w:hint="eastAsia" w:ascii="宋体" w:hAnsi="宋体" w:eastAsia="宋体" w:cs="宋体"/>
          <w:b/>
          <w:bCs/>
          <w:color w:val="auto"/>
          <w:szCs w:val="21"/>
          <w:highlight w:val="none"/>
          <w:lang w:eastAsia="zh-CN"/>
        </w:rPr>
        <w:t>服务</w:t>
      </w:r>
      <w:r>
        <w:rPr>
          <w:rFonts w:hint="eastAsia" w:ascii="宋体" w:hAnsi="宋体" w:eastAsia="宋体" w:cs="宋体"/>
          <w:b/>
          <w:bCs/>
          <w:color w:val="auto"/>
          <w:szCs w:val="21"/>
          <w:highlight w:val="none"/>
        </w:rPr>
        <w:t>质量或者不能诚信履约的，应当要求其在评标现场合理的时间内提供书面说明，必要时提交相关证明材料；</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rPr>
        <w:t>不能证明其报价合理性的，评</w:t>
      </w:r>
      <w:r>
        <w:rPr>
          <w:rFonts w:hint="eastAsia" w:ascii="宋体" w:hAnsi="宋体" w:cs="宋体"/>
          <w:b/>
          <w:bCs/>
          <w:color w:val="auto"/>
          <w:szCs w:val="21"/>
          <w:highlight w:val="none"/>
          <w:lang w:val="en-US" w:eastAsia="zh-CN"/>
        </w:rPr>
        <w:t>审小组</w:t>
      </w:r>
      <w:r>
        <w:rPr>
          <w:rFonts w:hint="eastAsia" w:ascii="宋体" w:hAnsi="宋体" w:eastAsia="宋体" w:cs="宋体"/>
          <w:b/>
          <w:bCs/>
          <w:color w:val="auto"/>
          <w:szCs w:val="21"/>
          <w:highlight w:val="none"/>
        </w:rPr>
        <w:t>应当将其作为无效</w:t>
      </w:r>
      <w:r>
        <w:rPr>
          <w:rFonts w:hint="eastAsia" w:ascii="宋体" w:hAnsi="宋体" w:cs="宋体"/>
          <w:b/>
          <w:bCs/>
          <w:color w:val="auto"/>
          <w:szCs w:val="21"/>
          <w:highlight w:val="none"/>
          <w:lang w:val="en-US" w:eastAsia="zh-CN"/>
        </w:rPr>
        <w:t>响应</w:t>
      </w:r>
      <w:r>
        <w:rPr>
          <w:rFonts w:hint="eastAsia" w:ascii="宋体" w:hAnsi="宋体" w:eastAsia="宋体" w:cs="宋体"/>
          <w:b/>
          <w:bCs/>
          <w:color w:val="auto"/>
          <w:szCs w:val="21"/>
          <w:highlight w:val="none"/>
        </w:rPr>
        <w:t>处理。</w:t>
      </w:r>
    </w:p>
    <w:p w14:paraId="70E7F884">
      <w:pPr>
        <w:spacing w:line="400" w:lineRule="exact"/>
        <w:ind w:firstLine="420" w:firstLineChars="200"/>
        <w:jc w:val="center"/>
        <w:rPr>
          <w:rFonts w:hint="eastAsia" w:ascii="宋体" w:hAnsi="宋体" w:eastAsia="宋体" w:cs="宋体"/>
          <w:b w:val="0"/>
          <w:bCs w:val="0"/>
          <w:color w:val="auto"/>
          <w:sz w:val="32"/>
          <w:szCs w:val="32"/>
          <w:highlight w:val="none"/>
        </w:rPr>
      </w:pPr>
      <w:r>
        <w:rPr>
          <w:rFonts w:hint="eastAsia" w:ascii="宋体" w:hAnsi="宋体" w:eastAsia="宋体" w:cs="宋体"/>
          <w:b/>
          <w:bCs/>
          <w:color w:val="auto"/>
          <w:szCs w:val="21"/>
          <w:highlight w:val="none"/>
        </w:rPr>
        <w:br w:type="page"/>
      </w:r>
      <w:r>
        <w:rPr>
          <w:rFonts w:hint="eastAsia" w:ascii="宋体" w:hAnsi="宋体" w:eastAsia="宋体" w:cs="宋体"/>
          <w:b w:val="0"/>
          <w:bCs w:val="0"/>
          <w:color w:val="auto"/>
          <w:sz w:val="32"/>
          <w:szCs w:val="32"/>
          <w:highlight w:val="none"/>
        </w:rPr>
        <w:t>第五章 采购合同（合同主要条款及格式）</w:t>
      </w:r>
      <w:bookmarkEnd w:id="115"/>
      <w:bookmarkEnd w:id="116"/>
      <w:bookmarkEnd w:id="117"/>
      <w:bookmarkEnd w:id="118"/>
    </w:p>
    <w:p w14:paraId="305D8064">
      <w:pPr>
        <w:spacing w:line="420" w:lineRule="exact"/>
        <w:jc w:val="center"/>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合同编号：</w:t>
      </w:r>
      <w:r>
        <w:rPr>
          <w:rFonts w:hint="eastAsia" w:ascii="宋体" w:hAnsi="宋体" w:cs="宋体"/>
          <w:color w:val="auto"/>
          <w:sz w:val="21"/>
          <w:szCs w:val="21"/>
          <w:highlight w:val="none"/>
          <w:u w:val="single"/>
          <w:lang w:val="en-US" w:eastAsia="zh-CN"/>
        </w:rPr>
        <w:t xml:space="preserve">           </w:t>
      </w:r>
    </w:p>
    <w:p w14:paraId="74C583EA">
      <w:pPr>
        <w:spacing w:line="4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恭城县水网建设规划</w:t>
      </w:r>
    </w:p>
    <w:p w14:paraId="67227C0E">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GLZC2025-C3-320022-AHHP</w:t>
      </w:r>
    </w:p>
    <w:p w14:paraId="3513F91E">
      <w:pPr>
        <w:spacing w:line="36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甲方：</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rPr>
        <w:t>（采购人）</w:t>
      </w:r>
    </w:p>
    <w:p w14:paraId="3ADC3424">
      <w:pPr>
        <w:spacing w:line="36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乙方：</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rPr>
        <w:t>（成交供应商）</w:t>
      </w:r>
    </w:p>
    <w:p w14:paraId="5D7E9DFD">
      <w:pPr>
        <w:spacing w:line="40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14:paraId="5DA5B8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w:t>
      </w:r>
      <w:r>
        <w:rPr>
          <w:rFonts w:hint="eastAsia" w:ascii="宋体" w:hAnsi="宋体" w:eastAsia="宋体" w:cs="宋体"/>
          <w:b/>
          <w:bCs/>
          <w:color w:val="auto"/>
          <w:sz w:val="21"/>
          <w:szCs w:val="21"/>
          <w:highlight w:val="none"/>
        </w:rPr>
        <w:tab/>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合同标的及合同价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2736"/>
        <w:gridCol w:w="1880"/>
        <w:gridCol w:w="1880"/>
        <w:gridCol w:w="1881"/>
      </w:tblGrid>
      <w:tr w14:paraId="3A6B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14:paraId="00F1948A">
            <w:pPr>
              <w:spacing w:line="400" w:lineRule="exact"/>
              <w:jc w:val="center"/>
              <w:rPr>
                <w:rFonts w:hint="eastAsia" w:ascii="宋体" w:hAnsi="宋体" w:eastAsia="宋体" w:cs="宋体"/>
                <w:color w:val="auto"/>
                <w:sz w:val="22"/>
                <w:szCs w:val="28"/>
                <w:highlight w:val="none"/>
                <w:vertAlign w:val="baseline"/>
              </w:rPr>
            </w:pPr>
            <w:r>
              <w:rPr>
                <w:rFonts w:ascii="宋体" w:hAnsi="宋体" w:eastAsia="宋体" w:cs="宋体"/>
                <w:b w:val="0"/>
                <w:bCs w:val="0"/>
                <w:color w:val="auto"/>
                <w:spacing w:val="-1"/>
                <w:w w:val="100"/>
                <w:sz w:val="21"/>
                <w:szCs w:val="21"/>
                <w:highlight w:val="none"/>
              </w:rPr>
              <w:t>项</w:t>
            </w:r>
            <w:r>
              <w:rPr>
                <w:rFonts w:ascii="宋体" w:hAnsi="宋体" w:eastAsia="宋体" w:cs="宋体"/>
                <w:b w:val="0"/>
                <w:bCs w:val="0"/>
                <w:color w:val="auto"/>
                <w:spacing w:val="0"/>
                <w:w w:val="100"/>
                <w:sz w:val="21"/>
                <w:szCs w:val="21"/>
                <w:highlight w:val="none"/>
              </w:rPr>
              <w:t>号</w:t>
            </w:r>
          </w:p>
        </w:tc>
        <w:tc>
          <w:tcPr>
            <w:tcW w:w="2736" w:type="dxa"/>
          </w:tcPr>
          <w:p w14:paraId="64F025C5">
            <w:pPr>
              <w:spacing w:line="400" w:lineRule="exact"/>
              <w:jc w:val="center"/>
              <w:rPr>
                <w:rFonts w:hint="eastAsia" w:ascii="宋体" w:hAnsi="宋体" w:eastAsia="宋体" w:cs="宋体"/>
                <w:color w:val="auto"/>
                <w:sz w:val="22"/>
                <w:szCs w:val="28"/>
                <w:highlight w:val="none"/>
                <w:vertAlign w:val="baseline"/>
              </w:rPr>
            </w:pPr>
            <w:r>
              <w:rPr>
                <w:rFonts w:ascii="宋体" w:hAnsi="宋体" w:eastAsia="宋体" w:cs="宋体"/>
                <w:b w:val="0"/>
                <w:bCs w:val="0"/>
                <w:color w:val="auto"/>
                <w:spacing w:val="-1"/>
                <w:w w:val="100"/>
                <w:sz w:val="21"/>
                <w:szCs w:val="21"/>
                <w:highlight w:val="none"/>
              </w:rPr>
              <w:t>服</w:t>
            </w:r>
            <w:r>
              <w:rPr>
                <w:rFonts w:ascii="宋体" w:hAnsi="宋体" w:eastAsia="宋体" w:cs="宋体"/>
                <w:b w:val="0"/>
                <w:bCs w:val="0"/>
                <w:color w:val="auto"/>
                <w:spacing w:val="2"/>
                <w:w w:val="100"/>
                <w:sz w:val="21"/>
                <w:szCs w:val="21"/>
                <w:highlight w:val="none"/>
              </w:rPr>
              <w:t>务</w:t>
            </w:r>
            <w:r>
              <w:rPr>
                <w:rFonts w:ascii="宋体" w:hAnsi="宋体" w:eastAsia="宋体" w:cs="宋体"/>
                <w:b w:val="0"/>
                <w:bCs w:val="0"/>
                <w:color w:val="auto"/>
                <w:spacing w:val="-1"/>
                <w:w w:val="100"/>
                <w:sz w:val="21"/>
                <w:szCs w:val="21"/>
                <w:highlight w:val="none"/>
              </w:rPr>
              <w:t>名</w:t>
            </w:r>
            <w:r>
              <w:rPr>
                <w:rFonts w:ascii="宋体" w:hAnsi="宋体" w:eastAsia="宋体" w:cs="宋体"/>
                <w:b w:val="0"/>
                <w:bCs w:val="0"/>
                <w:color w:val="auto"/>
                <w:spacing w:val="0"/>
                <w:w w:val="100"/>
                <w:sz w:val="21"/>
                <w:szCs w:val="21"/>
                <w:highlight w:val="none"/>
              </w:rPr>
              <w:t>称</w:t>
            </w:r>
          </w:p>
        </w:tc>
        <w:tc>
          <w:tcPr>
            <w:tcW w:w="1880" w:type="dxa"/>
          </w:tcPr>
          <w:p w14:paraId="319B6168">
            <w:pPr>
              <w:spacing w:line="400" w:lineRule="exact"/>
              <w:jc w:val="center"/>
              <w:rPr>
                <w:rFonts w:hint="eastAsia" w:ascii="宋体" w:hAnsi="宋体" w:eastAsia="宋体" w:cs="宋体"/>
                <w:color w:val="auto"/>
                <w:sz w:val="22"/>
                <w:szCs w:val="28"/>
                <w:highlight w:val="none"/>
                <w:vertAlign w:val="baseline"/>
              </w:rPr>
            </w:pPr>
            <w:r>
              <w:rPr>
                <w:rFonts w:ascii="宋体" w:hAnsi="宋体" w:eastAsia="宋体" w:cs="宋体"/>
                <w:b w:val="0"/>
                <w:bCs w:val="0"/>
                <w:color w:val="auto"/>
                <w:spacing w:val="-1"/>
                <w:w w:val="100"/>
                <w:sz w:val="21"/>
                <w:szCs w:val="21"/>
                <w:highlight w:val="none"/>
              </w:rPr>
              <w:t>服</w:t>
            </w:r>
            <w:r>
              <w:rPr>
                <w:rFonts w:ascii="宋体" w:hAnsi="宋体" w:eastAsia="宋体" w:cs="宋体"/>
                <w:b w:val="0"/>
                <w:bCs w:val="0"/>
                <w:color w:val="auto"/>
                <w:spacing w:val="2"/>
                <w:w w:val="100"/>
                <w:sz w:val="21"/>
                <w:szCs w:val="21"/>
                <w:highlight w:val="none"/>
              </w:rPr>
              <w:t>务</w:t>
            </w:r>
            <w:r>
              <w:rPr>
                <w:rFonts w:ascii="宋体" w:hAnsi="宋体" w:eastAsia="宋体" w:cs="宋体"/>
                <w:b w:val="0"/>
                <w:bCs w:val="0"/>
                <w:color w:val="auto"/>
                <w:spacing w:val="-1"/>
                <w:w w:val="100"/>
                <w:sz w:val="21"/>
                <w:szCs w:val="21"/>
                <w:highlight w:val="none"/>
              </w:rPr>
              <w:t>内</w:t>
            </w:r>
            <w:r>
              <w:rPr>
                <w:rFonts w:ascii="宋体" w:hAnsi="宋体" w:eastAsia="宋体" w:cs="宋体"/>
                <w:b w:val="0"/>
                <w:bCs w:val="0"/>
                <w:color w:val="auto"/>
                <w:spacing w:val="0"/>
                <w:w w:val="100"/>
                <w:sz w:val="21"/>
                <w:szCs w:val="21"/>
                <w:highlight w:val="none"/>
              </w:rPr>
              <w:t>容</w:t>
            </w:r>
          </w:p>
        </w:tc>
        <w:tc>
          <w:tcPr>
            <w:tcW w:w="1880" w:type="dxa"/>
          </w:tcPr>
          <w:p w14:paraId="43AFE2F9">
            <w:pPr>
              <w:spacing w:line="400" w:lineRule="exact"/>
              <w:jc w:val="center"/>
              <w:rPr>
                <w:rFonts w:hint="eastAsia" w:ascii="宋体" w:hAnsi="宋体" w:eastAsia="宋体" w:cs="宋体"/>
                <w:color w:val="auto"/>
                <w:sz w:val="22"/>
                <w:szCs w:val="28"/>
                <w:highlight w:val="none"/>
                <w:vertAlign w:val="baseline"/>
              </w:rPr>
            </w:pPr>
            <w:r>
              <w:rPr>
                <w:rFonts w:ascii="宋体" w:hAnsi="宋体" w:eastAsia="宋体" w:cs="宋体"/>
                <w:b w:val="0"/>
                <w:bCs w:val="0"/>
                <w:color w:val="auto"/>
                <w:spacing w:val="-1"/>
                <w:w w:val="100"/>
                <w:sz w:val="21"/>
                <w:szCs w:val="21"/>
                <w:highlight w:val="none"/>
              </w:rPr>
              <w:t>合</w:t>
            </w:r>
            <w:r>
              <w:rPr>
                <w:rFonts w:ascii="宋体" w:hAnsi="宋体" w:eastAsia="宋体" w:cs="宋体"/>
                <w:b w:val="0"/>
                <w:bCs w:val="0"/>
                <w:color w:val="auto"/>
                <w:spacing w:val="2"/>
                <w:w w:val="100"/>
                <w:sz w:val="21"/>
                <w:szCs w:val="21"/>
                <w:highlight w:val="none"/>
              </w:rPr>
              <w:t>同</w:t>
            </w:r>
            <w:r>
              <w:rPr>
                <w:rFonts w:ascii="宋体" w:hAnsi="宋体" w:eastAsia="宋体" w:cs="宋体"/>
                <w:b w:val="0"/>
                <w:bCs w:val="0"/>
                <w:color w:val="auto"/>
                <w:spacing w:val="-1"/>
                <w:w w:val="100"/>
                <w:sz w:val="21"/>
                <w:szCs w:val="21"/>
                <w:highlight w:val="none"/>
              </w:rPr>
              <w:t>履</w:t>
            </w:r>
            <w:r>
              <w:rPr>
                <w:rFonts w:ascii="宋体" w:hAnsi="宋体" w:eastAsia="宋体" w:cs="宋体"/>
                <w:b w:val="0"/>
                <w:bCs w:val="0"/>
                <w:color w:val="auto"/>
                <w:spacing w:val="2"/>
                <w:w w:val="100"/>
                <w:sz w:val="21"/>
                <w:szCs w:val="21"/>
                <w:highlight w:val="none"/>
              </w:rPr>
              <w:t>行</w:t>
            </w:r>
            <w:r>
              <w:rPr>
                <w:rFonts w:ascii="宋体" w:hAnsi="宋体" w:eastAsia="宋体" w:cs="宋体"/>
                <w:b w:val="0"/>
                <w:bCs w:val="0"/>
                <w:color w:val="auto"/>
                <w:spacing w:val="-1"/>
                <w:w w:val="100"/>
                <w:sz w:val="21"/>
                <w:szCs w:val="21"/>
                <w:highlight w:val="none"/>
              </w:rPr>
              <w:t>期</w:t>
            </w:r>
            <w:r>
              <w:rPr>
                <w:rFonts w:ascii="宋体" w:hAnsi="宋体" w:eastAsia="宋体" w:cs="宋体"/>
                <w:b w:val="0"/>
                <w:bCs w:val="0"/>
                <w:color w:val="auto"/>
                <w:spacing w:val="0"/>
                <w:w w:val="100"/>
                <w:sz w:val="21"/>
                <w:szCs w:val="21"/>
                <w:highlight w:val="none"/>
              </w:rPr>
              <w:t>限</w:t>
            </w:r>
          </w:p>
        </w:tc>
        <w:tc>
          <w:tcPr>
            <w:tcW w:w="1881" w:type="dxa"/>
          </w:tcPr>
          <w:p w14:paraId="781C310D">
            <w:pPr>
              <w:spacing w:line="400" w:lineRule="exact"/>
              <w:jc w:val="center"/>
              <w:rPr>
                <w:rFonts w:hint="eastAsia" w:ascii="宋体" w:hAnsi="宋体" w:eastAsia="宋体" w:cs="宋体"/>
                <w:color w:val="auto"/>
                <w:sz w:val="22"/>
                <w:szCs w:val="28"/>
                <w:highlight w:val="none"/>
                <w:vertAlign w:val="baseline"/>
                <w:lang w:eastAsia="zh-CN"/>
              </w:rPr>
            </w:pPr>
            <w:r>
              <w:rPr>
                <w:rFonts w:hint="eastAsia" w:ascii="宋体" w:hAnsi="宋体" w:cs="宋体"/>
                <w:b w:val="0"/>
                <w:bCs w:val="0"/>
                <w:color w:val="auto"/>
                <w:spacing w:val="-1"/>
                <w:w w:val="100"/>
                <w:sz w:val="21"/>
                <w:szCs w:val="21"/>
                <w:highlight w:val="none"/>
                <w:lang w:eastAsia="zh-CN"/>
              </w:rPr>
              <w:t>金额</w:t>
            </w:r>
          </w:p>
        </w:tc>
      </w:tr>
      <w:tr w14:paraId="20C8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14:paraId="1F7711DC">
            <w:pPr>
              <w:spacing w:line="400" w:lineRule="exact"/>
              <w:jc w:val="center"/>
              <w:rPr>
                <w:rFonts w:hint="eastAsia" w:ascii="宋体" w:hAnsi="宋体" w:eastAsia="宋体" w:cs="宋体"/>
                <w:color w:val="auto"/>
                <w:sz w:val="22"/>
                <w:szCs w:val="28"/>
                <w:highlight w:val="none"/>
                <w:vertAlign w:val="baseline"/>
              </w:rPr>
            </w:pPr>
          </w:p>
        </w:tc>
        <w:tc>
          <w:tcPr>
            <w:tcW w:w="2736" w:type="dxa"/>
          </w:tcPr>
          <w:p w14:paraId="36F2A928">
            <w:pPr>
              <w:spacing w:line="400" w:lineRule="exact"/>
              <w:jc w:val="center"/>
              <w:rPr>
                <w:rFonts w:hint="eastAsia" w:ascii="宋体" w:hAnsi="宋体" w:eastAsia="宋体" w:cs="宋体"/>
                <w:color w:val="auto"/>
                <w:sz w:val="22"/>
                <w:szCs w:val="28"/>
                <w:highlight w:val="none"/>
                <w:vertAlign w:val="baseline"/>
              </w:rPr>
            </w:pPr>
          </w:p>
        </w:tc>
        <w:tc>
          <w:tcPr>
            <w:tcW w:w="1880" w:type="dxa"/>
          </w:tcPr>
          <w:p w14:paraId="0A8704B3">
            <w:pPr>
              <w:spacing w:line="400" w:lineRule="exact"/>
              <w:jc w:val="center"/>
              <w:rPr>
                <w:rFonts w:hint="eastAsia" w:ascii="宋体" w:hAnsi="宋体" w:eastAsia="宋体" w:cs="宋体"/>
                <w:color w:val="auto"/>
                <w:sz w:val="22"/>
                <w:szCs w:val="28"/>
                <w:highlight w:val="none"/>
                <w:vertAlign w:val="baseline"/>
              </w:rPr>
            </w:pPr>
          </w:p>
        </w:tc>
        <w:tc>
          <w:tcPr>
            <w:tcW w:w="1880" w:type="dxa"/>
          </w:tcPr>
          <w:p w14:paraId="40A6CFE8">
            <w:pPr>
              <w:spacing w:line="400" w:lineRule="exact"/>
              <w:jc w:val="center"/>
              <w:rPr>
                <w:rFonts w:hint="eastAsia" w:ascii="宋体" w:hAnsi="宋体" w:eastAsia="宋体" w:cs="宋体"/>
                <w:color w:val="auto"/>
                <w:sz w:val="22"/>
                <w:szCs w:val="28"/>
                <w:highlight w:val="none"/>
                <w:vertAlign w:val="baseline"/>
              </w:rPr>
            </w:pPr>
          </w:p>
        </w:tc>
        <w:tc>
          <w:tcPr>
            <w:tcW w:w="1881" w:type="dxa"/>
          </w:tcPr>
          <w:p w14:paraId="7B31FF73">
            <w:pPr>
              <w:spacing w:line="400" w:lineRule="exact"/>
              <w:jc w:val="center"/>
              <w:rPr>
                <w:rFonts w:hint="eastAsia" w:ascii="宋体" w:hAnsi="宋体" w:eastAsia="宋体" w:cs="宋体"/>
                <w:color w:val="auto"/>
                <w:sz w:val="22"/>
                <w:szCs w:val="28"/>
                <w:highlight w:val="none"/>
                <w:vertAlign w:val="baseline"/>
              </w:rPr>
            </w:pPr>
          </w:p>
        </w:tc>
      </w:tr>
    </w:tbl>
    <w:p w14:paraId="7B3FA7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2.合同合计金额包括了乙方完成本项目所需的一切工作内容而发生的所有直接费用、间接费用、其它费用、税金等全部费用和乙方要求获得的利润以及应由乙方承担的义务、责任和风险所发生的一切费用。</w:t>
      </w:r>
    </w:p>
    <w:p w14:paraId="4F9BCE5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甲方责任</w:t>
      </w:r>
    </w:p>
    <w:p w14:paraId="64CD2C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应向乙方提供开展设计工作所需的有关基础资料，乙方并对甲方提供的时间、进度和资料的真实性、准确性和完整性复核。因甲方未能及时提供基础资料而影响乙方正常开展设计工作的，乙方提交成果时间相应顺延。</w:t>
      </w:r>
    </w:p>
    <w:p w14:paraId="53B6F6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变更委托设计项目、规模、条件或因提交的资料错误，或所提交资料作较大修改，以致造成乙方设计返工时，相关方除另行协商签订补充协议(或另订合同)、重新明确有关条款外，甲方应按乙方所耗工作量，同意向乙方支付返工费。</w:t>
      </w:r>
    </w:p>
    <w:p w14:paraId="20D259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3.在合同履行期间，甲方要求终止或解除合同，乙方已开始设计工作的，甲方应根据乙方已进行的实际工作量，不足一半时，按该阶段设计费的一半支付:超过一半时，按该阶段设计费的全部支付。</w:t>
      </w:r>
    </w:p>
    <w:p w14:paraId="1F0D59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4.甲方要求乙方比合同规定时间提前交付设计文件时，须征得乙方同意，不得严重背离合理设计周期，且甲方应支付赶工费。</w:t>
      </w:r>
    </w:p>
    <w:p w14:paraId="589B2B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启动相应工作后，甲方按合同约定按时支付费用。如甲方未按时支付费用，则乙方有权推迟开始工作时间，且提交成果的时间相应顺延。如费用支付逾期超过30天以上时，乙方有权暂停履行下阶段工作，并书面通知甲方。</w:t>
      </w:r>
    </w:p>
    <w:p w14:paraId="270D81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6.按照合同要求向乙方支付合同协议经费。</w:t>
      </w:r>
    </w:p>
    <w:p w14:paraId="134906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7.甲方不得要求乙方违反国家有关规程、规范及标准进行设计。</w:t>
      </w:r>
    </w:p>
    <w:p w14:paraId="3C4DA2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乙方责任</w:t>
      </w:r>
    </w:p>
    <w:p w14:paraId="1DAF01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1.乙方应按国家技术规范、标准、规程及甲方提出的设计要求开展工作，按合同规定的进度要求提交质量合格的设计成果文件，并对其负责。</w:t>
      </w:r>
    </w:p>
    <w:p w14:paraId="0AC48F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2.乙方应做好后期的服务工作，如:现场处理有关的设计技术问题，验收等相关需要乙方参与的工作的相关费用自行负责。</w:t>
      </w:r>
    </w:p>
    <w:p w14:paraId="7E960F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3.乙方在接收甲方的修改调整通知后，应按时、按量对甲方提出的修改调整内容进行编制，并配合甲方做好修改调整内容的报送工作。</w:t>
      </w:r>
    </w:p>
    <w:p w14:paraId="5F2DB35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4.本项目乙方项目负责人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082B27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5.乙方按本合同规定的内容、进度及份数向甲方交付资料及文件。</w:t>
      </w:r>
    </w:p>
    <w:p w14:paraId="1AC977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6.乙方交付测设成果文件后，按规定参加有关的设计审查，并根据审查结论负责对不超出原定范围的内容做必要调整补充。</w:t>
      </w:r>
    </w:p>
    <w:p w14:paraId="69E59DA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7.乙方应保护甲方的知识产权，不得向第三人泄露、转让甲方提交的产品图纸等技术经济资料。如发生以上情况并给甲方造成经济损失，甲方有权向乙方索赔。</w:t>
      </w:r>
    </w:p>
    <w:p w14:paraId="64D1B7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项目规模</w:t>
      </w:r>
    </w:p>
    <w:p w14:paraId="6124E58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详见竟争性磋商文件中采购服务需求及甲方的实施计划表。</w:t>
      </w:r>
    </w:p>
    <w:p w14:paraId="7086C0E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技术标准</w:t>
      </w:r>
    </w:p>
    <w:p w14:paraId="257AD7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采用现行的国家及行业的相关规范。</w:t>
      </w:r>
    </w:p>
    <w:p w14:paraId="02E1015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付款方式</w:t>
      </w:r>
    </w:p>
    <w:p w14:paraId="4543A8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val="0"/>
          <w:color w:val="auto"/>
          <w:sz w:val="21"/>
          <w:szCs w:val="21"/>
          <w:highlight w:val="none"/>
        </w:rPr>
      </w:pPr>
      <w:r>
        <w:rPr>
          <w:rFonts w:hint="eastAsia" w:ascii="宋体" w:hAnsi="宋体" w:cs="宋体"/>
          <w:bCs w:val="0"/>
          <w:color w:val="auto"/>
          <w:sz w:val="21"/>
          <w:szCs w:val="21"/>
          <w:highlight w:val="none"/>
        </w:rPr>
        <w:t>合同签订成交供应商提交送审稿后，采购人支付成交供应商合同金额的70%，报告经审查通过并获得批复后，将余款支付给成交供应商。</w:t>
      </w:r>
    </w:p>
    <w:p w14:paraId="6D05C2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工作成果提交</w:t>
      </w:r>
    </w:p>
    <w:p w14:paraId="1BBE1F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1.时间进度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按采购需求执行。</w:t>
      </w:r>
    </w:p>
    <w:p w14:paraId="79589B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2.提交数量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按采购需求执行。</w:t>
      </w:r>
    </w:p>
    <w:p w14:paraId="5B035D9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64904A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1.在合同实施过程中，甲方如果增加工作量，应书面通知乙方，并且，甲方除顺延要求交付成果文件的日期外，还应按双方补充合同约定支付增加工作量的费用。</w:t>
      </w:r>
    </w:p>
    <w:p w14:paraId="5E51F6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2.乙方已进入现场工作，由于甲方的要求，造成合同中止的，甲方应按完成的实际工作量支付工程价款，并按合同约定承担违约责任。</w:t>
      </w:r>
    </w:p>
    <w:p w14:paraId="03CDDB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3.甲乙双方均应按磋商文件要求及乙方响应文件承诺保证按时履行合同。除非遇到不可抗力等客观情况外，不得违约。</w:t>
      </w:r>
    </w:p>
    <w:p w14:paraId="359D10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4.由于乙方测设质量低劣或错误而造成工程质量问题的，乙方应承担返工所需的一切费用。</w:t>
      </w:r>
    </w:p>
    <w:p w14:paraId="173674F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5.由于乙方的原因，未按合同规定时间提交成果文件时，每逾期一天，乙方应按合同总额的0.2%偿付给甲方作过期违约金。</w:t>
      </w:r>
    </w:p>
    <w:p w14:paraId="3CDD865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6.由于甲方原因，未按合同规定时间支付合同费用时，每逾期一天，甲方应按合同总额的0.2%偿付给乙方作过期违约金。</w:t>
      </w:r>
    </w:p>
    <w:p w14:paraId="77232B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7.成果文件所有权归甲方所有，乙方有义务对成果保密，乙方不得擅自转卖或提供他人使用，违反本规定没收一切款项，情节严重按有关法律处理。</w:t>
      </w:r>
    </w:p>
    <w:p w14:paraId="2DCCEDC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8.乙方未经甲方同意，不得将成果文件资料提供给第三方。否则，由此造成的一世后果由乙方负责(包括经济责任和法律责任)。</w:t>
      </w:r>
    </w:p>
    <w:p w14:paraId="0F803C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第九条 不可抗力和合同纠纷</w:t>
      </w:r>
    </w:p>
    <w:p w14:paraId="238B2C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1.由于不可抗力的外力因素(包括自然的和不可预见到的)，造成规划时间延误，其发生的有关费用由双方协商解决。</w:t>
      </w:r>
    </w:p>
    <w:p w14:paraId="524CF0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2.本协议过程中的未尽事宜，双方应本着友好协商的原则加以解决，以国家相关法规的有关条款办事，双方协商一致签订的协议具有同等法律效力。</w:t>
      </w:r>
    </w:p>
    <w:p w14:paraId="38D036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3.合同发生纠纷时，双方应有及时协商解决。</w:t>
      </w:r>
    </w:p>
    <w:p w14:paraId="047410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4.协商不成时，任何一方均可申请省级规划主管部门或双方上级业务主管部门进行调解。</w:t>
      </w:r>
    </w:p>
    <w:p w14:paraId="2B160C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5.调解不成时，可向当地经济合同仲裁委员会申请仲裁，或直接向人民法院起诉。</w:t>
      </w:r>
    </w:p>
    <w:p w14:paraId="2410379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合同争议解决</w:t>
      </w:r>
    </w:p>
    <w:p w14:paraId="6A48D54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1.因履行本合同引起的或与本合同有关的争议，甲乙双方应首先通过友好协商解决，如果协商不能解决，可向桂林市仲裁委员会申请仲裁或向项目所在地人民法院提起诉讼。</w:t>
      </w:r>
    </w:p>
    <w:p w14:paraId="2F77C5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2.诉讼期间，本合同继续履行。</w:t>
      </w:r>
    </w:p>
    <w:p w14:paraId="02A005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第十一条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合同生效及其它</w:t>
      </w:r>
    </w:p>
    <w:p w14:paraId="4CD3E2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1.合同经甲乙双方法定代表人、负责人或相应的授权代表签字并加盖单位公章后生效。</w:t>
      </w:r>
    </w:p>
    <w:p w14:paraId="44C20E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2.合同执行中涉及采购资金和采购内容修改或补充的，需经</w:t>
      </w:r>
      <w:r>
        <w:rPr>
          <w:rFonts w:hint="eastAsia" w:ascii="宋体" w:hAnsi="宋体" w:cs="宋体"/>
          <w:color w:val="auto"/>
          <w:sz w:val="21"/>
          <w:szCs w:val="21"/>
          <w:highlight w:val="none"/>
          <w:lang w:eastAsia="zh-CN"/>
        </w:rPr>
        <w:t xml:space="preserve"> 恭城瑶族自治县</w:t>
      </w:r>
      <w:r>
        <w:rPr>
          <w:rFonts w:hint="eastAsia" w:ascii="宋体" w:hAnsi="宋体" w:eastAsia="宋体" w:cs="宋体"/>
          <w:color w:val="auto"/>
          <w:sz w:val="21"/>
          <w:szCs w:val="21"/>
          <w:highlight w:val="none"/>
        </w:rPr>
        <w:t>财政部门审批，并签订书面补充协议报</w:t>
      </w:r>
      <w:r>
        <w:rPr>
          <w:rFonts w:hint="eastAsia" w:ascii="宋体" w:hAnsi="宋体" w:cs="宋体"/>
          <w:color w:val="auto"/>
          <w:sz w:val="21"/>
          <w:szCs w:val="21"/>
          <w:highlight w:val="none"/>
          <w:lang w:eastAsia="zh-CN"/>
        </w:rPr>
        <w:t xml:space="preserve"> 恭城瑶族自治县政府采购管理办公室</w:t>
      </w:r>
      <w:r>
        <w:rPr>
          <w:rFonts w:hint="eastAsia" w:ascii="宋体" w:hAnsi="宋体" w:eastAsia="宋体" w:cs="宋体"/>
          <w:color w:val="auto"/>
          <w:sz w:val="21"/>
          <w:szCs w:val="21"/>
          <w:highlight w:val="none"/>
        </w:rPr>
        <w:t>备案，方可作为主合同不可分割的一部分。</w:t>
      </w:r>
    </w:p>
    <w:p w14:paraId="22AB29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本合同未尽事宜，遵照《合同法》有关条文执行。</w:t>
      </w:r>
    </w:p>
    <w:p w14:paraId="1AEF85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第十二条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合同的变更、终止与转让</w:t>
      </w:r>
    </w:p>
    <w:p w14:paraId="6DE59D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14:paraId="52726C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2.乙方不得擅自转让其应履行的合同义务。</w:t>
      </w:r>
    </w:p>
    <w:p w14:paraId="21AF94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第十三条签订本合同依据:</w:t>
      </w:r>
    </w:p>
    <w:p w14:paraId="32AC90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竞争</w:t>
      </w:r>
      <w:r>
        <w:rPr>
          <w:rFonts w:hint="eastAsia" w:ascii="宋体" w:hAnsi="宋体" w:eastAsia="宋体" w:cs="宋体"/>
          <w:b w:val="0"/>
          <w:bCs w:val="0"/>
          <w:color w:val="auto"/>
          <w:sz w:val="21"/>
          <w:szCs w:val="21"/>
          <w:highlight w:val="none"/>
        </w:rPr>
        <w:t>争性磋商文件:</w:t>
      </w:r>
    </w:p>
    <w:p w14:paraId="71DE74D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2.乙方提供的响应(或应答)文件:</w:t>
      </w:r>
    </w:p>
    <w:p w14:paraId="51EAD5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3.售后服务承诺书:</w:t>
      </w:r>
    </w:p>
    <w:p w14:paraId="46E3BD9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4.磋商中的磋商记录:</w:t>
      </w:r>
    </w:p>
    <w:p w14:paraId="2E9736A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5.成交通知书。</w:t>
      </w:r>
    </w:p>
    <w:p w14:paraId="536D31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甲乙双方签字盖章后生效，一式六份，具有同等法律效力，甲、乙双方各二份。政府采购合同双方自签订之日起1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eastAsia="宋体" w:cs="宋体"/>
          <w:color w:val="auto"/>
          <w:sz w:val="21"/>
          <w:szCs w:val="21"/>
          <w:highlight w:val="none"/>
          <w:lang w:val="en-US" w:eastAsia="zh-CN"/>
        </w:rPr>
        <w:t>招标代理公司</w:t>
      </w:r>
      <w:r>
        <w:rPr>
          <w:rFonts w:hint="eastAsia" w:ascii="宋体" w:hAnsi="宋体" w:eastAsia="宋体" w:cs="宋体"/>
          <w:color w:val="auto"/>
          <w:sz w:val="21"/>
          <w:szCs w:val="21"/>
          <w:highlight w:val="none"/>
        </w:rPr>
        <w:t>存档。</w:t>
      </w:r>
    </w:p>
    <w:p w14:paraId="25DF73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14:paraId="00B2E7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供应商名称（公章）：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94B54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14F09E9">
      <w:pPr>
        <w:tabs>
          <w:tab w:val="left" w:pos="46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F268267">
      <w:pPr>
        <w:tabs>
          <w:tab w:val="left" w:pos="504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AC568C2">
      <w:pPr>
        <w:tabs>
          <w:tab w:val="left" w:pos="504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DEF8C63">
      <w:pPr>
        <w:tabs>
          <w:tab w:val="left" w:pos="504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DB19819">
      <w:pPr>
        <w:tabs>
          <w:tab w:val="left" w:pos="504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B6C4C53">
      <w:pPr>
        <w:tabs>
          <w:tab w:val="left" w:pos="504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5A8E905">
      <w:pPr>
        <w:pStyle w:val="3"/>
        <w:jc w:val="center"/>
        <w:rPr>
          <w:rFonts w:hint="eastAsia" w:ascii="宋体" w:hAnsi="宋体" w:eastAsia="宋体" w:cs="宋体"/>
          <w:b w:val="0"/>
          <w:bCs w:val="0"/>
          <w:color w:val="auto"/>
          <w:highlight w:val="none"/>
        </w:rPr>
      </w:pPr>
      <w:bookmarkStart w:id="124" w:name="_Toc10014"/>
      <w:bookmarkStart w:id="125" w:name="_Toc24269"/>
      <w:bookmarkStart w:id="126" w:name="_Toc5077"/>
      <w:bookmarkStart w:id="127" w:name="_Toc11224"/>
      <w:r>
        <w:rPr>
          <w:rFonts w:hint="eastAsia" w:ascii="宋体" w:hAnsi="宋体" w:eastAsia="宋体" w:cs="宋体"/>
          <w:b w:val="0"/>
          <w:bCs w:val="0"/>
          <w:color w:val="auto"/>
          <w:sz w:val="32"/>
          <w:szCs w:val="32"/>
          <w:highlight w:val="none"/>
        </w:rPr>
        <w:br w:type="page"/>
      </w:r>
      <w:r>
        <w:rPr>
          <w:rFonts w:hint="eastAsia" w:ascii="宋体" w:hAnsi="宋体" w:eastAsia="宋体" w:cs="宋体"/>
          <w:b w:val="0"/>
          <w:bCs w:val="0"/>
          <w:color w:val="auto"/>
          <w:sz w:val="32"/>
          <w:szCs w:val="32"/>
          <w:highlight w:val="none"/>
        </w:rPr>
        <w:t xml:space="preserve">第六章  </w:t>
      </w:r>
      <w:bookmarkEnd w:id="124"/>
      <w:bookmarkEnd w:id="125"/>
      <w:bookmarkStart w:id="128" w:name="_Toc13185"/>
      <w:r>
        <w:rPr>
          <w:rFonts w:hint="eastAsia" w:ascii="宋体" w:hAnsi="宋体" w:eastAsia="宋体" w:cs="宋体"/>
          <w:b w:val="0"/>
          <w:bCs w:val="0"/>
          <w:color w:val="auto"/>
          <w:sz w:val="32"/>
          <w:szCs w:val="32"/>
          <w:highlight w:val="none"/>
        </w:rPr>
        <w:t>响应文件（格式）</w:t>
      </w:r>
      <w:bookmarkEnd w:id="126"/>
      <w:bookmarkEnd w:id="127"/>
      <w:bookmarkEnd w:id="128"/>
    </w:p>
    <w:p w14:paraId="1D4C68E5">
      <w:pPr>
        <w:pStyle w:val="18"/>
        <w:rPr>
          <w:rFonts w:hint="default" w:ascii="宋体" w:hAnsi="宋体" w:eastAsia="宋体" w:cs="宋体"/>
          <w:b/>
          <w:color w:val="auto"/>
          <w:sz w:val="32"/>
          <w:highlight w:val="none"/>
          <w:lang w:val="en-US" w:eastAsia="zh-CN"/>
        </w:rPr>
      </w:pPr>
      <w:bookmarkStart w:id="129" w:name="_Toc497927069"/>
      <w:bookmarkStart w:id="130" w:name="_Toc18351"/>
      <w:bookmarkStart w:id="131" w:name="_Toc21496"/>
      <w:r>
        <w:rPr>
          <w:rFonts w:hint="eastAsia" w:ascii="宋体" w:hAnsi="宋体" w:eastAsia="宋体" w:cs="宋体"/>
          <w:b/>
          <w:color w:val="auto"/>
          <w:sz w:val="32"/>
          <w:highlight w:val="none"/>
        </w:rPr>
        <w:t>一、响应文件</w:t>
      </w:r>
      <w:bookmarkEnd w:id="129"/>
      <w:bookmarkEnd w:id="130"/>
      <w:bookmarkEnd w:id="131"/>
      <w:r>
        <w:rPr>
          <w:rFonts w:hint="eastAsia" w:hAnsi="宋体" w:cs="宋体"/>
          <w:b/>
          <w:color w:val="auto"/>
          <w:sz w:val="32"/>
          <w:highlight w:val="none"/>
          <w:lang w:val="en-US" w:eastAsia="zh-CN"/>
        </w:rPr>
        <w:t>封面格式</w:t>
      </w:r>
    </w:p>
    <w:p w14:paraId="5950FB6E">
      <w:pPr>
        <w:adjustRightInd w:val="0"/>
        <w:snapToGrid w:val="0"/>
        <w:rPr>
          <w:rFonts w:hint="eastAsia" w:ascii="宋体" w:hAnsi="宋体" w:eastAsia="宋体" w:cs="宋体"/>
          <w:b/>
          <w:color w:val="auto"/>
          <w:sz w:val="44"/>
          <w:szCs w:val="44"/>
          <w:highlight w:val="none"/>
        </w:rPr>
      </w:pPr>
    </w:p>
    <w:p w14:paraId="53EFAE4E">
      <w:pPr>
        <w:snapToGrid w:val="0"/>
        <w:spacing w:beforeLines="50" w:after="50"/>
        <w:jc w:val="center"/>
        <w:rPr>
          <w:rFonts w:hint="eastAsia" w:ascii="宋体" w:hAnsi="宋体" w:eastAsia="宋体" w:cs="宋体"/>
          <w:b/>
          <w:color w:val="auto"/>
          <w:sz w:val="36"/>
          <w:szCs w:val="36"/>
          <w:highlight w:val="none"/>
        </w:rPr>
      </w:pPr>
    </w:p>
    <w:p w14:paraId="39267F89">
      <w:pPr>
        <w:snapToGrid w:val="0"/>
        <w:spacing w:beforeLines="50" w:after="50"/>
        <w:jc w:val="center"/>
        <w:rPr>
          <w:rFonts w:hint="eastAsia" w:ascii="宋体" w:hAnsi="宋体" w:eastAsia="宋体" w:cs="宋体"/>
          <w:b/>
          <w:color w:val="auto"/>
          <w:sz w:val="36"/>
          <w:szCs w:val="36"/>
          <w:highlight w:val="none"/>
        </w:rPr>
      </w:pPr>
    </w:p>
    <w:p w14:paraId="351CD753">
      <w:pPr>
        <w:snapToGrid w:val="0"/>
        <w:spacing w:beforeLines="50" w:after="50"/>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响 应 文 件</w:t>
      </w:r>
    </w:p>
    <w:p w14:paraId="226740F3">
      <w:pPr>
        <w:snapToGrid w:val="0"/>
        <w:spacing w:beforeLines="50" w:after="50"/>
        <w:ind w:firstLine="480" w:firstLineChars="150"/>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rPr>
        <w:t xml:space="preserve">                       </w:t>
      </w:r>
    </w:p>
    <w:p w14:paraId="5F79438C">
      <w:pPr>
        <w:pStyle w:val="37"/>
        <w:rPr>
          <w:rFonts w:hint="eastAsia" w:ascii="宋体" w:hAnsi="宋体" w:eastAsia="宋体" w:cs="宋体"/>
          <w:color w:val="auto"/>
          <w:highlight w:val="none"/>
        </w:rPr>
      </w:pPr>
    </w:p>
    <w:p w14:paraId="222539DF">
      <w:pPr>
        <w:snapToGrid w:val="0"/>
        <w:spacing w:beforeLines="50" w:after="50"/>
        <w:ind w:firstLine="360" w:firstLineChars="150"/>
        <w:rPr>
          <w:rFonts w:hint="eastAsia" w:ascii="宋体" w:hAnsi="宋体" w:eastAsia="宋体" w:cs="宋体"/>
          <w:b/>
          <w:color w:val="auto"/>
          <w:sz w:val="24"/>
          <w:szCs w:val="24"/>
          <w:highlight w:val="none"/>
        </w:rPr>
      </w:pPr>
    </w:p>
    <w:p w14:paraId="370B2782">
      <w:pPr>
        <w:snapToGrid w:val="0"/>
        <w:spacing w:beforeLines="50" w:after="50"/>
        <w:ind w:left="1853" w:leftChars="342" w:hanging="1135" w:hangingChars="473"/>
        <w:jc w:val="both"/>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rPr>
        <w:t>项目名称：</w:t>
      </w:r>
      <w:r>
        <w:rPr>
          <w:rFonts w:hint="eastAsia" w:ascii="宋体" w:hAnsi="宋体" w:cs="宋体"/>
          <w:b w:val="0"/>
          <w:bCs/>
          <w:color w:val="auto"/>
          <w:sz w:val="24"/>
          <w:szCs w:val="24"/>
          <w:highlight w:val="none"/>
          <w:u w:val="single"/>
          <w:lang w:eastAsia="zh-CN"/>
        </w:rPr>
        <w:t>恭城县水网建设规划</w:t>
      </w:r>
    </w:p>
    <w:p w14:paraId="724255A0">
      <w:pPr>
        <w:snapToGrid w:val="0"/>
        <w:spacing w:beforeLines="50" w:after="50"/>
        <w:ind w:left="0" w:leftChars="0" w:firstLine="547" w:firstLineChars="228"/>
        <w:rPr>
          <w:rFonts w:hint="eastAsia" w:ascii="宋体" w:hAnsi="宋体" w:eastAsia="宋体" w:cs="宋体"/>
          <w:b w:val="0"/>
          <w:bCs/>
          <w:color w:val="auto"/>
          <w:sz w:val="24"/>
          <w:szCs w:val="24"/>
          <w:highlight w:val="none"/>
        </w:rPr>
      </w:pPr>
    </w:p>
    <w:p w14:paraId="639CAE8A">
      <w:pPr>
        <w:snapToGrid w:val="0"/>
        <w:spacing w:beforeLines="50" w:after="50"/>
        <w:ind w:left="0" w:leftChars="0" w:firstLine="547" w:firstLineChars="228"/>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项目编号：</w:t>
      </w:r>
      <w:r>
        <w:rPr>
          <w:rFonts w:hint="eastAsia" w:ascii="宋体" w:hAnsi="宋体" w:cs="宋体"/>
          <w:b w:val="0"/>
          <w:bCs/>
          <w:color w:val="auto"/>
          <w:sz w:val="24"/>
          <w:szCs w:val="24"/>
          <w:highlight w:val="none"/>
          <w:u w:val="single"/>
          <w:lang w:eastAsia="zh-CN"/>
        </w:rPr>
        <w:t>GLZC2025-C3-320022-AHHP</w:t>
      </w:r>
    </w:p>
    <w:p w14:paraId="0E7277F7">
      <w:pPr>
        <w:pStyle w:val="15"/>
        <w:ind w:left="31680" w:hanging="480" w:hangingChars="200"/>
        <w:rPr>
          <w:rFonts w:hint="eastAsia" w:ascii="宋体" w:hAnsi="宋体" w:eastAsia="宋体" w:cs="宋体"/>
          <w:bCs/>
          <w:color w:val="auto"/>
          <w:sz w:val="24"/>
          <w:szCs w:val="24"/>
          <w:highlight w:val="none"/>
        </w:rPr>
      </w:pPr>
    </w:p>
    <w:p w14:paraId="76562D8E">
      <w:pPr>
        <w:pStyle w:val="15"/>
        <w:ind w:left="31680" w:hanging="480" w:hangingChars="200"/>
        <w:rPr>
          <w:rFonts w:hint="eastAsia" w:ascii="宋体" w:hAnsi="宋体" w:eastAsia="宋体" w:cs="宋体"/>
          <w:bCs/>
          <w:color w:val="auto"/>
          <w:sz w:val="24"/>
          <w:szCs w:val="24"/>
          <w:highlight w:val="none"/>
        </w:rPr>
      </w:pPr>
    </w:p>
    <w:p w14:paraId="24DDC96B">
      <w:pPr>
        <w:pStyle w:val="15"/>
        <w:ind w:left="31680" w:hanging="480" w:hangingChars="200"/>
        <w:rPr>
          <w:rFonts w:hint="eastAsia" w:ascii="宋体" w:hAnsi="宋体" w:eastAsia="宋体" w:cs="宋体"/>
          <w:bCs/>
          <w:color w:val="auto"/>
          <w:sz w:val="24"/>
          <w:szCs w:val="24"/>
          <w:highlight w:val="none"/>
        </w:rPr>
      </w:pPr>
    </w:p>
    <w:p w14:paraId="68108D7A">
      <w:pPr>
        <w:pStyle w:val="15"/>
        <w:spacing w:line="480" w:lineRule="auto"/>
        <w:ind w:left="31680" w:hanging="480" w:hanging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采购代理机构：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eastAsia="zh-CN"/>
        </w:rPr>
        <w:t>合普项目管理咨询集团有限公司</w:t>
      </w:r>
      <w:r>
        <w:rPr>
          <w:rFonts w:hint="eastAsia" w:ascii="宋体" w:hAnsi="宋体" w:eastAsia="宋体" w:cs="宋体"/>
          <w:bCs/>
          <w:color w:val="auto"/>
          <w:sz w:val="24"/>
          <w:szCs w:val="24"/>
          <w:highlight w:val="none"/>
          <w:u w:val="single"/>
        </w:rPr>
        <w:t xml:space="preserve">   </w:t>
      </w:r>
    </w:p>
    <w:p w14:paraId="695BE1D7">
      <w:pPr>
        <w:pStyle w:val="15"/>
        <w:spacing w:line="480" w:lineRule="auto"/>
        <w:ind w:left="31680" w:hanging="480" w:hangingChars="200"/>
        <w:rPr>
          <w:rFonts w:hint="eastAsia" w:ascii="宋体" w:hAnsi="宋体" w:eastAsia="宋体" w:cs="宋体"/>
          <w:bCs/>
          <w:color w:val="auto"/>
          <w:sz w:val="24"/>
          <w:szCs w:val="24"/>
          <w:highlight w:val="none"/>
        </w:rPr>
      </w:pPr>
      <w:bookmarkStart w:id="132" w:name="_Toc4932_WPSOffice_Level2"/>
      <w:bookmarkStart w:id="133" w:name="_Toc20319_WPSOffice_Level2"/>
      <w:r>
        <w:rPr>
          <w:rFonts w:hint="eastAsia" w:ascii="宋体" w:hAnsi="宋体" w:eastAsia="宋体" w:cs="宋体"/>
          <w:bCs/>
          <w:color w:val="auto"/>
          <w:sz w:val="24"/>
          <w:szCs w:val="24"/>
          <w:highlight w:val="none"/>
        </w:rPr>
        <w:t>磋商供应商[公章(CA签章)、自然人除外]：</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bookmarkEnd w:id="132"/>
      <w:bookmarkEnd w:id="133"/>
      <w:r>
        <w:rPr>
          <w:rFonts w:hint="eastAsia" w:ascii="宋体" w:hAnsi="宋体" w:eastAsia="宋体" w:cs="宋体"/>
          <w:bCs/>
          <w:color w:val="auto"/>
          <w:sz w:val="24"/>
          <w:szCs w:val="24"/>
          <w:highlight w:val="none"/>
        </w:rPr>
        <w:t xml:space="preserve">       </w:t>
      </w:r>
    </w:p>
    <w:p w14:paraId="7F4C611C">
      <w:pPr>
        <w:pStyle w:val="15"/>
        <w:spacing w:line="480" w:lineRule="auto"/>
        <w:ind w:left="31680" w:hanging="480" w:hangingChars="200"/>
        <w:rPr>
          <w:rFonts w:hint="eastAsia" w:ascii="宋体" w:hAnsi="宋体" w:eastAsia="宋体" w:cs="宋体"/>
          <w:bCs/>
          <w:color w:val="auto"/>
          <w:sz w:val="24"/>
          <w:szCs w:val="24"/>
          <w:highlight w:val="none"/>
        </w:rPr>
      </w:pPr>
      <w:bookmarkStart w:id="134" w:name="_Toc32056_WPSOffice_Level2"/>
      <w:bookmarkStart w:id="135" w:name="_Toc9622_WPSOffice_Level2"/>
      <w:r>
        <w:rPr>
          <w:rFonts w:hint="eastAsia" w:ascii="宋体" w:hAnsi="宋体" w:eastAsia="宋体" w:cs="宋体"/>
          <w:bCs/>
          <w:color w:val="auto"/>
          <w:sz w:val="24"/>
          <w:szCs w:val="24"/>
          <w:highlight w:val="none"/>
        </w:rPr>
        <w:t>法定代表人、负责人、自然人或相应的委托代理人签字[或盖章(CA签章)]</w:t>
      </w:r>
    </w:p>
    <w:p w14:paraId="19257D55">
      <w:pPr>
        <w:pStyle w:val="15"/>
        <w:spacing w:line="480" w:lineRule="auto"/>
        <w:ind w:left="316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（属自然人的应在签名处加盖大拇指指印或个人CA签章）：</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p>
    <w:p w14:paraId="4A15896F">
      <w:pPr>
        <w:pStyle w:val="15"/>
        <w:spacing w:line="480" w:lineRule="auto"/>
        <w:ind w:left="316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bookmarkEnd w:id="134"/>
      <w:bookmarkEnd w:id="135"/>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p>
    <w:p w14:paraId="2A528FF7">
      <w:pPr>
        <w:pStyle w:val="15"/>
        <w:spacing w:line="480" w:lineRule="auto"/>
        <w:ind w:left="31680" w:hanging="480" w:hangingChars="200"/>
        <w:rPr>
          <w:rFonts w:hint="eastAsia" w:ascii="宋体" w:hAnsi="宋体" w:eastAsia="宋体" w:cs="宋体"/>
          <w:bCs/>
          <w:color w:val="auto"/>
          <w:sz w:val="24"/>
          <w:szCs w:val="24"/>
          <w:highlight w:val="none"/>
        </w:rPr>
      </w:pPr>
      <w:bookmarkStart w:id="136" w:name="_Toc15933_WPSOffice_Level2"/>
      <w:bookmarkStart w:id="137" w:name="_Toc26465_WPSOffice_Level2"/>
      <w:r>
        <w:rPr>
          <w:rFonts w:hint="eastAsia" w:ascii="宋体" w:hAnsi="宋体" w:eastAsia="宋体" w:cs="宋体"/>
          <w:bCs/>
          <w:color w:val="auto"/>
          <w:sz w:val="24"/>
          <w:szCs w:val="24"/>
          <w:highlight w:val="none"/>
        </w:rPr>
        <w:t>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bookmarkEnd w:id="136"/>
      <w:bookmarkEnd w:id="137"/>
    </w:p>
    <w:p w14:paraId="435FD27C">
      <w:pPr>
        <w:rPr>
          <w:rFonts w:hint="eastAsia" w:ascii="宋体" w:hAnsi="宋体" w:eastAsia="宋体" w:cs="宋体"/>
          <w:b/>
          <w:bCs/>
          <w:color w:val="auto"/>
          <w:sz w:val="32"/>
          <w:szCs w:val="32"/>
          <w:highlight w:val="none"/>
        </w:rPr>
      </w:pPr>
      <w:bookmarkStart w:id="138" w:name="_Toc21615"/>
      <w:bookmarkStart w:id="139" w:name="_Toc19430"/>
      <w:bookmarkStart w:id="140" w:name="_Toc497927070"/>
      <w:r>
        <w:rPr>
          <w:rFonts w:hint="eastAsia" w:ascii="宋体" w:hAnsi="宋体" w:eastAsia="宋体" w:cs="宋体"/>
          <w:b/>
          <w:bCs/>
          <w:color w:val="auto"/>
          <w:sz w:val="32"/>
          <w:szCs w:val="32"/>
          <w:highlight w:val="none"/>
          <w:lang w:eastAsia="zh-CN"/>
        </w:rPr>
        <w:br w:type="page"/>
      </w:r>
      <w:r>
        <w:rPr>
          <w:rFonts w:hint="eastAsia" w:ascii="宋体" w:hAnsi="宋体" w:eastAsia="宋体" w:cs="宋体"/>
          <w:b/>
          <w:bCs/>
          <w:color w:val="auto"/>
          <w:sz w:val="32"/>
          <w:szCs w:val="32"/>
          <w:highlight w:val="none"/>
          <w:lang w:eastAsia="zh-CN"/>
        </w:rPr>
        <w:t>二、</w:t>
      </w:r>
      <w:r>
        <w:rPr>
          <w:rFonts w:hint="eastAsia" w:ascii="宋体" w:hAnsi="宋体" w:eastAsia="宋体" w:cs="宋体"/>
          <w:b/>
          <w:bCs/>
          <w:color w:val="auto"/>
          <w:sz w:val="32"/>
          <w:szCs w:val="32"/>
          <w:highlight w:val="none"/>
        </w:rPr>
        <w:t>响应文件组成</w:t>
      </w:r>
      <w:bookmarkEnd w:id="138"/>
      <w:bookmarkEnd w:id="139"/>
      <w:bookmarkEnd w:id="140"/>
    </w:p>
    <w:p w14:paraId="6EC64BBB">
      <w:pPr>
        <w:pStyle w:val="37"/>
        <w:rPr>
          <w:rFonts w:hint="eastAsia" w:ascii="宋体" w:hAnsi="宋体" w:eastAsia="宋体" w:cs="宋体"/>
          <w:color w:val="auto"/>
          <w:highlight w:val="none"/>
        </w:rPr>
      </w:pPr>
    </w:p>
    <w:p w14:paraId="183B4531">
      <w:pPr>
        <w:numPr>
          <w:ilvl w:val="0"/>
          <w:numId w:val="9"/>
        </w:numPr>
        <w:spacing w:line="400" w:lineRule="exact"/>
        <w:ind w:firstLine="565" w:firstLineChars="20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资格性响应证明材料</w:t>
      </w:r>
    </w:p>
    <w:p w14:paraId="35604CF2">
      <w:pPr>
        <w:pStyle w:val="14"/>
        <w:rPr>
          <w:rFonts w:hint="eastAsia" w:ascii="宋体" w:hAnsi="宋体" w:eastAsia="宋体" w:cs="宋体"/>
          <w:b w:val="0"/>
          <w:bCs w:val="0"/>
          <w:color w:val="auto"/>
          <w:highlight w:val="none"/>
        </w:rPr>
      </w:pPr>
    </w:p>
    <w:p w14:paraId="5A3562C1">
      <w:pPr>
        <w:rPr>
          <w:rFonts w:hint="eastAsia" w:ascii="宋体" w:hAnsi="宋体" w:eastAsia="宋体" w:cs="宋体"/>
          <w:b w:val="0"/>
          <w:bCs w:val="0"/>
          <w:color w:val="auto"/>
          <w:highlight w:val="none"/>
        </w:rPr>
      </w:pPr>
    </w:p>
    <w:p w14:paraId="7CF7F3ED">
      <w:pPr>
        <w:rPr>
          <w:rFonts w:hint="eastAsia" w:ascii="宋体" w:hAnsi="宋体" w:eastAsia="宋体" w:cs="宋体"/>
          <w:b w:val="0"/>
          <w:bCs w:val="0"/>
          <w:color w:val="auto"/>
          <w:highlight w:val="none"/>
        </w:rPr>
      </w:pPr>
    </w:p>
    <w:p w14:paraId="451C0048">
      <w:pPr>
        <w:numPr>
          <w:ilvl w:val="0"/>
          <w:numId w:val="9"/>
        </w:numPr>
        <w:spacing w:line="400" w:lineRule="exact"/>
        <w:ind w:firstLine="565" w:firstLineChars="20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符合性响应证明材料</w:t>
      </w:r>
    </w:p>
    <w:p w14:paraId="3C9D5885">
      <w:pPr>
        <w:pStyle w:val="14"/>
        <w:rPr>
          <w:rFonts w:hint="eastAsia" w:ascii="宋体" w:hAnsi="宋体" w:eastAsia="宋体" w:cs="宋体"/>
          <w:b w:val="0"/>
          <w:bCs w:val="0"/>
          <w:color w:val="auto"/>
          <w:highlight w:val="none"/>
        </w:rPr>
      </w:pPr>
    </w:p>
    <w:p w14:paraId="144549AC">
      <w:pPr>
        <w:rPr>
          <w:rFonts w:hint="eastAsia" w:ascii="宋体" w:hAnsi="宋体" w:eastAsia="宋体" w:cs="宋体"/>
          <w:b w:val="0"/>
          <w:bCs w:val="0"/>
          <w:color w:val="auto"/>
          <w:highlight w:val="none"/>
        </w:rPr>
      </w:pPr>
    </w:p>
    <w:p w14:paraId="0D30E8B0">
      <w:pPr>
        <w:pStyle w:val="14"/>
        <w:rPr>
          <w:rFonts w:hint="eastAsia" w:ascii="宋体" w:hAnsi="宋体" w:eastAsia="宋体" w:cs="宋体"/>
          <w:b w:val="0"/>
          <w:bCs w:val="0"/>
          <w:color w:val="auto"/>
          <w:highlight w:val="none"/>
        </w:rPr>
      </w:pPr>
    </w:p>
    <w:p w14:paraId="386D10B9">
      <w:pPr>
        <w:numPr>
          <w:ilvl w:val="0"/>
          <w:numId w:val="9"/>
        </w:numPr>
        <w:spacing w:line="400" w:lineRule="exact"/>
        <w:ind w:firstLine="565" w:firstLineChars="20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其他有效证明材料</w:t>
      </w:r>
    </w:p>
    <w:p w14:paraId="72447448">
      <w:pPr>
        <w:pStyle w:val="57"/>
        <w:rPr>
          <w:rFonts w:hint="eastAsia" w:ascii="宋体" w:hAnsi="宋体" w:eastAsia="宋体" w:cs="宋体"/>
          <w:color w:val="auto"/>
          <w:highlight w:val="none"/>
        </w:rPr>
      </w:pPr>
    </w:p>
    <w:p w14:paraId="0FA7BD62">
      <w:pPr>
        <w:tabs>
          <w:tab w:val="left" w:pos="5040"/>
        </w:tabs>
        <w:spacing w:line="400" w:lineRule="exact"/>
        <w:rPr>
          <w:rFonts w:hint="eastAsia" w:ascii="宋体" w:hAnsi="宋体" w:eastAsia="宋体" w:cs="宋体"/>
          <w:color w:val="auto"/>
          <w:szCs w:val="21"/>
          <w:highlight w:val="none"/>
        </w:rPr>
      </w:pPr>
    </w:p>
    <w:p w14:paraId="1765494D">
      <w:pPr>
        <w:pStyle w:val="14"/>
        <w:rPr>
          <w:rFonts w:hint="eastAsia" w:ascii="宋体" w:hAnsi="宋体" w:eastAsia="宋体" w:cs="宋体"/>
          <w:color w:val="auto"/>
          <w:szCs w:val="21"/>
          <w:highlight w:val="none"/>
        </w:rPr>
      </w:pPr>
    </w:p>
    <w:p w14:paraId="60C1F098">
      <w:pPr>
        <w:pStyle w:val="14"/>
        <w:rPr>
          <w:rFonts w:hint="eastAsia" w:ascii="宋体" w:hAnsi="宋体" w:eastAsia="宋体" w:cs="宋体"/>
          <w:color w:val="auto"/>
          <w:szCs w:val="21"/>
          <w:highlight w:val="none"/>
        </w:rPr>
      </w:pPr>
    </w:p>
    <w:p w14:paraId="3C0791D6">
      <w:pPr>
        <w:pStyle w:val="14"/>
        <w:rPr>
          <w:rFonts w:hint="eastAsia" w:ascii="宋体" w:hAnsi="宋体" w:eastAsia="宋体" w:cs="宋体"/>
          <w:color w:val="auto"/>
          <w:szCs w:val="21"/>
          <w:highlight w:val="none"/>
        </w:rPr>
      </w:pPr>
    </w:p>
    <w:p w14:paraId="76F0DE86">
      <w:pPr>
        <w:pStyle w:val="14"/>
        <w:rPr>
          <w:rFonts w:hint="eastAsia" w:ascii="宋体" w:hAnsi="宋体" w:eastAsia="宋体" w:cs="宋体"/>
          <w:color w:val="auto"/>
          <w:szCs w:val="21"/>
          <w:highlight w:val="none"/>
        </w:rPr>
      </w:pPr>
    </w:p>
    <w:p w14:paraId="37C172CF">
      <w:pPr>
        <w:rPr>
          <w:rFonts w:hint="eastAsia" w:ascii="宋体" w:hAnsi="宋体" w:eastAsia="宋体" w:cs="宋体"/>
          <w:color w:val="auto"/>
          <w:szCs w:val="21"/>
          <w:highlight w:val="none"/>
        </w:rPr>
      </w:pPr>
    </w:p>
    <w:p w14:paraId="24631D1B">
      <w:pPr>
        <w:pStyle w:val="57"/>
        <w:rPr>
          <w:rFonts w:hint="eastAsia" w:ascii="宋体" w:hAnsi="宋体" w:eastAsia="宋体" w:cs="宋体"/>
          <w:color w:val="auto"/>
          <w:szCs w:val="21"/>
          <w:highlight w:val="none"/>
        </w:rPr>
      </w:pPr>
    </w:p>
    <w:p w14:paraId="7B9A8FE4">
      <w:pPr>
        <w:pStyle w:val="57"/>
        <w:rPr>
          <w:rFonts w:hint="eastAsia" w:ascii="宋体" w:hAnsi="宋体" w:eastAsia="宋体" w:cs="宋体"/>
          <w:color w:val="auto"/>
          <w:szCs w:val="21"/>
          <w:highlight w:val="none"/>
        </w:rPr>
      </w:pPr>
    </w:p>
    <w:p w14:paraId="718CF987">
      <w:pPr>
        <w:pStyle w:val="57"/>
        <w:rPr>
          <w:rFonts w:hint="eastAsia" w:ascii="宋体" w:hAnsi="宋体" w:eastAsia="宋体" w:cs="宋体"/>
          <w:color w:val="auto"/>
          <w:szCs w:val="21"/>
          <w:highlight w:val="none"/>
        </w:rPr>
      </w:pPr>
    </w:p>
    <w:p w14:paraId="10D17E47">
      <w:pPr>
        <w:pStyle w:val="57"/>
        <w:rPr>
          <w:rFonts w:hint="eastAsia" w:ascii="宋体" w:hAnsi="宋体" w:eastAsia="宋体" w:cs="宋体"/>
          <w:color w:val="auto"/>
          <w:szCs w:val="21"/>
          <w:highlight w:val="none"/>
        </w:rPr>
      </w:pPr>
    </w:p>
    <w:p w14:paraId="15D29025">
      <w:pPr>
        <w:pStyle w:val="57"/>
        <w:rPr>
          <w:rFonts w:hint="eastAsia" w:ascii="宋体" w:hAnsi="宋体" w:eastAsia="宋体" w:cs="宋体"/>
          <w:color w:val="auto"/>
          <w:szCs w:val="21"/>
          <w:highlight w:val="none"/>
        </w:rPr>
      </w:pPr>
    </w:p>
    <w:p w14:paraId="16696F9C">
      <w:pPr>
        <w:pStyle w:val="57"/>
        <w:rPr>
          <w:rFonts w:hint="eastAsia" w:ascii="宋体" w:hAnsi="宋体" w:eastAsia="宋体" w:cs="宋体"/>
          <w:color w:val="auto"/>
          <w:szCs w:val="21"/>
          <w:highlight w:val="none"/>
        </w:rPr>
      </w:pPr>
    </w:p>
    <w:p w14:paraId="4DCB726B">
      <w:pPr>
        <w:pStyle w:val="57"/>
        <w:rPr>
          <w:rFonts w:hint="eastAsia" w:ascii="宋体" w:hAnsi="宋体" w:eastAsia="宋体" w:cs="宋体"/>
          <w:color w:val="auto"/>
          <w:szCs w:val="21"/>
          <w:highlight w:val="none"/>
        </w:rPr>
      </w:pPr>
    </w:p>
    <w:p w14:paraId="0A5E30C0">
      <w:pPr>
        <w:pStyle w:val="57"/>
        <w:rPr>
          <w:rFonts w:hint="eastAsia" w:ascii="宋体" w:hAnsi="宋体" w:eastAsia="宋体" w:cs="宋体"/>
          <w:color w:val="auto"/>
          <w:szCs w:val="21"/>
          <w:highlight w:val="none"/>
        </w:rPr>
      </w:pPr>
    </w:p>
    <w:p w14:paraId="3DB3B133">
      <w:pPr>
        <w:pStyle w:val="57"/>
        <w:rPr>
          <w:rFonts w:hint="eastAsia" w:ascii="宋体" w:hAnsi="宋体" w:eastAsia="宋体" w:cs="宋体"/>
          <w:color w:val="auto"/>
          <w:szCs w:val="21"/>
          <w:highlight w:val="none"/>
        </w:rPr>
      </w:pPr>
    </w:p>
    <w:p w14:paraId="723F95A7">
      <w:pPr>
        <w:pStyle w:val="57"/>
        <w:rPr>
          <w:rFonts w:hint="eastAsia" w:ascii="宋体" w:hAnsi="宋体" w:eastAsia="宋体" w:cs="宋体"/>
          <w:color w:val="auto"/>
          <w:szCs w:val="21"/>
          <w:highlight w:val="none"/>
        </w:rPr>
      </w:pPr>
    </w:p>
    <w:p w14:paraId="63C03596">
      <w:pPr>
        <w:pStyle w:val="57"/>
        <w:rPr>
          <w:rFonts w:hint="eastAsia" w:ascii="宋体" w:hAnsi="宋体" w:eastAsia="宋体" w:cs="宋体"/>
          <w:color w:val="auto"/>
          <w:szCs w:val="21"/>
          <w:highlight w:val="none"/>
        </w:rPr>
      </w:pPr>
    </w:p>
    <w:p w14:paraId="1A451B18">
      <w:pPr>
        <w:pStyle w:val="57"/>
        <w:rPr>
          <w:rFonts w:hint="eastAsia" w:ascii="宋体" w:hAnsi="宋体" w:eastAsia="宋体" w:cs="宋体"/>
          <w:color w:val="auto"/>
          <w:szCs w:val="21"/>
          <w:highlight w:val="none"/>
        </w:rPr>
      </w:pPr>
    </w:p>
    <w:p w14:paraId="2779915F">
      <w:pPr>
        <w:pStyle w:val="57"/>
        <w:rPr>
          <w:rFonts w:hint="eastAsia" w:ascii="宋体" w:hAnsi="宋体" w:eastAsia="宋体" w:cs="宋体"/>
          <w:color w:val="auto"/>
          <w:szCs w:val="21"/>
          <w:highlight w:val="none"/>
        </w:rPr>
      </w:pPr>
    </w:p>
    <w:p w14:paraId="28ABBB86">
      <w:pPr>
        <w:pStyle w:val="57"/>
        <w:rPr>
          <w:rFonts w:hint="eastAsia" w:ascii="宋体" w:hAnsi="宋体" w:eastAsia="宋体" w:cs="宋体"/>
          <w:color w:val="auto"/>
          <w:szCs w:val="21"/>
          <w:highlight w:val="none"/>
        </w:rPr>
      </w:pPr>
    </w:p>
    <w:p w14:paraId="75E5D633">
      <w:pPr>
        <w:rPr>
          <w:rFonts w:hint="eastAsia" w:ascii="宋体" w:hAnsi="宋体" w:eastAsia="宋体" w:cs="宋体"/>
          <w:color w:val="auto"/>
          <w:highlight w:val="none"/>
        </w:rPr>
      </w:pPr>
      <w:bookmarkStart w:id="141" w:name="_Toc497927071"/>
      <w:bookmarkStart w:id="142" w:name="_Toc11067"/>
      <w:bookmarkStart w:id="143" w:name="_Toc7185"/>
    </w:p>
    <w:p w14:paraId="3CC70164">
      <w:pPr>
        <w:widowControl/>
        <w:jc w:val="left"/>
        <w:rPr>
          <w:rFonts w:hint="eastAsia" w:ascii="宋体" w:hAnsi="宋体" w:eastAsia="宋体" w:cs="宋体"/>
          <w:b/>
          <w:bCs/>
          <w:color w:val="auto"/>
          <w:sz w:val="32"/>
          <w:szCs w:val="32"/>
          <w:highlight w:val="none"/>
        </w:rPr>
      </w:pPr>
    </w:p>
    <w:p w14:paraId="0A13A3C5">
      <w:pPr>
        <w:pStyle w:val="37"/>
        <w:rPr>
          <w:rFonts w:hint="eastAsia" w:ascii="宋体" w:hAnsi="宋体" w:eastAsia="宋体" w:cs="宋体"/>
          <w:b/>
          <w:bCs/>
          <w:color w:val="auto"/>
          <w:sz w:val="32"/>
          <w:szCs w:val="32"/>
          <w:highlight w:val="none"/>
        </w:rPr>
      </w:pPr>
    </w:p>
    <w:p w14:paraId="31766711">
      <w:pPr>
        <w:rPr>
          <w:rFonts w:hint="eastAsia" w:ascii="宋体" w:hAnsi="宋体" w:eastAsia="宋体" w:cs="宋体"/>
          <w:color w:val="auto"/>
          <w:highlight w:val="none"/>
        </w:rPr>
      </w:pPr>
    </w:p>
    <w:p w14:paraId="3DFCD5F6">
      <w:pPr>
        <w:pStyle w:val="6"/>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（一）资格性响应证明材料目录</w:t>
      </w:r>
      <w:bookmarkEnd w:id="141"/>
      <w:bookmarkEnd w:id="142"/>
      <w:bookmarkEnd w:id="143"/>
    </w:p>
    <w:p w14:paraId="7751C59E">
      <w:pPr>
        <w:rPr>
          <w:rFonts w:hint="eastAsia" w:ascii="宋体" w:hAnsi="宋体" w:eastAsia="宋体" w:cs="宋体"/>
          <w:color w:val="auto"/>
          <w:szCs w:val="21"/>
          <w:highlight w:val="none"/>
        </w:rPr>
      </w:pPr>
    </w:p>
    <w:p w14:paraId="4572910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1.供应商相应的法定代表人、负责人、自然人身份证正反两面复印件（必须提供）；</w:t>
      </w:r>
    </w:p>
    <w:p w14:paraId="2E941B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2.供应商的授权委托书原件、委托代理人身份证正反面复印件以及由县级以上（含县级）社会养老保险经办机构出具的供应商为委托代理人交纳的</w:t>
      </w:r>
      <w:r>
        <w:rPr>
          <w:rFonts w:hint="eastAsia" w:ascii="宋体" w:hAnsi="宋体" w:cs="宋体"/>
          <w:color w:val="auto"/>
          <w:szCs w:val="21"/>
          <w:highlight w:val="none"/>
          <w:lang w:val="en-US" w:eastAsia="zh-CN"/>
        </w:rPr>
        <w:t>2024年10月以来任意一个月</w:t>
      </w:r>
      <w:r>
        <w:rPr>
          <w:rFonts w:hint="eastAsia" w:ascii="宋体" w:hAnsi="宋体" w:eastAsia="宋体" w:cs="宋体"/>
          <w:color w:val="auto"/>
          <w:szCs w:val="21"/>
          <w:highlight w:val="none"/>
        </w:rPr>
        <w:t>社保证明复印件，除供应商为以下三种情形的：</w:t>
      </w:r>
    </w:p>
    <w:p w14:paraId="3E73D6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（1）如供应商为截标时间前 60 日以内成立的公司，可以提供供应商与委托代理人签订的劳动合同复印件代替社保证明复印件；</w:t>
      </w:r>
    </w:p>
    <w:p w14:paraId="3645761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（2）如供应商为事业单位，可以提供事业单位机构编制管理证复印件或事业单位机构为其发放工资的工资条复印件代替社保证明复印件；</w:t>
      </w:r>
    </w:p>
    <w:p w14:paraId="590FD2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（3）如委托代理人为免缴纳社保人员，提供免缴纳社保的证明材料复印件及供应商与委托代理人签订的劳动合同复印件代替社保证明复印件。</w:t>
      </w:r>
    </w:p>
    <w:p w14:paraId="047E2B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w:t>
      </w:r>
      <w:r>
        <w:rPr>
          <w:rFonts w:hint="eastAsia" w:ascii="宋体" w:hAnsi="宋体" w:cs="宋体"/>
          <w:b/>
          <w:bCs/>
          <w:color w:val="auto"/>
          <w:szCs w:val="21"/>
          <w:highlight w:val="none"/>
          <w:lang w:val="en-US" w:eastAsia="zh-CN"/>
        </w:rPr>
        <w:t>2024年10月以来任意一个月</w:t>
      </w:r>
      <w:r>
        <w:rPr>
          <w:rFonts w:hint="eastAsia" w:ascii="宋体" w:hAnsi="宋体" w:eastAsia="宋体" w:cs="宋体"/>
          <w:b/>
          <w:bCs/>
          <w:color w:val="auto"/>
          <w:szCs w:val="21"/>
          <w:highlight w:val="none"/>
        </w:rPr>
        <w:t>社保证明复印件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w:t>
      </w:r>
    </w:p>
    <w:p w14:paraId="1F76C9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p>
    <w:p w14:paraId="724832C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4.供应商的法人或者其他组织营业执照等证明文件复印件</w:t>
      </w:r>
      <w:r>
        <w:rPr>
          <w:rFonts w:hint="eastAsia" w:ascii="宋体" w:hAnsi="宋体" w:eastAsia="宋体" w:cs="宋体"/>
          <w:b/>
          <w:bCs/>
          <w:color w:val="auto"/>
          <w:szCs w:val="21"/>
          <w:highlight w:val="none"/>
        </w:rPr>
        <w:t>（必须提供，自然人除外）</w:t>
      </w:r>
      <w:r>
        <w:rPr>
          <w:rFonts w:hint="eastAsia" w:ascii="宋体" w:hAnsi="宋体" w:eastAsia="宋体" w:cs="宋体"/>
          <w:b/>
          <w:bCs/>
          <w:color w:val="auto"/>
          <w:szCs w:val="21"/>
          <w:highlight w:val="none"/>
          <w:lang w:eastAsia="zh-CN"/>
        </w:rPr>
        <w:t>；</w:t>
      </w:r>
    </w:p>
    <w:p w14:paraId="6A724040">
      <w:pPr>
        <w:pStyle w:val="14"/>
        <w:keepNext w:val="0"/>
        <w:keepLines w:val="0"/>
        <w:pageBreakBefore w:val="0"/>
        <w:widowControl w:val="0"/>
        <w:kinsoku/>
        <w:wordWrap/>
        <w:overflowPunct/>
        <w:topLinePunct w:val="0"/>
        <w:autoSpaceDE/>
        <w:autoSpaceDN/>
        <w:bidi w:val="0"/>
        <w:adjustRightInd/>
        <w:snapToGrid/>
        <w:spacing w:before="51" w:line="400" w:lineRule="exact"/>
        <w:ind w:right="0" w:firstLine="420" w:firstLineChars="200"/>
        <w:jc w:val="left"/>
        <w:textAlignment w:val="auto"/>
        <w:rPr>
          <w:color w:val="auto"/>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b w:val="0"/>
          <w:bCs w:val="0"/>
          <w:color w:val="auto"/>
          <w:kern w:val="2"/>
          <w:sz w:val="21"/>
          <w:szCs w:val="21"/>
          <w:highlight w:val="none"/>
          <w:lang w:val="en-US" w:eastAsia="zh-CN" w:bidi="ar-SA"/>
        </w:rPr>
        <w:t>供应商有效的资质证书复印件</w:t>
      </w:r>
      <w:r>
        <w:rPr>
          <w:b/>
          <w:bCs/>
          <w:color w:val="auto"/>
          <w:spacing w:val="2"/>
          <w:w w:val="100"/>
          <w:highlight w:val="none"/>
        </w:rPr>
        <w:t>（必须</w:t>
      </w:r>
      <w:r>
        <w:rPr>
          <w:b/>
          <w:bCs/>
          <w:color w:val="auto"/>
          <w:spacing w:val="-1"/>
          <w:w w:val="100"/>
          <w:highlight w:val="none"/>
        </w:rPr>
        <w:t>提</w:t>
      </w:r>
      <w:r>
        <w:rPr>
          <w:b/>
          <w:bCs/>
          <w:color w:val="auto"/>
          <w:spacing w:val="2"/>
          <w:w w:val="100"/>
          <w:highlight w:val="none"/>
        </w:rPr>
        <w:t>供）</w:t>
      </w:r>
      <w:r>
        <w:rPr>
          <w:b/>
          <w:bCs/>
          <w:color w:val="auto"/>
          <w:spacing w:val="0"/>
          <w:w w:val="100"/>
          <w:highlight w:val="none"/>
        </w:rPr>
        <w:t>；</w:t>
      </w:r>
    </w:p>
    <w:p w14:paraId="0A3C9000">
      <w:pPr>
        <w:pStyle w:val="16"/>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6.供应商2023年度或2024年度的财务状况报告（或银行出具的资信证明）复印件</w:t>
      </w:r>
      <w:r>
        <w:rPr>
          <w:rFonts w:hint="eastAsia" w:ascii="宋体" w:hAnsi="宋体" w:cs="宋体"/>
          <w:b/>
          <w:bCs/>
          <w:color w:val="auto"/>
          <w:szCs w:val="21"/>
          <w:highlight w:val="none"/>
          <w:lang w:val="en-US" w:eastAsia="zh-CN"/>
        </w:rPr>
        <w:t>（必须提供，若为新成立的企业，请根据实际情况提供）；</w:t>
      </w:r>
    </w:p>
    <w:p w14:paraId="7242D5E9">
      <w:pPr>
        <w:pStyle w:val="16"/>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7.供应商近半年内任意一个月或任一季度在税务部门依法纳税、履行社会义务的证明材料【增值税发 票按以下附注提供复印件</w:t>
      </w:r>
      <w:r>
        <w:rPr>
          <w:rFonts w:hint="eastAsia" w:ascii="宋体" w:hAnsi="宋体" w:cs="宋体"/>
          <w:b/>
          <w:bCs/>
          <w:color w:val="auto"/>
          <w:szCs w:val="21"/>
          <w:highlight w:val="none"/>
          <w:lang w:val="en-US" w:eastAsia="zh-CN"/>
        </w:rPr>
        <w:t>（必须提供）；</w:t>
      </w:r>
    </w:p>
    <w:p w14:paraId="4469F4F2">
      <w:pPr>
        <w:pStyle w:val="16"/>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注：①供应商无纳税记录的，应提供由供应商所在地的税务部门出具的免税证明复印件，从取得营业执照时间起到响应文件递交截止时间止不足要求月数的，只需提供从取得营业执照起的依法缴纳税费或依法免缴税费的凭据复印件；②供应商无社保缴费记录的，应提供由供应商所在地行政主管部门出具的依法免缴社保费证明复印件，从取得营业执照时间起到响应文件递交截止时间止不足要求月数的只需提供从取得营业执照起的依法缴纳社保费的缴费凭证复印件。</w:t>
      </w:r>
    </w:p>
    <w:p w14:paraId="43D3854F">
      <w:pPr>
        <w:pStyle w:val="16"/>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8.《中小企业声明函》</w:t>
      </w:r>
      <w:r>
        <w:rPr>
          <w:rFonts w:hint="eastAsia" w:ascii="宋体" w:hAnsi="宋体" w:eastAsia="宋体" w:cs="宋体"/>
          <w:b/>
          <w:bCs/>
          <w:color w:val="auto"/>
          <w:szCs w:val="21"/>
          <w:highlight w:val="none"/>
          <w:lang w:val="en-US" w:eastAsia="zh-CN"/>
        </w:rPr>
        <w:t>（如有，请提供）</w:t>
      </w:r>
      <w:r>
        <w:rPr>
          <w:rFonts w:hint="eastAsia" w:ascii="宋体" w:hAnsi="宋体" w:eastAsia="宋体" w:cs="宋体"/>
          <w:b w:val="0"/>
          <w:bCs w:val="0"/>
          <w:color w:val="auto"/>
          <w:szCs w:val="21"/>
          <w:highlight w:val="none"/>
          <w:lang w:val="en-US" w:eastAsia="zh-CN"/>
        </w:rPr>
        <w:t>。</w:t>
      </w:r>
    </w:p>
    <w:p w14:paraId="506843FA">
      <w:pPr>
        <w:pStyle w:val="16"/>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val="0"/>
          <w:color w:val="auto"/>
          <w:szCs w:val="21"/>
          <w:highlight w:val="none"/>
          <w:lang w:val="en-US" w:eastAsia="zh-CN"/>
        </w:rPr>
        <w:t>9.符合在参加政府采购活</w:t>
      </w:r>
      <w:r>
        <w:rPr>
          <w:rFonts w:hint="eastAsia" w:ascii="宋体" w:hAnsi="宋体" w:eastAsia="宋体" w:cs="宋体"/>
          <w:color w:val="auto"/>
          <w:kern w:val="2"/>
          <w:sz w:val="21"/>
          <w:szCs w:val="21"/>
          <w:highlight w:val="none"/>
          <w:lang w:val="en-US" w:eastAsia="zh-CN" w:bidi="ar-SA"/>
        </w:rPr>
        <w:t>动时，应当提供《残疾人福利性单位声明函》，格式</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en-US" w:eastAsia="zh-CN" w:bidi="ar-SA"/>
        </w:rPr>
        <w:t>条件的残疾人福利性单位见附件）</w:t>
      </w:r>
    </w:p>
    <w:p w14:paraId="57582F1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10.如提供服务的供应商属于监狱企业的，应当提供由省级以上监狱管理局、戒毒管理局等（含新疆生产建设兵团）出具的属于监狱企业的证明文件</w:t>
      </w:r>
      <w:r>
        <w:rPr>
          <w:rFonts w:hint="eastAsia" w:ascii="宋体" w:hAnsi="宋体" w:eastAsia="宋体" w:cs="宋体"/>
          <w:b/>
          <w:color w:val="auto"/>
          <w:kern w:val="2"/>
          <w:sz w:val="21"/>
          <w:szCs w:val="21"/>
          <w:highlight w:val="none"/>
          <w:lang w:val="en-US" w:eastAsia="zh-CN" w:bidi="ar-SA"/>
        </w:rPr>
        <w:t>（如有，请提供）</w:t>
      </w:r>
      <w:r>
        <w:rPr>
          <w:rFonts w:hint="eastAsia" w:ascii="宋体" w:hAnsi="宋体" w:eastAsia="宋体" w:cs="宋体"/>
          <w:b/>
          <w:bCs/>
          <w:color w:val="auto"/>
          <w:kern w:val="2"/>
          <w:sz w:val="21"/>
          <w:szCs w:val="21"/>
          <w:highlight w:val="none"/>
          <w:lang w:val="en-US" w:eastAsia="zh-CN" w:bidi="ar-SA"/>
        </w:rPr>
        <w:t>；</w:t>
      </w:r>
    </w:p>
    <w:p w14:paraId="42CF580D">
      <w:pPr>
        <w:pStyle w:val="16"/>
        <w:ind w:left="0" w:leftChars="0" w:firstLine="0" w:firstLineChars="0"/>
        <w:rPr>
          <w:rFonts w:hint="default"/>
          <w:color w:val="auto"/>
          <w:highlight w:val="none"/>
          <w:lang w:val="en-US" w:eastAsia="zh-CN"/>
        </w:rPr>
      </w:pPr>
    </w:p>
    <w:p w14:paraId="021A4446">
      <w:pPr>
        <w:pStyle w:val="18"/>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1.供应商相应的法定代表人、负责人、自然人身份证正反两面复印件（必须提供）</w:t>
      </w:r>
    </w:p>
    <w:p w14:paraId="679F21A4">
      <w:pPr>
        <w:pStyle w:val="18"/>
        <w:ind w:firstLine="627" w:firstLineChars="196"/>
        <w:jc w:val="center"/>
        <w:rPr>
          <w:rFonts w:hint="eastAsia" w:ascii="宋体" w:hAnsi="宋体" w:eastAsia="宋体" w:cs="宋体"/>
          <w:b/>
          <w:color w:val="auto"/>
          <w:sz w:val="32"/>
          <w:highlight w:val="none"/>
        </w:rPr>
      </w:pPr>
    </w:p>
    <w:p w14:paraId="5F1E49C9">
      <w:pPr>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2.供应商的授权委托书原件、委托代理人身份证正反面复印件以及由县级以上（含县级）社会养老保险经办机构出具的供应商为委托代理人交纳的</w:t>
      </w:r>
      <w:r>
        <w:rPr>
          <w:rFonts w:hint="eastAsia" w:hAnsi="宋体" w:cs="宋体"/>
          <w:b/>
          <w:color w:val="auto"/>
          <w:sz w:val="32"/>
          <w:highlight w:val="none"/>
          <w:lang w:val="en-US" w:eastAsia="zh-CN"/>
        </w:rPr>
        <w:t>2024年10月以来任意一个月</w:t>
      </w:r>
      <w:r>
        <w:rPr>
          <w:rFonts w:hint="eastAsia" w:ascii="宋体" w:hAnsi="宋体" w:eastAsia="宋体" w:cs="宋体"/>
          <w:b/>
          <w:color w:val="auto"/>
          <w:sz w:val="32"/>
          <w:highlight w:val="none"/>
        </w:rPr>
        <w:t>社保证明复印件，除供应商为以下三种情形的：</w:t>
      </w:r>
    </w:p>
    <w:p w14:paraId="63071A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（1）如供应商为截标时间前 60 日以内成立的公司，可以提供供应商与委托代理人签订的劳动合同复印件代替社保证明复印件；</w:t>
      </w:r>
    </w:p>
    <w:p w14:paraId="6AE97A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（2）如供应商为事业单位，可以提供事业单位机构编制管理证复印件或事业单位机构为其发放工资的工资条复印件代替社保证明复印件；</w:t>
      </w:r>
    </w:p>
    <w:p w14:paraId="0DBFC4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（3）如委托代理人为免缴纳社保人员，提供免缴纳社保的证明材料复印件及供应商与委托代理人签订的劳动合同复印件代替社保证明复印件。</w:t>
      </w:r>
    </w:p>
    <w:p w14:paraId="49278740">
      <w:pPr>
        <w:pStyle w:val="18"/>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t>【属自然人的应提供由县级以上（含县级）社会养老保险经办机构出具的自然人本人及委托代理人所交纳的</w:t>
      </w:r>
      <w:r>
        <w:rPr>
          <w:rFonts w:hint="eastAsia" w:hAnsi="宋体" w:cs="宋体"/>
          <w:b/>
          <w:color w:val="auto"/>
          <w:sz w:val="24"/>
          <w:szCs w:val="16"/>
          <w:highlight w:val="none"/>
          <w:lang w:val="en-US" w:eastAsia="zh-CN"/>
        </w:rPr>
        <w:t>2024年10月以来任意一个月</w:t>
      </w:r>
      <w:r>
        <w:rPr>
          <w:rFonts w:hint="eastAsia" w:ascii="宋体" w:hAnsi="宋体" w:eastAsia="宋体" w:cs="宋体"/>
          <w:b/>
          <w:color w:val="auto"/>
          <w:sz w:val="24"/>
          <w:szCs w:val="16"/>
          <w:highlight w:val="none"/>
        </w:rPr>
        <w:t>社保证明复印件】（委托代理时必须提供）</w:t>
      </w:r>
    </w:p>
    <w:p w14:paraId="1FEF3DC5">
      <w:pPr>
        <w:pStyle w:val="18"/>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t xml:space="preserve">附件：            </w:t>
      </w:r>
    </w:p>
    <w:p w14:paraId="772D003B">
      <w:pPr>
        <w:pStyle w:val="18"/>
        <w:ind w:firstLine="627" w:firstLineChars="196"/>
        <w:jc w:val="center"/>
        <w:rPr>
          <w:rFonts w:hint="eastAsia" w:ascii="宋体" w:hAnsi="宋体" w:eastAsia="宋体" w:cs="宋体"/>
          <w:b/>
          <w:color w:val="auto"/>
          <w:sz w:val="32"/>
          <w:highlight w:val="none"/>
        </w:rPr>
      </w:pPr>
      <w:bookmarkStart w:id="144" w:name="_Toc5420_WPSOffice_Level1"/>
      <w:bookmarkStart w:id="145" w:name="_Toc964_WPSOffice_Level1"/>
      <w:r>
        <w:rPr>
          <w:rFonts w:hint="eastAsia" w:ascii="宋体" w:hAnsi="宋体" w:eastAsia="宋体" w:cs="宋体"/>
          <w:b/>
          <w:color w:val="auto"/>
          <w:sz w:val="32"/>
          <w:highlight w:val="none"/>
        </w:rPr>
        <w:t>授权委托书（格式一）</w:t>
      </w:r>
      <w:bookmarkEnd w:id="144"/>
      <w:bookmarkEnd w:id="145"/>
    </w:p>
    <w:p w14:paraId="72D53F0D">
      <w:pPr>
        <w:pStyle w:val="18"/>
        <w:rPr>
          <w:rFonts w:hint="eastAsia" w:ascii="宋体" w:hAnsi="宋体" w:eastAsia="宋体" w:cs="宋体"/>
          <w:color w:val="auto"/>
          <w:highlight w:val="none"/>
        </w:rPr>
      </w:pPr>
    </w:p>
    <w:p w14:paraId="2F338947">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合普项目管理咨询集团有限公司</w:t>
      </w:r>
      <w:r>
        <w:rPr>
          <w:rFonts w:hint="eastAsia" w:ascii="宋体" w:hAnsi="宋体" w:eastAsia="宋体" w:cs="宋体"/>
          <w:color w:val="auto"/>
          <w:szCs w:val="21"/>
          <w:highlight w:val="none"/>
          <w:u w:val="single"/>
        </w:rPr>
        <w:t xml:space="preserve"> </w:t>
      </w:r>
    </w:p>
    <w:p w14:paraId="16D1C0BD">
      <w:pPr>
        <w:spacing w:line="400" w:lineRule="exact"/>
        <w:rPr>
          <w:rFonts w:hint="eastAsia" w:ascii="宋体" w:hAnsi="宋体" w:eastAsia="宋体" w:cs="宋体"/>
          <w:color w:val="auto"/>
          <w:szCs w:val="21"/>
          <w:highlight w:val="none"/>
        </w:rPr>
      </w:pPr>
    </w:p>
    <w:p w14:paraId="4A595FA9">
      <w:pPr>
        <w:pStyle w:val="18"/>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2D2C0C3C">
      <w:pPr>
        <w:pStyle w:val="18"/>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4C03F129">
      <w:pPr>
        <w:pStyle w:val="18"/>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5DBE26D0">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4471A905">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23295FDF">
      <w:pPr>
        <w:spacing w:line="400" w:lineRule="exact"/>
        <w:ind w:firstLine="420" w:firstLineChars="200"/>
        <w:rPr>
          <w:rFonts w:hint="eastAsia" w:ascii="宋体" w:hAnsi="宋体" w:eastAsia="宋体" w:cs="宋体"/>
          <w:color w:val="auto"/>
          <w:kern w:val="0"/>
          <w:highlight w:val="none"/>
        </w:rPr>
      </w:pPr>
    </w:p>
    <w:p w14:paraId="2D3F138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0716EF87">
      <w:pPr>
        <w:spacing w:line="400" w:lineRule="exact"/>
        <w:ind w:firstLine="420" w:firstLineChars="200"/>
        <w:rPr>
          <w:rFonts w:hint="eastAsia" w:ascii="宋体" w:hAnsi="宋体" w:eastAsia="宋体" w:cs="宋体"/>
          <w:color w:val="auto"/>
          <w:szCs w:val="21"/>
          <w:highlight w:val="none"/>
        </w:rPr>
      </w:pPr>
    </w:p>
    <w:p w14:paraId="08949352">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供应商[公章（CA签章）]：</w:t>
      </w:r>
      <w:r>
        <w:rPr>
          <w:rFonts w:hint="eastAsia" w:ascii="宋体" w:hAnsi="宋体" w:eastAsia="宋体" w:cs="宋体"/>
          <w:color w:val="auto"/>
          <w:szCs w:val="21"/>
          <w:highlight w:val="none"/>
          <w:u w:val="single"/>
        </w:rPr>
        <w:t xml:space="preserve">                                   </w:t>
      </w:r>
    </w:p>
    <w:p w14:paraId="296B5FDC">
      <w:pPr>
        <w:snapToGrid w:val="0"/>
        <w:spacing w:line="400" w:lineRule="exact"/>
        <w:ind w:firstLine="420"/>
        <w:rPr>
          <w:rFonts w:hint="eastAsia" w:ascii="宋体" w:hAnsi="宋体" w:eastAsia="宋体" w:cs="宋体"/>
          <w:color w:val="auto"/>
          <w:szCs w:val="21"/>
          <w:highlight w:val="none"/>
        </w:rPr>
      </w:pPr>
    </w:p>
    <w:p w14:paraId="119DCA9A">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法定代表人（负责人）签字（或个人CA签章）：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0D6CE81">
      <w:pPr>
        <w:pStyle w:val="14"/>
        <w:rPr>
          <w:rFonts w:hint="eastAsia" w:ascii="宋体" w:hAnsi="宋体" w:eastAsia="宋体" w:cs="宋体"/>
          <w:color w:val="auto"/>
          <w:highlight w:val="none"/>
        </w:rPr>
      </w:pPr>
    </w:p>
    <w:p w14:paraId="490874D9">
      <w:pPr>
        <w:spacing w:line="440" w:lineRule="atLeas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附：供应商的授权委托书原件、委托代理人身份证正反面复印件以及由县级以上（含县级）社会养老保险经办机构出具的供应商为委托代理人交纳的</w:t>
      </w:r>
      <w:r>
        <w:rPr>
          <w:rFonts w:hint="eastAsia" w:ascii="宋体" w:hAnsi="宋体" w:cs="宋体"/>
          <w:b/>
          <w:color w:val="auto"/>
          <w:szCs w:val="21"/>
          <w:highlight w:val="none"/>
          <w:lang w:val="en-US" w:eastAsia="zh-CN"/>
        </w:rPr>
        <w:t>2024年10月以来任意一个月</w:t>
      </w:r>
      <w:r>
        <w:rPr>
          <w:rFonts w:hint="eastAsia" w:ascii="宋体" w:hAnsi="宋体" w:eastAsia="宋体" w:cs="宋体"/>
          <w:b/>
          <w:color w:val="auto"/>
          <w:szCs w:val="21"/>
          <w:highlight w:val="none"/>
        </w:rPr>
        <w:t>社保证明复印件</w:t>
      </w:r>
      <w:r>
        <w:rPr>
          <w:rFonts w:hint="eastAsia" w:ascii="宋体" w:hAnsi="宋体" w:eastAsia="宋体" w:cs="宋体"/>
          <w:b/>
          <w:color w:val="auto"/>
          <w:szCs w:val="21"/>
          <w:highlight w:val="none"/>
          <w:lang w:eastAsia="zh-CN"/>
        </w:rPr>
        <w:t>。</w:t>
      </w:r>
    </w:p>
    <w:p w14:paraId="2BEAEE70">
      <w:pPr>
        <w:pStyle w:val="18"/>
        <w:rPr>
          <w:rFonts w:hint="eastAsia" w:ascii="宋体" w:hAnsi="宋体" w:eastAsia="宋体" w:cs="宋体"/>
          <w:b/>
          <w:color w:val="auto"/>
          <w:sz w:val="32"/>
          <w:highlight w:val="none"/>
        </w:rPr>
      </w:pPr>
      <w:bookmarkStart w:id="146" w:name="_Toc21370_WPSOffice_Level1"/>
      <w:bookmarkStart w:id="147" w:name="_Toc6975_WPSOffice_Level1"/>
    </w:p>
    <w:p w14:paraId="6FFDF376">
      <w:pPr>
        <w:pStyle w:val="18"/>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授权委托书（格式二）</w:t>
      </w:r>
      <w:bookmarkEnd w:id="146"/>
      <w:bookmarkEnd w:id="147"/>
    </w:p>
    <w:p w14:paraId="7011DEAB">
      <w:pPr>
        <w:pStyle w:val="18"/>
        <w:rPr>
          <w:rFonts w:hint="eastAsia" w:ascii="宋体" w:hAnsi="宋体" w:eastAsia="宋体" w:cs="宋体"/>
          <w:b/>
          <w:color w:val="auto"/>
          <w:sz w:val="32"/>
          <w:highlight w:val="none"/>
        </w:rPr>
      </w:pPr>
    </w:p>
    <w:p w14:paraId="7E86D617">
      <w:pPr>
        <w:pStyle w:val="18"/>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合普项目管理咨询集团有限公司</w:t>
      </w:r>
      <w:r>
        <w:rPr>
          <w:rFonts w:hint="eastAsia" w:ascii="宋体" w:hAnsi="宋体" w:eastAsia="宋体" w:cs="宋体"/>
          <w:color w:val="auto"/>
          <w:szCs w:val="21"/>
          <w:highlight w:val="none"/>
          <w:u w:val="single"/>
        </w:rPr>
        <w:t xml:space="preserve"> </w:t>
      </w:r>
    </w:p>
    <w:p w14:paraId="465C92DB">
      <w:pPr>
        <w:rPr>
          <w:rFonts w:hint="eastAsia" w:ascii="宋体" w:hAnsi="宋体" w:eastAsia="宋体" w:cs="宋体"/>
          <w:color w:val="auto"/>
          <w:highlight w:val="none"/>
        </w:rPr>
      </w:pPr>
    </w:p>
    <w:p w14:paraId="12A1958A">
      <w:pPr>
        <w:pStyle w:val="1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4F82CD1E">
      <w:pPr>
        <w:pStyle w:val="1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54D3905B">
      <w:pPr>
        <w:pStyle w:val="18"/>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64CFB0DC">
      <w:pPr>
        <w:pStyle w:val="18"/>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47C571BD">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175AA946">
      <w:pPr>
        <w:spacing w:line="340" w:lineRule="exact"/>
        <w:ind w:firstLine="420" w:firstLineChars="200"/>
        <w:rPr>
          <w:rFonts w:hint="eastAsia" w:ascii="宋体" w:hAnsi="宋体" w:eastAsia="宋体" w:cs="宋体"/>
          <w:color w:val="auto"/>
          <w:kern w:val="0"/>
          <w:highlight w:val="none"/>
        </w:rPr>
      </w:pPr>
    </w:p>
    <w:p w14:paraId="11DB01D6">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2310A906">
      <w:pPr>
        <w:spacing w:line="340" w:lineRule="exact"/>
        <w:ind w:firstLine="420" w:firstLineChars="200"/>
        <w:rPr>
          <w:rFonts w:hint="eastAsia" w:ascii="宋体" w:hAnsi="宋体" w:eastAsia="宋体" w:cs="宋体"/>
          <w:color w:val="auto"/>
          <w:szCs w:val="21"/>
          <w:highlight w:val="none"/>
        </w:rPr>
      </w:pPr>
    </w:p>
    <w:p w14:paraId="43549833">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自然人签字并在签名处加盖大拇指指印或个人CA签章：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1CE3B53">
      <w:pPr>
        <w:pStyle w:val="18"/>
        <w:spacing w:line="400" w:lineRule="exact"/>
        <w:ind w:left="420" w:leftChars="200"/>
        <w:rPr>
          <w:rFonts w:hint="eastAsia" w:ascii="宋体" w:hAnsi="宋体" w:eastAsia="宋体" w:cs="宋体"/>
          <w:color w:val="auto"/>
          <w:szCs w:val="21"/>
          <w:highlight w:val="none"/>
        </w:rPr>
      </w:pPr>
    </w:p>
    <w:p w14:paraId="01F5F475">
      <w:pPr>
        <w:pStyle w:val="18"/>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附：委托代理人身份证正反面复印件</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提供由县级以上（含县级）社会养老保险经办机构出具的自然人本人及委托代理人所交纳的</w:t>
      </w:r>
      <w:r>
        <w:rPr>
          <w:rFonts w:hint="eastAsia" w:hAnsi="宋体" w:cs="宋体"/>
          <w:b/>
          <w:color w:val="auto"/>
          <w:szCs w:val="21"/>
          <w:highlight w:val="none"/>
          <w:lang w:val="en-US" w:eastAsia="zh-CN"/>
        </w:rPr>
        <w:t>2024年10月以来任意一个月</w:t>
      </w:r>
      <w:r>
        <w:rPr>
          <w:rFonts w:hint="eastAsia" w:ascii="宋体" w:hAnsi="宋体" w:eastAsia="宋体" w:cs="宋体"/>
          <w:b/>
          <w:color w:val="auto"/>
          <w:szCs w:val="21"/>
          <w:highlight w:val="none"/>
        </w:rPr>
        <w:t>社保证明复印件</w:t>
      </w:r>
      <w:r>
        <w:rPr>
          <w:rFonts w:hint="eastAsia" w:ascii="宋体" w:hAnsi="宋体" w:eastAsia="宋体" w:cs="宋体"/>
          <w:b/>
          <w:color w:val="auto"/>
          <w:szCs w:val="21"/>
          <w:highlight w:val="none"/>
          <w:lang w:eastAsia="zh-CN"/>
        </w:rPr>
        <w:t>。</w:t>
      </w:r>
    </w:p>
    <w:p w14:paraId="07055FF3">
      <w:pPr>
        <w:pStyle w:val="18"/>
        <w:spacing w:line="400" w:lineRule="exact"/>
        <w:rPr>
          <w:rFonts w:hint="eastAsia" w:ascii="宋体" w:hAnsi="宋体" w:eastAsia="宋体" w:cs="宋体"/>
          <w:b/>
          <w:color w:val="auto"/>
          <w:szCs w:val="21"/>
          <w:highlight w:val="none"/>
        </w:rPr>
      </w:pPr>
    </w:p>
    <w:p w14:paraId="456E966A">
      <w:pPr>
        <w:pStyle w:val="14"/>
        <w:rPr>
          <w:rFonts w:hint="eastAsia" w:ascii="宋体" w:hAnsi="宋体" w:eastAsia="宋体" w:cs="宋体"/>
          <w:b/>
          <w:color w:val="auto"/>
          <w:szCs w:val="21"/>
          <w:highlight w:val="none"/>
        </w:rPr>
      </w:pPr>
    </w:p>
    <w:p w14:paraId="790BFFAE">
      <w:pPr>
        <w:pStyle w:val="14"/>
        <w:rPr>
          <w:rFonts w:hint="eastAsia" w:ascii="宋体" w:hAnsi="宋体" w:eastAsia="宋体" w:cs="宋体"/>
          <w:b/>
          <w:color w:val="auto"/>
          <w:szCs w:val="21"/>
          <w:highlight w:val="none"/>
        </w:rPr>
      </w:pPr>
    </w:p>
    <w:p w14:paraId="03124C8D">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3.供应商参加政府采购活动前3年内在经营活动中没有重大违法记录及有关信用信息的书面声明（必须提供）</w:t>
      </w:r>
    </w:p>
    <w:p w14:paraId="529F2A48">
      <w:pPr>
        <w:pStyle w:val="18"/>
        <w:spacing w:line="400" w:lineRule="exact"/>
        <w:ind w:left="420" w:leftChars="200" w:firstLine="156"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7E90F004">
      <w:pPr>
        <w:pStyle w:val="18"/>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14:paraId="77765336">
      <w:pPr>
        <w:pStyle w:val="18"/>
        <w:spacing w:line="400" w:lineRule="exact"/>
        <w:jc w:val="center"/>
        <w:rPr>
          <w:rFonts w:hint="eastAsia" w:ascii="宋体" w:hAnsi="宋体" w:eastAsia="宋体" w:cs="宋体"/>
          <w:b/>
          <w:color w:val="auto"/>
          <w:sz w:val="32"/>
          <w:szCs w:val="32"/>
          <w:highlight w:val="none"/>
        </w:rPr>
      </w:pPr>
      <w:bookmarkStart w:id="148" w:name="_Toc30890_WPSOffice_Level1"/>
      <w:bookmarkStart w:id="149" w:name="_Toc30304_WPSOffice_Level1"/>
      <w:r>
        <w:rPr>
          <w:rFonts w:hint="eastAsia" w:ascii="宋体" w:hAnsi="宋体" w:eastAsia="宋体" w:cs="宋体"/>
          <w:b/>
          <w:color w:val="auto"/>
          <w:sz w:val="32"/>
          <w:szCs w:val="32"/>
          <w:highlight w:val="none"/>
        </w:rPr>
        <w:t>声  明</w:t>
      </w:r>
      <w:bookmarkEnd w:id="148"/>
      <w:bookmarkEnd w:id="149"/>
    </w:p>
    <w:p w14:paraId="6F764572">
      <w:pPr>
        <w:pStyle w:val="18"/>
        <w:spacing w:line="400" w:lineRule="exact"/>
        <w:rPr>
          <w:rFonts w:hint="eastAsia" w:ascii="宋体" w:hAnsi="宋体" w:eastAsia="宋体" w:cs="宋体"/>
          <w:b/>
          <w:color w:val="auto"/>
          <w:sz w:val="32"/>
          <w:szCs w:val="32"/>
          <w:highlight w:val="none"/>
        </w:rPr>
      </w:pPr>
    </w:p>
    <w:p w14:paraId="2762AABE">
      <w:pPr>
        <w:pStyle w:val="18"/>
        <w:spacing w:line="400" w:lineRule="exact"/>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合普项目管理咨询集团有限公司</w:t>
      </w:r>
      <w:r>
        <w:rPr>
          <w:rFonts w:hint="eastAsia" w:ascii="宋体" w:hAnsi="宋体" w:eastAsia="宋体" w:cs="宋体"/>
          <w:color w:val="auto"/>
          <w:szCs w:val="21"/>
          <w:highlight w:val="none"/>
          <w:u w:val="single"/>
        </w:rPr>
        <w:t xml:space="preserve"> </w:t>
      </w:r>
    </w:p>
    <w:p w14:paraId="6A730A53">
      <w:pPr>
        <w:rPr>
          <w:rFonts w:hint="eastAsia" w:ascii="宋体" w:hAnsi="宋体" w:eastAsia="宋体" w:cs="宋体"/>
          <w:color w:val="auto"/>
          <w:szCs w:val="21"/>
          <w:highlight w:val="none"/>
          <w:u w:val="single"/>
        </w:rPr>
      </w:pPr>
    </w:p>
    <w:p w14:paraId="75955A25">
      <w:pPr>
        <w:pStyle w:val="14"/>
        <w:rPr>
          <w:rFonts w:hint="eastAsia" w:ascii="宋体" w:hAnsi="宋体" w:eastAsia="宋体" w:cs="宋体"/>
          <w:color w:val="auto"/>
          <w:highlight w:val="none"/>
        </w:rPr>
      </w:pPr>
    </w:p>
    <w:p w14:paraId="3EE47EDE">
      <w:pPr>
        <w:pStyle w:val="18"/>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D0C341E">
      <w:pPr>
        <w:rPr>
          <w:rFonts w:hint="eastAsia" w:ascii="宋体" w:hAnsi="宋体" w:eastAsia="宋体" w:cs="宋体"/>
          <w:color w:val="auto"/>
          <w:highlight w:val="none"/>
        </w:rPr>
      </w:pPr>
    </w:p>
    <w:p w14:paraId="6C690BD8">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rPr>
        <w:t>供应商[公章(CA签章)，自然人签字或个人CA签章]：</w:t>
      </w:r>
      <w:r>
        <w:rPr>
          <w:rFonts w:hint="eastAsia" w:ascii="宋体" w:hAnsi="宋体" w:eastAsia="宋体" w:cs="宋体"/>
          <w:color w:val="auto"/>
          <w:szCs w:val="21"/>
          <w:highlight w:val="none"/>
          <w:u w:val="single"/>
        </w:rPr>
        <w:t xml:space="preserve">                                         </w:t>
      </w:r>
    </w:p>
    <w:p w14:paraId="227BCE13">
      <w:pPr>
        <w:pStyle w:val="18"/>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1EE70E9C">
      <w:pPr>
        <w:pStyle w:val="18"/>
        <w:spacing w:line="340" w:lineRule="exact"/>
        <w:rPr>
          <w:rFonts w:hint="eastAsia" w:ascii="宋体" w:hAnsi="宋体" w:eastAsia="宋体" w:cs="宋体"/>
          <w:b/>
          <w:color w:val="auto"/>
          <w:sz w:val="28"/>
          <w:szCs w:val="28"/>
          <w:highlight w:val="none"/>
        </w:rPr>
      </w:pPr>
    </w:p>
    <w:p w14:paraId="46737FB9">
      <w:pPr>
        <w:pStyle w:val="18"/>
        <w:spacing w:line="340" w:lineRule="exact"/>
        <w:rPr>
          <w:rFonts w:hint="eastAsia" w:ascii="宋体" w:hAnsi="宋体" w:eastAsia="宋体" w:cs="宋体"/>
          <w:b/>
          <w:color w:val="auto"/>
          <w:sz w:val="28"/>
          <w:szCs w:val="28"/>
          <w:highlight w:val="none"/>
        </w:rPr>
      </w:pPr>
    </w:p>
    <w:p w14:paraId="70C44EEE">
      <w:pPr>
        <w:pStyle w:val="18"/>
        <w:spacing w:line="340" w:lineRule="exact"/>
        <w:rPr>
          <w:rFonts w:hint="eastAsia" w:ascii="宋体" w:hAnsi="宋体" w:eastAsia="宋体" w:cs="宋体"/>
          <w:b/>
          <w:color w:val="auto"/>
          <w:sz w:val="28"/>
          <w:szCs w:val="28"/>
          <w:highlight w:val="none"/>
        </w:rPr>
      </w:pPr>
    </w:p>
    <w:p w14:paraId="324DF12D">
      <w:pPr>
        <w:pStyle w:val="18"/>
        <w:spacing w:line="340" w:lineRule="exact"/>
        <w:rPr>
          <w:rFonts w:hint="eastAsia" w:ascii="宋体" w:hAnsi="宋体" w:eastAsia="宋体" w:cs="宋体"/>
          <w:b/>
          <w:color w:val="auto"/>
          <w:sz w:val="28"/>
          <w:szCs w:val="28"/>
          <w:highlight w:val="none"/>
        </w:rPr>
      </w:pPr>
    </w:p>
    <w:p w14:paraId="0FB04541">
      <w:pPr>
        <w:pStyle w:val="18"/>
        <w:spacing w:line="340" w:lineRule="exact"/>
        <w:rPr>
          <w:rFonts w:hint="eastAsia" w:ascii="宋体" w:hAnsi="宋体" w:eastAsia="宋体" w:cs="宋体"/>
          <w:b/>
          <w:color w:val="auto"/>
          <w:sz w:val="28"/>
          <w:szCs w:val="28"/>
          <w:highlight w:val="none"/>
        </w:rPr>
      </w:pPr>
    </w:p>
    <w:p w14:paraId="1DAAB180">
      <w:pPr>
        <w:pStyle w:val="18"/>
        <w:spacing w:line="340" w:lineRule="exact"/>
        <w:rPr>
          <w:rFonts w:hint="eastAsia" w:ascii="宋体" w:hAnsi="宋体" w:eastAsia="宋体" w:cs="宋体"/>
          <w:b/>
          <w:color w:val="auto"/>
          <w:sz w:val="28"/>
          <w:szCs w:val="28"/>
          <w:highlight w:val="none"/>
        </w:rPr>
      </w:pPr>
    </w:p>
    <w:p w14:paraId="62C0986B">
      <w:pPr>
        <w:pStyle w:val="18"/>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4.供应商的法人或者其他组织营业执照等证明文件复印件（必须提供，自然人除外）</w:t>
      </w:r>
    </w:p>
    <w:p w14:paraId="2C5A09C4">
      <w:pPr>
        <w:tabs>
          <w:tab w:val="left" w:pos="1305"/>
        </w:tabs>
        <w:spacing w:line="340" w:lineRule="exact"/>
        <w:rPr>
          <w:rFonts w:hint="eastAsia" w:ascii="宋体" w:hAnsi="宋体" w:eastAsia="宋体" w:cs="宋体"/>
          <w:b/>
          <w:color w:val="auto"/>
          <w:szCs w:val="21"/>
          <w:highlight w:val="none"/>
        </w:rPr>
      </w:pPr>
    </w:p>
    <w:p w14:paraId="7B948D22">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A4E0DB9">
      <w:pPr>
        <w:widowControl/>
        <w:jc w:val="left"/>
        <w:rPr>
          <w:rFonts w:hint="eastAsia" w:ascii="宋体" w:hAnsi="宋体" w:eastAsia="宋体" w:cs="宋体"/>
          <w:b/>
          <w:bCs/>
          <w:color w:val="auto"/>
          <w:sz w:val="28"/>
          <w:szCs w:val="28"/>
          <w:highlight w:val="none"/>
        </w:rPr>
      </w:pPr>
    </w:p>
    <w:p w14:paraId="42134A33">
      <w:pPr>
        <w:pStyle w:val="37"/>
        <w:rPr>
          <w:rFonts w:hint="eastAsia" w:ascii="宋体" w:hAnsi="宋体" w:eastAsia="宋体" w:cs="宋体"/>
          <w:b/>
          <w:bCs/>
          <w:color w:val="auto"/>
          <w:sz w:val="28"/>
          <w:szCs w:val="28"/>
          <w:highlight w:val="none"/>
        </w:rPr>
      </w:pPr>
    </w:p>
    <w:p w14:paraId="70C867C9">
      <w:pPr>
        <w:pStyle w:val="38"/>
        <w:rPr>
          <w:rFonts w:hint="eastAsia" w:ascii="宋体" w:hAnsi="宋体" w:eastAsia="宋体" w:cs="宋体"/>
          <w:color w:val="auto"/>
          <w:highlight w:val="none"/>
        </w:rPr>
      </w:pPr>
    </w:p>
    <w:p w14:paraId="6DAA1200">
      <w:pPr>
        <w:pStyle w:val="14"/>
        <w:spacing w:before="51"/>
        <w:ind w:right="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w:t>
      </w:r>
      <w:r>
        <w:rPr>
          <w:rFonts w:hint="eastAsia" w:ascii="宋体" w:hAnsi="宋体" w:eastAsia="宋体" w:cs="宋体"/>
          <w:b/>
          <w:color w:val="auto"/>
          <w:sz w:val="28"/>
          <w:szCs w:val="28"/>
          <w:highlight w:val="none"/>
          <w:lang w:val="en-US" w:eastAsia="zh-CN"/>
        </w:rPr>
        <w:t>供应商有效的资质证书复印件</w:t>
      </w:r>
      <w:r>
        <w:rPr>
          <w:rFonts w:hint="eastAsia" w:ascii="宋体" w:hAnsi="宋体" w:eastAsia="宋体" w:cs="宋体"/>
          <w:b/>
          <w:color w:val="auto"/>
          <w:sz w:val="28"/>
          <w:szCs w:val="28"/>
          <w:highlight w:val="none"/>
        </w:rPr>
        <w:t>（必须提供）</w:t>
      </w:r>
    </w:p>
    <w:p w14:paraId="2A4AFAB7">
      <w:pPr>
        <w:pStyle w:val="14"/>
        <w:spacing w:before="51"/>
        <w:ind w:right="0"/>
        <w:jc w:val="left"/>
        <w:rPr>
          <w:rFonts w:hint="eastAsia" w:ascii="宋体" w:hAnsi="宋体" w:cs="宋体"/>
          <w:b/>
          <w:color w:val="auto"/>
          <w:sz w:val="28"/>
          <w:szCs w:val="28"/>
          <w:highlight w:val="none"/>
          <w:lang w:val="en-US" w:eastAsia="zh-CN"/>
        </w:rPr>
      </w:pPr>
    </w:p>
    <w:p w14:paraId="3D74636B">
      <w:pPr>
        <w:pStyle w:val="14"/>
        <w:spacing w:before="51"/>
        <w:ind w:right="0"/>
        <w:jc w:val="left"/>
        <w:rPr>
          <w:rFonts w:hint="eastAsia" w:ascii="宋体" w:hAnsi="宋体" w:cs="宋体"/>
          <w:b/>
          <w:color w:val="auto"/>
          <w:sz w:val="28"/>
          <w:szCs w:val="28"/>
          <w:highlight w:val="none"/>
          <w:lang w:val="en-US" w:eastAsia="zh-CN"/>
        </w:rPr>
      </w:pPr>
    </w:p>
    <w:p w14:paraId="322E8811">
      <w:pPr>
        <w:pStyle w:val="14"/>
        <w:spacing w:before="51"/>
        <w:ind w:right="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w:t>
      </w:r>
      <w:r>
        <w:rPr>
          <w:rFonts w:hint="eastAsia" w:ascii="宋体" w:hAnsi="宋体" w:cs="宋体"/>
          <w:b/>
          <w:bCs w:val="0"/>
          <w:color w:val="auto"/>
          <w:sz w:val="28"/>
          <w:szCs w:val="28"/>
          <w:highlight w:val="none"/>
          <w:lang w:val="en-US" w:eastAsia="zh-CN"/>
        </w:rPr>
        <w:t>供应商2023年度或2024年度的财务状况报告（或银行出具的资信证明）复印件（必须提供，若为新成立的企业，请根据实际情况提供）</w:t>
      </w:r>
    </w:p>
    <w:p w14:paraId="095FCBAD">
      <w:pPr>
        <w:pStyle w:val="14"/>
        <w:spacing w:before="51"/>
        <w:ind w:right="0"/>
        <w:jc w:val="left"/>
        <w:rPr>
          <w:rFonts w:hint="eastAsia" w:ascii="宋体" w:hAnsi="宋体" w:cs="宋体"/>
          <w:b/>
          <w:color w:val="auto"/>
          <w:sz w:val="28"/>
          <w:szCs w:val="28"/>
          <w:highlight w:val="none"/>
          <w:lang w:val="en-US" w:eastAsia="zh-CN"/>
        </w:rPr>
      </w:pPr>
    </w:p>
    <w:p w14:paraId="2F40F9F1">
      <w:pPr>
        <w:pStyle w:val="14"/>
        <w:spacing w:before="51"/>
        <w:ind w:right="0"/>
        <w:jc w:val="left"/>
        <w:rPr>
          <w:rFonts w:hint="eastAsia" w:ascii="宋体" w:hAnsi="宋体" w:cs="宋体"/>
          <w:b/>
          <w:color w:val="auto"/>
          <w:sz w:val="28"/>
          <w:szCs w:val="28"/>
          <w:highlight w:val="none"/>
          <w:lang w:val="en-US" w:eastAsia="zh-CN"/>
        </w:rPr>
      </w:pPr>
    </w:p>
    <w:p w14:paraId="072B9EB6">
      <w:pPr>
        <w:pStyle w:val="14"/>
        <w:spacing w:before="51"/>
        <w:ind w:right="0"/>
        <w:jc w:val="left"/>
        <w:rPr>
          <w:rFonts w:hint="eastAsia" w:ascii="宋体" w:hAnsi="宋体" w:cs="宋体"/>
          <w:b w:val="0"/>
          <w:bCs w:val="0"/>
          <w:color w:val="auto"/>
          <w:szCs w:val="21"/>
          <w:highlight w:val="none"/>
          <w:lang w:val="en-US"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供应商近半年内任意一个月或任一季度在税务部门依法纳税、履行社会义务的证明材料【增值税发 票按以下附注提供复印件（必须提供）</w:t>
      </w:r>
    </w:p>
    <w:p w14:paraId="3E4E8466">
      <w:pPr>
        <w:pStyle w:val="16"/>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注：①供应商无纳税记录的，应提供由供应商所在地的税务部门出具的免税证明复印件，从取得营业执照时间起到响应文件递交截止时间止不足要求月数的，只需提供从取得营业执照起的依法缴纳税费或依法免缴税费的凭据复印件；②供应商无社保缴费记录的，应提供由供应商所在地行政主管部门出具的依法免缴社保费证明复印 件，从取得营业执照时间起到响应文件递交截止时间止不足要求月数的只需提供从取得营业执照起的依法缴纳社 保费的缴费凭证复印件。</w:t>
      </w:r>
    </w:p>
    <w:p w14:paraId="7B4C27A9">
      <w:pPr>
        <w:spacing w:line="440" w:lineRule="atLeast"/>
        <w:rPr>
          <w:rFonts w:hint="eastAsia" w:ascii="宋体" w:hAnsi="宋体" w:eastAsia="宋体" w:cs="宋体"/>
          <w:b/>
          <w:color w:val="auto"/>
          <w:sz w:val="28"/>
          <w:szCs w:val="28"/>
          <w:highlight w:val="none"/>
          <w:lang w:val="en-US" w:eastAsia="zh-CN"/>
        </w:rPr>
      </w:pPr>
    </w:p>
    <w:p w14:paraId="43C9CCD7">
      <w:pPr>
        <w:spacing w:line="440" w:lineRule="atLeas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br w:type="page"/>
      </w: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.《中小企业声明函》</w:t>
      </w:r>
      <w:r>
        <w:rPr>
          <w:rFonts w:hint="eastAsia" w:ascii="宋体" w:hAnsi="宋体" w:eastAsia="宋体" w:cs="宋体"/>
          <w:b/>
          <w:color w:val="auto"/>
          <w:sz w:val="28"/>
          <w:szCs w:val="28"/>
          <w:highlight w:val="none"/>
        </w:rPr>
        <w:t>（</w:t>
      </w:r>
      <w:r>
        <w:rPr>
          <w:rFonts w:hint="eastAsia" w:ascii="宋体" w:hAnsi="宋体" w:cs="宋体"/>
          <w:b/>
          <w:color w:val="auto"/>
          <w:sz w:val="28"/>
          <w:szCs w:val="28"/>
          <w:highlight w:val="none"/>
          <w:lang w:eastAsia="zh-CN"/>
        </w:rPr>
        <w:t>如有，请提供</w:t>
      </w:r>
      <w:r>
        <w:rPr>
          <w:rFonts w:hint="eastAsia" w:ascii="宋体" w:hAnsi="宋体" w:eastAsia="宋体" w:cs="宋体"/>
          <w:b/>
          <w:color w:val="auto"/>
          <w:sz w:val="28"/>
          <w:szCs w:val="28"/>
          <w:highlight w:val="none"/>
        </w:rPr>
        <w:t>）</w:t>
      </w:r>
    </w:p>
    <w:p w14:paraId="2081DEB2">
      <w:pPr>
        <w:ind w:left="420"/>
        <w:jc w:val="center"/>
        <w:rPr>
          <w:rFonts w:hint="eastAsia" w:ascii="宋体" w:hAnsi="宋体" w:eastAsia="宋体" w:cs="宋体"/>
          <w:b/>
          <w:bCs/>
          <w:color w:val="auto"/>
          <w:sz w:val="32"/>
          <w:szCs w:val="32"/>
          <w:highlight w:val="none"/>
        </w:rPr>
      </w:pPr>
    </w:p>
    <w:p w14:paraId="446F786F">
      <w:pPr>
        <w:snapToGrid w:val="0"/>
        <w:spacing w:before="156" w:beforeLines="50" w:after="50" w:line="320" w:lineRule="exact"/>
        <w:ind w:firstLine="0" w:firstLineChars="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2"/>
          <w:szCs w:val="32"/>
          <w:highlight w:val="none"/>
        </w:rPr>
        <w:t>中小企业声明函（格式）</w:t>
      </w:r>
    </w:p>
    <w:p w14:paraId="147E7B85">
      <w:pPr>
        <w:spacing w:line="240" w:lineRule="auto"/>
        <w:ind w:firstLine="480"/>
        <w:rPr>
          <w:rFonts w:hint="eastAsia" w:ascii="宋体" w:hAnsi="宋体" w:eastAsia="宋体" w:cs="宋体"/>
          <w:color w:val="auto"/>
          <w:kern w:val="0"/>
          <w:szCs w:val="24"/>
          <w:highlight w:val="none"/>
        </w:rPr>
      </w:pPr>
    </w:p>
    <w:p w14:paraId="385F56FA">
      <w:pPr>
        <w:widowControl/>
        <w:shd w:val="clear" w:color="auto" w:fill="FFFFFF"/>
        <w:spacing w:after="225" w:line="360" w:lineRule="auto"/>
        <w:ind w:firstLine="420"/>
        <w:jc w:val="left"/>
        <w:rPr>
          <w:rFonts w:hint="eastAsia" w:ascii="宋体" w:hAnsi="宋体" w:cs="宋体"/>
          <w:color w:val="auto"/>
          <w:kern w:val="0"/>
          <w:sz w:val="22"/>
          <w:szCs w:val="22"/>
          <w:highlight w:val="none"/>
          <w:shd w:val="clear" w:color="auto" w:fill="FFFFFF"/>
          <w:lang w:bidi="ar"/>
        </w:rPr>
      </w:pPr>
      <w:r>
        <w:rPr>
          <w:rFonts w:hint="eastAsia" w:ascii="宋体" w:hAnsi="宋体" w:cs="宋体"/>
          <w:color w:val="auto"/>
          <w:kern w:val="0"/>
          <w:sz w:val="22"/>
          <w:szCs w:val="22"/>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2"/>
          <w:szCs w:val="22"/>
          <w:highlight w:val="none"/>
          <w:u w:val="single"/>
          <w:shd w:val="clear" w:color="auto" w:fill="FFFFFF"/>
          <w:lang w:bidi="ar"/>
        </w:rPr>
        <w:t xml:space="preserve"> （单位名称） </w:t>
      </w:r>
      <w:r>
        <w:rPr>
          <w:rFonts w:hint="eastAsia" w:ascii="宋体" w:hAnsi="宋体" w:cs="宋体"/>
          <w:color w:val="auto"/>
          <w:kern w:val="0"/>
          <w:sz w:val="22"/>
          <w:szCs w:val="22"/>
          <w:highlight w:val="none"/>
          <w:shd w:val="clear" w:color="auto" w:fill="FFFFFF"/>
          <w:lang w:bidi="ar"/>
        </w:rPr>
        <w:t>的</w:t>
      </w:r>
      <w:r>
        <w:rPr>
          <w:rFonts w:hint="eastAsia" w:ascii="宋体" w:hAnsi="宋体" w:cs="宋体"/>
          <w:color w:val="auto"/>
          <w:kern w:val="0"/>
          <w:sz w:val="22"/>
          <w:szCs w:val="22"/>
          <w:highlight w:val="none"/>
          <w:u w:val="single"/>
          <w:shd w:val="clear" w:color="auto" w:fill="FFFFFF"/>
          <w:lang w:bidi="ar"/>
        </w:rPr>
        <w:t xml:space="preserve"> （项目名称） </w:t>
      </w:r>
      <w:r>
        <w:rPr>
          <w:rFonts w:hint="eastAsia" w:ascii="宋体" w:hAnsi="宋体" w:cs="宋体"/>
          <w:color w:val="auto"/>
          <w:kern w:val="0"/>
          <w:sz w:val="22"/>
          <w:szCs w:val="22"/>
          <w:highlight w:val="none"/>
          <w:shd w:val="clear" w:color="auto" w:fill="FFFFFF"/>
          <w:lang w:bidi="ar"/>
        </w:rPr>
        <w:t>采购活动，服务全部由符合政策要求的中小企业（或者：服务全部由符合政策要求的中小企业承接）。相关企业（含联合体中的中小企业、签订分包意向协议的中小企业）的具体情况如下：</w:t>
      </w:r>
    </w:p>
    <w:p w14:paraId="247565C5">
      <w:pPr>
        <w:widowControl/>
        <w:shd w:val="clear" w:color="auto" w:fill="FFFFFF"/>
        <w:spacing w:after="225" w:line="360" w:lineRule="auto"/>
        <w:ind w:firstLine="420"/>
        <w:jc w:val="left"/>
        <w:rPr>
          <w:rFonts w:hint="eastAsia" w:ascii="宋体" w:hAnsi="宋体" w:cs="宋体"/>
          <w:color w:val="auto"/>
          <w:kern w:val="0"/>
          <w:sz w:val="22"/>
          <w:szCs w:val="22"/>
          <w:highlight w:val="none"/>
          <w:shd w:val="clear" w:color="auto" w:fill="FFFFFF"/>
          <w:lang w:bidi="ar"/>
        </w:rPr>
      </w:pPr>
      <w:r>
        <w:rPr>
          <w:rFonts w:hint="eastAsia" w:ascii="宋体" w:hAnsi="宋体" w:cs="宋体"/>
          <w:color w:val="auto"/>
          <w:kern w:val="0"/>
          <w:sz w:val="22"/>
          <w:szCs w:val="22"/>
          <w:highlight w:val="none"/>
          <w:shd w:val="clear" w:color="auto" w:fill="FFFFFF"/>
          <w:lang w:bidi="ar"/>
        </w:rPr>
        <w:t>1.</w:t>
      </w:r>
      <w:r>
        <w:rPr>
          <w:rFonts w:hint="eastAsia" w:ascii="宋体" w:hAnsi="宋体" w:cs="宋体"/>
          <w:color w:val="auto"/>
          <w:kern w:val="0"/>
          <w:sz w:val="22"/>
          <w:szCs w:val="22"/>
          <w:highlight w:val="none"/>
          <w:u w:val="single"/>
          <w:shd w:val="clear" w:color="auto" w:fill="FFFFFF"/>
          <w:lang w:bidi="ar"/>
        </w:rPr>
        <w:t xml:space="preserve"> （标的名称） </w:t>
      </w:r>
      <w:r>
        <w:rPr>
          <w:rFonts w:hint="eastAsia" w:ascii="宋体" w:hAnsi="宋体" w:cs="宋体"/>
          <w:color w:val="auto"/>
          <w:kern w:val="0"/>
          <w:sz w:val="22"/>
          <w:szCs w:val="22"/>
          <w:highlight w:val="none"/>
          <w:shd w:val="clear" w:color="auto" w:fill="FFFFFF"/>
          <w:lang w:bidi="ar"/>
        </w:rPr>
        <w:t>，属于</w:t>
      </w:r>
      <w:r>
        <w:rPr>
          <w:rFonts w:hint="eastAsia" w:ascii="宋体" w:hAnsi="宋体" w:cs="宋体"/>
          <w:color w:val="auto"/>
          <w:kern w:val="0"/>
          <w:sz w:val="22"/>
          <w:szCs w:val="22"/>
          <w:highlight w:val="none"/>
          <w:u w:val="single"/>
          <w:shd w:val="clear" w:color="auto" w:fill="FFFFFF"/>
          <w:lang w:bidi="ar"/>
        </w:rPr>
        <w:t xml:space="preserve"> （采购文件中明确的所属行业） </w:t>
      </w:r>
      <w:r>
        <w:rPr>
          <w:rFonts w:hint="eastAsia" w:ascii="宋体" w:hAnsi="宋体" w:cs="宋体"/>
          <w:color w:val="auto"/>
          <w:kern w:val="0"/>
          <w:sz w:val="22"/>
          <w:szCs w:val="22"/>
          <w:highlight w:val="none"/>
          <w:shd w:val="clear" w:color="auto" w:fill="FFFFFF"/>
          <w:lang w:bidi="ar"/>
        </w:rPr>
        <w:t>；承接企业为</w:t>
      </w:r>
      <w:r>
        <w:rPr>
          <w:rFonts w:hint="eastAsia" w:ascii="宋体" w:hAnsi="宋体" w:cs="宋体"/>
          <w:color w:val="auto"/>
          <w:kern w:val="0"/>
          <w:sz w:val="22"/>
          <w:szCs w:val="22"/>
          <w:highlight w:val="none"/>
          <w:u w:val="single"/>
          <w:shd w:val="clear" w:color="auto" w:fill="FFFFFF"/>
          <w:lang w:bidi="ar"/>
        </w:rPr>
        <w:t xml:space="preserve"> （企业名称） </w:t>
      </w:r>
      <w:r>
        <w:rPr>
          <w:rFonts w:hint="eastAsia" w:ascii="宋体" w:hAnsi="宋体" w:cs="宋体"/>
          <w:color w:val="auto"/>
          <w:kern w:val="0"/>
          <w:sz w:val="22"/>
          <w:szCs w:val="22"/>
          <w:highlight w:val="none"/>
          <w:shd w:val="clear" w:color="auto" w:fill="FFFFFF"/>
          <w:lang w:bidi="ar"/>
        </w:rPr>
        <w:t>，从业人员</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u w:val="single"/>
          <w:shd w:val="clear" w:color="auto" w:fill="FFFFFF"/>
          <w:lang w:val="en-US" w:eastAsia="zh-CN" w:bidi="ar"/>
        </w:rPr>
        <w:t xml:space="preserve"> </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shd w:val="clear" w:color="auto" w:fill="FFFFFF"/>
          <w:lang w:bidi="ar"/>
        </w:rPr>
        <w:t>人，营业收入为</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u w:val="single"/>
          <w:shd w:val="clear" w:color="auto" w:fill="FFFFFF"/>
          <w:lang w:val="en-US" w:eastAsia="zh-CN" w:bidi="ar"/>
        </w:rPr>
        <w:t xml:space="preserve"> </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shd w:val="clear" w:color="auto" w:fill="FFFFFF"/>
          <w:lang w:bidi="ar"/>
        </w:rPr>
        <w:t>万元，资产总额为</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u w:val="single"/>
          <w:shd w:val="clear" w:color="auto" w:fill="FFFFFF"/>
          <w:lang w:val="en-US" w:eastAsia="zh-CN" w:bidi="ar"/>
        </w:rPr>
        <w:t xml:space="preserve"> </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shd w:val="clear" w:color="auto" w:fill="FFFFFF"/>
          <w:lang w:bidi="ar"/>
        </w:rPr>
        <w:t>万元 ，属于</w:t>
      </w:r>
      <w:r>
        <w:rPr>
          <w:rFonts w:hint="eastAsia" w:ascii="宋体" w:hAnsi="宋体" w:cs="宋体"/>
          <w:color w:val="auto"/>
          <w:kern w:val="0"/>
          <w:sz w:val="22"/>
          <w:szCs w:val="22"/>
          <w:highlight w:val="none"/>
          <w:u w:val="single"/>
          <w:shd w:val="clear" w:color="auto" w:fill="FFFFFF"/>
          <w:lang w:bidi="ar"/>
        </w:rPr>
        <w:t xml:space="preserve">      （中型企业、小型企业、微型企业） </w:t>
      </w:r>
      <w:r>
        <w:rPr>
          <w:rFonts w:hint="eastAsia" w:ascii="宋体" w:hAnsi="宋体" w:cs="宋体"/>
          <w:color w:val="auto"/>
          <w:kern w:val="0"/>
          <w:sz w:val="22"/>
          <w:szCs w:val="22"/>
          <w:highlight w:val="none"/>
          <w:shd w:val="clear" w:color="auto" w:fill="FFFFFF"/>
          <w:lang w:bidi="ar"/>
        </w:rPr>
        <w:t>；</w:t>
      </w:r>
    </w:p>
    <w:p w14:paraId="5E0C2102">
      <w:pPr>
        <w:widowControl/>
        <w:shd w:val="clear" w:color="auto" w:fill="FFFFFF"/>
        <w:spacing w:after="225" w:line="360" w:lineRule="auto"/>
        <w:ind w:firstLine="420"/>
        <w:jc w:val="left"/>
        <w:rPr>
          <w:rFonts w:hint="eastAsia" w:ascii="宋体" w:hAnsi="宋体" w:cs="宋体"/>
          <w:color w:val="auto"/>
          <w:kern w:val="0"/>
          <w:sz w:val="22"/>
          <w:szCs w:val="22"/>
          <w:highlight w:val="none"/>
          <w:shd w:val="clear" w:color="auto" w:fill="FFFFFF"/>
          <w:lang w:bidi="ar"/>
        </w:rPr>
      </w:pPr>
      <w:r>
        <w:rPr>
          <w:rFonts w:hint="eastAsia" w:ascii="宋体" w:hAnsi="宋体" w:cs="宋体"/>
          <w:color w:val="auto"/>
          <w:kern w:val="0"/>
          <w:sz w:val="22"/>
          <w:szCs w:val="22"/>
          <w:highlight w:val="none"/>
          <w:shd w:val="clear" w:color="auto" w:fill="FFFFFF"/>
          <w:lang w:val="en-US" w:eastAsia="zh-CN" w:bidi="ar"/>
        </w:rPr>
        <w:t>2</w:t>
      </w:r>
      <w:r>
        <w:rPr>
          <w:rFonts w:hint="eastAsia" w:ascii="宋体" w:hAnsi="宋体" w:cs="宋体"/>
          <w:color w:val="auto"/>
          <w:kern w:val="0"/>
          <w:sz w:val="22"/>
          <w:szCs w:val="22"/>
          <w:highlight w:val="none"/>
          <w:shd w:val="clear" w:color="auto" w:fill="FFFFFF"/>
          <w:lang w:bidi="ar"/>
        </w:rPr>
        <w:t>.</w:t>
      </w:r>
      <w:r>
        <w:rPr>
          <w:rFonts w:hint="eastAsia" w:ascii="宋体" w:hAnsi="宋体" w:cs="宋体"/>
          <w:color w:val="auto"/>
          <w:kern w:val="0"/>
          <w:sz w:val="22"/>
          <w:szCs w:val="22"/>
          <w:highlight w:val="none"/>
          <w:u w:val="single"/>
          <w:shd w:val="clear" w:color="auto" w:fill="FFFFFF"/>
          <w:lang w:bidi="ar"/>
        </w:rPr>
        <w:t xml:space="preserve"> （标的名称） </w:t>
      </w:r>
      <w:r>
        <w:rPr>
          <w:rFonts w:hint="eastAsia" w:ascii="宋体" w:hAnsi="宋体" w:cs="宋体"/>
          <w:color w:val="auto"/>
          <w:kern w:val="0"/>
          <w:sz w:val="22"/>
          <w:szCs w:val="22"/>
          <w:highlight w:val="none"/>
          <w:shd w:val="clear" w:color="auto" w:fill="FFFFFF"/>
          <w:lang w:bidi="ar"/>
        </w:rPr>
        <w:t>，属于</w:t>
      </w:r>
      <w:r>
        <w:rPr>
          <w:rFonts w:hint="eastAsia" w:ascii="宋体" w:hAnsi="宋体" w:cs="宋体"/>
          <w:color w:val="auto"/>
          <w:kern w:val="0"/>
          <w:sz w:val="22"/>
          <w:szCs w:val="22"/>
          <w:highlight w:val="none"/>
          <w:u w:val="single"/>
          <w:shd w:val="clear" w:color="auto" w:fill="FFFFFF"/>
          <w:lang w:bidi="ar"/>
        </w:rPr>
        <w:t xml:space="preserve"> （采购文件中明确的所属行业） </w:t>
      </w:r>
      <w:r>
        <w:rPr>
          <w:rFonts w:hint="eastAsia" w:ascii="宋体" w:hAnsi="宋体" w:cs="宋体"/>
          <w:color w:val="auto"/>
          <w:kern w:val="0"/>
          <w:sz w:val="22"/>
          <w:szCs w:val="22"/>
          <w:highlight w:val="none"/>
          <w:shd w:val="clear" w:color="auto" w:fill="FFFFFF"/>
          <w:lang w:bidi="ar"/>
        </w:rPr>
        <w:t>；承接企业为</w:t>
      </w:r>
      <w:r>
        <w:rPr>
          <w:rFonts w:hint="eastAsia" w:ascii="宋体" w:hAnsi="宋体" w:cs="宋体"/>
          <w:color w:val="auto"/>
          <w:kern w:val="0"/>
          <w:sz w:val="22"/>
          <w:szCs w:val="22"/>
          <w:highlight w:val="none"/>
          <w:u w:val="single"/>
          <w:shd w:val="clear" w:color="auto" w:fill="FFFFFF"/>
          <w:lang w:bidi="ar"/>
        </w:rPr>
        <w:t xml:space="preserve"> （企业名称） </w:t>
      </w:r>
      <w:r>
        <w:rPr>
          <w:rFonts w:hint="eastAsia" w:ascii="宋体" w:hAnsi="宋体" w:cs="宋体"/>
          <w:color w:val="auto"/>
          <w:kern w:val="0"/>
          <w:sz w:val="22"/>
          <w:szCs w:val="22"/>
          <w:highlight w:val="none"/>
          <w:shd w:val="clear" w:color="auto" w:fill="FFFFFF"/>
          <w:lang w:bidi="ar"/>
        </w:rPr>
        <w:t>，从业人员</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u w:val="single"/>
          <w:shd w:val="clear" w:color="auto" w:fill="FFFFFF"/>
          <w:lang w:val="en-US" w:eastAsia="zh-CN" w:bidi="ar"/>
        </w:rPr>
        <w:t xml:space="preserve"> </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shd w:val="clear" w:color="auto" w:fill="FFFFFF"/>
          <w:lang w:bidi="ar"/>
        </w:rPr>
        <w:t>人，营业收入为</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u w:val="single"/>
          <w:shd w:val="clear" w:color="auto" w:fill="FFFFFF"/>
          <w:lang w:val="en-US" w:eastAsia="zh-CN" w:bidi="ar"/>
        </w:rPr>
        <w:t xml:space="preserve"> </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shd w:val="clear" w:color="auto" w:fill="FFFFFF"/>
          <w:lang w:bidi="ar"/>
        </w:rPr>
        <w:t>万元，资产总额为</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u w:val="single"/>
          <w:shd w:val="clear" w:color="auto" w:fill="FFFFFF"/>
          <w:lang w:val="en-US" w:eastAsia="zh-CN" w:bidi="ar"/>
        </w:rPr>
        <w:t xml:space="preserve"> </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shd w:val="clear" w:color="auto" w:fill="FFFFFF"/>
          <w:lang w:bidi="ar"/>
        </w:rPr>
        <w:t>万元 ，属于</w:t>
      </w:r>
      <w:r>
        <w:rPr>
          <w:rFonts w:hint="eastAsia" w:ascii="宋体" w:hAnsi="宋体" w:cs="宋体"/>
          <w:color w:val="auto"/>
          <w:kern w:val="0"/>
          <w:sz w:val="22"/>
          <w:szCs w:val="22"/>
          <w:highlight w:val="none"/>
          <w:u w:val="single"/>
          <w:shd w:val="clear" w:color="auto" w:fill="FFFFFF"/>
          <w:lang w:bidi="ar"/>
        </w:rPr>
        <w:t xml:space="preserve">      （中型企业、小型企业、微型企业） </w:t>
      </w:r>
      <w:r>
        <w:rPr>
          <w:rFonts w:hint="eastAsia" w:ascii="宋体" w:hAnsi="宋体" w:cs="宋体"/>
          <w:color w:val="auto"/>
          <w:kern w:val="0"/>
          <w:sz w:val="22"/>
          <w:szCs w:val="22"/>
          <w:highlight w:val="none"/>
          <w:shd w:val="clear" w:color="auto" w:fill="FFFFFF"/>
          <w:lang w:bidi="ar"/>
        </w:rPr>
        <w:t>；</w:t>
      </w:r>
    </w:p>
    <w:p w14:paraId="1DCC2387">
      <w:pPr>
        <w:widowControl/>
        <w:shd w:val="clear" w:color="auto" w:fill="FFFFFF"/>
        <w:spacing w:after="225" w:line="360" w:lineRule="auto"/>
        <w:ind w:firstLine="420"/>
        <w:jc w:val="left"/>
        <w:rPr>
          <w:rFonts w:hint="eastAsia" w:ascii="宋体" w:hAnsi="宋体" w:cs="宋体"/>
          <w:color w:val="auto"/>
          <w:kern w:val="0"/>
          <w:sz w:val="22"/>
          <w:szCs w:val="22"/>
          <w:highlight w:val="none"/>
          <w:shd w:val="clear" w:color="auto" w:fill="FFFFFF"/>
          <w:lang w:bidi="ar"/>
        </w:rPr>
      </w:pPr>
      <w:r>
        <w:rPr>
          <w:rFonts w:hint="eastAsia" w:ascii="宋体" w:hAnsi="宋体" w:cs="宋体"/>
          <w:color w:val="auto"/>
          <w:kern w:val="0"/>
          <w:sz w:val="22"/>
          <w:szCs w:val="22"/>
          <w:highlight w:val="none"/>
          <w:shd w:val="clear" w:color="auto" w:fill="FFFFFF"/>
          <w:lang w:bidi="ar"/>
        </w:rPr>
        <w:t>以上企业，不属于大企业的分支机构，不存在控股股东为大企业的情形，也不存在与大企业的负责人为同一人的情形。</w:t>
      </w:r>
    </w:p>
    <w:p w14:paraId="41C99D50">
      <w:pPr>
        <w:widowControl/>
        <w:shd w:val="clear" w:color="auto" w:fill="FFFFFF"/>
        <w:spacing w:after="225" w:line="360" w:lineRule="auto"/>
        <w:ind w:firstLine="420"/>
        <w:jc w:val="left"/>
        <w:rPr>
          <w:rFonts w:hint="eastAsia" w:ascii="宋体" w:hAnsi="宋体" w:cs="宋体"/>
          <w:color w:val="auto"/>
          <w:kern w:val="0"/>
          <w:sz w:val="22"/>
          <w:szCs w:val="22"/>
          <w:highlight w:val="none"/>
          <w:shd w:val="clear" w:color="auto" w:fill="FFFFFF"/>
          <w:lang w:bidi="ar"/>
        </w:rPr>
      </w:pPr>
      <w:r>
        <w:rPr>
          <w:rFonts w:hint="eastAsia" w:ascii="宋体" w:hAnsi="宋体" w:cs="宋体"/>
          <w:color w:val="auto"/>
          <w:kern w:val="0"/>
          <w:sz w:val="22"/>
          <w:szCs w:val="22"/>
          <w:highlight w:val="none"/>
          <w:shd w:val="clear" w:color="auto" w:fill="FFFFFF"/>
          <w:lang w:bidi="ar"/>
        </w:rPr>
        <w:t>本企业对上述声明内容的真实性负责。如有虚假，将依法承担相应责任。</w:t>
      </w:r>
    </w:p>
    <w:p w14:paraId="297D8BA9">
      <w:pPr>
        <w:spacing w:before="56" w:after="120" w:line="500" w:lineRule="exact"/>
        <w:ind w:firstLine="4095" w:firstLineChars="1950"/>
        <w:rPr>
          <w:rFonts w:hint="eastAsia" w:ascii="宋体" w:hAnsi="宋体" w:eastAsia="宋体" w:cs="宋体"/>
          <w:b w:val="0"/>
          <w:bCs/>
          <w:color w:val="auto"/>
          <w:spacing w:val="0"/>
          <w:sz w:val="21"/>
          <w:szCs w:val="24"/>
          <w:highlight w:val="none"/>
        </w:rPr>
      </w:pPr>
      <w:r>
        <w:rPr>
          <w:rFonts w:hint="eastAsia" w:ascii="宋体" w:hAnsi="宋体" w:eastAsia="宋体" w:cs="宋体"/>
          <w:b w:val="0"/>
          <w:bCs/>
          <w:color w:val="auto"/>
          <w:spacing w:val="0"/>
          <w:sz w:val="21"/>
          <w:szCs w:val="24"/>
          <w:highlight w:val="none"/>
        </w:rPr>
        <w:t>企业名称（</w:t>
      </w:r>
      <w:r>
        <w:rPr>
          <w:rFonts w:hint="eastAsia" w:ascii="宋体" w:hAnsi="宋体" w:cs="宋体"/>
          <w:b w:val="0"/>
          <w:bCs/>
          <w:color w:val="auto"/>
          <w:spacing w:val="0"/>
          <w:sz w:val="21"/>
          <w:szCs w:val="24"/>
          <w:highlight w:val="none"/>
          <w:lang w:val="en-US" w:eastAsia="zh-CN"/>
        </w:rPr>
        <w:t>CA</w:t>
      </w:r>
      <w:r>
        <w:rPr>
          <w:rFonts w:hint="eastAsia" w:ascii="宋体" w:hAnsi="宋体" w:eastAsia="宋体" w:cs="宋体"/>
          <w:b w:val="0"/>
          <w:bCs/>
          <w:color w:val="auto"/>
          <w:spacing w:val="0"/>
          <w:sz w:val="21"/>
          <w:szCs w:val="24"/>
          <w:highlight w:val="none"/>
        </w:rPr>
        <w:t xml:space="preserve">签章）： </w:t>
      </w:r>
    </w:p>
    <w:p w14:paraId="0A52C2B6">
      <w:pPr>
        <w:spacing w:before="56" w:after="120" w:line="500" w:lineRule="exact"/>
        <w:ind w:left="3960" w:right="1808" w:firstLine="1050" w:firstLineChars="500"/>
        <w:rPr>
          <w:rFonts w:hint="eastAsia" w:ascii="宋体" w:hAnsi="宋体" w:eastAsia="宋体" w:cs="宋体"/>
          <w:b w:val="0"/>
          <w:bCs/>
          <w:color w:val="auto"/>
          <w:spacing w:val="0"/>
          <w:sz w:val="21"/>
          <w:szCs w:val="24"/>
          <w:highlight w:val="none"/>
        </w:rPr>
      </w:pPr>
      <w:r>
        <w:rPr>
          <w:rFonts w:hint="eastAsia" w:ascii="宋体" w:hAnsi="宋体" w:eastAsia="宋体" w:cs="宋体"/>
          <w:b w:val="0"/>
          <w:bCs/>
          <w:color w:val="auto"/>
          <w:spacing w:val="0"/>
          <w:sz w:val="21"/>
          <w:szCs w:val="24"/>
          <w:highlight w:val="none"/>
        </w:rPr>
        <w:t>日 期：</w:t>
      </w:r>
    </w:p>
    <w:p w14:paraId="0D55B096">
      <w:pPr>
        <w:spacing w:line="400" w:lineRule="exact"/>
        <w:ind w:firstLine="562"/>
        <w:rPr>
          <w:rFonts w:hint="eastAsia" w:ascii="宋体" w:hAnsi="宋体" w:eastAsia="宋体" w:cs="宋体"/>
          <w:b w:val="0"/>
          <w:bCs/>
          <w:color w:val="auto"/>
          <w:kern w:val="0"/>
          <w:sz w:val="28"/>
          <w:szCs w:val="28"/>
          <w:highlight w:val="none"/>
        </w:rPr>
      </w:pPr>
    </w:p>
    <w:p w14:paraId="29ECE132">
      <w:pPr>
        <w:spacing w:line="400" w:lineRule="exact"/>
        <w:ind w:firstLine="422"/>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注：1.从业人员、营业收入、资产总额填报上一年度数据，无上一年度数据的新成立企业可不填报。</w:t>
      </w:r>
    </w:p>
    <w:p w14:paraId="3CF206EF">
      <w:pPr>
        <w:spacing w:line="400" w:lineRule="exact"/>
        <w:ind w:firstLine="422"/>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2.中小企业在政府采购活动过程中，请根据自己的真实情况出具本声明函。依法享受中小企业优惠政策的，采购人或采购代理机构在公告成交结果时，同时公告其《中小企业声明函》，接受社会监督。</w:t>
      </w:r>
    </w:p>
    <w:p w14:paraId="448BC7FF">
      <w:pPr>
        <w:ind w:left="420"/>
        <w:jc w:val="center"/>
        <w:rPr>
          <w:rFonts w:hint="eastAsia" w:ascii="宋体" w:hAnsi="宋体" w:eastAsia="宋体" w:cs="宋体"/>
          <w:b/>
          <w:bCs/>
          <w:color w:val="auto"/>
          <w:sz w:val="32"/>
          <w:szCs w:val="32"/>
          <w:highlight w:val="none"/>
        </w:rPr>
      </w:pPr>
    </w:p>
    <w:p w14:paraId="25F1D338">
      <w:pPr>
        <w:spacing w:line="280" w:lineRule="exact"/>
        <w:rPr>
          <w:rFonts w:hint="eastAsia" w:ascii="宋体" w:hAnsi="宋体" w:eastAsia="宋体" w:cs="宋体"/>
          <w:b/>
          <w:bCs/>
          <w:color w:val="auto"/>
          <w:sz w:val="24"/>
          <w:highlight w:val="none"/>
        </w:rPr>
      </w:pPr>
    </w:p>
    <w:p w14:paraId="65418DF8">
      <w:pPr>
        <w:widowControl/>
        <w:spacing w:beforeLines="50" w:afterLines="50" w:line="280" w:lineRule="exact"/>
        <w:jc w:val="both"/>
        <w:rPr>
          <w:rFonts w:hint="eastAsia" w:ascii="宋体" w:hAnsi="宋体" w:eastAsia="宋体" w:cs="宋体"/>
          <w:b/>
          <w:bCs/>
          <w:color w:val="auto"/>
          <w:kern w:val="0"/>
          <w:sz w:val="30"/>
          <w:szCs w:val="30"/>
          <w:highlight w:val="none"/>
          <w:lang w:val="en-US" w:eastAsia="zh-CN"/>
        </w:rPr>
      </w:pPr>
      <w:bookmarkStart w:id="150" w:name="_Toc28361_WPSOffice_Level2"/>
      <w:r>
        <w:rPr>
          <w:rFonts w:hint="eastAsia" w:ascii="宋体" w:hAnsi="宋体" w:cs="宋体"/>
          <w:b/>
          <w:bCs/>
          <w:color w:val="auto"/>
          <w:kern w:val="0"/>
          <w:sz w:val="30"/>
          <w:szCs w:val="30"/>
          <w:highlight w:val="none"/>
          <w:lang w:val="en-US" w:eastAsia="zh-CN"/>
        </w:rPr>
        <w:t>附件：</w:t>
      </w:r>
    </w:p>
    <w:p w14:paraId="388C7683">
      <w:pPr>
        <w:widowControl/>
        <w:spacing w:beforeLines="50" w:afterLines="50" w:line="280" w:lineRule="exact"/>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统计上大中小微型企业划分标准</w:t>
      </w:r>
      <w:bookmarkEnd w:id="150"/>
    </w:p>
    <w:tbl>
      <w:tblPr>
        <w:tblStyle w:val="2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ED3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46A20CAF">
            <w:pPr>
              <w:widowControl/>
              <w:spacing w:line="280" w:lineRule="exact"/>
              <w:jc w:val="center"/>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FFFFFF"/>
            <w:vAlign w:val="center"/>
          </w:tcPr>
          <w:p w14:paraId="2ECE1BC1">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FFFFFF"/>
            <w:vAlign w:val="center"/>
          </w:tcPr>
          <w:p w14:paraId="320CA08B">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p>
          <w:p w14:paraId="41BFDDE5">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shd w:val="clear" w:color="auto" w:fill="FFFFFF"/>
            <w:vAlign w:val="center"/>
          </w:tcPr>
          <w:p w14:paraId="1B0215D3">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FFFFFF"/>
            <w:vAlign w:val="center"/>
          </w:tcPr>
          <w:p w14:paraId="2161182F">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FFFFFF"/>
            <w:vAlign w:val="center"/>
          </w:tcPr>
          <w:p w14:paraId="0F79A9E4">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FFFFFF"/>
            <w:vAlign w:val="center"/>
          </w:tcPr>
          <w:p w14:paraId="3E813BF2">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71EC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6529420">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vAlign w:val="center"/>
          </w:tcPr>
          <w:p w14:paraId="7509677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73DDFC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44AA291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14:paraId="36B394C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14:paraId="4B20A4F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vAlign w:val="center"/>
          </w:tcPr>
          <w:p w14:paraId="45ADF2C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0CCE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511DAC4">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vAlign w:val="center"/>
          </w:tcPr>
          <w:p w14:paraId="66B7D74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7F2893B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13F6200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3AB428E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4747C50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14:paraId="66A225B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CBB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0DAC0EF">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559DF5B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0FFD4A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4C41BC5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14:paraId="0F20CD6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vAlign w:val="center"/>
          </w:tcPr>
          <w:p w14:paraId="61BD539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vAlign w:val="center"/>
          </w:tcPr>
          <w:p w14:paraId="7909341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8C6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419E9DB">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vAlign w:val="center"/>
          </w:tcPr>
          <w:p w14:paraId="20BB7F1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63288CA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6C853C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vAlign w:val="center"/>
          </w:tcPr>
          <w:p w14:paraId="28B31B0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vAlign w:val="center"/>
          </w:tcPr>
          <w:p w14:paraId="4ED4C4F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vAlign w:val="center"/>
          </w:tcPr>
          <w:p w14:paraId="14AC7B5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042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2442456">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5E0F5A8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3502489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01753C7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vAlign w:val="center"/>
          </w:tcPr>
          <w:p w14:paraId="13C6D43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vAlign w:val="center"/>
          </w:tcPr>
          <w:p w14:paraId="6FB8E2C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vAlign w:val="center"/>
          </w:tcPr>
          <w:p w14:paraId="5756828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3893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571F2DB">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vAlign w:val="center"/>
          </w:tcPr>
          <w:p w14:paraId="4A70B9E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0A54CD9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7F3CF64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14:paraId="4171B48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vAlign w:val="center"/>
          </w:tcPr>
          <w:p w14:paraId="067B9B1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vAlign w:val="center"/>
          </w:tcPr>
          <w:p w14:paraId="570C993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61CE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DB4D802">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6BF57DE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87C440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D6EF29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14:paraId="02F0318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vAlign w:val="center"/>
          </w:tcPr>
          <w:p w14:paraId="59807102">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vAlign w:val="center"/>
          </w:tcPr>
          <w:p w14:paraId="7275A4F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19ED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E423AE9">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vAlign w:val="center"/>
          </w:tcPr>
          <w:p w14:paraId="0A156CA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7A5A489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52E60C5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6CC0311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vAlign w:val="center"/>
          </w:tcPr>
          <w:p w14:paraId="03303460">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vAlign w:val="center"/>
          </w:tcPr>
          <w:p w14:paraId="742E623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E51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61D0536">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2EAAA1A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0C68B70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3476AE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14:paraId="217A678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14:paraId="79E511C9">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vAlign w:val="center"/>
          </w:tcPr>
          <w:p w14:paraId="1082584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E0F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A65C019">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vAlign w:val="center"/>
          </w:tcPr>
          <w:p w14:paraId="172E32E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115A169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3CC8AD0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5F941DB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225D237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14:paraId="345C12E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8DD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C737A04">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5641FB2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703E06F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7065485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7980CAC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vAlign w:val="center"/>
          </w:tcPr>
          <w:p w14:paraId="0582536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vAlign w:val="center"/>
          </w:tcPr>
          <w:p w14:paraId="5366D8A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568A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C76E1E1">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vAlign w:val="center"/>
          </w:tcPr>
          <w:p w14:paraId="3FA904F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0E13EFA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6B69602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14:paraId="45956B28">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vAlign w:val="center"/>
          </w:tcPr>
          <w:p w14:paraId="6DADC44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vAlign w:val="center"/>
          </w:tcPr>
          <w:p w14:paraId="77AD940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D49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41BE399">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39BD395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2DC7810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44985B0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698D7F8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vAlign w:val="center"/>
          </w:tcPr>
          <w:p w14:paraId="6FA495D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14:paraId="2902FE1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905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E848515">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vAlign w:val="center"/>
          </w:tcPr>
          <w:p w14:paraId="146539C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378739E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1836CF7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643D11C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57608C5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14:paraId="51E4C13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BC2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BD45F5B">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13D5195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6F28736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5B9FA2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04B6A08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vAlign w:val="center"/>
          </w:tcPr>
          <w:p w14:paraId="0BE58EB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14:paraId="4DF4784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F6F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DEBB90F">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vAlign w:val="center"/>
          </w:tcPr>
          <w:p w14:paraId="4774A58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651821D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506E1A1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75DFA2B0">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14:paraId="0894B58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50008D6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175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283630C">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7AF8E60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5C2609F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81DFF7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5CB6870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14:paraId="611013C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14:paraId="06CBFFF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8F7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6DA81AF">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vAlign w:val="center"/>
          </w:tcPr>
          <w:p w14:paraId="122D3E8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01B6933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59389AD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7F5F5E92">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4C70FF4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12C8651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236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AF4CC45">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753B8B2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22713E8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13AFE4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50675CB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14:paraId="551C4B7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14:paraId="2F03C0C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B45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158C3F3">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vAlign w:val="center"/>
          </w:tcPr>
          <w:p w14:paraId="494D926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5C9C9A0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6E31E5F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vAlign w:val="center"/>
          </w:tcPr>
          <w:p w14:paraId="304D2BA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vAlign w:val="center"/>
          </w:tcPr>
          <w:p w14:paraId="565D9EC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0F511B9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012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986CFB">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52F0993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66D4DC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0BEF794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vAlign w:val="center"/>
          </w:tcPr>
          <w:p w14:paraId="3E2E4B9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vAlign w:val="center"/>
          </w:tcPr>
          <w:p w14:paraId="11EA849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14:paraId="38908BD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940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9A7F2F4">
            <w:pPr>
              <w:widowControl/>
              <w:spacing w:line="280" w:lineRule="exact"/>
              <w:jc w:val="left"/>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vAlign w:val="center"/>
          </w:tcPr>
          <w:p w14:paraId="4391938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0C51B09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81063A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1C8BD9FD">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08E2036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2CE370F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B61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C8EDDCA">
            <w:pPr>
              <w:widowControl/>
              <w:spacing w:line="280" w:lineRule="exact"/>
              <w:jc w:val="left"/>
              <w:rPr>
                <w:rFonts w:hint="eastAsia" w:ascii="宋体" w:hAnsi="宋体" w:eastAsia="宋体" w:cs="宋体"/>
                <w:color w:val="auto"/>
                <w:spacing w:val="-12"/>
                <w:kern w:val="0"/>
                <w:sz w:val="18"/>
                <w:szCs w:val="18"/>
                <w:highlight w:val="none"/>
              </w:rPr>
            </w:pPr>
          </w:p>
        </w:tc>
        <w:tc>
          <w:tcPr>
            <w:tcW w:w="1369" w:type="dxa"/>
            <w:vAlign w:val="center"/>
          </w:tcPr>
          <w:p w14:paraId="5EDF639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42D5EA7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7600782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7B1BF64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vAlign w:val="center"/>
          </w:tcPr>
          <w:p w14:paraId="6788801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vAlign w:val="center"/>
          </w:tcPr>
          <w:p w14:paraId="374DF6A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6BD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D19F108">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vAlign w:val="center"/>
          </w:tcPr>
          <w:p w14:paraId="505B527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2C21D5D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81A44F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vAlign w:val="center"/>
          </w:tcPr>
          <w:p w14:paraId="458A101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vAlign w:val="center"/>
          </w:tcPr>
          <w:p w14:paraId="41F08EA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14:paraId="5771520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0D5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5996A8F">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2C70F08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179EFD1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447F9E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vAlign w:val="center"/>
          </w:tcPr>
          <w:p w14:paraId="06BACF2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vAlign w:val="center"/>
          </w:tcPr>
          <w:p w14:paraId="1AD56DF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vAlign w:val="center"/>
          </w:tcPr>
          <w:p w14:paraId="01D6FC0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2F30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730D0D8">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vAlign w:val="center"/>
          </w:tcPr>
          <w:p w14:paraId="6FCDACB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08011A2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27F59C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0D68E8A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530C36F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vAlign w:val="center"/>
          </w:tcPr>
          <w:p w14:paraId="4088450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64D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8C0DF1C">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3FF2F45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1A70CE6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0EF662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vAlign w:val="center"/>
          </w:tcPr>
          <w:p w14:paraId="4B7C9EE1">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vAlign w:val="center"/>
          </w:tcPr>
          <w:p w14:paraId="28B7A02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vAlign w:val="center"/>
          </w:tcPr>
          <w:p w14:paraId="68111D4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1460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5512D81">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vAlign w:val="center"/>
          </w:tcPr>
          <w:p w14:paraId="48E13F5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76FA804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5441D72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63D1A20A">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14:paraId="296E3E6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14FB922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F09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E5BB870">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3954548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23E608F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6C23D94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vAlign w:val="center"/>
          </w:tcPr>
          <w:p w14:paraId="21A6AE6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vAlign w:val="center"/>
          </w:tcPr>
          <w:p w14:paraId="79D11A4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vAlign w:val="center"/>
          </w:tcPr>
          <w:p w14:paraId="369F8BC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6F9D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8BFFBFB">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vAlign w:val="center"/>
          </w:tcPr>
          <w:p w14:paraId="442E7F7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29EFD49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29302AF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62F7C9D3">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14:paraId="036156E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2846393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10E15A5A">
      <w:pPr>
        <w:widowControl/>
        <w:spacing w:line="280" w:lineRule="exact"/>
        <w:rPr>
          <w:rFonts w:hint="eastAsia" w:ascii="宋体" w:hAnsi="宋体" w:eastAsia="宋体" w:cs="宋体"/>
          <w:color w:val="auto"/>
          <w:spacing w:val="8"/>
          <w:kern w:val="0"/>
          <w:sz w:val="24"/>
          <w:highlight w:val="none"/>
        </w:rPr>
      </w:pPr>
    </w:p>
    <w:p w14:paraId="5DCF2A94">
      <w:pPr>
        <w:widowControl/>
        <w:spacing w:line="280" w:lineRule="exact"/>
        <w:rPr>
          <w:rFonts w:hint="eastAsia" w:ascii="宋体" w:hAnsi="宋体" w:eastAsia="宋体" w:cs="宋体"/>
          <w:color w:val="auto"/>
          <w:spacing w:val="8"/>
          <w:kern w:val="0"/>
          <w:sz w:val="24"/>
          <w:highlight w:val="none"/>
        </w:rPr>
      </w:pPr>
    </w:p>
    <w:p w14:paraId="421DDE91">
      <w:pPr>
        <w:widowControl/>
        <w:spacing w:line="280" w:lineRule="exact"/>
        <w:rPr>
          <w:rFonts w:hint="eastAsia" w:ascii="宋体" w:hAnsi="宋体" w:eastAsia="宋体" w:cs="宋体"/>
          <w:color w:val="auto"/>
          <w:spacing w:val="8"/>
          <w:kern w:val="0"/>
          <w:sz w:val="24"/>
          <w:highlight w:val="none"/>
        </w:rPr>
      </w:pPr>
    </w:p>
    <w:p w14:paraId="327C7FEF">
      <w:pPr>
        <w:widowControl/>
        <w:spacing w:line="380" w:lineRule="exact"/>
        <w:rPr>
          <w:rFonts w:hint="eastAsia" w:ascii="宋体" w:hAnsi="宋体" w:eastAsia="宋体" w:cs="宋体"/>
          <w:color w:val="auto"/>
          <w:spacing w:val="8"/>
          <w:kern w:val="0"/>
          <w:szCs w:val="21"/>
          <w:highlight w:val="none"/>
        </w:rPr>
      </w:pPr>
    </w:p>
    <w:p w14:paraId="7208666B">
      <w:pPr>
        <w:widowControl/>
        <w:spacing w:line="380" w:lineRule="exac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说明：</w:t>
      </w:r>
    </w:p>
    <w:p w14:paraId="0FB96FBB">
      <w:pPr>
        <w:pStyle w:val="18"/>
        <w:adjustRightInd w:val="0"/>
        <w:spacing w:line="380" w:lineRule="exact"/>
        <w:ind w:firstLine="452" w:firstLineChars="200"/>
        <w:contextualSpacing/>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1.大型、中型和小型企业须同时满足所列指标的下限，否则下划一档；微型企业只须满足所列指标中的一项即可。</w:t>
      </w:r>
    </w:p>
    <w:p w14:paraId="47AA3B7B">
      <w:pPr>
        <w:pStyle w:val="18"/>
        <w:adjustRightInd w:val="0"/>
        <w:spacing w:line="380" w:lineRule="exact"/>
        <w:ind w:firstLine="452" w:firstLineChars="200"/>
        <w:contextualSpacing/>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6C532CB">
      <w:pPr>
        <w:pStyle w:val="18"/>
        <w:spacing w:line="380" w:lineRule="exact"/>
        <w:ind w:firstLine="452" w:firstLineChars="20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6F7A01F">
      <w:pPr>
        <w:pStyle w:val="10"/>
        <w:rPr>
          <w:rFonts w:hint="eastAsia" w:ascii="宋体" w:hAnsi="宋体" w:eastAsia="宋体" w:cs="宋体"/>
          <w:color w:val="auto"/>
          <w:spacing w:val="8"/>
          <w:kern w:val="0"/>
          <w:szCs w:val="21"/>
          <w:highlight w:val="none"/>
        </w:rPr>
      </w:pPr>
    </w:p>
    <w:p w14:paraId="4063760F">
      <w:pPr>
        <w:ind w:left="420"/>
        <w:jc w:val="center"/>
        <w:rPr>
          <w:rFonts w:hint="eastAsia" w:ascii="宋体" w:hAnsi="宋体" w:eastAsia="宋体" w:cs="宋体"/>
          <w:b/>
          <w:bCs/>
          <w:color w:val="auto"/>
          <w:sz w:val="32"/>
          <w:szCs w:val="32"/>
          <w:highlight w:val="none"/>
        </w:rPr>
      </w:pPr>
    </w:p>
    <w:p w14:paraId="578E8FCE">
      <w:pPr>
        <w:ind w:left="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9A6AC48">
      <w:pPr>
        <w:pStyle w:val="18"/>
        <w:spacing w:line="440" w:lineRule="exact"/>
        <w:rPr>
          <w:rFonts w:hint="eastAsia" w:ascii="宋体" w:hAnsi="宋体" w:eastAsia="宋体" w:cs="宋体"/>
          <w:b/>
          <w:color w:val="auto"/>
          <w:sz w:val="28"/>
          <w:szCs w:val="28"/>
          <w:highlight w:val="none"/>
          <w:lang w:eastAsia="zh-CN"/>
        </w:rPr>
      </w:pPr>
      <w:r>
        <w:rPr>
          <w:rFonts w:hint="eastAsia" w:hAnsi="宋体" w:cs="宋体"/>
          <w:b/>
          <w:color w:val="auto"/>
          <w:sz w:val="28"/>
          <w:szCs w:val="28"/>
          <w:highlight w:val="none"/>
          <w:lang w:val="en-US" w:eastAsia="zh-CN"/>
        </w:rPr>
        <w:t>9.</w:t>
      </w:r>
      <w:r>
        <w:rPr>
          <w:rFonts w:hint="eastAsia" w:ascii="宋体" w:hAnsi="宋体" w:eastAsia="宋体" w:cs="宋体"/>
          <w:b/>
          <w:color w:val="auto"/>
          <w:sz w:val="28"/>
          <w:szCs w:val="28"/>
          <w:highlight w:val="none"/>
        </w:rPr>
        <w:t>符合在参加政府采购活动时，应当提供《残疾人福利性单位声明函》</w:t>
      </w:r>
      <w:r>
        <w:rPr>
          <w:rFonts w:hint="eastAsia" w:hAnsi="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格式</w:t>
      </w:r>
      <w:r>
        <w:rPr>
          <w:rFonts w:hint="eastAsia" w:ascii="宋体" w:hAnsi="宋体" w:eastAsia="宋体" w:cs="宋体"/>
          <w:b/>
          <w:color w:val="auto"/>
          <w:sz w:val="28"/>
          <w:szCs w:val="28"/>
          <w:highlight w:val="none"/>
        </w:rPr>
        <w:t>（条件的残疾人福利性单位见附件）</w:t>
      </w:r>
    </w:p>
    <w:p w14:paraId="5E39B62A">
      <w:pPr>
        <w:tabs>
          <w:tab w:val="left" w:pos="1305"/>
        </w:tabs>
        <w:rPr>
          <w:rFonts w:hint="eastAsia" w:ascii="宋体" w:hAnsi="宋体" w:eastAsia="宋体" w:cs="宋体"/>
          <w:b/>
          <w:color w:val="auto"/>
          <w:sz w:val="32"/>
          <w:szCs w:val="32"/>
          <w:highlight w:val="none"/>
        </w:rPr>
      </w:pPr>
    </w:p>
    <w:p w14:paraId="7A91E34C">
      <w:pPr>
        <w:spacing w:line="588" w:lineRule="exact"/>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残疾人福利性单位声明函</w:t>
      </w:r>
    </w:p>
    <w:p w14:paraId="24A1F4A5">
      <w:pPr>
        <w:spacing w:line="588"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〔2017〕141</w:t>
      </w:r>
      <w:r>
        <w:rPr>
          <w:rFonts w:hint="eastAsia" w:ascii="宋体" w:hAnsi="宋体" w:eastAsia="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30AEF4">
      <w:pPr>
        <w:spacing w:line="588"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44743342">
      <w:pPr>
        <w:rPr>
          <w:rFonts w:hint="eastAsia" w:ascii="宋体" w:hAnsi="宋体" w:eastAsia="宋体" w:cs="宋体"/>
          <w:color w:val="auto"/>
          <w:szCs w:val="21"/>
          <w:highlight w:val="none"/>
        </w:rPr>
      </w:pPr>
    </w:p>
    <w:p w14:paraId="061FF63C">
      <w:pPr>
        <w:pStyle w:val="16"/>
        <w:rPr>
          <w:rFonts w:hint="eastAsia" w:ascii="宋体" w:hAnsi="宋体" w:eastAsia="宋体" w:cs="宋体"/>
          <w:color w:val="auto"/>
          <w:highlight w:val="none"/>
        </w:rPr>
      </w:pPr>
    </w:p>
    <w:p w14:paraId="47A31E85">
      <w:pPr>
        <w:tabs>
          <w:tab w:val="left" w:pos="4860"/>
        </w:tabs>
        <w:spacing w:line="480" w:lineRule="auto"/>
        <w:ind w:right="1560"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单位名称（</w:t>
      </w:r>
      <w:r>
        <w:rPr>
          <w:rFonts w:hint="eastAsia" w:ascii="宋体" w:hAnsi="宋体" w:eastAsia="宋体" w:cs="宋体"/>
          <w:color w:val="auto"/>
          <w:szCs w:val="21"/>
          <w:highlight w:val="none"/>
        </w:rPr>
        <w:t>CA签章</w:t>
      </w:r>
      <w:r>
        <w:rPr>
          <w:rFonts w:hint="eastAsia" w:ascii="宋体" w:hAnsi="宋体" w:eastAsia="宋体" w:cs="宋体"/>
          <w:color w:val="auto"/>
          <w:spacing w:val="6"/>
          <w:szCs w:val="21"/>
          <w:highlight w:val="none"/>
        </w:rPr>
        <w:t>）：</w:t>
      </w:r>
    </w:p>
    <w:p w14:paraId="5628CA9C">
      <w:pPr>
        <w:pStyle w:val="18"/>
        <w:spacing w:line="480" w:lineRule="auto"/>
        <w:ind w:firstLine="3552" w:firstLineChars="16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日    期：  </w:t>
      </w: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 xml:space="preserve">年  </w:t>
      </w: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 xml:space="preserve">月 </w:t>
      </w: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 xml:space="preserve"> 日</w:t>
      </w:r>
    </w:p>
    <w:p w14:paraId="001ECD13">
      <w:pPr>
        <w:rPr>
          <w:rFonts w:hint="eastAsia" w:ascii="宋体" w:hAnsi="宋体" w:eastAsia="宋体" w:cs="宋体"/>
          <w:color w:val="auto"/>
          <w:spacing w:val="6"/>
          <w:sz w:val="24"/>
          <w:highlight w:val="none"/>
        </w:rPr>
      </w:pPr>
    </w:p>
    <w:p w14:paraId="6FE65DEE">
      <w:pPr>
        <w:rPr>
          <w:rFonts w:hint="eastAsia" w:ascii="宋体" w:hAnsi="宋体" w:eastAsia="宋体" w:cs="宋体"/>
          <w:color w:val="auto"/>
          <w:highlight w:val="none"/>
        </w:rPr>
      </w:pPr>
    </w:p>
    <w:p w14:paraId="1B444E1D">
      <w:pPr>
        <w:pStyle w:val="14"/>
        <w:rPr>
          <w:rFonts w:hint="eastAsia" w:ascii="宋体" w:hAnsi="宋体" w:eastAsia="宋体" w:cs="宋体"/>
          <w:color w:val="auto"/>
          <w:highlight w:val="none"/>
        </w:rPr>
      </w:pPr>
    </w:p>
    <w:p w14:paraId="16CAF266">
      <w:pPr>
        <w:tabs>
          <w:tab w:val="left" w:pos="1305"/>
        </w:tabs>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注：中标、成交供应商为残疾人福利性单位的，采购人或者其委托的采购代理机构应当随中标、成交结果同时公告其《残疾人福利性单位声明函》，接受社会监督。</w:t>
      </w:r>
    </w:p>
    <w:p w14:paraId="4149016C">
      <w:pPr>
        <w:ind w:left="420"/>
        <w:jc w:val="center"/>
        <w:rPr>
          <w:rFonts w:hint="eastAsia" w:ascii="宋体" w:hAnsi="宋体" w:eastAsia="宋体" w:cs="宋体"/>
          <w:b/>
          <w:bCs/>
          <w:color w:val="auto"/>
          <w:sz w:val="32"/>
          <w:szCs w:val="32"/>
          <w:highlight w:val="none"/>
        </w:rPr>
      </w:pPr>
    </w:p>
    <w:p w14:paraId="7C400677">
      <w:pPr>
        <w:ind w:left="420"/>
        <w:jc w:val="center"/>
        <w:rPr>
          <w:rFonts w:hint="eastAsia" w:ascii="宋体" w:hAnsi="宋体" w:eastAsia="宋体" w:cs="宋体"/>
          <w:b/>
          <w:bCs/>
          <w:color w:val="auto"/>
          <w:sz w:val="32"/>
          <w:szCs w:val="32"/>
          <w:highlight w:val="none"/>
        </w:rPr>
      </w:pPr>
    </w:p>
    <w:p w14:paraId="42A1D6E9">
      <w:pPr>
        <w:ind w:left="420"/>
        <w:jc w:val="center"/>
        <w:rPr>
          <w:rFonts w:hint="eastAsia" w:ascii="宋体" w:hAnsi="宋体" w:eastAsia="宋体" w:cs="宋体"/>
          <w:b/>
          <w:bCs/>
          <w:color w:val="auto"/>
          <w:sz w:val="32"/>
          <w:szCs w:val="32"/>
          <w:highlight w:val="none"/>
        </w:rPr>
      </w:pPr>
    </w:p>
    <w:p w14:paraId="39FD1BC1">
      <w:pPr>
        <w:ind w:left="420"/>
        <w:jc w:val="center"/>
        <w:rPr>
          <w:rFonts w:hint="eastAsia" w:ascii="宋体" w:hAnsi="宋体" w:eastAsia="宋体" w:cs="宋体"/>
          <w:b/>
          <w:bCs/>
          <w:color w:val="auto"/>
          <w:sz w:val="32"/>
          <w:szCs w:val="32"/>
          <w:highlight w:val="none"/>
        </w:rPr>
      </w:pPr>
    </w:p>
    <w:p w14:paraId="7C86E149">
      <w:pPr>
        <w:ind w:left="420"/>
        <w:jc w:val="center"/>
        <w:rPr>
          <w:rFonts w:hint="eastAsia" w:ascii="宋体" w:hAnsi="宋体" w:eastAsia="宋体" w:cs="宋体"/>
          <w:b/>
          <w:bCs/>
          <w:color w:val="auto"/>
          <w:sz w:val="32"/>
          <w:szCs w:val="32"/>
          <w:highlight w:val="none"/>
        </w:rPr>
      </w:pPr>
    </w:p>
    <w:p w14:paraId="7AF6E9A3">
      <w:pPr>
        <w:ind w:left="420"/>
        <w:jc w:val="center"/>
        <w:rPr>
          <w:rFonts w:hint="eastAsia" w:ascii="宋体" w:hAnsi="宋体" w:eastAsia="宋体" w:cs="宋体"/>
          <w:b/>
          <w:bCs/>
          <w:color w:val="auto"/>
          <w:sz w:val="32"/>
          <w:szCs w:val="32"/>
          <w:highlight w:val="none"/>
        </w:rPr>
      </w:pPr>
    </w:p>
    <w:p w14:paraId="0B71AF86">
      <w:pPr>
        <w:ind w:left="420"/>
        <w:jc w:val="center"/>
        <w:rPr>
          <w:rFonts w:hint="eastAsia" w:ascii="宋体" w:hAnsi="宋体" w:eastAsia="宋体" w:cs="宋体"/>
          <w:b/>
          <w:bCs/>
          <w:color w:val="auto"/>
          <w:sz w:val="32"/>
          <w:szCs w:val="32"/>
          <w:highlight w:val="none"/>
        </w:rPr>
      </w:pPr>
    </w:p>
    <w:p w14:paraId="677DA5D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b/>
          <w:bCs/>
          <w:color w:val="auto"/>
          <w:sz w:val="32"/>
          <w:szCs w:val="32"/>
          <w:highlight w:val="none"/>
          <w:lang w:val="en-US" w:eastAsia="zh-CN"/>
        </w:rPr>
      </w:pPr>
    </w:p>
    <w:p w14:paraId="7EA55C4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10.</w:t>
      </w:r>
      <w:r>
        <w:rPr>
          <w:rFonts w:hint="eastAsia" w:ascii="宋体" w:hAnsi="宋体" w:eastAsia="宋体" w:cs="宋体"/>
          <w:b/>
          <w:color w:val="auto"/>
          <w:kern w:val="2"/>
          <w:sz w:val="28"/>
          <w:szCs w:val="28"/>
          <w:highlight w:val="none"/>
          <w:lang w:val="en-US" w:eastAsia="zh-CN" w:bidi="ar-SA"/>
        </w:rPr>
        <w:t>如提供服务的供应商属于监狱企业的，应当提供由省级以上监狱管理局、戒毒管理局等（含新疆生产建设兵团）出具的属于监狱企业的证明文件（如有，请提供）；</w:t>
      </w:r>
    </w:p>
    <w:p w14:paraId="7B552880">
      <w:pPr>
        <w:ind w:left="420"/>
        <w:jc w:val="center"/>
        <w:rPr>
          <w:rFonts w:hint="eastAsia" w:ascii="宋体" w:hAnsi="宋体" w:eastAsia="宋体" w:cs="宋体"/>
          <w:b/>
          <w:bCs/>
          <w:color w:val="auto"/>
          <w:sz w:val="32"/>
          <w:szCs w:val="32"/>
          <w:highlight w:val="none"/>
        </w:rPr>
      </w:pPr>
    </w:p>
    <w:p w14:paraId="470222CC">
      <w:pPr>
        <w:ind w:left="420"/>
        <w:jc w:val="center"/>
        <w:rPr>
          <w:rFonts w:hint="eastAsia" w:ascii="宋体" w:hAnsi="宋体" w:eastAsia="宋体" w:cs="宋体"/>
          <w:b/>
          <w:bCs/>
          <w:color w:val="auto"/>
          <w:sz w:val="32"/>
          <w:szCs w:val="32"/>
          <w:highlight w:val="none"/>
        </w:rPr>
      </w:pPr>
    </w:p>
    <w:p w14:paraId="0EC64714">
      <w:pPr>
        <w:ind w:left="420"/>
        <w:jc w:val="center"/>
        <w:rPr>
          <w:rFonts w:hint="eastAsia" w:ascii="宋体" w:hAnsi="宋体" w:eastAsia="宋体" w:cs="宋体"/>
          <w:b/>
          <w:bCs/>
          <w:color w:val="auto"/>
          <w:sz w:val="32"/>
          <w:szCs w:val="32"/>
          <w:highlight w:val="none"/>
        </w:rPr>
      </w:pPr>
    </w:p>
    <w:p w14:paraId="604CA691">
      <w:pPr>
        <w:ind w:left="420"/>
        <w:jc w:val="center"/>
        <w:rPr>
          <w:rFonts w:hint="eastAsia" w:ascii="宋体" w:hAnsi="宋体" w:eastAsia="宋体" w:cs="宋体"/>
          <w:b/>
          <w:bCs/>
          <w:color w:val="auto"/>
          <w:sz w:val="32"/>
          <w:szCs w:val="32"/>
          <w:highlight w:val="none"/>
        </w:rPr>
      </w:pPr>
    </w:p>
    <w:p w14:paraId="0B72359C">
      <w:pPr>
        <w:ind w:left="420"/>
        <w:jc w:val="center"/>
        <w:rPr>
          <w:rFonts w:hint="eastAsia" w:ascii="宋体" w:hAnsi="宋体" w:eastAsia="宋体" w:cs="宋体"/>
          <w:b/>
          <w:bCs/>
          <w:color w:val="auto"/>
          <w:sz w:val="32"/>
          <w:szCs w:val="32"/>
          <w:highlight w:val="none"/>
        </w:rPr>
      </w:pPr>
    </w:p>
    <w:p w14:paraId="6068E686">
      <w:pPr>
        <w:ind w:left="420"/>
        <w:jc w:val="center"/>
        <w:rPr>
          <w:rFonts w:hint="eastAsia" w:ascii="宋体" w:hAnsi="宋体" w:eastAsia="宋体" w:cs="宋体"/>
          <w:b/>
          <w:bCs/>
          <w:color w:val="auto"/>
          <w:sz w:val="32"/>
          <w:szCs w:val="32"/>
          <w:highlight w:val="none"/>
        </w:rPr>
      </w:pPr>
    </w:p>
    <w:p w14:paraId="1DCE919A">
      <w:pPr>
        <w:ind w:left="420"/>
        <w:jc w:val="center"/>
        <w:rPr>
          <w:rFonts w:hint="eastAsia" w:ascii="宋体" w:hAnsi="宋体" w:eastAsia="宋体" w:cs="宋体"/>
          <w:b/>
          <w:bCs/>
          <w:color w:val="auto"/>
          <w:sz w:val="32"/>
          <w:szCs w:val="32"/>
          <w:highlight w:val="none"/>
        </w:rPr>
      </w:pPr>
    </w:p>
    <w:p w14:paraId="4258CA5E">
      <w:pPr>
        <w:ind w:left="420"/>
        <w:jc w:val="center"/>
        <w:rPr>
          <w:rFonts w:hint="eastAsia" w:ascii="宋体" w:hAnsi="宋体" w:eastAsia="宋体" w:cs="宋体"/>
          <w:b/>
          <w:bCs/>
          <w:color w:val="auto"/>
          <w:sz w:val="32"/>
          <w:szCs w:val="32"/>
          <w:highlight w:val="none"/>
        </w:rPr>
      </w:pPr>
    </w:p>
    <w:p w14:paraId="73387F97">
      <w:pPr>
        <w:ind w:left="420"/>
        <w:jc w:val="center"/>
        <w:rPr>
          <w:rFonts w:hint="eastAsia" w:ascii="宋体" w:hAnsi="宋体" w:eastAsia="宋体" w:cs="宋体"/>
          <w:b/>
          <w:bCs/>
          <w:color w:val="auto"/>
          <w:sz w:val="32"/>
          <w:szCs w:val="32"/>
          <w:highlight w:val="none"/>
        </w:rPr>
      </w:pPr>
    </w:p>
    <w:p w14:paraId="510FF918">
      <w:pPr>
        <w:ind w:left="420"/>
        <w:jc w:val="center"/>
        <w:rPr>
          <w:rFonts w:hint="eastAsia" w:ascii="宋体" w:hAnsi="宋体" w:eastAsia="宋体" w:cs="宋体"/>
          <w:b/>
          <w:bCs/>
          <w:color w:val="auto"/>
          <w:sz w:val="32"/>
          <w:szCs w:val="32"/>
          <w:highlight w:val="none"/>
        </w:rPr>
      </w:pPr>
    </w:p>
    <w:p w14:paraId="5AF4DB3E">
      <w:pPr>
        <w:ind w:left="420"/>
        <w:jc w:val="center"/>
        <w:rPr>
          <w:rFonts w:hint="eastAsia" w:ascii="宋体" w:hAnsi="宋体" w:eastAsia="宋体" w:cs="宋体"/>
          <w:b/>
          <w:bCs/>
          <w:color w:val="auto"/>
          <w:sz w:val="32"/>
          <w:szCs w:val="32"/>
          <w:highlight w:val="none"/>
        </w:rPr>
      </w:pPr>
    </w:p>
    <w:p w14:paraId="215230D1">
      <w:pPr>
        <w:ind w:left="420"/>
        <w:jc w:val="center"/>
        <w:rPr>
          <w:rFonts w:hint="eastAsia" w:ascii="宋体" w:hAnsi="宋体" w:eastAsia="宋体" w:cs="宋体"/>
          <w:b/>
          <w:bCs/>
          <w:color w:val="auto"/>
          <w:sz w:val="32"/>
          <w:szCs w:val="32"/>
          <w:highlight w:val="none"/>
        </w:rPr>
      </w:pPr>
    </w:p>
    <w:p w14:paraId="73E04583">
      <w:pPr>
        <w:ind w:left="420"/>
        <w:jc w:val="center"/>
        <w:rPr>
          <w:rFonts w:hint="eastAsia" w:ascii="宋体" w:hAnsi="宋体" w:eastAsia="宋体" w:cs="宋体"/>
          <w:b/>
          <w:bCs/>
          <w:color w:val="auto"/>
          <w:sz w:val="32"/>
          <w:szCs w:val="32"/>
          <w:highlight w:val="none"/>
        </w:rPr>
      </w:pPr>
    </w:p>
    <w:p w14:paraId="3C991FE5">
      <w:pPr>
        <w:ind w:left="420"/>
        <w:jc w:val="center"/>
        <w:rPr>
          <w:rFonts w:hint="eastAsia" w:ascii="宋体" w:hAnsi="宋体" w:eastAsia="宋体" w:cs="宋体"/>
          <w:b/>
          <w:bCs/>
          <w:color w:val="auto"/>
          <w:sz w:val="32"/>
          <w:szCs w:val="32"/>
          <w:highlight w:val="none"/>
        </w:rPr>
      </w:pPr>
    </w:p>
    <w:p w14:paraId="15FCAFA9">
      <w:pPr>
        <w:ind w:left="420"/>
        <w:jc w:val="center"/>
        <w:rPr>
          <w:rFonts w:hint="eastAsia" w:ascii="宋体" w:hAnsi="宋体" w:eastAsia="宋体" w:cs="宋体"/>
          <w:b/>
          <w:bCs/>
          <w:color w:val="auto"/>
          <w:sz w:val="32"/>
          <w:szCs w:val="32"/>
          <w:highlight w:val="none"/>
        </w:rPr>
      </w:pPr>
    </w:p>
    <w:p w14:paraId="3F3FE266">
      <w:pPr>
        <w:ind w:left="420"/>
        <w:jc w:val="center"/>
        <w:rPr>
          <w:rFonts w:hint="eastAsia" w:ascii="宋体" w:hAnsi="宋体" w:eastAsia="宋体" w:cs="宋体"/>
          <w:b/>
          <w:bCs/>
          <w:color w:val="auto"/>
          <w:sz w:val="32"/>
          <w:szCs w:val="32"/>
          <w:highlight w:val="none"/>
        </w:rPr>
      </w:pPr>
    </w:p>
    <w:p w14:paraId="5D6C8822">
      <w:pPr>
        <w:ind w:left="420"/>
        <w:jc w:val="center"/>
        <w:rPr>
          <w:rFonts w:hint="eastAsia" w:ascii="宋体" w:hAnsi="宋体" w:eastAsia="宋体" w:cs="宋体"/>
          <w:b/>
          <w:bCs/>
          <w:color w:val="auto"/>
          <w:sz w:val="32"/>
          <w:szCs w:val="32"/>
          <w:highlight w:val="none"/>
        </w:rPr>
      </w:pPr>
    </w:p>
    <w:p w14:paraId="773355A2">
      <w:pPr>
        <w:ind w:left="420"/>
        <w:jc w:val="center"/>
        <w:rPr>
          <w:rFonts w:hint="eastAsia" w:ascii="宋体" w:hAnsi="宋体" w:eastAsia="宋体" w:cs="宋体"/>
          <w:b/>
          <w:bCs/>
          <w:color w:val="auto"/>
          <w:sz w:val="32"/>
          <w:szCs w:val="32"/>
          <w:highlight w:val="none"/>
        </w:rPr>
      </w:pPr>
    </w:p>
    <w:p w14:paraId="79FA68F9">
      <w:pPr>
        <w:ind w:left="420"/>
        <w:jc w:val="center"/>
        <w:rPr>
          <w:rFonts w:hint="eastAsia" w:ascii="宋体" w:hAnsi="宋体" w:eastAsia="宋体" w:cs="宋体"/>
          <w:b/>
          <w:bCs/>
          <w:color w:val="auto"/>
          <w:sz w:val="32"/>
          <w:szCs w:val="32"/>
          <w:highlight w:val="none"/>
        </w:rPr>
      </w:pPr>
    </w:p>
    <w:p w14:paraId="70ECDE27">
      <w:pPr>
        <w:jc w:val="both"/>
        <w:rPr>
          <w:rFonts w:hint="eastAsia" w:ascii="宋体" w:hAnsi="宋体" w:eastAsia="宋体" w:cs="宋体"/>
          <w:b/>
          <w:bCs/>
          <w:color w:val="auto"/>
          <w:sz w:val="32"/>
          <w:szCs w:val="32"/>
          <w:highlight w:val="none"/>
        </w:rPr>
      </w:pPr>
    </w:p>
    <w:p w14:paraId="33DBDBD6">
      <w:pPr>
        <w:ind w:left="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（二）符合性响应证明材料目录</w:t>
      </w:r>
    </w:p>
    <w:p w14:paraId="3346187A">
      <w:pPr>
        <w:pStyle w:val="4"/>
        <w:ind w:left="567" w:leftChars="200" w:hanging="147" w:hangingChars="70"/>
        <w:rPr>
          <w:rFonts w:hint="eastAsia" w:ascii="宋体" w:hAnsi="宋体" w:eastAsia="宋体" w:cs="宋体"/>
          <w:bCs w:val="0"/>
          <w:color w:val="auto"/>
          <w:sz w:val="21"/>
          <w:szCs w:val="21"/>
          <w:highlight w:val="none"/>
          <w:lang w:val="en-US"/>
        </w:rPr>
      </w:pPr>
    </w:p>
    <w:p w14:paraId="5AE201D0">
      <w:pPr>
        <w:pStyle w:val="4"/>
        <w:spacing w:line="400" w:lineRule="exact"/>
        <w:ind w:left="210" w:leftChars="100" w:firstLine="63" w:firstLineChars="30"/>
        <w:rPr>
          <w:rFonts w:hint="eastAsia" w:ascii="宋体" w:hAnsi="宋体" w:eastAsia="宋体" w:cs="宋体"/>
          <w:bCs w:val="0"/>
          <w:color w:val="auto"/>
          <w:sz w:val="21"/>
          <w:szCs w:val="21"/>
          <w:highlight w:val="none"/>
          <w:lang w:val="en-US"/>
        </w:rPr>
      </w:pPr>
      <w:r>
        <w:rPr>
          <w:rFonts w:hint="eastAsia" w:ascii="宋体" w:hAnsi="宋体" w:eastAsia="宋体" w:cs="宋体"/>
          <w:bCs w:val="0"/>
          <w:color w:val="auto"/>
          <w:sz w:val="21"/>
          <w:szCs w:val="21"/>
          <w:highlight w:val="none"/>
          <w:lang w:val="en-US"/>
        </w:rPr>
        <w:t>1</w:t>
      </w:r>
      <w:r>
        <w:rPr>
          <w:rFonts w:hint="eastAsia" w:ascii="宋体" w:hAnsi="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lang w:val="en-US"/>
        </w:rPr>
        <w:t>响应函（格式见附件）</w:t>
      </w:r>
      <w:r>
        <w:rPr>
          <w:rFonts w:hint="eastAsia" w:ascii="宋体" w:hAnsi="宋体" w:eastAsia="宋体" w:cs="宋体"/>
          <w:b/>
          <w:color w:val="auto"/>
          <w:sz w:val="21"/>
          <w:szCs w:val="21"/>
          <w:highlight w:val="none"/>
          <w:lang w:val="en-US"/>
        </w:rPr>
        <w:t>（必须提供）；</w:t>
      </w:r>
    </w:p>
    <w:p w14:paraId="1DA07753">
      <w:pPr>
        <w:pStyle w:val="4"/>
        <w:spacing w:line="400" w:lineRule="exact"/>
        <w:ind w:left="210" w:leftChars="100" w:firstLine="63" w:firstLineChars="30"/>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rPr>
        <w:t>2</w:t>
      </w:r>
      <w:r>
        <w:rPr>
          <w:rFonts w:hint="eastAsia" w:ascii="宋体" w:hAnsi="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lang w:val="en-US" w:eastAsia="zh-CN"/>
        </w:rPr>
        <w:t>磋商报价表（格式见附件）</w:t>
      </w:r>
      <w:r>
        <w:rPr>
          <w:rFonts w:hint="eastAsia" w:ascii="宋体" w:hAnsi="宋体" w:eastAsia="宋体" w:cs="宋体"/>
          <w:b/>
          <w:color w:val="auto"/>
          <w:sz w:val="21"/>
          <w:szCs w:val="21"/>
          <w:highlight w:val="none"/>
          <w:lang w:val="en-US"/>
        </w:rPr>
        <w:t>（必须提供）；</w:t>
      </w:r>
    </w:p>
    <w:p w14:paraId="17FA1CF7">
      <w:pPr>
        <w:pStyle w:val="4"/>
        <w:spacing w:line="400" w:lineRule="exact"/>
        <w:ind w:left="210" w:leftChars="100" w:firstLine="63" w:firstLineChars="30"/>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3</w:t>
      </w:r>
      <w:r>
        <w:rPr>
          <w:rFonts w:hint="eastAsia" w:ascii="宋体" w:hAnsi="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lang w:val="en-US"/>
        </w:rPr>
        <w:t>项目实施方案（由供应商根据“采购需求”要求及评审办法提供，格式自拟）</w:t>
      </w:r>
      <w:r>
        <w:rPr>
          <w:rFonts w:hint="eastAsia" w:ascii="宋体" w:hAnsi="宋体" w:eastAsia="宋体" w:cs="宋体"/>
          <w:b/>
          <w:color w:val="auto"/>
          <w:sz w:val="21"/>
          <w:szCs w:val="21"/>
          <w:highlight w:val="none"/>
          <w:lang w:val="en-US"/>
        </w:rPr>
        <w:t>（必须提供）</w:t>
      </w:r>
      <w:r>
        <w:rPr>
          <w:rFonts w:hint="eastAsia" w:ascii="宋体" w:hAnsi="宋体" w:eastAsia="宋体" w:cs="宋体"/>
          <w:b/>
          <w:color w:val="auto"/>
          <w:sz w:val="21"/>
          <w:szCs w:val="21"/>
          <w:highlight w:val="none"/>
          <w:lang w:val="en-US" w:eastAsia="zh-CN"/>
        </w:rPr>
        <w:t>；</w:t>
      </w:r>
    </w:p>
    <w:p w14:paraId="4C15831D">
      <w:pPr>
        <w:pStyle w:val="4"/>
        <w:spacing w:line="400" w:lineRule="exact"/>
        <w:ind w:left="10" w:leftChars="0" w:firstLine="262" w:firstLineChars="125"/>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4</w:t>
      </w:r>
      <w:r>
        <w:rPr>
          <w:rFonts w:hint="eastAsia" w:ascii="宋体" w:hAnsi="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lang w:val="en-US"/>
        </w:rPr>
        <w:t>服务内容及要求、商务要求响应表</w:t>
      </w:r>
      <w:r>
        <w:rPr>
          <w:rFonts w:hint="eastAsia" w:ascii="宋体" w:hAnsi="宋体" w:eastAsia="宋体" w:cs="宋体"/>
          <w:b/>
          <w:bCs/>
          <w:color w:val="auto"/>
          <w:sz w:val="21"/>
          <w:szCs w:val="21"/>
          <w:highlight w:val="none"/>
          <w:lang w:val="en-US"/>
        </w:rPr>
        <w:t>（必须提供）</w:t>
      </w:r>
      <w:r>
        <w:rPr>
          <w:rFonts w:hint="eastAsia" w:ascii="宋体" w:hAnsi="宋体" w:cs="宋体"/>
          <w:b/>
          <w:bCs/>
          <w:color w:val="auto"/>
          <w:sz w:val="21"/>
          <w:szCs w:val="21"/>
          <w:highlight w:val="none"/>
          <w:lang w:val="en-US" w:eastAsia="zh-CN"/>
        </w:rPr>
        <w:t>；</w:t>
      </w:r>
    </w:p>
    <w:p w14:paraId="2FCCA3AC">
      <w:pPr>
        <w:pStyle w:val="4"/>
        <w:spacing w:line="400" w:lineRule="exact"/>
        <w:ind w:left="10" w:leftChars="0" w:firstLine="262" w:firstLineChars="125"/>
        <w:rPr>
          <w:rFonts w:hint="default" w:ascii="宋体" w:hAnsi="宋体" w:cs="宋体"/>
          <w:bCs w:val="0"/>
          <w:color w:val="auto"/>
          <w:sz w:val="21"/>
          <w:szCs w:val="21"/>
          <w:highlight w:val="none"/>
          <w:lang w:val="en-US" w:eastAsia="zh-CN"/>
        </w:rPr>
      </w:pPr>
      <w:r>
        <w:rPr>
          <w:rFonts w:hint="eastAsia" w:ascii="宋体" w:hAnsi="宋体" w:cs="宋体"/>
          <w:bCs w:val="0"/>
          <w:color w:val="auto"/>
          <w:sz w:val="21"/>
          <w:szCs w:val="21"/>
          <w:highlight w:val="none"/>
          <w:lang w:val="en-US" w:eastAsia="zh-CN"/>
        </w:rPr>
        <w:t>5.项目实施人员一览表</w:t>
      </w:r>
      <w:r>
        <w:rPr>
          <w:rFonts w:hint="eastAsia" w:ascii="宋体" w:hAnsi="宋体" w:cs="宋体"/>
          <w:b/>
          <w:bCs/>
          <w:color w:val="auto"/>
          <w:sz w:val="21"/>
          <w:szCs w:val="21"/>
          <w:highlight w:val="none"/>
          <w:lang w:val="en-US" w:eastAsia="zh-CN"/>
        </w:rPr>
        <w:t>（如有，请提供）；</w:t>
      </w:r>
    </w:p>
    <w:p w14:paraId="774DA287">
      <w:pPr>
        <w:pStyle w:val="4"/>
        <w:spacing w:line="400" w:lineRule="exact"/>
        <w:ind w:left="10" w:leftChars="0" w:firstLine="262" w:firstLineChars="125"/>
        <w:rPr>
          <w:rFonts w:hint="eastAsia" w:ascii="宋体" w:hAnsi="宋体" w:eastAsia="宋体" w:cs="宋体"/>
          <w:bCs w:val="0"/>
          <w:color w:val="auto"/>
          <w:sz w:val="21"/>
          <w:szCs w:val="21"/>
          <w:highlight w:val="none"/>
          <w:lang w:val="en-US" w:eastAsia="zh-CN"/>
        </w:rPr>
      </w:pPr>
      <w:r>
        <w:rPr>
          <w:rFonts w:hint="eastAsia" w:ascii="宋体" w:hAnsi="宋体" w:cs="宋体"/>
          <w:bCs w:val="0"/>
          <w:color w:val="auto"/>
          <w:sz w:val="21"/>
          <w:szCs w:val="21"/>
          <w:highlight w:val="none"/>
          <w:lang w:val="en-US" w:eastAsia="zh-CN"/>
        </w:rPr>
        <w:t>6.</w:t>
      </w:r>
      <w:r>
        <w:rPr>
          <w:rFonts w:hint="eastAsia" w:ascii="宋体" w:hAnsi="宋体" w:eastAsia="宋体" w:cs="宋体"/>
          <w:bCs w:val="0"/>
          <w:color w:val="auto"/>
          <w:sz w:val="21"/>
          <w:szCs w:val="21"/>
          <w:highlight w:val="none"/>
          <w:lang w:val="en-US"/>
        </w:rPr>
        <w:t>供应商</w:t>
      </w:r>
      <w:r>
        <w:rPr>
          <w:rFonts w:hint="eastAsia" w:ascii="宋体" w:hAnsi="宋体" w:cs="宋体"/>
          <w:bCs w:val="0"/>
          <w:color w:val="auto"/>
          <w:sz w:val="21"/>
          <w:szCs w:val="21"/>
          <w:highlight w:val="none"/>
          <w:lang w:val="en-US" w:eastAsia="zh-CN"/>
        </w:rPr>
        <w:t>针对本项目</w:t>
      </w:r>
      <w:r>
        <w:rPr>
          <w:rFonts w:hint="eastAsia" w:ascii="宋体" w:hAnsi="宋体" w:eastAsia="宋体" w:cs="宋体"/>
          <w:bCs w:val="0"/>
          <w:color w:val="auto"/>
          <w:sz w:val="21"/>
          <w:szCs w:val="21"/>
          <w:highlight w:val="none"/>
          <w:lang w:val="en-US"/>
        </w:rPr>
        <w:t>的服务承诺书（由供应商根据“采购需求”要求及评审办法提供，格式自拟）</w:t>
      </w:r>
      <w:r>
        <w:rPr>
          <w:rFonts w:hint="eastAsia" w:ascii="宋体" w:hAnsi="宋体" w:eastAsia="宋体" w:cs="宋体"/>
          <w:b/>
          <w:color w:val="auto"/>
          <w:sz w:val="21"/>
          <w:szCs w:val="21"/>
          <w:highlight w:val="none"/>
          <w:lang w:val="en-US"/>
        </w:rPr>
        <w:t>（必须提供）</w:t>
      </w:r>
      <w:r>
        <w:rPr>
          <w:rFonts w:hint="eastAsia" w:ascii="宋体" w:hAnsi="宋体" w:eastAsia="宋体" w:cs="宋体"/>
          <w:b/>
          <w:color w:val="auto"/>
          <w:sz w:val="21"/>
          <w:szCs w:val="21"/>
          <w:highlight w:val="none"/>
          <w:lang w:val="en-US" w:eastAsia="zh-CN"/>
        </w:rPr>
        <w:t>。</w:t>
      </w:r>
    </w:p>
    <w:p w14:paraId="589C9F5B">
      <w:pPr>
        <w:pStyle w:val="18"/>
        <w:spacing w:line="340" w:lineRule="exact"/>
        <w:rPr>
          <w:rFonts w:hint="eastAsia" w:ascii="宋体" w:hAnsi="宋体" w:eastAsia="宋体" w:cs="宋体"/>
          <w:b/>
          <w:color w:val="auto"/>
          <w:sz w:val="28"/>
          <w:szCs w:val="28"/>
          <w:highlight w:val="none"/>
        </w:rPr>
      </w:pPr>
    </w:p>
    <w:p w14:paraId="384F69FD">
      <w:pPr>
        <w:pStyle w:val="18"/>
        <w:spacing w:line="340" w:lineRule="exact"/>
        <w:rPr>
          <w:rFonts w:hint="eastAsia" w:ascii="宋体" w:hAnsi="宋体" w:eastAsia="宋体" w:cs="宋体"/>
          <w:b/>
          <w:color w:val="auto"/>
          <w:sz w:val="28"/>
          <w:szCs w:val="28"/>
          <w:highlight w:val="none"/>
        </w:rPr>
      </w:pPr>
    </w:p>
    <w:p w14:paraId="799CAF7A">
      <w:pPr>
        <w:rPr>
          <w:rFonts w:hint="eastAsia" w:ascii="宋体" w:hAnsi="宋体" w:eastAsia="宋体" w:cs="宋体"/>
          <w:b/>
          <w:color w:val="auto"/>
          <w:sz w:val="28"/>
          <w:szCs w:val="28"/>
          <w:highlight w:val="none"/>
        </w:rPr>
      </w:pPr>
    </w:p>
    <w:p w14:paraId="4F416104">
      <w:pPr>
        <w:pStyle w:val="14"/>
        <w:rPr>
          <w:rFonts w:hint="eastAsia" w:ascii="宋体" w:hAnsi="宋体" w:eastAsia="宋体" w:cs="宋体"/>
          <w:b/>
          <w:color w:val="auto"/>
          <w:sz w:val="28"/>
          <w:szCs w:val="28"/>
          <w:highlight w:val="none"/>
        </w:rPr>
      </w:pPr>
    </w:p>
    <w:p w14:paraId="4892E9AE">
      <w:pPr>
        <w:rPr>
          <w:rFonts w:hint="eastAsia" w:ascii="宋体" w:hAnsi="宋体" w:eastAsia="宋体" w:cs="宋体"/>
          <w:b/>
          <w:color w:val="auto"/>
          <w:sz w:val="28"/>
          <w:szCs w:val="28"/>
          <w:highlight w:val="none"/>
        </w:rPr>
      </w:pPr>
    </w:p>
    <w:p w14:paraId="4FA120DE">
      <w:pPr>
        <w:pStyle w:val="14"/>
        <w:rPr>
          <w:rFonts w:hint="eastAsia" w:ascii="宋体" w:hAnsi="宋体" w:eastAsia="宋体" w:cs="宋体"/>
          <w:b/>
          <w:color w:val="auto"/>
          <w:sz w:val="28"/>
          <w:szCs w:val="28"/>
          <w:highlight w:val="none"/>
        </w:rPr>
      </w:pPr>
    </w:p>
    <w:p w14:paraId="22C2BDE8">
      <w:pPr>
        <w:rPr>
          <w:rFonts w:hint="eastAsia" w:ascii="宋体" w:hAnsi="宋体" w:eastAsia="宋体" w:cs="宋体"/>
          <w:b/>
          <w:color w:val="auto"/>
          <w:sz w:val="28"/>
          <w:szCs w:val="28"/>
          <w:highlight w:val="none"/>
        </w:rPr>
      </w:pPr>
    </w:p>
    <w:p w14:paraId="5D184562">
      <w:pPr>
        <w:pStyle w:val="14"/>
        <w:rPr>
          <w:rFonts w:hint="eastAsia" w:ascii="宋体" w:hAnsi="宋体" w:eastAsia="宋体" w:cs="宋体"/>
          <w:b/>
          <w:color w:val="auto"/>
          <w:sz w:val="28"/>
          <w:szCs w:val="28"/>
          <w:highlight w:val="none"/>
        </w:rPr>
      </w:pPr>
    </w:p>
    <w:p w14:paraId="29E3D9F0">
      <w:pPr>
        <w:rPr>
          <w:rFonts w:hint="eastAsia" w:ascii="宋体" w:hAnsi="宋体" w:eastAsia="宋体" w:cs="宋体"/>
          <w:b/>
          <w:color w:val="auto"/>
          <w:sz w:val="28"/>
          <w:szCs w:val="28"/>
          <w:highlight w:val="none"/>
        </w:rPr>
      </w:pPr>
    </w:p>
    <w:p w14:paraId="0862DB20">
      <w:pPr>
        <w:pStyle w:val="14"/>
        <w:rPr>
          <w:rFonts w:hint="eastAsia" w:ascii="宋体" w:hAnsi="宋体" w:eastAsia="宋体" w:cs="宋体"/>
          <w:b/>
          <w:color w:val="auto"/>
          <w:sz w:val="28"/>
          <w:szCs w:val="28"/>
          <w:highlight w:val="none"/>
        </w:rPr>
      </w:pPr>
    </w:p>
    <w:p w14:paraId="6442A599">
      <w:pPr>
        <w:rPr>
          <w:rFonts w:hint="eastAsia" w:ascii="宋体" w:hAnsi="宋体" w:eastAsia="宋体" w:cs="宋体"/>
          <w:b/>
          <w:color w:val="auto"/>
          <w:sz w:val="28"/>
          <w:szCs w:val="28"/>
          <w:highlight w:val="none"/>
        </w:rPr>
      </w:pPr>
    </w:p>
    <w:p w14:paraId="7DFD3E7D">
      <w:pPr>
        <w:pStyle w:val="14"/>
        <w:rPr>
          <w:rFonts w:hint="eastAsia" w:ascii="宋体" w:hAnsi="宋体" w:eastAsia="宋体" w:cs="宋体"/>
          <w:b/>
          <w:color w:val="auto"/>
          <w:sz w:val="28"/>
          <w:szCs w:val="28"/>
          <w:highlight w:val="none"/>
        </w:rPr>
      </w:pPr>
    </w:p>
    <w:p w14:paraId="78664861">
      <w:pPr>
        <w:rPr>
          <w:rFonts w:hint="eastAsia" w:ascii="宋体" w:hAnsi="宋体" w:eastAsia="宋体" w:cs="宋体"/>
          <w:b/>
          <w:color w:val="auto"/>
          <w:sz w:val="28"/>
          <w:szCs w:val="28"/>
          <w:highlight w:val="none"/>
        </w:rPr>
      </w:pPr>
    </w:p>
    <w:p w14:paraId="4826D1AC">
      <w:pPr>
        <w:pStyle w:val="14"/>
        <w:rPr>
          <w:rFonts w:hint="eastAsia" w:ascii="宋体" w:hAnsi="宋体" w:eastAsia="宋体" w:cs="宋体"/>
          <w:b/>
          <w:color w:val="auto"/>
          <w:sz w:val="28"/>
          <w:szCs w:val="28"/>
          <w:highlight w:val="none"/>
        </w:rPr>
      </w:pPr>
    </w:p>
    <w:p w14:paraId="25F01D20">
      <w:pPr>
        <w:pStyle w:val="14"/>
        <w:rPr>
          <w:rFonts w:hint="eastAsia" w:ascii="宋体" w:hAnsi="宋体" w:eastAsia="宋体" w:cs="宋体"/>
          <w:color w:val="auto"/>
          <w:highlight w:val="none"/>
        </w:rPr>
      </w:pPr>
    </w:p>
    <w:p w14:paraId="0601A0D5">
      <w:pPr>
        <w:pStyle w:val="14"/>
        <w:rPr>
          <w:rFonts w:hint="eastAsia" w:ascii="宋体" w:hAnsi="宋体" w:eastAsia="宋体" w:cs="宋体"/>
          <w:color w:val="auto"/>
          <w:highlight w:val="none"/>
        </w:rPr>
      </w:pPr>
    </w:p>
    <w:p w14:paraId="48687D1C">
      <w:pPr>
        <w:pStyle w:val="14"/>
        <w:rPr>
          <w:rFonts w:hint="eastAsia" w:ascii="宋体" w:hAnsi="宋体" w:eastAsia="宋体" w:cs="宋体"/>
          <w:color w:val="auto"/>
          <w:highlight w:val="none"/>
        </w:rPr>
      </w:pPr>
    </w:p>
    <w:p w14:paraId="35AFAA9F">
      <w:pPr>
        <w:pStyle w:val="14"/>
        <w:rPr>
          <w:rFonts w:hint="eastAsia" w:ascii="宋体" w:hAnsi="宋体" w:eastAsia="宋体" w:cs="宋体"/>
          <w:color w:val="auto"/>
          <w:highlight w:val="none"/>
        </w:rPr>
      </w:pPr>
    </w:p>
    <w:p w14:paraId="1C6188B5">
      <w:pPr>
        <w:pStyle w:val="14"/>
        <w:rPr>
          <w:rFonts w:hint="eastAsia" w:ascii="宋体" w:hAnsi="宋体" w:eastAsia="宋体" w:cs="宋体"/>
          <w:color w:val="auto"/>
          <w:highlight w:val="none"/>
        </w:rPr>
      </w:pPr>
    </w:p>
    <w:p w14:paraId="78B3972A">
      <w:pPr>
        <w:spacing w:line="400" w:lineRule="exact"/>
        <w:rPr>
          <w:rFonts w:hint="eastAsia" w:ascii="宋体" w:hAnsi="宋体" w:eastAsia="宋体" w:cs="宋体"/>
          <w:b/>
          <w:bCs/>
          <w:color w:val="auto"/>
          <w:sz w:val="28"/>
          <w:szCs w:val="28"/>
          <w:highlight w:val="none"/>
          <w:lang w:eastAsia="zh-CN"/>
        </w:rPr>
      </w:pPr>
      <w:bookmarkStart w:id="151" w:name="_Toc12920"/>
      <w:bookmarkStart w:id="152" w:name="_Toc17617"/>
      <w:bookmarkStart w:id="153" w:name="_Toc497927072"/>
      <w:r>
        <w:rPr>
          <w:rFonts w:hint="eastAsia" w:ascii="宋体" w:hAnsi="宋体" w:eastAsia="宋体" w:cs="宋体"/>
          <w:b/>
          <w:bCs/>
          <w:color w:val="auto"/>
          <w:sz w:val="28"/>
          <w:szCs w:val="28"/>
          <w:highlight w:val="none"/>
        </w:rPr>
        <w:t>1.响应函（格式见附件）（必须提供）</w:t>
      </w:r>
      <w:bookmarkEnd w:id="151"/>
      <w:bookmarkEnd w:id="152"/>
      <w:bookmarkEnd w:id="153"/>
    </w:p>
    <w:p w14:paraId="6D424141">
      <w:pPr>
        <w:pStyle w:val="57"/>
        <w:rPr>
          <w:rFonts w:hint="eastAsia" w:ascii="宋体" w:hAnsi="宋体" w:eastAsia="宋体" w:cs="宋体"/>
          <w:color w:val="auto"/>
          <w:highlight w:val="none"/>
        </w:rPr>
      </w:pPr>
    </w:p>
    <w:p w14:paraId="4B6A0CD2">
      <w:pPr>
        <w:pStyle w:val="18"/>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t>附件：</w:t>
      </w:r>
    </w:p>
    <w:p w14:paraId="50EB64CB">
      <w:pPr>
        <w:pStyle w:val="18"/>
        <w:ind w:firstLine="800" w:firstLineChars="250"/>
        <w:jc w:val="center"/>
        <w:rPr>
          <w:rFonts w:hint="eastAsia" w:ascii="宋体" w:hAnsi="宋体" w:eastAsia="宋体" w:cs="宋体"/>
          <w:b/>
          <w:color w:val="auto"/>
          <w:sz w:val="32"/>
          <w:highlight w:val="none"/>
        </w:rPr>
      </w:pPr>
      <w:bookmarkStart w:id="154" w:name="_Toc7273_WPSOffice_Level1"/>
      <w:bookmarkStart w:id="155" w:name="_Toc17832_WPSOffice_Level1"/>
      <w:r>
        <w:rPr>
          <w:rFonts w:hint="eastAsia" w:ascii="宋体" w:hAnsi="宋体" w:eastAsia="宋体" w:cs="宋体"/>
          <w:b/>
          <w:color w:val="auto"/>
          <w:sz w:val="32"/>
          <w:highlight w:val="none"/>
        </w:rPr>
        <w:t>响 应 函（格式）</w:t>
      </w:r>
      <w:bookmarkEnd w:id="154"/>
      <w:bookmarkEnd w:id="155"/>
    </w:p>
    <w:p w14:paraId="2C3080AC">
      <w:pPr>
        <w:spacing w:line="240" w:lineRule="exact"/>
        <w:jc w:val="center"/>
        <w:rPr>
          <w:rFonts w:hint="eastAsia" w:ascii="宋体" w:hAnsi="宋体" w:eastAsia="宋体" w:cs="宋体"/>
          <w:color w:val="auto"/>
          <w:sz w:val="32"/>
          <w:highlight w:val="none"/>
        </w:rPr>
      </w:pPr>
    </w:p>
    <w:p w14:paraId="291B7CC1">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single"/>
          <w:lang w:eastAsia="zh-CN"/>
        </w:rPr>
        <w:t>合普项目管理咨询集团有限公司</w:t>
      </w:r>
    </w:p>
    <w:p w14:paraId="509ECE6C">
      <w:pPr>
        <w:spacing w:line="400" w:lineRule="exact"/>
        <w:rPr>
          <w:rFonts w:hint="eastAsia" w:ascii="宋体" w:hAnsi="宋体" w:eastAsia="宋体" w:cs="宋体"/>
          <w:color w:val="auto"/>
          <w:szCs w:val="21"/>
          <w:highlight w:val="none"/>
        </w:rPr>
      </w:pPr>
    </w:p>
    <w:p w14:paraId="5B047665">
      <w:pPr>
        <w:pStyle w:val="1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w:t>
      </w:r>
      <w:r>
        <w:rPr>
          <w:rFonts w:hint="eastAsia" w:ascii="宋体" w:hAnsi="宋体" w:eastAsia="宋体" w:cs="宋体"/>
          <w:color w:val="auto"/>
          <w:highlight w:val="none"/>
        </w:rPr>
        <w:t>供应商单位名称），提交电子响应文件。</w:t>
      </w:r>
    </w:p>
    <w:p w14:paraId="4CD450C8">
      <w:pPr>
        <w:pStyle w:val="1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65AB0ED9">
      <w:pPr>
        <w:pStyle w:val="1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1.按磋商文件采购需求和磋商报价表：</w:t>
      </w:r>
    </w:p>
    <w:p w14:paraId="17B0D359">
      <w:pPr>
        <w:pStyle w:val="18"/>
        <w:spacing w:line="380" w:lineRule="exact"/>
        <w:ind w:firstLine="420"/>
        <w:rPr>
          <w:rFonts w:hAnsi="宋体"/>
          <w:color w:val="auto"/>
          <w:highlight w:val="none"/>
        </w:rPr>
      </w:pPr>
      <w:r>
        <w:rPr>
          <w:rFonts w:hint="eastAsia" w:hAnsi="宋体"/>
          <w:color w:val="auto"/>
          <w:highlight w:val="none"/>
        </w:rPr>
        <w:t>磋商报价（大写）</w:t>
      </w:r>
      <w:r>
        <w:rPr>
          <w:rFonts w:hAnsi="宋体"/>
          <w:color w:val="auto"/>
          <w:highlight w:val="none"/>
          <w:u w:val="single"/>
        </w:rPr>
        <w:t xml:space="preserve">               </w:t>
      </w:r>
      <w:r>
        <w:rPr>
          <w:rFonts w:hint="eastAsia" w:hAnsi="宋体"/>
          <w:color w:val="auto"/>
          <w:highlight w:val="none"/>
        </w:rPr>
        <w:t>元人民币</w:t>
      </w:r>
      <w:r>
        <w:rPr>
          <w:rFonts w:hAnsi="宋体"/>
          <w:color w:val="auto"/>
          <w:highlight w:val="none"/>
        </w:rPr>
        <w:t>(</w:t>
      </w:r>
      <w:r>
        <w:rPr>
          <w:rFonts w:hint="eastAsia" w:hAnsi="宋体"/>
          <w:color w:val="auto"/>
          <w:highlight w:val="none"/>
        </w:rPr>
        <w:t>￥</w:t>
      </w:r>
      <w:r>
        <w:rPr>
          <w:rFonts w:hAnsi="宋体"/>
          <w:color w:val="auto"/>
          <w:highlight w:val="none"/>
          <w:u w:val="single"/>
        </w:rPr>
        <w:t xml:space="preserve">              </w:t>
      </w:r>
      <w:r>
        <w:rPr>
          <w:rFonts w:hAnsi="宋体"/>
          <w:color w:val="auto"/>
          <w:highlight w:val="none"/>
        </w:rPr>
        <w:t>)</w:t>
      </w:r>
      <w:r>
        <w:rPr>
          <w:rFonts w:hint="eastAsia" w:hAnsi="宋体"/>
          <w:color w:val="auto"/>
          <w:highlight w:val="none"/>
        </w:rPr>
        <w:t>。</w:t>
      </w:r>
    </w:p>
    <w:p w14:paraId="1E2C4B5C">
      <w:pPr>
        <w:pStyle w:val="1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14:paraId="48668346">
      <w:pPr>
        <w:pStyle w:val="1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14:paraId="0084936B">
      <w:pPr>
        <w:pStyle w:val="1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4.响应文件有效期为</w:t>
      </w:r>
      <w:r>
        <w:rPr>
          <w:rFonts w:hint="eastAsia" w:ascii="宋体" w:hAnsi="宋体" w:eastAsia="宋体" w:cs="宋体"/>
          <w:color w:val="auto"/>
          <w:szCs w:val="21"/>
          <w:highlight w:val="none"/>
        </w:rPr>
        <w:t>响应文件递交截止时间之日起90天。</w:t>
      </w:r>
    </w:p>
    <w:p w14:paraId="1F2B0277">
      <w:pPr>
        <w:pStyle w:val="1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5.如我方成交：</w:t>
      </w:r>
    </w:p>
    <w:p w14:paraId="0EB38AF9">
      <w:pPr>
        <w:pStyle w:val="1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2FC88295">
      <w:pPr>
        <w:pStyle w:val="18"/>
        <w:spacing w:line="36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（2）我方承诺按照磋商文件规定递交履约担保。</w:t>
      </w:r>
    </w:p>
    <w:p w14:paraId="0290E91E">
      <w:pPr>
        <w:pStyle w:val="18"/>
        <w:spacing w:line="36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（3）我方承诺本响应文件至本项目合同履行完毕止均保持有效，按磋商文件及政府采购法律、法规的规定履行合同责任和义务。</w:t>
      </w:r>
    </w:p>
    <w:p w14:paraId="6E1E8DCA">
      <w:pPr>
        <w:pStyle w:val="18"/>
        <w:spacing w:line="36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与本项目有关的正式通讯地址为：</w:t>
      </w:r>
    </w:p>
    <w:p w14:paraId="588F6AD5">
      <w:pPr>
        <w:rPr>
          <w:rFonts w:hint="eastAsia" w:ascii="宋体" w:hAnsi="宋体" w:eastAsia="宋体" w:cs="宋体"/>
          <w:color w:val="auto"/>
          <w:szCs w:val="21"/>
          <w:highlight w:val="none"/>
        </w:rPr>
      </w:pPr>
    </w:p>
    <w:p w14:paraId="51EAE295">
      <w:pPr>
        <w:spacing w:line="320" w:lineRule="exact"/>
        <w:ind w:firstLine="420" w:firstLineChars="0"/>
        <w:rPr>
          <w:rFonts w:hint="eastAsia" w:ascii="宋体" w:hAnsi="宋体" w:eastAsia="宋体" w:cs="宋体"/>
          <w:color w:val="auto"/>
          <w:kern w:val="0"/>
          <w:sz w:val="21"/>
          <w:szCs w:val="20"/>
          <w:highlight w:val="none"/>
          <w:u w:val="single"/>
        </w:rPr>
      </w:pPr>
      <w:r>
        <w:rPr>
          <w:rFonts w:hint="eastAsia" w:ascii="宋体" w:hAnsi="宋体" w:eastAsia="宋体" w:cs="宋体"/>
          <w:color w:val="auto"/>
          <w:kern w:val="0"/>
          <w:sz w:val="21"/>
          <w:szCs w:val="20"/>
          <w:highlight w:val="none"/>
        </w:rPr>
        <w:t>地址：</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邮编：</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邮箱：</w:t>
      </w:r>
      <w:r>
        <w:rPr>
          <w:rFonts w:hint="eastAsia" w:ascii="宋体" w:hAnsi="宋体" w:eastAsia="宋体" w:cs="宋体"/>
          <w:color w:val="auto"/>
          <w:kern w:val="0"/>
          <w:sz w:val="21"/>
          <w:szCs w:val="20"/>
          <w:highlight w:val="none"/>
          <w:u w:val="single"/>
        </w:rPr>
        <w:t xml:space="preserve">                   </w:t>
      </w:r>
    </w:p>
    <w:p w14:paraId="4CB181E7">
      <w:pPr>
        <w:spacing w:line="320" w:lineRule="exact"/>
        <w:ind w:firstLine="420" w:firstLineChars="0"/>
        <w:rPr>
          <w:rFonts w:hint="eastAsia" w:ascii="宋体" w:hAnsi="宋体" w:eastAsia="宋体" w:cs="宋体"/>
          <w:color w:val="auto"/>
          <w:kern w:val="0"/>
          <w:sz w:val="21"/>
          <w:szCs w:val="20"/>
          <w:highlight w:val="none"/>
          <w:u w:val="single"/>
        </w:rPr>
      </w:pPr>
      <w:r>
        <w:rPr>
          <w:rFonts w:hint="eastAsia" w:ascii="宋体" w:hAnsi="宋体" w:eastAsia="宋体" w:cs="宋体"/>
          <w:color w:val="auto"/>
          <w:kern w:val="0"/>
          <w:sz w:val="21"/>
          <w:szCs w:val="20"/>
          <w:highlight w:val="none"/>
        </w:rPr>
        <w:t>办公电话：</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传真：</w:t>
      </w:r>
      <w:r>
        <w:rPr>
          <w:rFonts w:hint="eastAsia" w:ascii="宋体" w:hAnsi="宋体" w:eastAsia="宋体" w:cs="宋体"/>
          <w:color w:val="auto"/>
          <w:kern w:val="0"/>
          <w:sz w:val="21"/>
          <w:szCs w:val="20"/>
          <w:highlight w:val="none"/>
          <w:u w:val="single"/>
        </w:rPr>
        <w:t xml:space="preserve">                             </w:t>
      </w:r>
    </w:p>
    <w:p w14:paraId="69F97A9C">
      <w:pPr>
        <w:spacing w:line="320" w:lineRule="exact"/>
        <w:ind w:firstLine="420" w:firstLineChars="0"/>
        <w:rPr>
          <w:rFonts w:hint="eastAsia" w:ascii="宋体" w:hAnsi="宋体" w:eastAsia="宋体" w:cs="宋体"/>
          <w:color w:val="auto"/>
          <w:kern w:val="0"/>
          <w:sz w:val="21"/>
          <w:szCs w:val="20"/>
          <w:highlight w:val="none"/>
          <w:u w:val="single"/>
        </w:rPr>
      </w:pPr>
      <w:r>
        <w:rPr>
          <w:rFonts w:hint="eastAsia" w:ascii="宋体" w:hAnsi="宋体" w:eastAsia="宋体" w:cs="宋体"/>
          <w:color w:val="auto"/>
          <w:kern w:val="0"/>
          <w:sz w:val="21"/>
          <w:szCs w:val="20"/>
          <w:highlight w:val="none"/>
        </w:rPr>
        <w:t>委托代理人联系电话：</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u w:val="single"/>
          <w:lang w:val="en-US" w:eastAsia="zh-CN"/>
        </w:rPr>
        <w:t xml:space="preserve">                   </w:t>
      </w:r>
      <w:r>
        <w:rPr>
          <w:rFonts w:hint="eastAsia" w:ascii="宋体" w:hAnsi="宋体" w:eastAsia="宋体" w:cs="宋体"/>
          <w:color w:val="auto"/>
          <w:kern w:val="0"/>
          <w:sz w:val="21"/>
          <w:szCs w:val="20"/>
          <w:highlight w:val="none"/>
          <w:u w:val="single"/>
        </w:rPr>
        <w:t xml:space="preserve">             </w:t>
      </w:r>
    </w:p>
    <w:p w14:paraId="40EAB9B5">
      <w:pPr>
        <w:spacing w:line="320" w:lineRule="exact"/>
        <w:ind w:firstLine="420" w:firstLineChars="0"/>
        <w:rPr>
          <w:rFonts w:hint="eastAsia" w:ascii="宋体" w:hAnsi="宋体" w:eastAsia="宋体" w:cs="宋体"/>
          <w:color w:val="auto"/>
          <w:kern w:val="0"/>
          <w:sz w:val="21"/>
          <w:szCs w:val="20"/>
          <w:highlight w:val="none"/>
          <w:u w:val="single"/>
        </w:rPr>
      </w:pPr>
      <w:r>
        <w:rPr>
          <w:rFonts w:hint="eastAsia" w:ascii="宋体" w:hAnsi="宋体" w:eastAsia="宋体" w:cs="宋体"/>
          <w:color w:val="auto"/>
          <w:kern w:val="0"/>
          <w:sz w:val="21"/>
          <w:szCs w:val="20"/>
          <w:highlight w:val="none"/>
        </w:rPr>
        <w:t>开户名称：</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u w:val="single"/>
          <w:lang w:val="en-US" w:eastAsia="zh-CN"/>
        </w:rPr>
        <w:t xml:space="preserve">                            </w:t>
      </w:r>
      <w:r>
        <w:rPr>
          <w:rFonts w:hint="eastAsia" w:ascii="宋体" w:hAnsi="宋体" w:eastAsia="宋体" w:cs="宋体"/>
          <w:color w:val="auto"/>
          <w:kern w:val="0"/>
          <w:sz w:val="21"/>
          <w:szCs w:val="20"/>
          <w:highlight w:val="none"/>
          <w:u w:val="single"/>
        </w:rPr>
        <w:t xml:space="preserve">    </w:t>
      </w:r>
    </w:p>
    <w:p w14:paraId="4A0C4A11">
      <w:pPr>
        <w:spacing w:line="320" w:lineRule="exact"/>
        <w:ind w:firstLine="42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开户银行：</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u w:val="single"/>
          <w:lang w:val="en-US" w:eastAsia="zh-CN"/>
        </w:rPr>
        <w:t xml:space="preserve">             </w:t>
      </w:r>
      <w:r>
        <w:rPr>
          <w:rFonts w:hint="eastAsia" w:ascii="宋体" w:hAnsi="宋体" w:eastAsia="宋体" w:cs="宋体"/>
          <w:color w:val="auto"/>
          <w:kern w:val="0"/>
          <w:sz w:val="21"/>
          <w:szCs w:val="20"/>
          <w:highlight w:val="none"/>
          <w:u w:val="single"/>
        </w:rPr>
        <w:t xml:space="preserve">     　       </w:t>
      </w:r>
    </w:p>
    <w:p w14:paraId="7664B53E">
      <w:pPr>
        <w:spacing w:line="320" w:lineRule="exact"/>
        <w:ind w:firstLine="42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账号：</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u w:val="single"/>
          <w:lang w:val="en-US" w:eastAsia="zh-CN"/>
        </w:rPr>
        <w:t xml:space="preserve">             </w:t>
      </w:r>
      <w:r>
        <w:rPr>
          <w:rFonts w:hint="eastAsia" w:ascii="宋体" w:hAnsi="宋体" w:eastAsia="宋体" w:cs="宋体"/>
          <w:color w:val="auto"/>
          <w:kern w:val="0"/>
          <w:sz w:val="21"/>
          <w:szCs w:val="20"/>
          <w:highlight w:val="none"/>
          <w:u w:val="single"/>
        </w:rPr>
        <w:t xml:space="preserve">　　   </w:t>
      </w:r>
    </w:p>
    <w:p w14:paraId="1A03714D">
      <w:pPr>
        <w:pStyle w:val="18"/>
        <w:spacing w:line="320" w:lineRule="exact"/>
        <w:ind w:firstLine="420"/>
        <w:rPr>
          <w:rFonts w:hint="eastAsia" w:ascii="宋体" w:hAnsi="宋体" w:eastAsia="宋体" w:cs="宋体"/>
          <w:bCs/>
          <w:color w:val="auto"/>
          <w:szCs w:val="21"/>
          <w:highlight w:val="none"/>
        </w:rPr>
      </w:pPr>
    </w:p>
    <w:p w14:paraId="0342175B">
      <w:pPr>
        <w:pStyle w:val="18"/>
        <w:spacing w:line="320" w:lineRule="exact"/>
        <w:ind w:firstLine="42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供应商[公章(CA签章)、自然人除外]：</w:t>
      </w:r>
      <w:r>
        <w:rPr>
          <w:rFonts w:hint="eastAsia" w:ascii="宋体" w:hAnsi="宋体" w:eastAsia="宋体" w:cs="宋体"/>
          <w:color w:val="auto"/>
          <w:kern w:val="0"/>
          <w:sz w:val="21"/>
          <w:szCs w:val="20"/>
          <w:highlight w:val="none"/>
          <w:u w:val="single"/>
        </w:rPr>
        <w:t xml:space="preserve">                       </w:t>
      </w:r>
    </w:p>
    <w:p w14:paraId="42BD0B39">
      <w:pPr>
        <w:pStyle w:val="18"/>
        <w:spacing w:line="32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法定代表人、负责人、自然人或相应的委托代理人签字[或盖章(CA签章)]（属自然人的应在签名处加盖大拇指指印或个人CA签章）：</w:t>
      </w:r>
      <w:r>
        <w:rPr>
          <w:rFonts w:hint="eastAsia" w:ascii="宋体" w:hAnsi="宋体" w:eastAsia="宋体" w:cs="宋体"/>
          <w:color w:val="auto"/>
          <w:kern w:val="0"/>
          <w:sz w:val="21"/>
          <w:szCs w:val="20"/>
          <w:highlight w:val="none"/>
          <w:u w:val="single"/>
        </w:rPr>
        <w:t xml:space="preserve">                             </w:t>
      </w:r>
    </w:p>
    <w:p w14:paraId="329041FF">
      <w:pPr>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响应</w:t>
      </w:r>
      <w:r>
        <w:rPr>
          <w:rFonts w:hint="eastAsia" w:ascii="宋体" w:hAnsi="宋体" w:eastAsia="宋体" w:cs="宋体"/>
          <w:color w:val="auto"/>
          <w:szCs w:val="21"/>
          <w:highlight w:val="none"/>
        </w:rPr>
        <w:t>日期：</w:t>
      </w:r>
      <w:r>
        <w:rPr>
          <w:rFonts w:hint="eastAsia" w:ascii="宋体" w:hAnsi="宋体" w:eastAsia="宋体" w:cs="宋体"/>
          <w:color w:val="auto"/>
          <w:kern w:val="0"/>
          <w:sz w:val="21"/>
          <w:szCs w:val="20"/>
          <w:highlight w:val="none"/>
          <w:u w:val="single"/>
        </w:rPr>
        <w:t xml:space="preserve">                               　 </w:t>
      </w:r>
    </w:p>
    <w:p w14:paraId="72A3D9FF">
      <w:pPr>
        <w:pStyle w:val="18"/>
        <w:spacing w:line="340" w:lineRule="exact"/>
        <w:rPr>
          <w:rFonts w:hint="eastAsia" w:ascii="宋体" w:hAnsi="宋体" w:eastAsia="宋体" w:cs="宋体"/>
          <w:b/>
          <w:color w:val="auto"/>
          <w:sz w:val="28"/>
          <w:szCs w:val="28"/>
          <w:highlight w:val="none"/>
        </w:rPr>
      </w:pPr>
    </w:p>
    <w:p w14:paraId="0B2BDB91">
      <w:pPr>
        <w:pStyle w:val="13"/>
        <w:rPr>
          <w:rFonts w:hint="eastAsia" w:ascii="宋体" w:hAnsi="宋体" w:eastAsia="宋体" w:cs="宋体"/>
          <w:color w:val="auto"/>
          <w:highlight w:val="none"/>
        </w:rPr>
        <w:sectPr>
          <w:footerReference r:id="rId7" w:type="default"/>
          <w:pgSz w:w="11906" w:h="16838"/>
          <w:pgMar w:top="1417" w:right="1304" w:bottom="1134" w:left="1417" w:header="851" w:footer="992" w:gutter="0"/>
          <w:pgNumType w:fmt="decimal" w:start="1"/>
          <w:cols w:space="0" w:num="1"/>
          <w:rtlGutter w:val="0"/>
          <w:docGrid w:type="linesAndChars" w:linePitch="312" w:charSpace="0"/>
        </w:sectPr>
      </w:pPr>
    </w:p>
    <w:p w14:paraId="29E98B41">
      <w:pPr>
        <w:pStyle w:val="18"/>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eastAsia="zh-CN"/>
        </w:rPr>
        <w:t>磋商报价表</w:t>
      </w:r>
      <w:r>
        <w:rPr>
          <w:rFonts w:hint="eastAsia" w:ascii="宋体" w:hAnsi="宋体" w:eastAsia="宋体" w:cs="宋体"/>
          <w:b/>
          <w:bCs/>
          <w:color w:val="auto"/>
          <w:sz w:val="28"/>
          <w:szCs w:val="28"/>
          <w:highlight w:val="none"/>
        </w:rPr>
        <w:t>（格式见附件）</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必须提供</w:t>
      </w:r>
      <w:r>
        <w:rPr>
          <w:rFonts w:hint="eastAsia" w:ascii="宋体" w:hAnsi="宋体" w:eastAsia="宋体" w:cs="宋体"/>
          <w:b/>
          <w:color w:val="auto"/>
          <w:sz w:val="28"/>
          <w:szCs w:val="28"/>
          <w:highlight w:val="none"/>
        </w:rPr>
        <w:t>）</w:t>
      </w:r>
    </w:p>
    <w:p w14:paraId="60998BEE">
      <w:pPr>
        <w:pStyle w:val="18"/>
        <w:rPr>
          <w:rFonts w:hint="eastAsia" w:ascii="宋体" w:hAnsi="宋体" w:eastAsia="宋体" w:cs="宋体"/>
          <w:b/>
          <w:color w:val="auto"/>
          <w:sz w:val="24"/>
          <w:szCs w:val="16"/>
          <w:highlight w:val="none"/>
        </w:rPr>
      </w:pPr>
    </w:p>
    <w:p w14:paraId="44AB3933">
      <w:pPr>
        <w:pStyle w:val="18"/>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t>附件：</w:t>
      </w:r>
    </w:p>
    <w:p w14:paraId="37E86D28">
      <w:pPr>
        <w:pStyle w:val="14"/>
        <w:rPr>
          <w:rFonts w:hint="eastAsia" w:ascii="宋体" w:hAnsi="宋体" w:eastAsia="宋体" w:cs="宋体"/>
          <w:b/>
          <w:color w:val="auto"/>
          <w:highlight w:val="none"/>
        </w:rPr>
      </w:pPr>
    </w:p>
    <w:p w14:paraId="0F974CAC">
      <w:pPr>
        <w:pStyle w:val="18"/>
        <w:spacing w:line="340" w:lineRule="exact"/>
        <w:ind w:left="0" w:leftChars="0" w:right="0" w:rightChars="0" w:firstLine="0" w:firstLineChars="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磋商报价表（格式）</w:t>
      </w:r>
    </w:p>
    <w:p w14:paraId="19264358">
      <w:pPr>
        <w:pStyle w:val="10"/>
        <w:rPr>
          <w:rFonts w:hint="eastAsia" w:ascii="宋体" w:hAnsi="宋体" w:eastAsia="宋体" w:cs="宋体"/>
          <w:color w:val="auto"/>
          <w:highlight w:val="none"/>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2456"/>
        <w:gridCol w:w="729"/>
        <w:gridCol w:w="832"/>
        <w:gridCol w:w="1496"/>
        <w:gridCol w:w="973"/>
      </w:tblGrid>
      <w:tr w14:paraId="40E7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vAlign w:val="center"/>
          </w:tcPr>
          <w:p w14:paraId="62E611B2">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项目名称</w:t>
            </w:r>
          </w:p>
        </w:tc>
        <w:tc>
          <w:tcPr>
            <w:tcW w:w="2456" w:type="dxa"/>
            <w:vAlign w:val="center"/>
          </w:tcPr>
          <w:p w14:paraId="7F808FCB">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服务内容及承诺</w:t>
            </w:r>
          </w:p>
        </w:tc>
        <w:tc>
          <w:tcPr>
            <w:tcW w:w="729" w:type="dxa"/>
            <w:vAlign w:val="center"/>
          </w:tcPr>
          <w:p w14:paraId="38EA8A24">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数量</w:t>
            </w:r>
          </w:p>
        </w:tc>
        <w:tc>
          <w:tcPr>
            <w:tcW w:w="832" w:type="dxa"/>
            <w:vAlign w:val="center"/>
          </w:tcPr>
          <w:p w14:paraId="53EAD089">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单位</w:t>
            </w:r>
          </w:p>
        </w:tc>
        <w:tc>
          <w:tcPr>
            <w:tcW w:w="1496" w:type="dxa"/>
            <w:vAlign w:val="center"/>
          </w:tcPr>
          <w:p w14:paraId="2F017D41">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磋商报价</w:t>
            </w:r>
          </w:p>
          <w:p w14:paraId="38E5F93E">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w:t>
            </w:r>
            <w:r>
              <w:rPr>
                <w:rFonts w:hint="eastAsia" w:cs="宋体"/>
                <w:color w:val="auto"/>
                <w:sz w:val="21"/>
                <w:highlight w:val="none"/>
                <w:lang w:val="en-US" w:eastAsia="zh-CN"/>
              </w:rPr>
              <w:t>元</w:t>
            </w:r>
            <w:r>
              <w:rPr>
                <w:rFonts w:hint="eastAsia" w:ascii="宋体" w:hAnsi="宋体" w:eastAsia="宋体" w:cs="宋体"/>
                <w:color w:val="auto"/>
                <w:sz w:val="21"/>
                <w:highlight w:val="none"/>
              </w:rPr>
              <w:t>）</w:t>
            </w:r>
          </w:p>
        </w:tc>
        <w:tc>
          <w:tcPr>
            <w:tcW w:w="973" w:type="dxa"/>
            <w:vAlign w:val="center"/>
          </w:tcPr>
          <w:p w14:paraId="77A127C1">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备注</w:t>
            </w:r>
          </w:p>
        </w:tc>
      </w:tr>
      <w:tr w14:paraId="37A6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vAlign w:val="center"/>
          </w:tcPr>
          <w:p w14:paraId="6747D800">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cs="宋体"/>
                <w:color w:val="auto"/>
                <w:sz w:val="21"/>
                <w:highlight w:val="none"/>
                <w:lang w:eastAsia="zh-CN"/>
              </w:rPr>
              <w:t>恭城县水网建设规划</w:t>
            </w:r>
          </w:p>
        </w:tc>
        <w:tc>
          <w:tcPr>
            <w:tcW w:w="2456" w:type="dxa"/>
            <w:vAlign w:val="center"/>
          </w:tcPr>
          <w:p w14:paraId="00265D87">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cs="宋体"/>
                <w:color w:val="auto"/>
                <w:sz w:val="21"/>
                <w:highlight w:val="none"/>
                <w:lang w:val="en-US" w:eastAsia="zh-CN"/>
              </w:rPr>
              <w:t>完全响应</w:t>
            </w:r>
            <w:r>
              <w:rPr>
                <w:rFonts w:hint="eastAsia" w:ascii="宋体" w:hAnsi="宋体" w:eastAsia="宋体" w:cs="宋体"/>
                <w:color w:val="auto"/>
                <w:sz w:val="21"/>
                <w:highlight w:val="none"/>
              </w:rPr>
              <w:t>《采购需求》</w:t>
            </w:r>
            <w:r>
              <w:rPr>
                <w:rFonts w:hint="eastAsia" w:cs="宋体"/>
                <w:color w:val="auto"/>
                <w:sz w:val="21"/>
                <w:highlight w:val="none"/>
                <w:lang w:val="en-US" w:eastAsia="zh-CN"/>
              </w:rPr>
              <w:t>并严格按照</w:t>
            </w:r>
            <w:r>
              <w:rPr>
                <w:rFonts w:hint="eastAsia" w:ascii="宋体" w:hAnsi="宋体" w:eastAsia="宋体" w:cs="宋体"/>
                <w:color w:val="auto"/>
                <w:sz w:val="21"/>
                <w:highlight w:val="none"/>
              </w:rPr>
              <w:t>执行</w:t>
            </w:r>
          </w:p>
        </w:tc>
        <w:tc>
          <w:tcPr>
            <w:tcW w:w="729" w:type="dxa"/>
            <w:vAlign w:val="center"/>
          </w:tcPr>
          <w:p w14:paraId="0A39D781">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1</w:t>
            </w:r>
          </w:p>
        </w:tc>
        <w:tc>
          <w:tcPr>
            <w:tcW w:w="832" w:type="dxa"/>
            <w:vAlign w:val="center"/>
          </w:tcPr>
          <w:p w14:paraId="0329F39E">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cs="宋体"/>
                <w:color w:val="auto"/>
                <w:sz w:val="21"/>
                <w:highlight w:val="none"/>
                <w:lang w:val="en-US" w:eastAsia="zh-CN"/>
              </w:rPr>
              <w:t>项</w:t>
            </w:r>
          </w:p>
        </w:tc>
        <w:tc>
          <w:tcPr>
            <w:tcW w:w="1496" w:type="dxa"/>
            <w:vAlign w:val="center"/>
          </w:tcPr>
          <w:p w14:paraId="00937CEB">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default" w:ascii="宋体" w:hAnsi="宋体" w:eastAsia="宋体" w:cs="宋体"/>
                <w:color w:val="auto"/>
                <w:kern w:val="0"/>
                <w:sz w:val="20"/>
                <w:szCs w:val="24"/>
                <w:highlight w:val="none"/>
                <w:u w:val="none"/>
                <w:lang w:val="en-US" w:eastAsia="zh-CN" w:bidi="ar-SA"/>
              </w:rPr>
            </w:pPr>
            <w:r>
              <w:rPr>
                <w:rFonts w:hint="eastAsia" w:cs="宋体"/>
                <w:color w:val="auto"/>
                <w:kern w:val="0"/>
                <w:sz w:val="20"/>
                <w:szCs w:val="24"/>
                <w:highlight w:val="none"/>
                <w:u w:val="single"/>
                <w:lang w:val="en-US" w:eastAsia="zh-CN" w:bidi="ar-SA"/>
              </w:rPr>
              <w:t xml:space="preserve">     </w:t>
            </w:r>
          </w:p>
        </w:tc>
        <w:tc>
          <w:tcPr>
            <w:tcW w:w="973" w:type="dxa"/>
            <w:vAlign w:val="center"/>
          </w:tcPr>
          <w:p w14:paraId="13A20441">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0"/>
                <w:szCs w:val="24"/>
                <w:highlight w:val="none"/>
                <w:lang w:val="en-US" w:eastAsia="zh-CN" w:bidi="ar-SA"/>
              </w:rPr>
            </w:pPr>
          </w:p>
        </w:tc>
      </w:tr>
      <w:tr w14:paraId="366F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6"/>
            <w:vAlign w:val="top"/>
          </w:tcPr>
          <w:p w14:paraId="0A4F4B49">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说明：供应商磋商报价应包含完成“项目需求”中所列所有服务内容产生的所有成本、项目验收、税金、利润等费用，供应商应综合考虑在报价中。</w:t>
            </w:r>
          </w:p>
        </w:tc>
      </w:tr>
    </w:tbl>
    <w:p w14:paraId="36699D31">
      <w:pPr>
        <w:pStyle w:val="18"/>
        <w:spacing w:line="340" w:lineRule="exact"/>
        <w:rPr>
          <w:rFonts w:hint="eastAsia" w:ascii="宋体" w:hAnsi="宋体" w:eastAsia="宋体" w:cs="宋体"/>
          <w:b/>
          <w:color w:val="auto"/>
          <w:sz w:val="28"/>
          <w:szCs w:val="28"/>
          <w:highlight w:val="none"/>
          <w:lang w:val="en-US" w:eastAsia="zh-CN"/>
        </w:rPr>
      </w:pPr>
    </w:p>
    <w:p w14:paraId="6F6FC09C">
      <w:pPr>
        <w:pStyle w:val="18"/>
        <w:spacing w:line="340" w:lineRule="exact"/>
        <w:rPr>
          <w:rFonts w:hint="eastAsia" w:ascii="宋体" w:hAnsi="宋体" w:eastAsia="宋体" w:cs="宋体"/>
          <w:b/>
          <w:color w:val="auto"/>
          <w:sz w:val="28"/>
          <w:szCs w:val="28"/>
          <w:highlight w:val="none"/>
        </w:rPr>
      </w:pPr>
    </w:p>
    <w:p w14:paraId="4DE7665A">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706606D5">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2218BD93">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响应日期：</w:t>
      </w:r>
      <w:r>
        <w:rPr>
          <w:rFonts w:hint="eastAsia" w:ascii="宋体" w:hAnsi="宋体" w:eastAsia="宋体" w:cs="宋体"/>
          <w:color w:val="auto"/>
          <w:highlight w:val="none"/>
          <w:u w:val="single"/>
        </w:rPr>
        <w:t xml:space="preserve">                               　 </w:t>
      </w:r>
    </w:p>
    <w:p w14:paraId="5A42BDAE">
      <w:pPr>
        <w:tabs>
          <w:tab w:val="left" w:pos="1305"/>
        </w:tabs>
        <w:spacing w:line="340" w:lineRule="exact"/>
        <w:rPr>
          <w:rFonts w:hint="eastAsia" w:ascii="宋体" w:hAnsi="宋体" w:eastAsia="宋体" w:cs="宋体"/>
          <w:bCs/>
          <w:color w:val="auto"/>
          <w:sz w:val="21"/>
          <w:szCs w:val="21"/>
          <w:highlight w:val="none"/>
        </w:rPr>
      </w:pPr>
    </w:p>
    <w:p w14:paraId="6795C24C">
      <w:pPr>
        <w:tabs>
          <w:tab w:val="left" w:pos="1305"/>
        </w:tabs>
        <w:spacing w:line="340" w:lineRule="exact"/>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注</w:t>
      </w:r>
      <w:r>
        <w:rPr>
          <w:rFonts w:hint="eastAsia" w:ascii="宋体" w:hAnsi="宋体" w:eastAsia="宋体" w:cs="宋体"/>
          <w:b/>
          <w:bCs/>
          <w:color w:val="auto"/>
          <w:sz w:val="21"/>
          <w:szCs w:val="21"/>
          <w:highlight w:val="none"/>
        </w:rPr>
        <w:t>：</w:t>
      </w:r>
    </w:p>
    <w:p w14:paraId="1131316D">
      <w:pPr>
        <w:tabs>
          <w:tab w:val="left" w:pos="1305"/>
        </w:tabs>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1.各</w:t>
      </w:r>
      <w:r>
        <w:rPr>
          <w:rFonts w:hint="eastAsia" w:ascii="宋体" w:hAnsi="宋体" w:eastAsia="宋体" w:cs="宋体"/>
          <w:bCs/>
          <w:color w:val="auto"/>
          <w:sz w:val="21"/>
          <w:szCs w:val="21"/>
          <w:highlight w:val="none"/>
          <w:lang w:eastAsia="zh-CN"/>
        </w:rPr>
        <w:t>供应</w:t>
      </w:r>
      <w:r>
        <w:rPr>
          <w:rFonts w:hint="eastAsia" w:ascii="宋体" w:hAnsi="宋体" w:eastAsia="宋体" w:cs="宋体"/>
          <w:bCs/>
          <w:color w:val="auto"/>
          <w:sz w:val="21"/>
          <w:szCs w:val="21"/>
          <w:highlight w:val="none"/>
        </w:rPr>
        <w:t>人</w:t>
      </w:r>
      <w:r>
        <w:rPr>
          <w:rFonts w:hint="eastAsia" w:ascii="宋体" w:hAnsi="宋体" w:eastAsia="宋体" w:cs="宋体"/>
          <w:color w:val="auto"/>
          <w:sz w:val="21"/>
          <w:szCs w:val="21"/>
          <w:highlight w:val="none"/>
        </w:rPr>
        <w:t>必须就“</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”中所投分标的所有内容作完整唯一报价，否则，其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将被拒绝。</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文件只允许有一个报价。</w:t>
      </w:r>
    </w:p>
    <w:p w14:paraId="29CF9F11">
      <w:pPr>
        <w:pStyle w:val="18"/>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应根据所投</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如实填写</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报价表</w:t>
      </w:r>
      <w:r>
        <w:rPr>
          <w:rFonts w:hint="eastAsia" w:ascii="宋体" w:hAnsi="宋体" w:eastAsia="宋体" w:cs="宋体"/>
          <w:bCs/>
          <w:color w:val="auto"/>
          <w:sz w:val="21"/>
          <w:szCs w:val="21"/>
          <w:highlight w:val="none"/>
        </w:rPr>
        <w:t>的各项内容。</w:t>
      </w:r>
    </w:p>
    <w:p w14:paraId="3ACF5898">
      <w:pPr>
        <w:ind w:firstLine="420" w:firstLineChars="200"/>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报价表须由法定代表人负责人、自然人或相应的委托代理人签字或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）并加盖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（自然人除外）。</w:t>
      </w:r>
      <w:r>
        <w:rPr>
          <w:rFonts w:hint="eastAsia" w:ascii="宋体" w:hAnsi="宋体" w:eastAsia="宋体" w:cs="宋体"/>
          <w:b/>
          <w:color w:val="auto"/>
          <w:highlight w:val="none"/>
        </w:rPr>
        <w:t>当本表由多页构成时，需逐页加盖</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公章（属自然人的须逐页签字</w:t>
      </w:r>
      <w:r>
        <w:rPr>
          <w:rFonts w:hint="eastAsia" w:ascii="宋体" w:hAnsi="宋体" w:eastAsia="宋体" w:cs="宋体"/>
          <w:b/>
          <w:color w:val="auto"/>
          <w:highlight w:val="none"/>
          <w:lang w:eastAsia="zh-CN"/>
        </w:rPr>
        <w:t>或个人</w:t>
      </w:r>
      <w:r>
        <w:rPr>
          <w:rFonts w:hint="eastAsia" w:ascii="宋体" w:hAnsi="宋体" w:eastAsia="宋体" w:cs="宋体"/>
          <w:b/>
          <w:color w:val="auto"/>
          <w:highlight w:val="none"/>
          <w:lang w:val="en-US" w:eastAsia="zh-CN"/>
        </w:rPr>
        <w:t>CA签章</w:t>
      </w:r>
      <w:r>
        <w:rPr>
          <w:rFonts w:hint="eastAsia" w:ascii="宋体" w:hAnsi="宋体" w:eastAsia="宋体" w:cs="宋体"/>
          <w:b/>
          <w:color w:val="auto"/>
          <w:highlight w:val="none"/>
        </w:rPr>
        <w:t>）</w:t>
      </w:r>
    </w:p>
    <w:p w14:paraId="3147E16C">
      <w:pPr>
        <w:pStyle w:val="18"/>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项目实施方案（由供应商根据“采购需求”要求及评标方法自行编写，格式自拟）（必须提供）</w:t>
      </w:r>
    </w:p>
    <w:p w14:paraId="5C135844">
      <w:pPr>
        <w:rPr>
          <w:rFonts w:hint="eastAsia" w:ascii="宋体" w:hAnsi="宋体" w:eastAsia="宋体" w:cs="宋体"/>
          <w:color w:val="auto"/>
          <w:highlight w:val="none"/>
        </w:rPr>
      </w:pPr>
    </w:p>
    <w:p w14:paraId="3545689A">
      <w:pPr>
        <w:rPr>
          <w:rFonts w:hint="eastAsia" w:ascii="宋体" w:hAnsi="宋体" w:eastAsia="宋体" w:cs="宋体"/>
          <w:color w:val="auto"/>
          <w:highlight w:val="none"/>
        </w:rPr>
      </w:pPr>
    </w:p>
    <w:p w14:paraId="592A478C">
      <w:pPr>
        <w:pStyle w:val="18"/>
        <w:spacing w:line="3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项目实施方案 （格式）</w:t>
      </w:r>
    </w:p>
    <w:p w14:paraId="4A383DAD">
      <w:pPr>
        <w:pStyle w:val="14"/>
        <w:rPr>
          <w:rFonts w:hint="eastAsia" w:ascii="宋体" w:hAnsi="宋体" w:eastAsia="宋体" w:cs="宋体"/>
          <w:color w:val="auto"/>
          <w:highlight w:val="none"/>
        </w:rPr>
      </w:pPr>
    </w:p>
    <w:p w14:paraId="48D360B2">
      <w:pPr>
        <w:widowControl/>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（根据“采购需求”要求及评标方法自行编写，格式自拟）</w:t>
      </w:r>
    </w:p>
    <w:p w14:paraId="53D6FF08">
      <w:pPr>
        <w:widowControl/>
        <w:jc w:val="left"/>
        <w:rPr>
          <w:rFonts w:hint="eastAsia" w:ascii="宋体" w:hAnsi="宋体" w:eastAsia="宋体" w:cs="宋体"/>
          <w:b/>
          <w:color w:val="auto"/>
          <w:kern w:val="0"/>
          <w:sz w:val="28"/>
          <w:szCs w:val="28"/>
          <w:highlight w:val="none"/>
        </w:rPr>
      </w:pPr>
    </w:p>
    <w:p w14:paraId="6BDA10F6">
      <w:pPr>
        <w:widowControl/>
        <w:jc w:val="left"/>
        <w:rPr>
          <w:rFonts w:hint="eastAsia" w:ascii="宋体" w:hAnsi="宋体" w:eastAsia="宋体" w:cs="宋体"/>
          <w:b/>
          <w:color w:val="auto"/>
          <w:kern w:val="0"/>
          <w:sz w:val="28"/>
          <w:szCs w:val="28"/>
          <w:highlight w:val="none"/>
        </w:rPr>
      </w:pPr>
    </w:p>
    <w:p w14:paraId="59DD7ECE">
      <w:pPr>
        <w:widowControl/>
        <w:jc w:val="left"/>
        <w:rPr>
          <w:rFonts w:hint="eastAsia" w:ascii="宋体" w:hAnsi="宋体" w:eastAsia="宋体" w:cs="宋体"/>
          <w:b/>
          <w:color w:val="auto"/>
          <w:kern w:val="0"/>
          <w:sz w:val="28"/>
          <w:szCs w:val="28"/>
          <w:highlight w:val="none"/>
        </w:rPr>
      </w:pPr>
    </w:p>
    <w:p w14:paraId="5EE9F9D3">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76B76E1F">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59067B8D">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响应日期：</w:t>
      </w:r>
      <w:r>
        <w:rPr>
          <w:rFonts w:hint="eastAsia" w:ascii="宋体" w:hAnsi="宋体" w:eastAsia="宋体" w:cs="宋体"/>
          <w:color w:val="auto"/>
          <w:highlight w:val="none"/>
          <w:u w:val="single"/>
        </w:rPr>
        <w:t xml:space="preserve">                               　 </w:t>
      </w:r>
    </w:p>
    <w:p w14:paraId="732518BC">
      <w:pPr>
        <w:pStyle w:val="14"/>
        <w:rPr>
          <w:rFonts w:hint="eastAsia" w:ascii="宋体" w:hAnsi="宋体" w:eastAsia="宋体" w:cs="宋体"/>
          <w:color w:val="auto"/>
          <w:highlight w:val="none"/>
          <w:u w:val="single"/>
        </w:rPr>
      </w:pPr>
    </w:p>
    <w:p w14:paraId="7F718740">
      <w:pPr>
        <w:pStyle w:val="14"/>
        <w:rPr>
          <w:rFonts w:hint="eastAsia" w:ascii="宋体" w:hAnsi="宋体" w:eastAsia="宋体" w:cs="宋体"/>
          <w:color w:val="auto"/>
          <w:highlight w:val="none"/>
        </w:rPr>
      </w:pPr>
    </w:p>
    <w:p w14:paraId="105C49D4">
      <w:pPr>
        <w:pStyle w:val="14"/>
        <w:rPr>
          <w:rFonts w:hint="eastAsia" w:ascii="宋体" w:hAnsi="宋体" w:eastAsia="宋体" w:cs="宋体"/>
          <w:b/>
          <w:bCs/>
          <w:color w:val="auto"/>
          <w:szCs w:val="21"/>
          <w:highlight w:val="none"/>
        </w:rPr>
      </w:pPr>
    </w:p>
    <w:p w14:paraId="2F529431">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3E875BAF">
      <w:pPr>
        <w:pStyle w:val="18"/>
        <w:numPr>
          <w:ilvl w:val="0"/>
          <w:numId w:val="0"/>
        </w:numPr>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服务内容及要求、商务要求响应表（</w:t>
      </w:r>
      <w:r>
        <w:rPr>
          <w:rFonts w:hint="eastAsia" w:ascii="宋体" w:hAnsi="宋体" w:eastAsia="宋体" w:cs="宋体"/>
          <w:b/>
          <w:color w:val="auto"/>
          <w:sz w:val="28"/>
          <w:szCs w:val="28"/>
          <w:highlight w:val="none"/>
          <w:lang w:eastAsia="zh-CN"/>
        </w:rPr>
        <w:t>必须</w:t>
      </w:r>
      <w:r>
        <w:rPr>
          <w:rFonts w:hint="eastAsia" w:ascii="宋体" w:hAnsi="宋体" w:eastAsia="宋体" w:cs="宋体"/>
          <w:b/>
          <w:color w:val="auto"/>
          <w:sz w:val="28"/>
          <w:szCs w:val="28"/>
          <w:highlight w:val="none"/>
        </w:rPr>
        <w:t xml:space="preserve">提供） </w:t>
      </w:r>
    </w:p>
    <w:p w14:paraId="7D74F46C">
      <w:pPr>
        <w:pStyle w:val="14"/>
        <w:ind w:left="3207" w:leftChars="0" w:right="0" w:hanging="3207" w:hangingChars="1149"/>
        <w:jc w:val="center"/>
        <w:rPr>
          <w:b/>
          <w:bCs/>
          <w:color w:val="auto"/>
          <w:sz w:val="28"/>
          <w:szCs w:val="36"/>
          <w:highlight w:val="none"/>
        </w:rPr>
      </w:pPr>
      <w:r>
        <w:rPr>
          <w:b/>
          <w:bCs/>
          <w:color w:val="auto"/>
          <w:spacing w:val="-1"/>
          <w:w w:val="100"/>
          <w:sz w:val="28"/>
          <w:szCs w:val="36"/>
          <w:highlight w:val="none"/>
        </w:rPr>
        <w:t>服</w:t>
      </w:r>
      <w:r>
        <w:rPr>
          <w:b/>
          <w:bCs/>
          <w:color w:val="auto"/>
          <w:spacing w:val="2"/>
          <w:w w:val="100"/>
          <w:sz w:val="28"/>
          <w:szCs w:val="36"/>
          <w:highlight w:val="none"/>
        </w:rPr>
        <w:t>务</w:t>
      </w:r>
      <w:r>
        <w:rPr>
          <w:b/>
          <w:bCs/>
          <w:color w:val="auto"/>
          <w:spacing w:val="-1"/>
          <w:w w:val="100"/>
          <w:sz w:val="28"/>
          <w:szCs w:val="36"/>
          <w:highlight w:val="none"/>
        </w:rPr>
        <w:t>内</w:t>
      </w:r>
      <w:r>
        <w:rPr>
          <w:b/>
          <w:bCs/>
          <w:color w:val="auto"/>
          <w:spacing w:val="2"/>
          <w:w w:val="100"/>
          <w:sz w:val="28"/>
          <w:szCs w:val="36"/>
          <w:highlight w:val="none"/>
        </w:rPr>
        <w:t>容</w:t>
      </w:r>
      <w:r>
        <w:rPr>
          <w:b/>
          <w:bCs/>
          <w:color w:val="auto"/>
          <w:spacing w:val="-1"/>
          <w:w w:val="100"/>
          <w:sz w:val="28"/>
          <w:szCs w:val="36"/>
          <w:highlight w:val="none"/>
        </w:rPr>
        <w:t>及</w:t>
      </w:r>
      <w:r>
        <w:rPr>
          <w:b/>
          <w:bCs/>
          <w:color w:val="auto"/>
          <w:spacing w:val="2"/>
          <w:w w:val="100"/>
          <w:sz w:val="28"/>
          <w:szCs w:val="36"/>
          <w:highlight w:val="none"/>
        </w:rPr>
        <w:t>要</w:t>
      </w:r>
      <w:r>
        <w:rPr>
          <w:b/>
          <w:bCs/>
          <w:color w:val="auto"/>
          <w:spacing w:val="-1"/>
          <w:w w:val="100"/>
          <w:sz w:val="28"/>
          <w:szCs w:val="36"/>
          <w:highlight w:val="none"/>
        </w:rPr>
        <w:t>求</w:t>
      </w:r>
      <w:r>
        <w:rPr>
          <w:b/>
          <w:bCs/>
          <w:color w:val="auto"/>
          <w:spacing w:val="2"/>
          <w:w w:val="100"/>
          <w:sz w:val="28"/>
          <w:szCs w:val="36"/>
          <w:highlight w:val="none"/>
        </w:rPr>
        <w:t>、</w:t>
      </w:r>
      <w:r>
        <w:rPr>
          <w:b/>
          <w:bCs/>
          <w:color w:val="auto"/>
          <w:spacing w:val="-1"/>
          <w:w w:val="100"/>
          <w:sz w:val="28"/>
          <w:szCs w:val="36"/>
          <w:highlight w:val="none"/>
        </w:rPr>
        <w:t>商</w:t>
      </w:r>
      <w:r>
        <w:rPr>
          <w:b/>
          <w:bCs/>
          <w:color w:val="auto"/>
          <w:spacing w:val="2"/>
          <w:w w:val="100"/>
          <w:sz w:val="28"/>
          <w:szCs w:val="36"/>
          <w:highlight w:val="none"/>
        </w:rPr>
        <w:t>务</w:t>
      </w:r>
      <w:r>
        <w:rPr>
          <w:b/>
          <w:bCs/>
          <w:color w:val="auto"/>
          <w:spacing w:val="-1"/>
          <w:w w:val="100"/>
          <w:sz w:val="28"/>
          <w:szCs w:val="36"/>
          <w:highlight w:val="none"/>
        </w:rPr>
        <w:t>要</w:t>
      </w:r>
      <w:r>
        <w:rPr>
          <w:b/>
          <w:bCs/>
          <w:color w:val="auto"/>
          <w:spacing w:val="2"/>
          <w:w w:val="100"/>
          <w:sz w:val="28"/>
          <w:szCs w:val="36"/>
          <w:highlight w:val="none"/>
        </w:rPr>
        <w:t>求</w:t>
      </w:r>
      <w:r>
        <w:rPr>
          <w:b/>
          <w:bCs/>
          <w:color w:val="auto"/>
          <w:spacing w:val="-1"/>
          <w:w w:val="100"/>
          <w:sz w:val="28"/>
          <w:szCs w:val="36"/>
          <w:highlight w:val="none"/>
        </w:rPr>
        <w:t>响</w:t>
      </w:r>
      <w:r>
        <w:rPr>
          <w:b/>
          <w:bCs/>
          <w:color w:val="auto"/>
          <w:spacing w:val="2"/>
          <w:w w:val="100"/>
          <w:sz w:val="28"/>
          <w:szCs w:val="36"/>
          <w:highlight w:val="none"/>
        </w:rPr>
        <w:t>应</w:t>
      </w:r>
      <w:r>
        <w:rPr>
          <w:b/>
          <w:bCs/>
          <w:color w:val="auto"/>
          <w:spacing w:val="-1"/>
          <w:w w:val="100"/>
          <w:sz w:val="28"/>
          <w:szCs w:val="36"/>
          <w:highlight w:val="none"/>
        </w:rPr>
        <w:t>表</w:t>
      </w:r>
      <w:r>
        <w:rPr>
          <w:b/>
          <w:bCs/>
          <w:color w:val="auto"/>
          <w:spacing w:val="2"/>
          <w:w w:val="100"/>
          <w:sz w:val="28"/>
          <w:szCs w:val="36"/>
          <w:highlight w:val="none"/>
        </w:rPr>
        <w:t>（</w:t>
      </w:r>
      <w:r>
        <w:rPr>
          <w:b/>
          <w:bCs/>
          <w:color w:val="auto"/>
          <w:spacing w:val="-1"/>
          <w:w w:val="100"/>
          <w:sz w:val="28"/>
          <w:szCs w:val="36"/>
          <w:highlight w:val="none"/>
        </w:rPr>
        <w:t>格</w:t>
      </w:r>
      <w:r>
        <w:rPr>
          <w:b/>
          <w:bCs/>
          <w:color w:val="auto"/>
          <w:spacing w:val="2"/>
          <w:w w:val="100"/>
          <w:sz w:val="28"/>
          <w:szCs w:val="36"/>
          <w:highlight w:val="none"/>
        </w:rPr>
        <w:t>式</w:t>
      </w:r>
      <w:r>
        <w:rPr>
          <w:b/>
          <w:bCs/>
          <w:color w:val="auto"/>
          <w:spacing w:val="0"/>
          <w:w w:val="100"/>
          <w:sz w:val="28"/>
          <w:szCs w:val="36"/>
          <w:highlight w:val="none"/>
        </w:rPr>
        <w:t>）</w:t>
      </w:r>
    </w:p>
    <w:p w14:paraId="3A0F9F69">
      <w:pPr>
        <w:spacing w:line="200" w:lineRule="exact"/>
        <w:rPr>
          <w:color w:val="auto"/>
          <w:sz w:val="20"/>
          <w:szCs w:val="20"/>
          <w:highlight w:val="none"/>
        </w:rPr>
      </w:pPr>
    </w:p>
    <w:tbl>
      <w:tblPr>
        <w:tblStyle w:val="29"/>
        <w:tblW w:w="9678" w:type="dxa"/>
        <w:tblInd w:w="-539" w:type="dxa"/>
        <w:tblLayout w:type="fixed"/>
        <w:tblCellMar>
          <w:top w:w="0" w:type="dxa"/>
          <w:left w:w="0" w:type="dxa"/>
          <w:bottom w:w="0" w:type="dxa"/>
          <w:right w:w="0" w:type="dxa"/>
        </w:tblCellMar>
      </w:tblPr>
      <w:tblGrid>
        <w:gridCol w:w="1588"/>
        <w:gridCol w:w="2172"/>
        <w:gridCol w:w="2862"/>
        <w:gridCol w:w="3056"/>
      </w:tblGrid>
      <w:tr w14:paraId="62F070FD">
        <w:tblPrEx>
          <w:tblCellMar>
            <w:top w:w="0" w:type="dxa"/>
            <w:left w:w="0" w:type="dxa"/>
            <w:bottom w:w="0" w:type="dxa"/>
            <w:right w:w="0" w:type="dxa"/>
          </w:tblCellMar>
        </w:tblPrEx>
        <w:trPr>
          <w:trHeight w:val="677" w:hRule="exact"/>
        </w:trPr>
        <w:tc>
          <w:tcPr>
            <w:tcW w:w="1588" w:type="dxa"/>
            <w:tcBorders>
              <w:top w:val="single" w:color="000000" w:sz="2" w:space="0"/>
              <w:left w:val="single" w:color="000000" w:sz="2" w:space="0"/>
              <w:bottom w:val="single" w:color="000000" w:sz="2" w:space="0"/>
              <w:right w:val="single" w:color="000000" w:sz="2" w:space="0"/>
            </w:tcBorders>
            <w:vAlign w:val="center"/>
          </w:tcPr>
          <w:p w14:paraId="37106928">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kern w:val="0"/>
                <w:sz w:val="21"/>
                <w:szCs w:val="21"/>
                <w:highlight w:val="none"/>
                <w:lang w:val="zh-CN" w:eastAsia="zh-CN" w:bidi="ar-SA"/>
              </w:rPr>
            </w:pPr>
            <w:r>
              <w:rPr>
                <w:rFonts w:hint="eastAsia" w:cs="宋体"/>
                <w:b w:val="0"/>
                <w:bCs w:val="0"/>
                <w:color w:val="auto"/>
                <w:spacing w:val="-3"/>
                <w:w w:val="100"/>
                <w:sz w:val="21"/>
                <w:szCs w:val="21"/>
                <w:highlight w:val="none"/>
                <w:lang w:val="en-US" w:eastAsia="zh-CN"/>
              </w:rPr>
              <w:t>项目名称</w:t>
            </w:r>
          </w:p>
        </w:tc>
        <w:tc>
          <w:tcPr>
            <w:tcW w:w="2172" w:type="dxa"/>
            <w:tcBorders>
              <w:top w:val="single" w:color="000000" w:sz="2" w:space="0"/>
              <w:left w:val="single" w:color="auto" w:sz="4" w:space="0"/>
              <w:bottom w:val="single" w:color="000000" w:sz="2" w:space="0"/>
              <w:right w:val="single" w:color="000000" w:sz="2" w:space="0"/>
            </w:tcBorders>
            <w:vAlign w:val="center"/>
          </w:tcPr>
          <w:p w14:paraId="7B83A536">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r>
              <w:rPr>
                <w:rFonts w:ascii="宋体" w:hAnsi="宋体" w:eastAsia="宋体" w:cs="宋体"/>
                <w:b w:val="0"/>
                <w:bCs w:val="0"/>
                <w:color w:val="auto"/>
                <w:spacing w:val="-3"/>
                <w:w w:val="100"/>
                <w:sz w:val="21"/>
                <w:szCs w:val="21"/>
                <w:highlight w:val="none"/>
              </w:rPr>
              <w:t>服务内容及要求</w:t>
            </w:r>
          </w:p>
        </w:tc>
        <w:tc>
          <w:tcPr>
            <w:tcW w:w="2862" w:type="dxa"/>
            <w:tcBorders>
              <w:top w:val="single" w:color="000000" w:sz="2" w:space="0"/>
              <w:left w:val="single" w:color="000000" w:sz="2" w:space="0"/>
              <w:bottom w:val="single" w:color="000000" w:sz="2" w:space="0"/>
              <w:right w:val="single" w:color="000000" w:sz="2" w:space="0"/>
            </w:tcBorders>
            <w:vAlign w:val="center"/>
          </w:tcPr>
          <w:p w14:paraId="3789970C">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r>
              <w:rPr>
                <w:rFonts w:ascii="宋体" w:hAnsi="宋体" w:eastAsia="宋体" w:cs="宋体"/>
                <w:b w:val="0"/>
                <w:bCs w:val="0"/>
                <w:color w:val="auto"/>
                <w:spacing w:val="-3"/>
                <w:w w:val="100"/>
                <w:sz w:val="21"/>
                <w:szCs w:val="21"/>
                <w:highlight w:val="none"/>
              </w:rPr>
              <w:t>竞争性磋商文件要求</w:t>
            </w:r>
          </w:p>
        </w:tc>
        <w:tc>
          <w:tcPr>
            <w:tcW w:w="3056" w:type="dxa"/>
            <w:tcBorders>
              <w:top w:val="single" w:color="000000" w:sz="2" w:space="0"/>
              <w:left w:val="single" w:color="000000" w:sz="2" w:space="0"/>
              <w:bottom w:val="single" w:color="000000" w:sz="2" w:space="0"/>
              <w:right w:val="single" w:color="000000" w:sz="2" w:space="0"/>
            </w:tcBorders>
            <w:vAlign w:val="center"/>
          </w:tcPr>
          <w:p w14:paraId="5FDDCBA6">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r>
              <w:rPr>
                <w:rFonts w:ascii="宋体" w:hAnsi="宋体" w:eastAsia="宋体" w:cs="宋体"/>
                <w:b w:val="0"/>
                <w:bCs w:val="0"/>
                <w:color w:val="auto"/>
                <w:spacing w:val="-3"/>
                <w:w w:val="100"/>
                <w:sz w:val="21"/>
                <w:szCs w:val="21"/>
                <w:highlight w:val="none"/>
              </w:rPr>
              <w:t>响应文件的响应情况</w:t>
            </w:r>
          </w:p>
        </w:tc>
      </w:tr>
      <w:tr w14:paraId="35681AED">
        <w:tblPrEx>
          <w:tblCellMar>
            <w:top w:w="0" w:type="dxa"/>
            <w:left w:w="0" w:type="dxa"/>
            <w:bottom w:w="0" w:type="dxa"/>
            <w:right w:w="0" w:type="dxa"/>
          </w:tblCellMar>
        </w:tblPrEx>
        <w:trPr>
          <w:trHeight w:val="606" w:hRule="exact"/>
        </w:trPr>
        <w:tc>
          <w:tcPr>
            <w:tcW w:w="1588" w:type="dxa"/>
            <w:vMerge w:val="restart"/>
            <w:tcBorders>
              <w:top w:val="single" w:color="000000" w:sz="2" w:space="0"/>
              <w:left w:val="single" w:color="000000" w:sz="2" w:space="0"/>
              <w:right w:val="single" w:color="000000" w:sz="2" w:space="0"/>
            </w:tcBorders>
            <w:vAlign w:val="center"/>
          </w:tcPr>
          <w:p w14:paraId="14F248DE">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hint="eastAsia" w:ascii="宋体" w:hAnsi="宋体" w:eastAsia="宋体" w:cs="宋体"/>
                <w:b w:val="0"/>
                <w:bCs w:val="0"/>
                <w:color w:val="auto"/>
                <w:spacing w:val="-3"/>
                <w:w w:val="100"/>
                <w:kern w:val="0"/>
                <w:sz w:val="21"/>
                <w:szCs w:val="21"/>
                <w:highlight w:val="none"/>
                <w:lang w:val="zh-CN" w:eastAsia="zh-CN" w:bidi="ar-SA"/>
              </w:rPr>
            </w:pPr>
            <w:r>
              <w:rPr>
                <w:rFonts w:hint="eastAsia" w:cs="宋体"/>
                <w:color w:val="auto"/>
                <w:sz w:val="21"/>
                <w:szCs w:val="21"/>
                <w:highlight w:val="none"/>
                <w:u w:val="none"/>
                <w:vertAlign w:val="baseline"/>
                <w:lang w:eastAsia="zh-CN"/>
              </w:rPr>
              <w:t>恭城县水网建设规划</w:t>
            </w:r>
          </w:p>
        </w:tc>
        <w:tc>
          <w:tcPr>
            <w:tcW w:w="2172" w:type="dxa"/>
            <w:tcBorders>
              <w:top w:val="single" w:color="000000" w:sz="2" w:space="0"/>
              <w:left w:val="single" w:color="auto" w:sz="4" w:space="0"/>
              <w:bottom w:val="single" w:color="000000" w:sz="2" w:space="0"/>
              <w:right w:val="single" w:color="000000" w:sz="2" w:space="0"/>
            </w:tcBorders>
            <w:vAlign w:val="center"/>
          </w:tcPr>
          <w:p w14:paraId="3E681A3E">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p>
        </w:tc>
        <w:tc>
          <w:tcPr>
            <w:tcW w:w="2862" w:type="dxa"/>
            <w:tcBorders>
              <w:top w:val="single" w:color="000000" w:sz="2" w:space="0"/>
              <w:left w:val="single" w:color="000000" w:sz="2" w:space="0"/>
              <w:bottom w:val="single" w:color="000000" w:sz="2" w:space="0"/>
              <w:right w:val="single" w:color="000000" w:sz="2" w:space="0"/>
            </w:tcBorders>
            <w:vAlign w:val="center"/>
          </w:tcPr>
          <w:p w14:paraId="194AED35">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c>
          <w:tcPr>
            <w:tcW w:w="3056" w:type="dxa"/>
            <w:tcBorders>
              <w:top w:val="single" w:color="000000" w:sz="2" w:space="0"/>
              <w:left w:val="single" w:color="000000" w:sz="2" w:space="0"/>
              <w:bottom w:val="single" w:color="000000" w:sz="2" w:space="0"/>
              <w:right w:val="single" w:color="000000" w:sz="2" w:space="0"/>
            </w:tcBorders>
            <w:vAlign w:val="center"/>
          </w:tcPr>
          <w:p w14:paraId="69531F21">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r>
      <w:tr w14:paraId="556DB9AD">
        <w:tblPrEx>
          <w:tblCellMar>
            <w:top w:w="0" w:type="dxa"/>
            <w:left w:w="0" w:type="dxa"/>
            <w:bottom w:w="0" w:type="dxa"/>
            <w:right w:w="0" w:type="dxa"/>
          </w:tblCellMar>
        </w:tblPrEx>
        <w:trPr>
          <w:trHeight w:val="693" w:hRule="exact"/>
        </w:trPr>
        <w:tc>
          <w:tcPr>
            <w:tcW w:w="1588" w:type="dxa"/>
            <w:vMerge w:val="continue"/>
            <w:tcBorders>
              <w:left w:val="single" w:color="000000" w:sz="2" w:space="0"/>
              <w:right w:val="single" w:color="000000" w:sz="2" w:space="0"/>
            </w:tcBorders>
            <w:vAlign w:val="center"/>
          </w:tcPr>
          <w:p w14:paraId="576BC59A">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kern w:val="0"/>
                <w:sz w:val="21"/>
                <w:szCs w:val="21"/>
                <w:highlight w:val="none"/>
                <w:lang w:val="zh-CN" w:eastAsia="zh-CN" w:bidi="ar-SA"/>
              </w:rPr>
            </w:pPr>
          </w:p>
        </w:tc>
        <w:tc>
          <w:tcPr>
            <w:tcW w:w="2172" w:type="dxa"/>
            <w:tcBorders>
              <w:top w:val="single" w:color="000000" w:sz="2" w:space="0"/>
              <w:left w:val="single" w:color="auto" w:sz="4" w:space="0"/>
              <w:bottom w:val="single" w:color="000000" w:sz="2" w:space="0"/>
              <w:right w:val="single" w:color="000000" w:sz="2" w:space="0"/>
            </w:tcBorders>
            <w:vAlign w:val="center"/>
          </w:tcPr>
          <w:p w14:paraId="5D94B317">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p>
        </w:tc>
        <w:tc>
          <w:tcPr>
            <w:tcW w:w="2862" w:type="dxa"/>
            <w:tcBorders>
              <w:top w:val="single" w:color="000000" w:sz="2" w:space="0"/>
              <w:left w:val="single" w:color="000000" w:sz="2" w:space="0"/>
              <w:bottom w:val="single" w:color="000000" w:sz="2" w:space="0"/>
              <w:right w:val="single" w:color="000000" w:sz="2" w:space="0"/>
            </w:tcBorders>
            <w:vAlign w:val="center"/>
          </w:tcPr>
          <w:p w14:paraId="2012E21F">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c>
          <w:tcPr>
            <w:tcW w:w="3056" w:type="dxa"/>
            <w:tcBorders>
              <w:top w:val="single" w:color="000000" w:sz="2" w:space="0"/>
              <w:left w:val="single" w:color="000000" w:sz="2" w:space="0"/>
              <w:bottom w:val="single" w:color="000000" w:sz="2" w:space="0"/>
              <w:right w:val="single" w:color="000000" w:sz="2" w:space="0"/>
            </w:tcBorders>
            <w:vAlign w:val="center"/>
          </w:tcPr>
          <w:p w14:paraId="451FDC4C">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r>
      <w:tr w14:paraId="05B636AC">
        <w:tblPrEx>
          <w:tblCellMar>
            <w:top w:w="0" w:type="dxa"/>
            <w:left w:w="0" w:type="dxa"/>
            <w:bottom w:w="0" w:type="dxa"/>
            <w:right w:w="0" w:type="dxa"/>
          </w:tblCellMar>
        </w:tblPrEx>
        <w:trPr>
          <w:trHeight w:val="693" w:hRule="exact"/>
        </w:trPr>
        <w:tc>
          <w:tcPr>
            <w:tcW w:w="1588" w:type="dxa"/>
            <w:vMerge w:val="continue"/>
            <w:tcBorders>
              <w:left w:val="single" w:color="000000" w:sz="2" w:space="0"/>
              <w:right w:val="single" w:color="000000" w:sz="2" w:space="0"/>
            </w:tcBorders>
            <w:vAlign w:val="center"/>
          </w:tcPr>
          <w:p w14:paraId="242308D3">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kern w:val="0"/>
                <w:sz w:val="21"/>
                <w:szCs w:val="21"/>
                <w:highlight w:val="none"/>
                <w:lang w:val="zh-CN" w:eastAsia="zh-CN" w:bidi="ar-SA"/>
              </w:rPr>
            </w:pPr>
          </w:p>
        </w:tc>
        <w:tc>
          <w:tcPr>
            <w:tcW w:w="2172" w:type="dxa"/>
            <w:tcBorders>
              <w:top w:val="single" w:color="000000" w:sz="2" w:space="0"/>
              <w:left w:val="single" w:color="auto" w:sz="4" w:space="0"/>
              <w:bottom w:val="single" w:color="000000" w:sz="2" w:space="0"/>
              <w:right w:val="single" w:color="000000" w:sz="2" w:space="0"/>
            </w:tcBorders>
            <w:vAlign w:val="center"/>
          </w:tcPr>
          <w:p w14:paraId="5479C78B">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p>
        </w:tc>
        <w:tc>
          <w:tcPr>
            <w:tcW w:w="2862" w:type="dxa"/>
            <w:tcBorders>
              <w:top w:val="single" w:color="000000" w:sz="2" w:space="0"/>
              <w:left w:val="single" w:color="000000" w:sz="2" w:space="0"/>
              <w:bottom w:val="single" w:color="000000" w:sz="2" w:space="0"/>
              <w:right w:val="single" w:color="000000" w:sz="2" w:space="0"/>
            </w:tcBorders>
            <w:vAlign w:val="center"/>
          </w:tcPr>
          <w:p w14:paraId="701C84BF">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c>
          <w:tcPr>
            <w:tcW w:w="3056" w:type="dxa"/>
            <w:tcBorders>
              <w:top w:val="single" w:color="000000" w:sz="2" w:space="0"/>
              <w:left w:val="single" w:color="000000" w:sz="2" w:space="0"/>
              <w:bottom w:val="single" w:color="000000" w:sz="2" w:space="0"/>
              <w:right w:val="single" w:color="000000" w:sz="2" w:space="0"/>
            </w:tcBorders>
            <w:vAlign w:val="center"/>
          </w:tcPr>
          <w:p w14:paraId="1DEAC1B2">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r>
      <w:tr w14:paraId="02A05CE3">
        <w:tblPrEx>
          <w:tblCellMar>
            <w:top w:w="0" w:type="dxa"/>
            <w:left w:w="0" w:type="dxa"/>
            <w:bottom w:w="0" w:type="dxa"/>
            <w:right w:w="0" w:type="dxa"/>
          </w:tblCellMar>
        </w:tblPrEx>
        <w:trPr>
          <w:trHeight w:val="693" w:hRule="exact"/>
        </w:trPr>
        <w:tc>
          <w:tcPr>
            <w:tcW w:w="1588" w:type="dxa"/>
            <w:vMerge w:val="continue"/>
            <w:tcBorders>
              <w:left w:val="single" w:color="000000" w:sz="2" w:space="0"/>
              <w:right w:val="single" w:color="000000" w:sz="2" w:space="0"/>
            </w:tcBorders>
            <w:vAlign w:val="center"/>
          </w:tcPr>
          <w:p w14:paraId="6EDA4A9A">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kern w:val="0"/>
                <w:sz w:val="21"/>
                <w:szCs w:val="21"/>
                <w:highlight w:val="none"/>
                <w:lang w:val="zh-CN" w:eastAsia="zh-CN" w:bidi="ar-SA"/>
              </w:rPr>
            </w:pPr>
          </w:p>
        </w:tc>
        <w:tc>
          <w:tcPr>
            <w:tcW w:w="2172" w:type="dxa"/>
            <w:tcBorders>
              <w:top w:val="single" w:color="000000" w:sz="2" w:space="0"/>
              <w:left w:val="single" w:color="auto" w:sz="4" w:space="0"/>
              <w:bottom w:val="single" w:color="000000" w:sz="2" w:space="0"/>
              <w:right w:val="single" w:color="000000" w:sz="2" w:space="0"/>
            </w:tcBorders>
            <w:vAlign w:val="center"/>
          </w:tcPr>
          <w:p w14:paraId="557694F0">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p>
        </w:tc>
        <w:tc>
          <w:tcPr>
            <w:tcW w:w="2862" w:type="dxa"/>
            <w:tcBorders>
              <w:top w:val="single" w:color="000000" w:sz="2" w:space="0"/>
              <w:left w:val="single" w:color="000000" w:sz="2" w:space="0"/>
              <w:bottom w:val="single" w:color="000000" w:sz="2" w:space="0"/>
              <w:right w:val="single" w:color="000000" w:sz="2" w:space="0"/>
            </w:tcBorders>
            <w:vAlign w:val="center"/>
          </w:tcPr>
          <w:p w14:paraId="346138F3">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c>
          <w:tcPr>
            <w:tcW w:w="3056" w:type="dxa"/>
            <w:tcBorders>
              <w:top w:val="single" w:color="000000" w:sz="2" w:space="0"/>
              <w:left w:val="single" w:color="000000" w:sz="2" w:space="0"/>
              <w:bottom w:val="single" w:color="000000" w:sz="2" w:space="0"/>
              <w:right w:val="single" w:color="000000" w:sz="2" w:space="0"/>
            </w:tcBorders>
            <w:vAlign w:val="center"/>
          </w:tcPr>
          <w:p w14:paraId="123AFFC9">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r>
      <w:tr w14:paraId="62DD1030">
        <w:tblPrEx>
          <w:tblCellMar>
            <w:top w:w="0" w:type="dxa"/>
            <w:left w:w="0" w:type="dxa"/>
            <w:bottom w:w="0" w:type="dxa"/>
            <w:right w:w="0" w:type="dxa"/>
          </w:tblCellMar>
        </w:tblPrEx>
        <w:trPr>
          <w:trHeight w:val="693" w:hRule="exact"/>
        </w:trPr>
        <w:tc>
          <w:tcPr>
            <w:tcW w:w="1588" w:type="dxa"/>
            <w:vMerge w:val="continue"/>
            <w:tcBorders>
              <w:left w:val="single" w:color="000000" w:sz="2" w:space="0"/>
              <w:right w:val="single" w:color="000000" w:sz="2" w:space="0"/>
            </w:tcBorders>
            <w:vAlign w:val="center"/>
          </w:tcPr>
          <w:p w14:paraId="01A73206">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kern w:val="0"/>
                <w:sz w:val="21"/>
                <w:szCs w:val="21"/>
                <w:highlight w:val="none"/>
                <w:lang w:val="zh-CN" w:eastAsia="zh-CN" w:bidi="ar-SA"/>
              </w:rPr>
            </w:pPr>
          </w:p>
        </w:tc>
        <w:tc>
          <w:tcPr>
            <w:tcW w:w="2172" w:type="dxa"/>
            <w:tcBorders>
              <w:top w:val="single" w:color="000000" w:sz="2" w:space="0"/>
              <w:left w:val="single" w:color="auto" w:sz="4" w:space="0"/>
              <w:bottom w:val="single" w:color="000000" w:sz="2" w:space="0"/>
              <w:right w:val="single" w:color="000000" w:sz="2" w:space="0"/>
            </w:tcBorders>
            <w:vAlign w:val="center"/>
          </w:tcPr>
          <w:p w14:paraId="2DED911D">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p>
        </w:tc>
        <w:tc>
          <w:tcPr>
            <w:tcW w:w="2862" w:type="dxa"/>
            <w:tcBorders>
              <w:top w:val="single" w:color="000000" w:sz="2" w:space="0"/>
              <w:left w:val="single" w:color="000000" w:sz="2" w:space="0"/>
              <w:bottom w:val="single" w:color="000000" w:sz="2" w:space="0"/>
              <w:right w:val="single" w:color="000000" w:sz="2" w:space="0"/>
            </w:tcBorders>
            <w:vAlign w:val="center"/>
          </w:tcPr>
          <w:p w14:paraId="5DA38878">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c>
          <w:tcPr>
            <w:tcW w:w="3056" w:type="dxa"/>
            <w:tcBorders>
              <w:top w:val="single" w:color="000000" w:sz="2" w:space="0"/>
              <w:left w:val="single" w:color="000000" w:sz="2" w:space="0"/>
              <w:bottom w:val="single" w:color="000000" w:sz="2" w:space="0"/>
              <w:right w:val="single" w:color="000000" w:sz="2" w:space="0"/>
            </w:tcBorders>
            <w:vAlign w:val="center"/>
          </w:tcPr>
          <w:p w14:paraId="74EE090E">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r>
      <w:tr w14:paraId="5ACA9A64">
        <w:tblPrEx>
          <w:tblCellMar>
            <w:top w:w="0" w:type="dxa"/>
            <w:left w:w="0" w:type="dxa"/>
            <w:bottom w:w="0" w:type="dxa"/>
            <w:right w:w="0" w:type="dxa"/>
          </w:tblCellMar>
        </w:tblPrEx>
        <w:trPr>
          <w:trHeight w:val="693" w:hRule="exact"/>
        </w:trPr>
        <w:tc>
          <w:tcPr>
            <w:tcW w:w="1588" w:type="dxa"/>
            <w:vMerge w:val="continue"/>
            <w:tcBorders>
              <w:left w:val="single" w:color="000000" w:sz="2" w:space="0"/>
              <w:right w:val="single" w:color="000000" w:sz="2" w:space="0"/>
            </w:tcBorders>
            <w:vAlign w:val="center"/>
          </w:tcPr>
          <w:p w14:paraId="0917E0B2">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kern w:val="0"/>
                <w:sz w:val="21"/>
                <w:szCs w:val="21"/>
                <w:highlight w:val="none"/>
                <w:lang w:val="zh-CN" w:eastAsia="zh-CN" w:bidi="ar-SA"/>
              </w:rPr>
            </w:pPr>
          </w:p>
        </w:tc>
        <w:tc>
          <w:tcPr>
            <w:tcW w:w="2172" w:type="dxa"/>
            <w:tcBorders>
              <w:top w:val="single" w:color="000000" w:sz="2" w:space="0"/>
              <w:left w:val="single" w:color="auto" w:sz="4" w:space="0"/>
              <w:bottom w:val="single" w:color="000000" w:sz="2" w:space="0"/>
              <w:right w:val="single" w:color="000000" w:sz="2" w:space="0"/>
            </w:tcBorders>
            <w:vAlign w:val="center"/>
          </w:tcPr>
          <w:p w14:paraId="788AFAA9">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p>
        </w:tc>
        <w:tc>
          <w:tcPr>
            <w:tcW w:w="2862" w:type="dxa"/>
            <w:tcBorders>
              <w:top w:val="single" w:color="000000" w:sz="2" w:space="0"/>
              <w:left w:val="single" w:color="000000" w:sz="2" w:space="0"/>
              <w:bottom w:val="single" w:color="000000" w:sz="2" w:space="0"/>
              <w:right w:val="single" w:color="000000" w:sz="2" w:space="0"/>
            </w:tcBorders>
            <w:vAlign w:val="center"/>
          </w:tcPr>
          <w:p w14:paraId="44ABDBA3">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c>
          <w:tcPr>
            <w:tcW w:w="3056" w:type="dxa"/>
            <w:tcBorders>
              <w:top w:val="single" w:color="000000" w:sz="2" w:space="0"/>
              <w:left w:val="single" w:color="000000" w:sz="2" w:space="0"/>
              <w:bottom w:val="single" w:color="000000" w:sz="2" w:space="0"/>
              <w:right w:val="single" w:color="000000" w:sz="2" w:space="0"/>
            </w:tcBorders>
            <w:vAlign w:val="center"/>
          </w:tcPr>
          <w:p w14:paraId="5C398265">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r>
      <w:tr w14:paraId="2B2320EB">
        <w:tblPrEx>
          <w:tblCellMar>
            <w:top w:w="0" w:type="dxa"/>
            <w:left w:w="0" w:type="dxa"/>
            <w:bottom w:w="0" w:type="dxa"/>
            <w:right w:w="0" w:type="dxa"/>
          </w:tblCellMar>
        </w:tblPrEx>
        <w:trPr>
          <w:trHeight w:val="697" w:hRule="exact"/>
        </w:trPr>
        <w:tc>
          <w:tcPr>
            <w:tcW w:w="1588" w:type="dxa"/>
            <w:vMerge w:val="continue"/>
            <w:tcBorders>
              <w:left w:val="single" w:color="000000" w:sz="2" w:space="0"/>
              <w:bottom w:val="single" w:color="000000" w:sz="2" w:space="0"/>
              <w:right w:val="single" w:color="000000" w:sz="2" w:space="0"/>
            </w:tcBorders>
            <w:vAlign w:val="center"/>
          </w:tcPr>
          <w:p w14:paraId="1EE9816E">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kern w:val="0"/>
                <w:sz w:val="21"/>
                <w:szCs w:val="21"/>
                <w:highlight w:val="none"/>
                <w:lang w:val="zh-CN" w:eastAsia="zh-CN" w:bidi="ar-SA"/>
              </w:rPr>
            </w:pPr>
          </w:p>
        </w:tc>
        <w:tc>
          <w:tcPr>
            <w:tcW w:w="2172" w:type="dxa"/>
            <w:tcBorders>
              <w:top w:val="single" w:color="000000" w:sz="2" w:space="0"/>
              <w:left w:val="single" w:color="auto" w:sz="4" w:space="0"/>
              <w:bottom w:val="single" w:color="000000" w:sz="2" w:space="0"/>
              <w:right w:val="single" w:color="000000" w:sz="2" w:space="0"/>
            </w:tcBorders>
            <w:vAlign w:val="center"/>
          </w:tcPr>
          <w:p w14:paraId="52A15BDC">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p>
        </w:tc>
        <w:tc>
          <w:tcPr>
            <w:tcW w:w="2862" w:type="dxa"/>
            <w:tcBorders>
              <w:top w:val="single" w:color="000000" w:sz="2" w:space="0"/>
              <w:left w:val="single" w:color="000000" w:sz="2" w:space="0"/>
              <w:bottom w:val="single" w:color="000000" w:sz="2" w:space="0"/>
              <w:right w:val="single" w:color="000000" w:sz="2" w:space="0"/>
            </w:tcBorders>
            <w:vAlign w:val="center"/>
          </w:tcPr>
          <w:p w14:paraId="4CFE1A52">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c>
          <w:tcPr>
            <w:tcW w:w="3056" w:type="dxa"/>
            <w:tcBorders>
              <w:top w:val="single" w:color="000000" w:sz="2" w:space="0"/>
              <w:left w:val="single" w:color="000000" w:sz="2" w:space="0"/>
              <w:bottom w:val="single" w:color="000000" w:sz="2" w:space="0"/>
              <w:right w:val="single" w:color="000000" w:sz="2" w:space="0"/>
            </w:tcBorders>
            <w:vAlign w:val="center"/>
          </w:tcPr>
          <w:p w14:paraId="0C640263">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r>
    </w:tbl>
    <w:p w14:paraId="2D07EEA9">
      <w:pPr>
        <w:pStyle w:val="65"/>
        <w:keepNext w:val="0"/>
        <w:keepLines w:val="0"/>
        <w:pageBreakBefore w:val="0"/>
        <w:widowControl w:val="0"/>
        <w:kinsoku/>
        <w:wordWrap/>
        <w:overflowPunct/>
        <w:topLinePunct w:val="0"/>
        <w:autoSpaceDE/>
        <w:autoSpaceDN/>
        <w:bidi w:val="0"/>
        <w:adjustRightInd/>
        <w:snapToGrid/>
        <w:spacing w:before="0" w:after="0"/>
        <w:ind w:left="0" w:right="0"/>
        <w:jc w:val="left"/>
        <w:textAlignment w:val="auto"/>
        <w:rPr>
          <w:rFonts w:ascii="宋体" w:hAnsi="宋体" w:eastAsia="宋体" w:cs="宋体"/>
          <w:b w:val="0"/>
          <w:bCs w:val="0"/>
          <w:color w:val="auto"/>
          <w:spacing w:val="-3"/>
          <w:w w:val="100"/>
          <w:sz w:val="21"/>
          <w:szCs w:val="21"/>
          <w:highlight w:val="none"/>
        </w:rPr>
      </w:pPr>
    </w:p>
    <w:p w14:paraId="2993E8B8">
      <w:pPr>
        <w:pStyle w:val="14"/>
        <w:rPr>
          <w:rFonts w:hint="eastAsia" w:ascii="宋体" w:hAnsi="宋体" w:eastAsia="宋体" w:cs="宋体"/>
          <w:b/>
          <w:bCs/>
          <w:color w:val="auto"/>
          <w:szCs w:val="21"/>
          <w:highlight w:val="none"/>
        </w:rPr>
      </w:pPr>
    </w:p>
    <w:p w14:paraId="416AD515">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06CF2CA3">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1F908493">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响应日期：</w:t>
      </w:r>
      <w:r>
        <w:rPr>
          <w:rFonts w:hint="eastAsia" w:ascii="宋体" w:hAnsi="宋体" w:eastAsia="宋体" w:cs="宋体"/>
          <w:color w:val="auto"/>
          <w:highlight w:val="none"/>
          <w:u w:val="single"/>
        </w:rPr>
        <w:t xml:space="preserve">                               　 </w:t>
      </w:r>
    </w:p>
    <w:p w14:paraId="3837EEBE">
      <w:pPr>
        <w:snapToGrid w:val="0"/>
        <w:spacing w:line="300" w:lineRule="exact"/>
        <w:ind w:firstLine="3570" w:firstLineChars="1700"/>
        <w:rPr>
          <w:rFonts w:hint="eastAsia" w:ascii="宋体" w:hAnsi="宋体" w:eastAsia="宋体" w:cs="宋体"/>
          <w:color w:val="auto"/>
          <w:highlight w:val="none"/>
          <w:u w:val="single"/>
        </w:rPr>
      </w:pPr>
    </w:p>
    <w:p w14:paraId="7B904BD6">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3E646156">
      <w:pPr>
        <w:spacing w:line="380" w:lineRule="exact"/>
        <w:rPr>
          <w:rFonts w:hint="eastAsia" w:hAnsi="宋体"/>
          <w:b/>
          <w:bCs/>
          <w:color w:val="auto"/>
          <w:sz w:val="28"/>
          <w:szCs w:val="28"/>
          <w:highlight w:val="none"/>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w:t>
      </w:r>
      <w:r>
        <w:rPr>
          <w:rFonts w:hint="eastAsia" w:ascii="宋体" w:hAnsi="宋体"/>
          <w:b/>
          <w:color w:val="auto"/>
          <w:sz w:val="28"/>
          <w:szCs w:val="28"/>
          <w:highlight w:val="none"/>
        </w:rPr>
        <w:t>项目实施人员一览表</w:t>
      </w:r>
      <w:r>
        <w:rPr>
          <w:rFonts w:hint="eastAsia" w:hAnsi="宋体"/>
          <w:b/>
          <w:bCs/>
          <w:color w:val="auto"/>
          <w:sz w:val="28"/>
          <w:szCs w:val="28"/>
          <w:highlight w:val="none"/>
        </w:rPr>
        <w:t>（如有，请提供）</w:t>
      </w:r>
    </w:p>
    <w:p w14:paraId="1FFFAAB9">
      <w:pPr>
        <w:spacing w:line="400" w:lineRule="exact"/>
        <w:outlineLvl w:val="9"/>
        <w:rPr>
          <w:rFonts w:hint="eastAsia"/>
          <w:b/>
          <w:color w:val="auto"/>
          <w:sz w:val="30"/>
          <w:szCs w:val="30"/>
          <w:highlight w:val="none"/>
        </w:rPr>
      </w:pPr>
    </w:p>
    <w:p w14:paraId="76D52476">
      <w:pPr>
        <w:spacing w:line="400" w:lineRule="exact"/>
        <w:outlineLvl w:val="9"/>
        <w:rPr>
          <w:rFonts w:hint="eastAsia"/>
          <w:b/>
          <w:color w:val="auto"/>
          <w:sz w:val="30"/>
          <w:szCs w:val="30"/>
          <w:highlight w:val="none"/>
        </w:rPr>
      </w:pPr>
      <w:bookmarkStart w:id="156" w:name="_Toc22094"/>
      <w:r>
        <w:rPr>
          <w:rFonts w:hint="eastAsia"/>
          <w:b/>
          <w:color w:val="auto"/>
          <w:sz w:val="30"/>
          <w:szCs w:val="30"/>
          <w:highlight w:val="none"/>
        </w:rPr>
        <w:t>附件：</w:t>
      </w:r>
      <w:bookmarkEnd w:id="156"/>
    </w:p>
    <w:p w14:paraId="1E9AF817">
      <w:pPr>
        <w:pStyle w:val="18"/>
        <w:jc w:val="center"/>
        <w:rPr>
          <w:rFonts w:hint="eastAsia" w:hAnsi="宋体"/>
          <w:b/>
          <w:bCs/>
          <w:color w:val="auto"/>
          <w:sz w:val="32"/>
          <w:szCs w:val="32"/>
          <w:highlight w:val="none"/>
        </w:rPr>
      </w:pPr>
      <w:r>
        <w:rPr>
          <w:rFonts w:hint="eastAsia" w:hAnsi="宋体"/>
          <w:b/>
          <w:bCs/>
          <w:color w:val="auto"/>
          <w:sz w:val="32"/>
          <w:szCs w:val="32"/>
          <w:highlight w:val="none"/>
        </w:rPr>
        <w:t>项目实施人员一览表（格式）</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14:paraId="2CBC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center"/>
          </w:tcPr>
          <w:p w14:paraId="044B3227">
            <w:pPr>
              <w:spacing w:line="400" w:lineRule="exact"/>
              <w:jc w:val="center"/>
              <w:rPr>
                <w:rFonts w:hint="eastAsia" w:ascii="宋体" w:hAnsi="宋体"/>
                <w:color w:val="auto"/>
                <w:szCs w:val="21"/>
                <w:highlight w:val="none"/>
              </w:rPr>
            </w:pPr>
            <w:r>
              <w:rPr>
                <w:rFonts w:hint="eastAsia" w:ascii="宋体" w:hAnsi="宋体"/>
                <w:color w:val="auto"/>
                <w:szCs w:val="21"/>
                <w:highlight w:val="none"/>
              </w:rPr>
              <w:t>姓 名</w:t>
            </w:r>
          </w:p>
        </w:tc>
        <w:tc>
          <w:tcPr>
            <w:tcW w:w="806" w:type="dxa"/>
            <w:noWrap w:val="0"/>
            <w:vAlign w:val="center"/>
          </w:tcPr>
          <w:p w14:paraId="0A49E23E">
            <w:pPr>
              <w:spacing w:line="400" w:lineRule="exact"/>
              <w:jc w:val="center"/>
              <w:rPr>
                <w:rFonts w:hint="eastAsia" w:ascii="宋体" w:hAnsi="宋体"/>
                <w:color w:val="auto"/>
                <w:szCs w:val="21"/>
                <w:highlight w:val="none"/>
              </w:rPr>
            </w:pPr>
            <w:r>
              <w:rPr>
                <w:rFonts w:hint="eastAsia" w:ascii="宋体" w:hAnsi="宋体"/>
                <w:color w:val="auto"/>
                <w:szCs w:val="21"/>
                <w:highlight w:val="none"/>
              </w:rPr>
              <w:t>职务</w:t>
            </w:r>
          </w:p>
        </w:tc>
        <w:tc>
          <w:tcPr>
            <w:tcW w:w="1537" w:type="dxa"/>
            <w:noWrap w:val="0"/>
            <w:vAlign w:val="center"/>
          </w:tcPr>
          <w:p w14:paraId="0037FC16">
            <w:pPr>
              <w:spacing w:line="400" w:lineRule="exact"/>
              <w:jc w:val="center"/>
              <w:rPr>
                <w:rFonts w:hint="eastAsia" w:ascii="宋体" w:hAnsi="宋体"/>
                <w:color w:val="auto"/>
                <w:szCs w:val="21"/>
                <w:highlight w:val="none"/>
              </w:rPr>
            </w:pPr>
            <w:r>
              <w:rPr>
                <w:rFonts w:hint="eastAsia" w:ascii="宋体" w:hAnsi="宋体"/>
                <w:color w:val="auto"/>
                <w:szCs w:val="21"/>
                <w:highlight w:val="none"/>
              </w:rPr>
              <w:t>专业技术资格</w:t>
            </w:r>
          </w:p>
        </w:tc>
        <w:tc>
          <w:tcPr>
            <w:tcW w:w="1371" w:type="dxa"/>
            <w:noWrap w:val="0"/>
            <w:vAlign w:val="center"/>
          </w:tcPr>
          <w:p w14:paraId="46E7D897">
            <w:pPr>
              <w:spacing w:line="400" w:lineRule="exact"/>
              <w:jc w:val="center"/>
              <w:rPr>
                <w:rFonts w:hint="eastAsia" w:ascii="宋体" w:hAnsi="宋体"/>
                <w:color w:val="auto"/>
                <w:szCs w:val="21"/>
                <w:highlight w:val="none"/>
              </w:rPr>
            </w:pPr>
            <w:r>
              <w:rPr>
                <w:rFonts w:hint="eastAsia" w:ascii="宋体" w:hAnsi="宋体"/>
                <w:color w:val="auto"/>
                <w:szCs w:val="21"/>
                <w:highlight w:val="none"/>
              </w:rPr>
              <w:t>证书编号</w:t>
            </w:r>
          </w:p>
        </w:tc>
        <w:tc>
          <w:tcPr>
            <w:tcW w:w="2163" w:type="dxa"/>
            <w:noWrap w:val="0"/>
            <w:vAlign w:val="center"/>
          </w:tcPr>
          <w:p w14:paraId="01105628">
            <w:pPr>
              <w:spacing w:line="400" w:lineRule="exact"/>
              <w:jc w:val="center"/>
              <w:rPr>
                <w:rFonts w:hint="eastAsia" w:ascii="宋体" w:hAnsi="宋体"/>
                <w:color w:val="auto"/>
                <w:szCs w:val="21"/>
                <w:highlight w:val="none"/>
              </w:rPr>
            </w:pPr>
            <w:r>
              <w:rPr>
                <w:rFonts w:hint="eastAsia" w:hAnsi="宋体" w:cs="宋体"/>
                <w:szCs w:val="21"/>
                <w:highlight w:val="none"/>
              </w:rPr>
              <w:t>在本项目中担任的职务</w:t>
            </w:r>
          </w:p>
        </w:tc>
        <w:tc>
          <w:tcPr>
            <w:tcW w:w="2000" w:type="dxa"/>
            <w:noWrap w:val="0"/>
            <w:vAlign w:val="center"/>
          </w:tcPr>
          <w:p w14:paraId="22C17ECD">
            <w:pPr>
              <w:spacing w:line="400" w:lineRule="exact"/>
              <w:jc w:val="center"/>
              <w:rPr>
                <w:rFonts w:hint="eastAsia" w:ascii="宋体" w:hAnsi="宋体"/>
                <w:color w:val="auto"/>
                <w:szCs w:val="21"/>
                <w:highlight w:val="none"/>
              </w:rPr>
            </w:pPr>
            <w:r>
              <w:rPr>
                <w:rFonts w:hint="eastAsia" w:ascii="宋体" w:hAnsi="宋体"/>
                <w:color w:val="auto"/>
                <w:szCs w:val="21"/>
                <w:highlight w:val="none"/>
              </w:rPr>
              <w:t>备注</w:t>
            </w:r>
          </w:p>
        </w:tc>
      </w:tr>
      <w:tr w14:paraId="1D52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14:paraId="1CFF9051">
            <w:pPr>
              <w:spacing w:line="400" w:lineRule="exact"/>
              <w:rPr>
                <w:rFonts w:hint="eastAsia" w:ascii="宋体" w:hAnsi="宋体"/>
                <w:color w:val="auto"/>
                <w:szCs w:val="21"/>
                <w:highlight w:val="none"/>
              </w:rPr>
            </w:pPr>
          </w:p>
        </w:tc>
        <w:tc>
          <w:tcPr>
            <w:tcW w:w="806" w:type="dxa"/>
            <w:noWrap w:val="0"/>
            <w:vAlign w:val="top"/>
          </w:tcPr>
          <w:p w14:paraId="56B4A546">
            <w:pPr>
              <w:spacing w:line="400" w:lineRule="exact"/>
              <w:rPr>
                <w:rFonts w:hint="eastAsia" w:ascii="宋体" w:hAnsi="宋体"/>
                <w:color w:val="auto"/>
                <w:szCs w:val="21"/>
                <w:highlight w:val="none"/>
              </w:rPr>
            </w:pPr>
          </w:p>
        </w:tc>
        <w:tc>
          <w:tcPr>
            <w:tcW w:w="1537" w:type="dxa"/>
            <w:noWrap w:val="0"/>
            <w:vAlign w:val="top"/>
          </w:tcPr>
          <w:p w14:paraId="7604F805">
            <w:pPr>
              <w:spacing w:line="400" w:lineRule="exact"/>
              <w:rPr>
                <w:rFonts w:hint="eastAsia" w:ascii="宋体" w:hAnsi="宋体"/>
                <w:color w:val="auto"/>
                <w:szCs w:val="21"/>
                <w:highlight w:val="none"/>
              </w:rPr>
            </w:pPr>
          </w:p>
        </w:tc>
        <w:tc>
          <w:tcPr>
            <w:tcW w:w="1371" w:type="dxa"/>
            <w:noWrap w:val="0"/>
            <w:vAlign w:val="top"/>
          </w:tcPr>
          <w:p w14:paraId="2CFF2C6D">
            <w:pPr>
              <w:spacing w:line="400" w:lineRule="exact"/>
              <w:rPr>
                <w:rFonts w:hint="eastAsia" w:ascii="宋体" w:hAnsi="宋体"/>
                <w:color w:val="auto"/>
                <w:szCs w:val="21"/>
                <w:highlight w:val="none"/>
              </w:rPr>
            </w:pPr>
          </w:p>
        </w:tc>
        <w:tc>
          <w:tcPr>
            <w:tcW w:w="2163" w:type="dxa"/>
            <w:noWrap w:val="0"/>
            <w:vAlign w:val="top"/>
          </w:tcPr>
          <w:p w14:paraId="0CE25C2F">
            <w:pPr>
              <w:spacing w:line="400" w:lineRule="exact"/>
              <w:rPr>
                <w:rFonts w:hint="eastAsia" w:ascii="宋体" w:hAnsi="宋体"/>
                <w:color w:val="auto"/>
                <w:szCs w:val="21"/>
                <w:highlight w:val="none"/>
              </w:rPr>
            </w:pPr>
          </w:p>
        </w:tc>
        <w:tc>
          <w:tcPr>
            <w:tcW w:w="2000" w:type="dxa"/>
            <w:noWrap w:val="0"/>
            <w:vAlign w:val="top"/>
          </w:tcPr>
          <w:p w14:paraId="6C7DE2BD">
            <w:pPr>
              <w:spacing w:line="400" w:lineRule="exact"/>
              <w:rPr>
                <w:rFonts w:hint="eastAsia" w:ascii="宋体" w:hAnsi="宋体"/>
                <w:color w:val="auto"/>
                <w:szCs w:val="21"/>
                <w:highlight w:val="none"/>
              </w:rPr>
            </w:pPr>
          </w:p>
        </w:tc>
      </w:tr>
      <w:tr w14:paraId="21E9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14:paraId="20ED4DAF">
            <w:pPr>
              <w:spacing w:line="400" w:lineRule="exact"/>
              <w:rPr>
                <w:rFonts w:hint="eastAsia" w:ascii="宋体" w:hAnsi="宋体"/>
                <w:color w:val="auto"/>
                <w:szCs w:val="21"/>
                <w:highlight w:val="none"/>
              </w:rPr>
            </w:pPr>
          </w:p>
        </w:tc>
        <w:tc>
          <w:tcPr>
            <w:tcW w:w="806" w:type="dxa"/>
            <w:noWrap w:val="0"/>
            <w:vAlign w:val="top"/>
          </w:tcPr>
          <w:p w14:paraId="5A4AE1F6">
            <w:pPr>
              <w:spacing w:line="400" w:lineRule="exact"/>
              <w:rPr>
                <w:rFonts w:hint="eastAsia" w:ascii="宋体" w:hAnsi="宋体"/>
                <w:color w:val="auto"/>
                <w:szCs w:val="21"/>
                <w:highlight w:val="none"/>
              </w:rPr>
            </w:pPr>
          </w:p>
        </w:tc>
        <w:tc>
          <w:tcPr>
            <w:tcW w:w="1537" w:type="dxa"/>
            <w:noWrap w:val="0"/>
            <w:vAlign w:val="top"/>
          </w:tcPr>
          <w:p w14:paraId="34866112">
            <w:pPr>
              <w:spacing w:line="400" w:lineRule="exact"/>
              <w:rPr>
                <w:rFonts w:hint="eastAsia" w:ascii="宋体" w:hAnsi="宋体"/>
                <w:color w:val="auto"/>
                <w:szCs w:val="21"/>
                <w:highlight w:val="none"/>
              </w:rPr>
            </w:pPr>
          </w:p>
        </w:tc>
        <w:tc>
          <w:tcPr>
            <w:tcW w:w="1371" w:type="dxa"/>
            <w:noWrap w:val="0"/>
            <w:vAlign w:val="top"/>
          </w:tcPr>
          <w:p w14:paraId="688C5A1C">
            <w:pPr>
              <w:spacing w:line="400" w:lineRule="exact"/>
              <w:rPr>
                <w:rFonts w:hint="eastAsia" w:ascii="宋体" w:hAnsi="宋体"/>
                <w:color w:val="auto"/>
                <w:szCs w:val="21"/>
                <w:highlight w:val="none"/>
              </w:rPr>
            </w:pPr>
          </w:p>
        </w:tc>
        <w:tc>
          <w:tcPr>
            <w:tcW w:w="2163" w:type="dxa"/>
            <w:noWrap w:val="0"/>
            <w:vAlign w:val="top"/>
          </w:tcPr>
          <w:p w14:paraId="5A6FC1E7">
            <w:pPr>
              <w:spacing w:line="400" w:lineRule="exact"/>
              <w:rPr>
                <w:rFonts w:hint="eastAsia" w:ascii="宋体" w:hAnsi="宋体"/>
                <w:color w:val="auto"/>
                <w:szCs w:val="21"/>
                <w:highlight w:val="none"/>
              </w:rPr>
            </w:pPr>
          </w:p>
        </w:tc>
        <w:tc>
          <w:tcPr>
            <w:tcW w:w="2000" w:type="dxa"/>
            <w:noWrap w:val="0"/>
            <w:vAlign w:val="top"/>
          </w:tcPr>
          <w:p w14:paraId="42016B58">
            <w:pPr>
              <w:spacing w:line="400" w:lineRule="exact"/>
              <w:rPr>
                <w:rFonts w:hint="eastAsia" w:ascii="宋体" w:hAnsi="宋体"/>
                <w:color w:val="auto"/>
                <w:szCs w:val="21"/>
                <w:highlight w:val="none"/>
              </w:rPr>
            </w:pPr>
          </w:p>
        </w:tc>
      </w:tr>
      <w:tr w14:paraId="5CFF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14:paraId="65464450">
            <w:pPr>
              <w:spacing w:line="400" w:lineRule="exact"/>
              <w:rPr>
                <w:rFonts w:hint="eastAsia" w:ascii="宋体" w:hAnsi="宋体"/>
                <w:color w:val="auto"/>
                <w:szCs w:val="21"/>
                <w:highlight w:val="none"/>
              </w:rPr>
            </w:pPr>
          </w:p>
        </w:tc>
        <w:tc>
          <w:tcPr>
            <w:tcW w:w="806" w:type="dxa"/>
            <w:noWrap w:val="0"/>
            <w:vAlign w:val="top"/>
          </w:tcPr>
          <w:p w14:paraId="567458B3">
            <w:pPr>
              <w:spacing w:line="400" w:lineRule="exact"/>
              <w:rPr>
                <w:rFonts w:hint="eastAsia" w:ascii="宋体" w:hAnsi="宋体"/>
                <w:color w:val="auto"/>
                <w:szCs w:val="21"/>
                <w:highlight w:val="none"/>
              </w:rPr>
            </w:pPr>
          </w:p>
        </w:tc>
        <w:tc>
          <w:tcPr>
            <w:tcW w:w="1537" w:type="dxa"/>
            <w:noWrap w:val="0"/>
            <w:vAlign w:val="top"/>
          </w:tcPr>
          <w:p w14:paraId="6E1B99C0">
            <w:pPr>
              <w:spacing w:line="400" w:lineRule="exact"/>
              <w:rPr>
                <w:rFonts w:hint="eastAsia" w:ascii="宋体" w:hAnsi="宋体"/>
                <w:color w:val="auto"/>
                <w:szCs w:val="21"/>
                <w:highlight w:val="none"/>
              </w:rPr>
            </w:pPr>
          </w:p>
        </w:tc>
        <w:tc>
          <w:tcPr>
            <w:tcW w:w="1371" w:type="dxa"/>
            <w:noWrap w:val="0"/>
            <w:vAlign w:val="top"/>
          </w:tcPr>
          <w:p w14:paraId="5A4F1A8D">
            <w:pPr>
              <w:spacing w:line="400" w:lineRule="exact"/>
              <w:rPr>
                <w:rFonts w:hint="eastAsia" w:ascii="宋体" w:hAnsi="宋体"/>
                <w:color w:val="auto"/>
                <w:szCs w:val="21"/>
                <w:highlight w:val="none"/>
              </w:rPr>
            </w:pPr>
          </w:p>
        </w:tc>
        <w:tc>
          <w:tcPr>
            <w:tcW w:w="2163" w:type="dxa"/>
            <w:noWrap w:val="0"/>
            <w:vAlign w:val="top"/>
          </w:tcPr>
          <w:p w14:paraId="02E2E600">
            <w:pPr>
              <w:spacing w:line="400" w:lineRule="exact"/>
              <w:rPr>
                <w:rFonts w:hint="eastAsia" w:ascii="宋体" w:hAnsi="宋体"/>
                <w:color w:val="auto"/>
                <w:szCs w:val="21"/>
                <w:highlight w:val="none"/>
              </w:rPr>
            </w:pPr>
          </w:p>
        </w:tc>
        <w:tc>
          <w:tcPr>
            <w:tcW w:w="2000" w:type="dxa"/>
            <w:noWrap w:val="0"/>
            <w:vAlign w:val="top"/>
          </w:tcPr>
          <w:p w14:paraId="0402CBEA">
            <w:pPr>
              <w:spacing w:line="400" w:lineRule="exact"/>
              <w:rPr>
                <w:rFonts w:hint="eastAsia" w:ascii="宋体" w:hAnsi="宋体"/>
                <w:color w:val="auto"/>
                <w:szCs w:val="21"/>
                <w:highlight w:val="none"/>
              </w:rPr>
            </w:pPr>
          </w:p>
        </w:tc>
      </w:tr>
      <w:tr w14:paraId="74C0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14:paraId="5C427DAA">
            <w:pPr>
              <w:spacing w:line="400" w:lineRule="exact"/>
              <w:rPr>
                <w:rFonts w:hint="eastAsia" w:ascii="宋体" w:hAnsi="宋体"/>
                <w:color w:val="auto"/>
                <w:szCs w:val="21"/>
                <w:highlight w:val="none"/>
              </w:rPr>
            </w:pPr>
          </w:p>
        </w:tc>
        <w:tc>
          <w:tcPr>
            <w:tcW w:w="806" w:type="dxa"/>
            <w:noWrap w:val="0"/>
            <w:vAlign w:val="top"/>
          </w:tcPr>
          <w:p w14:paraId="36C1A7B6">
            <w:pPr>
              <w:spacing w:line="400" w:lineRule="exact"/>
              <w:rPr>
                <w:rFonts w:hint="eastAsia" w:ascii="宋体" w:hAnsi="宋体"/>
                <w:color w:val="auto"/>
                <w:szCs w:val="21"/>
                <w:highlight w:val="none"/>
              </w:rPr>
            </w:pPr>
          </w:p>
        </w:tc>
        <w:tc>
          <w:tcPr>
            <w:tcW w:w="1537" w:type="dxa"/>
            <w:noWrap w:val="0"/>
            <w:vAlign w:val="top"/>
          </w:tcPr>
          <w:p w14:paraId="65AF0D7B">
            <w:pPr>
              <w:spacing w:line="400" w:lineRule="exact"/>
              <w:rPr>
                <w:rFonts w:hint="eastAsia" w:ascii="宋体" w:hAnsi="宋体"/>
                <w:color w:val="auto"/>
                <w:szCs w:val="21"/>
                <w:highlight w:val="none"/>
              </w:rPr>
            </w:pPr>
          </w:p>
        </w:tc>
        <w:tc>
          <w:tcPr>
            <w:tcW w:w="1371" w:type="dxa"/>
            <w:noWrap w:val="0"/>
            <w:vAlign w:val="top"/>
          </w:tcPr>
          <w:p w14:paraId="721A522F">
            <w:pPr>
              <w:spacing w:line="400" w:lineRule="exact"/>
              <w:rPr>
                <w:rFonts w:hint="eastAsia" w:ascii="宋体" w:hAnsi="宋体"/>
                <w:color w:val="auto"/>
                <w:szCs w:val="21"/>
                <w:highlight w:val="none"/>
              </w:rPr>
            </w:pPr>
          </w:p>
        </w:tc>
        <w:tc>
          <w:tcPr>
            <w:tcW w:w="2163" w:type="dxa"/>
            <w:noWrap w:val="0"/>
            <w:vAlign w:val="top"/>
          </w:tcPr>
          <w:p w14:paraId="38629E15">
            <w:pPr>
              <w:spacing w:line="400" w:lineRule="exact"/>
              <w:rPr>
                <w:rFonts w:hint="eastAsia" w:ascii="宋体" w:hAnsi="宋体"/>
                <w:color w:val="auto"/>
                <w:szCs w:val="21"/>
                <w:highlight w:val="none"/>
              </w:rPr>
            </w:pPr>
          </w:p>
        </w:tc>
        <w:tc>
          <w:tcPr>
            <w:tcW w:w="2000" w:type="dxa"/>
            <w:noWrap w:val="0"/>
            <w:vAlign w:val="top"/>
          </w:tcPr>
          <w:p w14:paraId="2D6006F7">
            <w:pPr>
              <w:spacing w:line="400" w:lineRule="exact"/>
              <w:rPr>
                <w:rFonts w:hint="eastAsia" w:ascii="宋体" w:hAnsi="宋体"/>
                <w:color w:val="auto"/>
                <w:szCs w:val="21"/>
                <w:highlight w:val="none"/>
              </w:rPr>
            </w:pPr>
          </w:p>
        </w:tc>
      </w:tr>
    </w:tbl>
    <w:p w14:paraId="7CABA1FD">
      <w:pPr>
        <w:spacing w:line="400" w:lineRule="exact"/>
        <w:rPr>
          <w:rFonts w:hint="eastAsia" w:ascii="宋体" w:hAnsi="宋体"/>
          <w:color w:val="auto"/>
          <w:szCs w:val="21"/>
          <w:highlight w:val="none"/>
        </w:rPr>
      </w:pPr>
    </w:p>
    <w:p w14:paraId="50A7AA60">
      <w:pPr>
        <w:spacing w:line="400" w:lineRule="exact"/>
        <w:rPr>
          <w:rFonts w:hint="eastAsia" w:ascii="宋体" w:hAnsi="宋体"/>
          <w:color w:val="auto"/>
          <w:szCs w:val="21"/>
          <w:highlight w:val="none"/>
        </w:rPr>
      </w:pPr>
      <w:r>
        <w:rPr>
          <w:rFonts w:hint="eastAsia" w:ascii="宋体" w:hAnsi="宋体"/>
          <w:color w:val="auto"/>
          <w:szCs w:val="21"/>
          <w:highlight w:val="none"/>
        </w:rPr>
        <w:t>注：在填写时，如本表格不适合投标单位的实际情况，可根据本表格式自行制表填写。</w:t>
      </w:r>
    </w:p>
    <w:p w14:paraId="650534E2">
      <w:pPr>
        <w:pStyle w:val="18"/>
        <w:spacing w:line="400" w:lineRule="exact"/>
        <w:ind w:firstLine="3255" w:firstLineChars="1550"/>
        <w:rPr>
          <w:rFonts w:hint="eastAsia" w:hAnsi="宋体"/>
          <w:color w:val="auto"/>
          <w:highlight w:val="none"/>
        </w:rPr>
      </w:pPr>
      <w:r>
        <w:rPr>
          <w:rFonts w:hint="eastAsia" w:hAnsi="宋体"/>
          <w:color w:val="auto"/>
          <w:highlight w:val="none"/>
        </w:rPr>
        <w:t xml:space="preserve">   </w:t>
      </w:r>
    </w:p>
    <w:p w14:paraId="3A1ADE8E">
      <w:pPr>
        <w:pStyle w:val="18"/>
        <w:spacing w:line="400" w:lineRule="exact"/>
        <w:ind w:firstLine="3255" w:firstLineChars="1550"/>
        <w:rPr>
          <w:rFonts w:hint="eastAsia" w:hAnsi="宋体"/>
          <w:color w:val="auto"/>
          <w:highlight w:val="none"/>
        </w:rPr>
      </w:pPr>
    </w:p>
    <w:p w14:paraId="6F955696">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5C0AD83E">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46B8E53A">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响应日期：</w:t>
      </w:r>
      <w:r>
        <w:rPr>
          <w:rFonts w:hint="eastAsia" w:ascii="宋体" w:hAnsi="宋体" w:eastAsia="宋体" w:cs="宋体"/>
          <w:color w:val="auto"/>
          <w:highlight w:val="none"/>
          <w:u w:val="single"/>
        </w:rPr>
        <w:t xml:space="preserve">                               　 </w:t>
      </w:r>
    </w:p>
    <w:p w14:paraId="3C2C617F">
      <w:pPr>
        <w:snapToGrid w:val="0"/>
        <w:spacing w:line="300" w:lineRule="exact"/>
        <w:ind w:firstLine="4830" w:firstLineChars="2300"/>
        <w:jc w:val="left"/>
        <w:rPr>
          <w:rFonts w:hint="eastAsia" w:ascii="宋体" w:hAnsi="宋体" w:eastAsia="宋体" w:cs="宋体"/>
          <w:color w:val="auto"/>
          <w:highlight w:val="none"/>
          <w:u w:val="single"/>
        </w:rPr>
      </w:pPr>
    </w:p>
    <w:p w14:paraId="2D35210E">
      <w:pPr>
        <w:spacing w:line="600" w:lineRule="exact"/>
        <w:jc w:val="left"/>
        <w:rPr>
          <w:rFonts w:hint="eastAsia" w:ascii="宋体" w:hAnsi="宋体"/>
          <w:color w:val="auto"/>
          <w:szCs w:val="21"/>
          <w:highlight w:val="none"/>
          <w:u w:val="single"/>
        </w:rPr>
      </w:pPr>
    </w:p>
    <w:p w14:paraId="03B513FB">
      <w:pPr>
        <w:spacing w:line="380" w:lineRule="exact"/>
        <w:rPr>
          <w:rFonts w:hint="eastAsia" w:hAnsi="宋体"/>
          <w:b/>
          <w:bCs/>
          <w:color w:val="auto"/>
          <w:sz w:val="32"/>
          <w:szCs w:val="32"/>
          <w:highlight w:val="none"/>
        </w:rPr>
      </w:pPr>
      <w:r>
        <w:rPr>
          <w:rFonts w:hint="eastAsia" w:ascii="宋体" w:hAnsi="宋体"/>
          <w:b/>
          <w:color w:val="auto"/>
          <w:sz w:val="32"/>
          <w:szCs w:val="32"/>
          <w:highlight w:val="none"/>
        </w:rPr>
        <w:t xml:space="preserve">   </w:t>
      </w:r>
    </w:p>
    <w:p w14:paraId="00DB3CF6">
      <w:pPr>
        <w:pStyle w:val="18"/>
        <w:spacing w:line="400" w:lineRule="exact"/>
        <w:rPr>
          <w:rFonts w:hint="eastAsia" w:hAnsi="宋体"/>
          <w:b/>
          <w:bCs/>
          <w:color w:val="auto"/>
          <w:sz w:val="32"/>
          <w:szCs w:val="32"/>
          <w:highlight w:val="none"/>
        </w:rPr>
      </w:pPr>
    </w:p>
    <w:p w14:paraId="13FC02FB">
      <w:pPr>
        <w:widowControl/>
        <w:jc w:val="left"/>
        <w:rPr>
          <w:rFonts w:hint="eastAsia" w:ascii="宋体" w:hAnsi="宋体" w:eastAsia="宋体" w:cs="宋体"/>
          <w:b/>
          <w:color w:val="auto"/>
          <w:sz w:val="28"/>
          <w:szCs w:val="28"/>
          <w:highlight w:val="none"/>
        </w:rPr>
      </w:pPr>
    </w:p>
    <w:p w14:paraId="591B17D2">
      <w:pPr>
        <w:widowControl/>
        <w:jc w:val="left"/>
        <w:rPr>
          <w:rFonts w:hint="eastAsia" w:ascii="宋体" w:hAnsi="宋体" w:eastAsia="宋体" w:cs="宋体"/>
          <w:color w:val="auto"/>
          <w:highlight w:val="none"/>
          <w:lang w:eastAsia="zh-CN"/>
        </w:rPr>
      </w:pPr>
      <w:r>
        <w:rPr>
          <w:rFonts w:hint="eastAsia" w:ascii="宋体" w:hAnsi="宋体" w:cs="宋体"/>
          <w:b/>
          <w:color w:val="auto"/>
          <w:sz w:val="28"/>
          <w:szCs w:val="28"/>
          <w:highlight w:val="none"/>
          <w:lang w:val="en-US" w:eastAsia="zh-CN"/>
        </w:rPr>
        <w:br w:type="page"/>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供应商</w:t>
      </w:r>
      <w:r>
        <w:rPr>
          <w:rFonts w:hint="eastAsia" w:ascii="宋体" w:hAnsi="宋体" w:cs="宋体"/>
          <w:b/>
          <w:color w:val="auto"/>
          <w:sz w:val="28"/>
          <w:szCs w:val="28"/>
          <w:highlight w:val="none"/>
          <w:lang w:val="en-US" w:eastAsia="zh-CN"/>
        </w:rPr>
        <w:t>针对本项目</w:t>
      </w:r>
      <w:r>
        <w:rPr>
          <w:rFonts w:hint="eastAsia" w:ascii="宋体" w:hAnsi="宋体" w:eastAsia="宋体" w:cs="宋体"/>
          <w:b/>
          <w:color w:val="auto"/>
          <w:sz w:val="28"/>
          <w:szCs w:val="28"/>
          <w:highlight w:val="none"/>
        </w:rPr>
        <w:t>的服务承诺书（由供应商根据“采购需求”要求及评标方法自行编写，格式自拟）（必须提供）</w:t>
      </w:r>
    </w:p>
    <w:p w14:paraId="03D82F4D">
      <w:pPr>
        <w:widowControl/>
        <w:rPr>
          <w:rFonts w:hint="eastAsia" w:ascii="宋体" w:hAnsi="宋体" w:eastAsia="宋体" w:cs="宋体"/>
          <w:b/>
          <w:bCs/>
          <w:color w:val="auto"/>
          <w:kern w:val="0"/>
          <w:sz w:val="31"/>
          <w:szCs w:val="31"/>
          <w:highlight w:val="none"/>
        </w:rPr>
      </w:pPr>
    </w:p>
    <w:p w14:paraId="1E287511">
      <w:pPr>
        <w:widowControl/>
        <w:jc w:val="center"/>
        <w:rPr>
          <w:rFonts w:hint="eastAsia" w:ascii="宋体" w:hAnsi="宋体" w:eastAsia="宋体" w:cs="宋体"/>
          <w:color w:val="auto"/>
          <w:highlight w:val="none"/>
        </w:rPr>
      </w:pPr>
      <w:r>
        <w:rPr>
          <w:rFonts w:hint="eastAsia" w:ascii="宋体" w:hAnsi="宋体" w:eastAsia="宋体" w:cs="宋体"/>
          <w:b/>
          <w:bCs/>
          <w:color w:val="auto"/>
          <w:kern w:val="0"/>
          <w:sz w:val="31"/>
          <w:szCs w:val="31"/>
          <w:highlight w:val="none"/>
        </w:rPr>
        <w:t>服务承诺书（格式）</w:t>
      </w:r>
    </w:p>
    <w:p w14:paraId="75395039">
      <w:pPr>
        <w:widowControl/>
        <w:jc w:val="center"/>
        <w:rPr>
          <w:rFonts w:hint="eastAsia" w:ascii="宋体" w:hAnsi="宋体" w:eastAsia="宋体" w:cs="宋体"/>
          <w:b/>
          <w:bCs/>
          <w:color w:val="auto"/>
          <w:kern w:val="0"/>
          <w:sz w:val="20"/>
          <w:szCs w:val="20"/>
          <w:highlight w:val="none"/>
        </w:rPr>
      </w:pPr>
    </w:p>
    <w:p w14:paraId="09FD2D4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（由供应商根据“采购需求”要求及评标方法自行编写，格式自拟）</w:t>
      </w:r>
    </w:p>
    <w:p w14:paraId="1F4C11AB">
      <w:pPr>
        <w:widowControl/>
        <w:ind w:firstLine="1470" w:firstLineChars="700"/>
        <w:jc w:val="left"/>
        <w:rPr>
          <w:rFonts w:hint="eastAsia" w:ascii="宋体" w:hAnsi="宋体" w:eastAsia="宋体" w:cs="宋体"/>
          <w:color w:val="auto"/>
          <w:szCs w:val="21"/>
          <w:highlight w:val="none"/>
        </w:rPr>
      </w:pPr>
    </w:p>
    <w:p w14:paraId="6D69F09C">
      <w:pPr>
        <w:pStyle w:val="14"/>
        <w:rPr>
          <w:rFonts w:hint="eastAsia" w:ascii="宋体" w:hAnsi="宋体" w:eastAsia="宋体" w:cs="宋体"/>
          <w:color w:val="auto"/>
          <w:highlight w:val="none"/>
        </w:rPr>
      </w:pPr>
    </w:p>
    <w:p w14:paraId="3D5407EE">
      <w:pPr>
        <w:pStyle w:val="14"/>
        <w:rPr>
          <w:rFonts w:hint="eastAsia" w:ascii="宋体" w:hAnsi="宋体" w:eastAsia="宋体" w:cs="宋体"/>
          <w:color w:val="auto"/>
          <w:highlight w:val="none"/>
        </w:rPr>
      </w:pPr>
    </w:p>
    <w:p w14:paraId="1EFE7413">
      <w:pPr>
        <w:pStyle w:val="14"/>
        <w:rPr>
          <w:rFonts w:hint="eastAsia" w:ascii="宋体" w:hAnsi="宋体" w:eastAsia="宋体" w:cs="宋体"/>
          <w:color w:val="auto"/>
          <w:highlight w:val="none"/>
        </w:rPr>
      </w:pPr>
    </w:p>
    <w:p w14:paraId="288F34E3">
      <w:pPr>
        <w:widowControl/>
        <w:ind w:firstLine="1470" w:firstLineChars="700"/>
        <w:jc w:val="left"/>
        <w:rPr>
          <w:rFonts w:hint="eastAsia" w:ascii="宋体" w:hAnsi="宋体" w:eastAsia="宋体" w:cs="宋体"/>
          <w:color w:val="auto"/>
          <w:szCs w:val="21"/>
          <w:highlight w:val="none"/>
        </w:rPr>
      </w:pPr>
    </w:p>
    <w:p w14:paraId="2F330934">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0E80D44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1231E81E">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响应日期：</w:t>
      </w:r>
      <w:r>
        <w:rPr>
          <w:rFonts w:hint="eastAsia" w:ascii="宋体" w:hAnsi="宋体" w:eastAsia="宋体" w:cs="宋体"/>
          <w:color w:val="auto"/>
          <w:highlight w:val="none"/>
          <w:u w:val="single"/>
        </w:rPr>
        <w:t xml:space="preserve">                               　 </w:t>
      </w:r>
    </w:p>
    <w:p w14:paraId="384F279F">
      <w:pPr>
        <w:pStyle w:val="18"/>
        <w:spacing w:line="340" w:lineRule="exact"/>
        <w:rPr>
          <w:rFonts w:hint="eastAsia" w:ascii="宋体" w:hAnsi="宋体" w:eastAsia="宋体" w:cs="宋体"/>
          <w:b/>
          <w:color w:val="auto"/>
          <w:sz w:val="28"/>
          <w:szCs w:val="28"/>
          <w:highlight w:val="none"/>
        </w:rPr>
      </w:pPr>
    </w:p>
    <w:p w14:paraId="39C23085">
      <w:pPr>
        <w:pStyle w:val="10"/>
        <w:rPr>
          <w:rFonts w:hint="eastAsia" w:ascii="宋体" w:hAnsi="宋体" w:eastAsia="宋体" w:cs="宋体"/>
          <w:b/>
          <w:color w:val="auto"/>
          <w:sz w:val="28"/>
          <w:szCs w:val="28"/>
          <w:highlight w:val="none"/>
        </w:rPr>
      </w:pPr>
    </w:p>
    <w:p w14:paraId="04B1E595">
      <w:pPr>
        <w:rPr>
          <w:rFonts w:hint="eastAsia" w:ascii="宋体" w:hAnsi="宋体" w:eastAsia="宋体" w:cs="宋体"/>
          <w:b/>
          <w:color w:val="auto"/>
          <w:sz w:val="28"/>
          <w:szCs w:val="28"/>
          <w:highlight w:val="none"/>
        </w:rPr>
      </w:pPr>
    </w:p>
    <w:p w14:paraId="6637DE3F">
      <w:pPr>
        <w:pStyle w:val="14"/>
        <w:rPr>
          <w:rFonts w:hint="eastAsia" w:ascii="宋体" w:hAnsi="宋体" w:eastAsia="宋体" w:cs="宋体"/>
          <w:b/>
          <w:color w:val="auto"/>
          <w:sz w:val="28"/>
          <w:szCs w:val="28"/>
          <w:highlight w:val="none"/>
        </w:rPr>
      </w:pPr>
    </w:p>
    <w:p w14:paraId="257C281C">
      <w:pPr>
        <w:rPr>
          <w:rFonts w:hint="eastAsia" w:ascii="宋体" w:hAnsi="宋体" w:eastAsia="宋体" w:cs="宋体"/>
          <w:b/>
          <w:color w:val="auto"/>
          <w:sz w:val="28"/>
          <w:szCs w:val="28"/>
          <w:highlight w:val="none"/>
        </w:rPr>
      </w:pPr>
    </w:p>
    <w:p w14:paraId="4A1189EF">
      <w:pPr>
        <w:pStyle w:val="14"/>
        <w:rPr>
          <w:rFonts w:hint="eastAsia" w:ascii="宋体" w:hAnsi="宋体" w:eastAsia="宋体" w:cs="宋体"/>
          <w:b/>
          <w:color w:val="auto"/>
          <w:sz w:val="28"/>
          <w:szCs w:val="28"/>
          <w:highlight w:val="none"/>
        </w:rPr>
      </w:pPr>
    </w:p>
    <w:p w14:paraId="3DC65A8E">
      <w:pPr>
        <w:rPr>
          <w:rFonts w:hint="eastAsia" w:ascii="宋体" w:hAnsi="宋体" w:eastAsia="宋体" w:cs="宋体"/>
          <w:b/>
          <w:color w:val="auto"/>
          <w:sz w:val="28"/>
          <w:szCs w:val="28"/>
          <w:highlight w:val="none"/>
        </w:rPr>
      </w:pPr>
    </w:p>
    <w:p w14:paraId="031EDA34">
      <w:pPr>
        <w:pStyle w:val="14"/>
        <w:rPr>
          <w:rFonts w:hint="eastAsia" w:ascii="宋体" w:hAnsi="宋体" w:eastAsia="宋体" w:cs="宋体"/>
          <w:b/>
          <w:color w:val="auto"/>
          <w:sz w:val="28"/>
          <w:szCs w:val="28"/>
          <w:highlight w:val="none"/>
        </w:rPr>
      </w:pPr>
    </w:p>
    <w:p w14:paraId="79B6F4EC">
      <w:pPr>
        <w:rPr>
          <w:rFonts w:hint="eastAsia" w:ascii="宋体" w:hAnsi="宋体" w:eastAsia="宋体" w:cs="宋体"/>
          <w:b/>
          <w:color w:val="auto"/>
          <w:sz w:val="28"/>
          <w:szCs w:val="28"/>
          <w:highlight w:val="none"/>
        </w:rPr>
      </w:pPr>
    </w:p>
    <w:p w14:paraId="48A9765D">
      <w:pPr>
        <w:pStyle w:val="14"/>
        <w:rPr>
          <w:rFonts w:hint="eastAsia" w:ascii="宋体" w:hAnsi="宋体" w:eastAsia="宋体" w:cs="宋体"/>
          <w:b/>
          <w:color w:val="auto"/>
          <w:sz w:val="28"/>
          <w:szCs w:val="28"/>
          <w:highlight w:val="none"/>
        </w:rPr>
      </w:pPr>
    </w:p>
    <w:p w14:paraId="159321FE">
      <w:pPr>
        <w:rPr>
          <w:rFonts w:hint="eastAsia" w:ascii="宋体" w:hAnsi="宋体" w:eastAsia="宋体" w:cs="宋体"/>
          <w:b/>
          <w:color w:val="auto"/>
          <w:sz w:val="28"/>
          <w:szCs w:val="28"/>
          <w:highlight w:val="none"/>
        </w:rPr>
      </w:pPr>
    </w:p>
    <w:p w14:paraId="2147D244">
      <w:pPr>
        <w:spacing w:line="340" w:lineRule="exact"/>
        <w:ind w:left="420"/>
        <w:jc w:val="center"/>
        <w:rPr>
          <w:rFonts w:hint="eastAsia" w:ascii="宋体" w:hAnsi="宋体" w:eastAsia="宋体" w:cs="宋体"/>
          <w:color w:val="auto"/>
          <w:szCs w:val="21"/>
          <w:highlight w:val="none"/>
        </w:rPr>
      </w:pPr>
      <w:bookmarkStart w:id="157" w:name="_Toc497927084"/>
      <w:bookmarkStart w:id="158" w:name="_Toc9339"/>
      <w:bookmarkStart w:id="159" w:name="_Toc28672"/>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（三）其他有效证明材料目录</w:t>
      </w:r>
      <w:bookmarkEnd w:id="157"/>
      <w:bookmarkEnd w:id="158"/>
      <w:bookmarkEnd w:id="159"/>
    </w:p>
    <w:p w14:paraId="3DCA7008">
      <w:pPr>
        <w:spacing w:line="360" w:lineRule="auto"/>
        <w:ind w:firstLine="420" w:firstLineChars="200"/>
        <w:jc w:val="left"/>
        <w:rPr>
          <w:rFonts w:hint="eastAsia" w:ascii="宋体" w:hAnsi="宋体" w:eastAsia="宋体" w:cs="宋体"/>
          <w:color w:val="auto"/>
          <w:szCs w:val="21"/>
          <w:highlight w:val="none"/>
        </w:rPr>
      </w:pPr>
    </w:p>
    <w:p w14:paraId="5312C3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Times New Roman"/>
          <w:color w:val="auto"/>
          <w:kern w:val="2"/>
          <w:sz w:val="21"/>
          <w:szCs w:val="20"/>
          <w:highlight w:val="none"/>
          <w:lang w:val="en-US" w:eastAsia="zh-CN" w:bidi="ar"/>
        </w:rPr>
        <w:t>供应商 202</w:t>
      </w:r>
      <w:r>
        <w:rPr>
          <w:rFonts w:hint="eastAsia" w:ascii="宋体" w:hAnsi="宋体" w:cs="Times New Roman"/>
          <w:color w:val="auto"/>
          <w:kern w:val="2"/>
          <w:sz w:val="21"/>
          <w:szCs w:val="20"/>
          <w:highlight w:val="none"/>
          <w:lang w:val="en-US" w:eastAsia="zh-CN" w:bidi="ar"/>
        </w:rPr>
        <w:t>2</w:t>
      </w:r>
      <w:r>
        <w:rPr>
          <w:rFonts w:hint="eastAsia" w:ascii="宋体" w:hAnsi="宋体" w:eastAsia="宋体" w:cs="Times New Roman"/>
          <w:color w:val="auto"/>
          <w:kern w:val="2"/>
          <w:sz w:val="21"/>
          <w:szCs w:val="20"/>
          <w:highlight w:val="none"/>
          <w:lang w:val="en-US" w:eastAsia="zh-CN" w:bidi="ar"/>
        </w:rPr>
        <w:t xml:space="preserve"> 年以来</w:t>
      </w:r>
      <w:r>
        <w:rPr>
          <w:rFonts w:hint="eastAsia" w:ascii="宋体" w:hAnsi="宋体" w:cs="Times New Roman"/>
          <w:color w:val="auto"/>
          <w:kern w:val="2"/>
          <w:sz w:val="21"/>
          <w:szCs w:val="20"/>
          <w:highlight w:val="none"/>
          <w:lang w:val="en-US" w:eastAsia="zh-CN" w:bidi="ar"/>
        </w:rPr>
        <w:t>相关</w:t>
      </w:r>
      <w:r>
        <w:rPr>
          <w:rFonts w:hint="eastAsia" w:ascii="宋体" w:hAnsi="宋体" w:eastAsia="宋体" w:cs="Times New Roman"/>
          <w:color w:val="auto"/>
          <w:kern w:val="2"/>
          <w:sz w:val="21"/>
          <w:szCs w:val="20"/>
          <w:highlight w:val="none"/>
          <w:lang w:val="en-US" w:eastAsia="zh-CN" w:bidi="ar"/>
        </w:rPr>
        <w:t>业绩的证明材料复印件</w:t>
      </w:r>
      <w:r>
        <w:rPr>
          <w:rFonts w:hint="eastAsia" w:ascii="宋体" w:hAnsi="宋体" w:eastAsia="宋体" w:cs="Times New Roman"/>
          <w:b/>
          <w:bCs/>
          <w:color w:val="auto"/>
          <w:kern w:val="2"/>
          <w:sz w:val="21"/>
          <w:szCs w:val="20"/>
          <w:highlight w:val="none"/>
          <w:lang w:val="en-US" w:eastAsia="zh-CN" w:bidi="ar"/>
        </w:rPr>
        <w:t>（如有，请提供）</w:t>
      </w:r>
      <w:r>
        <w:rPr>
          <w:rFonts w:hint="eastAsia" w:ascii="宋体" w:hAnsi="宋体" w:eastAsia="宋体" w:cs="宋体"/>
          <w:b/>
          <w:bCs/>
          <w:color w:val="auto"/>
          <w:szCs w:val="21"/>
          <w:highlight w:val="none"/>
        </w:rPr>
        <w:t>；</w:t>
      </w:r>
    </w:p>
    <w:p w14:paraId="0158CE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olor w:val="auto"/>
          <w:szCs w:val="20"/>
          <w:highlight w:val="none"/>
          <w:lang w:eastAsia="zh-CN"/>
        </w:rPr>
        <w:t>供应商</w:t>
      </w:r>
      <w:r>
        <w:rPr>
          <w:rFonts w:hint="eastAsia" w:ascii="宋体" w:hAnsi="宋体"/>
          <w:color w:val="auto"/>
          <w:szCs w:val="20"/>
          <w:highlight w:val="none"/>
        </w:rPr>
        <w:t>相关获奖证书、认证证书等复印件</w:t>
      </w:r>
      <w:r>
        <w:rPr>
          <w:rFonts w:hint="eastAsia" w:ascii="宋体" w:hAnsi="宋体"/>
          <w:b/>
          <w:color w:val="auto"/>
          <w:highlight w:val="none"/>
        </w:rPr>
        <w:t>（如有，请提供）</w:t>
      </w:r>
      <w:r>
        <w:rPr>
          <w:rFonts w:hint="eastAsia" w:ascii="宋体" w:hAnsi="宋体"/>
          <w:b/>
          <w:color w:val="auto"/>
          <w:highlight w:val="none"/>
          <w:lang w:eastAsia="zh-CN"/>
        </w:rPr>
        <w:t>；</w:t>
      </w:r>
    </w:p>
    <w:p w14:paraId="41BC520B">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供应商可结合本项目的评审办法视自身情况自行提交其它相关证明材料</w:t>
      </w:r>
      <w:r>
        <w:rPr>
          <w:rFonts w:hint="eastAsia" w:ascii="宋体" w:hAnsi="宋体" w:eastAsia="宋体" w:cs="Times New Roman"/>
          <w:b/>
          <w:bCs/>
          <w:color w:val="auto"/>
          <w:kern w:val="2"/>
          <w:sz w:val="21"/>
          <w:szCs w:val="20"/>
          <w:highlight w:val="none"/>
          <w:lang w:val="en-US" w:eastAsia="zh-CN" w:bidi="ar"/>
        </w:rPr>
        <w:t>（如有，请提供）</w:t>
      </w:r>
      <w:r>
        <w:rPr>
          <w:rFonts w:hint="eastAsia" w:ascii="宋体" w:hAnsi="宋体" w:eastAsia="宋体" w:cs="宋体"/>
          <w:color w:val="auto"/>
          <w:szCs w:val="21"/>
          <w:highlight w:val="none"/>
        </w:rPr>
        <w:t>。</w:t>
      </w:r>
    </w:p>
    <w:p w14:paraId="7D131E78">
      <w:pPr>
        <w:spacing w:line="360" w:lineRule="auto"/>
        <w:ind w:firstLine="480" w:firstLineChars="200"/>
        <w:rPr>
          <w:rFonts w:hint="eastAsia" w:ascii="宋体" w:hAnsi="宋体" w:eastAsia="宋体" w:cs="宋体"/>
          <w:color w:val="auto"/>
          <w:sz w:val="24"/>
          <w:highlight w:val="none"/>
        </w:rPr>
      </w:pPr>
    </w:p>
    <w:p w14:paraId="427374E2">
      <w:pPr>
        <w:pStyle w:val="18"/>
        <w:spacing w:line="340" w:lineRule="exact"/>
        <w:rPr>
          <w:rFonts w:hint="eastAsia" w:ascii="宋体" w:hAnsi="宋体" w:eastAsia="宋体" w:cs="宋体"/>
          <w:b/>
          <w:color w:val="auto"/>
          <w:sz w:val="28"/>
          <w:szCs w:val="28"/>
          <w:highlight w:val="none"/>
          <w:lang w:val="en-US" w:eastAsia="zh-CN"/>
        </w:rPr>
      </w:pPr>
      <w:bookmarkStart w:id="160" w:name="_Toc3052"/>
      <w:bookmarkStart w:id="161" w:name="_Toc497927090"/>
      <w:bookmarkStart w:id="162" w:name="_Toc10161"/>
    </w:p>
    <w:p w14:paraId="6160952E">
      <w:pPr>
        <w:pStyle w:val="18"/>
        <w:spacing w:line="340" w:lineRule="exact"/>
        <w:rPr>
          <w:rFonts w:hint="eastAsia" w:ascii="宋体" w:hAnsi="宋体" w:eastAsia="宋体" w:cs="宋体"/>
          <w:b/>
          <w:color w:val="auto"/>
          <w:sz w:val="28"/>
          <w:szCs w:val="28"/>
          <w:highlight w:val="none"/>
          <w:lang w:val="en-US" w:eastAsia="zh-CN"/>
        </w:rPr>
      </w:pPr>
    </w:p>
    <w:p w14:paraId="68E5C75E">
      <w:pPr>
        <w:pStyle w:val="18"/>
        <w:spacing w:line="340" w:lineRule="exact"/>
        <w:rPr>
          <w:rFonts w:hint="eastAsia" w:ascii="宋体" w:hAnsi="宋体" w:eastAsia="宋体" w:cs="宋体"/>
          <w:b/>
          <w:color w:val="auto"/>
          <w:sz w:val="28"/>
          <w:szCs w:val="28"/>
          <w:highlight w:val="none"/>
          <w:lang w:val="en-US" w:eastAsia="zh-CN"/>
        </w:rPr>
      </w:pPr>
    </w:p>
    <w:p w14:paraId="0B9D8EA3">
      <w:pPr>
        <w:pStyle w:val="18"/>
        <w:spacing w:line="340" w:lineRule="exact"/>
        <w:rPr>
          <w:rFonts w:hint="eastAsia" w:ascii="宋体" w:hAnsi="宋体" w:eastAsia="宋体" w:cs="宋体"/>
          <w:b/>
          <w:color w:val="auto"/>
          <w:sz w:val="28"/>
          <w:szCs w:val="28"/>
          <w:highlight w:val="none"/>
          <w:lang w:val="en-US" w:eastAsia="zh-CN"/>
        </w:rPr>
      </w:pPr>
    </w:p>
    <w:p w14:paraId="48AB28EB">
      <w:pPr>
        <w:pStyle w:val="18"/>
        <w:spacing w:line="340" w:lineRule="exact"/>
        <w:rPr>
          <w:rFonts w:hint="eastAsia" w:ascii="宋体" w:hAnsi="宋体" w:eastAsia="宋体" w:cs="宋体"/>
          <w:b/>
          <w:color w:val="auto"/>
          <w:sz w:val="28"/>
          <w:szCs w:val="28"/>
          <w:highlight w:val="none"/>
          <w:lang w:val="en-US" w:eastAsia="zh-CN"/>
        </w:rPr>
      </w:pPr>
    </w:p>
    <w:p w14:paraId="2E9FF67F">
      <w:pPr>
        <w:pStyle w:val="18"/>
        <w:spacing w:line="340" w:lineRule="exact"/>
        <w:rPr>
          <w:rFonts w:hint="eastAsia" w:ascii="宋体" w:hAnsi="宋体" w:eastAsia="宋体" w:cs="宋体"/>
          <w:b/>
          <w:color w:val="auto"/>
          <w:sz w:val="28"/>
          <w:szCs w:val="28"/>
          <w:highlight w:val="none"/>
          <w:lang w:val="en-US" w:eastAsia="zh-CN"/>
        </w:rPr>
      </w:pPr>
    </w:p>
    <w:p w14:paraId="0D1E914B">
      <w:pPr>
        <w:pStyle w:val="18"/>
        <w:spacing w:line="340" w:lineRule="exact"/>
        <w:rPr>
          <w:rFonts w:hint="eastAsia" w:ascii="宋体" w:hAnsi="宋体" w:eastAsia="宋体" w:cs="宋体"/>
          <w:b/>
          <w:color w:val="auto"/>
          <w:sz w:val="28"/>
          <w:szCs w:val="28"/>
          <w:highlight w:val="none"/>
          <w:lang w:val="en-US" w:eastAsia="zh-CN"/>
        </w:rPr>
      </w:pPr>
    </w:p>
    <w:p w14:paraId="486B687B">
      <w:pPr>
        <w:pStyle w:val="18"/>
        <w:spacing w:line="340" w:lineRule="exact"/>
        <w:rPr>
          <w:rFonts w:hint="eastAsia" w:ascii="宋体" w:hAnsi="宋体" w:eastAsia="宋体" w:cs="宋体"/>
          <w:b/>
          <w:color w:val="auto"/>
          <w:sz w:val="28"/>
          <w:szCs w:val="28"/>
          <w:highlight w:val="none"/>
          <w:lang w:val="en-US" w:eastAsia="zh-CN"/>
        </w:rPr>
      </w:pPr>
    </w:p>
    <w:p w14:paraId="446F819E">
      <w:pPr>
        <w:pStyle w:val="18"/>
        <w:spacing w:line="340" w:lineRule="exact"/>
        <w:rPr>
          <w:rFonts w:hint="eastAsia" w:ascii="宋体" w:hAnsi="宋体" w:eastAsia="宋体" w:cs="宋体"/>
          <w:b/>
          <w:color w:val="auto"/>
          <w:sz w:val="28"/>
          <w:szCs w:val="28"/>
          <w:highlight w:val="none"/>
          <w:lang w:val="en-US" w:eastAsia="zh-CN"/>
        </w:rPr>
      </w:pPr>
    </w:p>
    <w:p w14:paraId="62FEA012">
      <w:pPr>
        <w:pStyle w:val="18"/>
        <w:spacing w:line="340" w:lineRule="exact"/>
        <w:rPr>
          <w:rFonts w:hint="eastAsia" w:ascii="宋体" w:hAnsi="宋体" w:eastAsia="宋体" w:cs="宋体"/>
          <w:b/>
          <w:color w:val="auto"/>
          <w:sz w:val="28"/>
          <w:szCs w:val="28"/>
          <w:highlight w:val="none"/>
          <w:lang w:val="en-US" w:eastAsia="zh-CN"/>
        </w:rPr>
      </w:pPr>
    </w:p>
    <w:p w14:paraId="07573368">
      <w:pPr>
        <w:pStyle w:val="18"/>
        <w:spacing w:line="340" w:lineRule="exact"/>
        <w:rPr>
          <w:rFonts w:hint="eastAsia" w:ascii="宋体" w:hAnsi="宋体" w:eastAsia="宋体" w:cs="宋体"/>
          <w:b/>
          <w:color w:val="auto"/>
          <w:sz w:val="28"/>
          <w:szCs w:val="28"/>
          <w:highlight w:val="none"/>
          <w:lang w:val="en-US" w:eastAsia="zh-CN"/>
        </w:rPr>
      </w:pPr>
    </w:p>
    <w:p w14:paraId="45564F35">
      <w:pPr>
        <w:pStyle w:val="18"/>
        <w:spacing w:line="340" w:lineRule="exact"/>
        <w:rPr>
          <w:rFonts w:hint="eastAsia" w:ascii="宋体" w:hAnsi="宋体" w:eastAsia="宋体" w:cs="宋体"/>
          <w:b/>
          <w:color w:val="auto"/>
          <w:sz w:val="28"/>
          <w:szCs w:val="28"/>
          <w:highlight w:val="none"/>
          <w:lang w:val="en-US" w:eastAsia="zh-CN"/>
        </w:rPr>
      </w:pPr>
    </w:p>
    <w:p w14:paraId="60F37E0D">
      <w:pPr>
        <w:pStyle w:val="18"/>
        <w:spacing w:line="340" w:lineRule="exact"/>
        <w:rPr>
          <w:rFonts w:hint="eastAsia" w:ascii="宋体" w:hAnsi="宋体" w:eastAsia="宋体" w:cs="宋体"/>
          <w:b/>
          <w:color w:val="auto"/>
          <w:sz w:val="28"/>
          <w:szCs w:val="28"/>
          <w:highlight w:val="none"/>
          <w:lang w:val="en-US" w:eastAsia="zh-CN"/>
        </w:rPr>
      </w:pPr>
    </w:p>
    <w:p w14:paraId="0BF67822">
      <w:pPr>
        <w:pStyle w:val="18"/>
        <w:spacing w:line="340" w:lineRule="exact"/>
        <w:rPr>
          <w:rFonts w:hint="eastAsia" w:ascii="宋体" w:hAnsi="宋体" w:eastAsia="宋体" w:cs="宋体"/>
          <w:b/>
          <w:color w:val="auto"/>
          <w:sz w:val="28"/>
          <w:szCs w:val="28"/>
          <w:highlight w:val="none"/>
          <w:lang w:val="en-US" w:eastAsia="zh-CN"/>
        </w:rPr>
      </w:pPr>
    </w:p>
    <w:p w14:paraId="5197156F">
      <w:pPr>
        <w:pStyle w:val="18"/>
        <w:spacing w:line="340" w:lineRule="exact"/>
        <w:rPr>
          <w:rFonts w:hint="eastAsia" w:ascii="宋体" w:hAnsi="宋体" w:eastAsia="宋体" w:cs="宋体"/>
          <w:b/>
          <w:color w:val="auto"/>
          <w:sz w:val="28"/>
          <w:szCs w:val="28"/>
          <w:highlight w:val="none"/>
          <w:lang w:val="en-US" w:eastAsia="zh-CN"/>
        </w:rPr>
      </w:pPr>
    </w:p>
    <w:p w14:paraId="65E568CF">
      <w:pPr>
        <w:pStyle w:val="18"/>
        <w:spacing w:line="340" w:lineRule="exact"/>
        <w:rPr>
          <w:rFonts w:hint="eastAsia" w:ascii="宋体" w:hAnsi="宋体" w:eastAsia="宋体" w:cs="宋体"/>
          <w:b/>
          <w:color w:val="auto"/>
          <w:sz w:val="28"/>
          <w:szCs w:val="28"/>
          <w:highlight w:val="none"/>
          <w:lang w:val="en-US" w:eastAsia="zh-CN"/>
        </w:rPr>
      </w:pPr>
    </w:p>
    <w:p w14:paraId="00D78EE6">
      <w:pPr>
        <w:pStyle w:val="18"/>
        <w:spacing w:line="340" w:lineRule="exact"/>
        <w:rPr>
          <w:rFonts w:hint="eastAsia" w:ascii="宋体" w:hAnsi="宋体" w:eastAsia="宋体" w:cs="宋体"/>
          <w:b/>
          <w:color w:val="auto"/>
          <w:sz w:val="28"/>
          <w:szCs w:val="28"/>
          <w:highlight w:val="none"/>
          <w:lang w:val="en-US" w:eastAsia="zh-CN"/>
        </w:rPr>
      </w:pPr>
    </w:p>
    <w:p w14:paraId="738B04F3">
      <w:pPr>
        <w:pStyle w:val="18"/>
        <w:spacing w:line="340" w:lineRule="exact"/>
        <w:rPr>
          <w:rFonts w:hint="eastAsia" w:ascii="宋体" w:hAnsi="宋体" w:eastAsia="宋体" w:cs="宋体"/>
          <w:b/>
          <w:color w:val="auto"/>
          <w:sz w:val="28"/>
          <w:szCs w:val="28"/>
          <w:highlight w:val="none"/>
          <w:lang w:val="en-US" w:eastAsia="zh-CN"/>
        </w:rPr>
      </w:pPr>
    </w:p>
    <w:p w14:paraId="12EE427A">
      <w:pPr>
        <w:pStyle w:val="18"/>
        <w:spacing w:line="340" w:lineRule="exact"/>
        <w:rPr>
          <w:rFonts w:hint="eastAsia" w:ascii="宋体" w:hAnsi="宋体" w:eastAsia="宋体" w:cs="宋体"/>
          <w:b/>
          <w:color w:val="auto"/>
          <w:sz w:val="28"/>
          <w:szCs w:val="28"/>
          <w:highlight w:val="none"/>
          <w:lang w:val="en-US" w:eastAsia="zh-CN"/>
        </w:rPr>
      </w:pPr>
    </w:p>
    <w:p w14:paraId="71D14F7C">
      <w:pPr>
        <w:pStyle w:val="18"/>
        <w:spacing w:line="340" w:lineRule="exact"/>
        <w:rPr>
          <w:rFonts w:hint="eastAsia" w:ascii="宋体" w:hAnsi="宋体" w:eastAsia="宋体" w:cs="宋体"/>
          <w:b/>
          <w:color w:val="auto"/>
          <w:sz w:val="28"/>
          <w:szCs w:val="28"/>
          <w:highlight w:val="none"/>
          <w:lang w:val="en-US" w:eastAsia="zh-CN"/>
        </w:rPr>
      </w:pPr>
    </w:p>
    <w:p w14:paraId="49309779">
      <w:pPr>
        <w:pStyle w:val="18"/>
        <w:spacing w:line="340" w:lineRule="exact"/>
        <w:rPr>
          <w:rFonts w:hint="eastAsia" w:ascii="宋体" w:hAnsi="宋体" w:eastAsia="宋体" w:cs="宋体"/>
          <w:b/>
          <w:color w:val="auto"/>
          <w:sz w:val="28"/>
          <w:szCs w:val="28"/>
          <w:highlight w:val="none"/>
          <w:lang w:val="en-US" w:eastAsia="zh-CN"/>
        </w:rPr>
      </w:pPr>
    </w:p>
    <w:p w14:paraId="4CFB6D6C">
      <w:pPr>
        <w:pStyle w:val="18"/>
        <w:spacing w:line="340" w:lineRule="exact"/>
        <w:rPr>
          <w:rFonts w:hint="eastAsia" w:ascii="宋体" w:hAnsi="宋体" w:eastAsia="宋体" w:cs="宋体"/>
          <w:b/>
          <w:color w:val="auto"/>
          <w:sz w:val="28"/>
          <w:szCs w:val="28"/>
          <w:highlight w:val="none"/>
          <w:lang w:val="en-US" w:eastAsia="zh-CN"/>
        </w:rPr>
      </w:pPr>
    </w:p>
    <w:p w14:paraId="37010C32">
      <w:pPr>
        <w:pStyle w:val="18"/>
        <w:spacing w:line="340" w:lineRule="exact"/>
        <w:rPr>
          <w:rFonts w:hint="eastAsia" w:ascii="宋体" w:hAnsi="宋体" w:eastAsia="宋体" w:cs="宋体"/>
          <w:b/>
          <w:color w:val="auto"/>
          <w:sz w:val="28"/>
          <w:szCs w:val="28"/>
          <w:highlight w:val="none"/>
          <w:lang w:val="en-US" w:eastAsia="zh-CN"/>
        </w:rPr>
      </w:pPr>
    </w:p>
    <w:p w14:paraId="5E3895FE">
      <w:pPr>
        <w:pStyle w:val="18"/>
        <w:spacing w:line="340" w:lineRule="exact"/>
        <w:rPr>
          <w:rFonts w:hint="eastAsia" w:ascii="宋体" w:hAnsi="宋体" w:eastAsia="宋体" w:cs="宋体"/>
          <w:b/>
          <w:color w:val="auto"/>
          <w:sz w:val="28"/>
          <w:szCs w:val="28"/>
          <w:highlight w:val="none"/>
          <w:lang w:val="en-US" w:eastAsia="zh-CN"/>
        </w:rPr>
      </w:pPr>
    </w:p>
    <w:p w14:paraId="76A2B2FE">
      <w:pPr>
        <w:pStyle w:val="18"/>
        <w:spacing w:line="340" w:lineRule="exact"/>
        <w:rPr>
          <w:rFonts w:hint="eastAsia" w:ascii="宋体" w:hAnsi="宋体" w:eastAsia="宋体" w:cs="宋体"/>
          <w:b/>
          <w:color w:val="auto"/>
          <w:sz w:val="28"/>
          <w:szCs w:val="28"/>
          <w:highlight w:val="none"/>
          <w:lang w:val="en-US" w:eastAsia="zh-CN"/>
        </w:rPr>
      </w:pPr>
    </w:p>
    <w:p w14:paraId="393B2D25">
      <w:pPr>
        <w:pStyle w:val="18"/>
        <w:spacing w:line="340" w:lineRule="exact"/>
        <w:rPr>
          <w:rFonts w:hint="eastAsia" w:ascii="宋体" w:hAnsi="宋体" w:eastAsia="宋体" w:cs="宋体"/>
          <w:b/>
          <w:color w:val="auto"/>
          <w:sz w:val="28"/>
          <w:szCs w:val="28"/>
          <w:highlight w:val="none"/>
          <w:lang w:val="en-US" w:eastAsia="zh-CN"/>
        </w:rPr>
      </w:pPr>
    </w:p>
    <w:p w14:paraId="203B9931">
      <w:pPr>
        <w:pStyle w:val="18"/>
        <w:spacing w:line="340" w:lineRule="exact"/>
        <w:rPr>
          <w:rFonts w:hint="eastAsia" w:ascii="宋体" w:hAnsi="宋体" w:eastAsia="宋体" w:cs="宋体"/>
          <w:b/>
          <w:color w:val="auto"/>
          <w:sz w:val="28"/>
          <w:szCs w:val="28"/>
          <w:highlight w:val="none"/>
          <w:lang w:val="en-US" w:eastAsia="zh-CN"/>
        </w:rPr>
      </w:pPr>
    </w:p>
    <w:p w14:paraId="443C4B18">
      <w:pPr>
        <w:pStyle w:val="18"/>
        <w:spacing w:line="340" w:lineRule="exact"/>
        <w:rPr>
          <w:rFonts w:hint="eastAsia" w:ascii="宋体" w:hAnsi="宋体" w:eastAsia="宋体" w:cs="宋体"/>
          <w:b/>
          <w:color w:val="auto"/>
          <w:sz w:val="28"/>
          <w:szCs w:val="28"/>
          <w:highlight w:val="none"/>
          <w:lang w:val="en-US" w:eastAsia="zh-CN"/>
        </w:rPr>
      </w:pPr>
    </w:p>
    <w:p w14:paraId="5E137DDC">
      <w:pPr>
        <w:pStyle w:val="18"/>
        <w:spacing w:line="340" w:lineRule="exact"/>
        <w:rPr>
          <w:rFonts w:hint="eastAsia" w:ascii="宋体" w:hAnsi="宋体" w:eastAsia="宋体" w:cs="宋体"/>
          <w:b/>
          <w:color w:val="auto"/>
          <w:sz w:val="28"/>
          <w:szCs w:val="28"/>
          <w:highlight w:val="none"/>
          <w:lang w:val="en-US" w:eastAsia="zh-CN"/>
        </w:rPr>
      </w:pPr>
    </w:p>
    <w:p w14:paraId="2431B7F0">
      <w:pPr>
        <w:pStyle w:val="18"/>
        <w:spacing w:line="340" w:lineRule="exact"/>
        <w:rPr>
          <w:rFonts w:hint="eastAsia" w:ascii="宋体" w:hAnsi="宋体" w:eastAsia="宋体" w:cs="宋体"/>
          <w:b/>
          <w:color w:val="auto"/>
          <w:sz w:val="28"/>
          <w:szCs w:val="28"/>
          <w:highlight w:val="none"/>
          <w:lang w:val="en-US" w:eastAsia="zh-CN"/>
        </w:rPr>
      </w:pPr>
    </w:p>
    <w:p w14:paraId="561FD783">
      <w:pPr>
        <w:pStyle w:val="18"/>
        <w:spacing w:line="340" w:lineRule="exact"/>
        <w:rPr>
          <w:rFonts w:hint="eastAsia" w:ascii="宋体" w:hAnsi="宋体" w:eastAsia="宋体" w:cs="宋体"/>
          <w:b/>
          <w:color w:val="auto"/>
          <w:sz w:val="28"/>
          <w:szCs w:val="28"/>
          <w:highlight w:val="none"/>
          <w:lang w:val="en-US" w:eastAsia="zh-CN"/>
        </w:rPr>
      </w:pPr>
    </w:p>
    <w:p w14:paraId="195B995E">
      <w:pPr>
        <w:pStyle w:val="18"/>
        <w:spacing w:line="340" w:lineRule="exact"/>
        <w:rPr>
          <w:rFonts w:hint="eastAsia" w:ascii="宋体" w:hAnsi="宋体" w:eastAsia="宋体" w:cs="宋体"/>
          <w:b/>
          <w:color w:val="auto"/>
          <w:sz w:val="28"/>
          <w:szCs w:val="28"/>
          <w:highlight w:val="none"/>
          <w:lang w:val="en-US" w:eastAsia="zh-CN"/>
        </w:rPr>
      </w:pPr>
    </w:p>
    <w:p w14:paraId="76CA3F9E">
      <w:pPr>
        <w:pStyle w:val="18"/>
        <w:spacing w:line="340" w:lineRule="exact"/>
        <w:rPr>
          <w:rFonts w:hint="eastAsia" w:ascii="宋体" w:hAnsi="宋体" w:eastAsia="宋体" w:cs="宋体"/>
          <w:b/>
          <w:color w:val="auto"/>
          <w:sz w:val="28"/>
          <w:szCs w:val="28"/>
          <w:highlight w:val="none"/>
          <w:lang w:val="en-US" w:eastAsia="zh-CN"/>
        </w:rPr>
      </w:pPr>
    </w:p>
    <w:p w14:paraId="28DA1AC9">
      <w:pPr>
        <w:pStyle w:val="18"/>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w:t>
      </w:r>
      <w:r>
        <w:rPr>
          <w:rFonts w:hint="eastAsia" w:hAnsi="宋体" w:cs="宋体"/>
          <w:b/>
          <w:color w:val="auto"/>
          <w:kern w:val="2"/>
          <w:sz w:val="28"/>
          <w:szCs w:val="28"/>
          <w:highlight w:val="none"/>
          <w:lang w:val="en-US" w:eastAsia="zh-CN" w:bidi="ar"/>
        </w:rPr>
        <w:t>供应商2022年以来相关业绩的证明材料复印件</w:t>
      </w:r>
      <w:r>
        <w:rPr>
          <w:rFonts w:hint="eastAsia" w:ascii="宋体" w:hAnsi="宋体" w:eastAsia="宋体" w:cs="宋体"/>
          <w:b/>
          <w:color w:val="auto"/>
          <w:kern w:val="2"/>
          <w:sz w:val="28"/>
          <w:szCs w:val="28"/>
          <w:highlight w:val="none"/>
          <w:lang w:val="en-US" w:eastAsia="zh-CN" w:bidi="ar"/>
        </w:rPr>
        <w:t>（如有，请提供）</w:t>
      </w:r>
      <w:bookmarkEnd w:id="160"/>
      <w:bookmarkEnd w:id="161"/>
      <w:bookmarkEnd w:id="162"/>
    </w:p>
    <w:p w14:paraId="2F2E9E78">
      <w:pPr>
        <w:pStyle w:val="18"/>
        <w:spacing w:line="340" w:lineRule="exact"/>
        <w:rPr>
          <w:rFonts w:hint="eastAsia" w:ascii="宋体" w:hAnsi="宋体" w:eastAsia="宋体" w:cs="宋体"/>
          <w:b/>
          <w:color w:val="auto"/>
          <w:sz w:val="28"/>
          <w:szCs w:val="28"/>
          <w:highlight w:val="none"/>
        </w:rPr>
      </w:pPr>
    </w:p>
    <w:p w14:paraId="6F850779">
      <w:pPr>
        <w:pStyle w:val="10"/>
        <w:rPr>
          <w:rFonts w:hint="eastAsia" w:ascii="宋体" w:hAnsi="宋体" w:eastAsia="宋体" w:cs="宋体"/>
          <w:b/>
          <w:color w:val="auto"/>
          <w:sz w:val="28"/>
          <w:szCs w:val="28"/>
          <w:highlight w:val="none"/>
        </w:rPr>
      </w:pPr>
    </w:p>
    <w:p w14:paraId="651D124D">
      <w:pPr>
        <w:rPr>
          <w:rFonts w:hint="eastAsia" w:ascii="宋体" w:hAnsi="宋体" w:eastAsia="宋体" w:cs="宋体"/>
          <w:b/>
          <w:color w:val="auto"/>
          <w:sz w:val="28"/>
          <w:szCs w:val="28"/>
          <w:highlight w:val="none"/>
        </w:rPr>
      </w:pPr>
    </w:p>
    <w:p w14:paraId="20007752">
      <w:pPr>
        <w:rPr>
          <w:rFonts w:hint="eastAsia" w:ascii="宋体" w:hAnsi="宋体" w:eastAsia="宋体" w:cs="宋体"/>
          <w:b/>
          <w:color w:val="auto"/>
          <w:sz w:val="28"/>
          <w:szCs w:val="28"/>
          <w:highlight w:val="none"/>
        </w:rPr>
      </w:pPr>
    </w:p>
    <w:p w14:paraId="0C9D982E">
      <w:pPr>
        <w:rPr>
          <w:rFonts w:hint="eastAsia" w:ascii="宋体" w:hAnsi="宋体" w:eastAsia="宋体" w:cs="宋体"/>
          <w:color w:val="auto"/>
          <w:highlight w:val="none"/>
        </w:rPr>
      </w:pPr>
    </w:p>
    <w:p w14:paraId="4D19AF98">
      <w:pPr>
        <w:pStyle w:val="18"/>
        <w:spacing w:line="440" w:lineRule="exact"/>
        <w:rPr>
          <w:rFonts w:hint="eastAsia" w:ascii="宋体" w:hAnsi="宋体"/>
          <w:b/>
          <w:color w:val="auto"/>
          <w:highlight w:val="none"/>
          <w:lang w:eastAsia="zh-CN"/>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w:t>
      </w:r>
      <w:r>
        <w:rPr>
          <w:rFonts w:hint="eastAsia" w:ascii="宋体" w:hAnsi="宋体" w:cs="宋体"/>
          <w:b/>
          <w:color w:val="auto"/>
          <w:sz w:val="28"/>
          <w:szCs w:val="28"/>
          <w:highlight w:val="none"/>
          <w:u w:val="none"/>
          <w:lang w:eastAsia="zh-CN"/>
        </w:rPr>
        <w:t>供应商</w:t>
      </w:r>
      <w:r>
        <w:rPr>
          <w:rFonts w:hint="eastAsia" w:ascii="宋体" w:hAnsi="宋体" w:cs="宋体"/>
          <w:b/>
          <w:color w:val="auto"/>
          <w:sz w:val="28"/>
          <w:szCs w:val="28"/>
          <w:highlight w:val="none"/>
          <w:u w:val="none"/>
        </w:rPr>
        <w:t>相关获奖证书、认证证书等复印件（如有，请提供）</w:t>
      </w:r>
    </w:p>
    <w:p w14:paraId="5D88C2B8">
      <w:pPr>
        <w:rPr>
          <w:rFonts w:hint="eastAsia" w:ascii="宋体" w:hAnsi="宋体"/>
          <w:b/>
          <w:color w:val="auto"/>
          <w:highlight w:val="none"/>
          <w:lang w:eastAsia="zh-CN"/>
        </w:rPr>
      </w:pPr>
    </w:p>
    <w:p w14:paraId="657739E6">
      <w:pPr>
        <w:rPr>
          <w:rFonts w:hint="eastAsia" w:ascii="宋体" w:hAnsi="宋体"/>
          <w:b/>
          <w:color w:val="auto"/>
          <w:highlight w:val="none"/>
          <w:lang w:eastAsia="zh-CN"/>
        </w:rPr>
      </w:pPr>
    </w:p>
    <w:p w14:paraId="239C274D">
      <w:pPr>
        <w:rPr>
          <w:rFonts w:hint="eastAsia" w:ascii="宋体" w:hAnsi="宋体"/>
          <w:b/>
          <w:color w:val="auto"/>
          <w:highlight w:val="none"/>
          <w:lang w:eastAsia="zh-CN"/>
        </w:rPr>
      </w:pPr>
    </w:p>
    <w:p w14:paraId="2CEE4CD1">
      <w:pPr>
        <w:rPr>
          <w:rFonts w:hint="eastAsia" w:ascii="宋体" w:hAnsi="宋体"/>
          <w:b/>
          <w:color w:val="auto"/>
          <w:highlight w:val="none"/>
          <w:lang w:eastAsia="zh-CN"/>
        </w:rPr>
      </w:pPr>
    </w:p>
    <w:p w14:paraId="6AD937A5">
      <w:pPr>
        <w:rPr>
          <w:rFonts w:hint="eastAsia" w:ascii="宋体" w:hAnsi="宋体"/>
          <w:b/>
          <w:color w:val="auto"/>
          <w:highlight w:val="none"/>
          <w:lang w:eastAsia="zh-CN"/>
        </w:rPr>
      </w:pPr>
    </w:p>
    <w:p w14:paraId="0D89C022">
      <w:pPr>
        <w:rPr>
          <w:rFonts w:hint="eastAsia" w:ascii="宋体" w:hAnsi="宋体"/>
          <w:b/>
          <w:color w:val="auto"/>
          <w:highlight w:val="none"/>
          <w:lang w:eastAsia="zh-CN"/>
        </w:rPr>
      </w:pPr>
    </w:p>
    <w:p w14:paraId="663B45DB">
      <w:pPr>
        <w:rPr>
          <w:rFonts w:hint="eastAsia" w:ascii="宋体" w:hAnsi="宋体"/>
          <w:b/>
          <w:color w:val="auto"/>
          <w:highlight w:val="none"/>
          <w:lang w:eastAsia="zh-CN"/>
        </w:rPr>
      </w:pPr>
    </w:p>
    <w:p w14:paraId="5F8A4B36">
      <w:pPr>
        <w:rPr>
          <w:rFonts w:hint="eastAsia" w:ascii="宋体" w:hAnsi="宋体"/>
          <w:b/>
          <w:color w:val="auto"/>
          <w:highlight w:val="none"/>
          <w:lang w:eastAsia="zh-CN"/>
        </w:rPr>
      </w:pPr>
    </w:p>
    <w:p w14:paraId="01E2ACDE">
      <w:pPr>
        <w:pStyle w:val="18"/>
        <w:spacing w:line="440" w:lineRule="exact"/>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3.</w:t>
      </w:r>
      <w:r>
        <w:rPr>
          <w:rFonts w:hint="eastAsia" w:ascii="宋体" w:hAnsi="宋体" w:eastAsia="宋体" w:cs="宋体"/>
          <w:b/>
          <w:color w:val="auto"/>
          <w:sz w:val="28"/>
          <w:szCs w:val="28"/>
          <w:highlight w:val="none"/>
        </w:rPr>
        <w:t>供应商可结合本项目的评审办法视自身情况自行提交其它相关证明材料</w:t>
      </w:r>
      <w:r>
        <w:rPr>
          <w:rFonts w:hint="eastAsia" w:ascii="宋体" w:hAnsi="宋体" w:cs="宋体"/>
          <w:b/>
          <w:color w:val="auto"/>
          <w:sz w:val="28"/>
          <w:szCs w:val="28"/>
          <w:highlight w:val="none"/>
          <w:u w:val="none"/>
        </w:rPr>
        <w:t>（如有，请提供）</w:t>
      </w:r>
    </w:p>
    <w:p w14:paraId="6C45024F">
      <w:pPr>
        <w:tabs>
          <w:tab w:val="left" w:pos="1305"/>
        </w:tabs>
        <w:rPr>
          <w:rFonts w:hint="eastAsia" w:ascii="宋体" w:hAnsi="宋体" w:eastAsia="宋体" w:cs="宋体"/>
          <w:b/>
          <w:color w:val="auto"/>
          <w:sz w:val="32"/>
          <w:szCs w:val="32"/>
          <w:highlight w:val="none"/>
        </w:rPr>
      </w:pPr>
    </w:p>
    <w:sectPr>
      <w:pgSz w:w="11906" w:h="16838"/>
      <w:pgMar w:top="1417" w:right="1304" w:bottom="1134"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B881F">
    <w:pPr>
      <w:pStyle w:val="20"/>
      <w:jc w:val="center"/>
    </w:pPr>
  </w:p>
  <w:p w14:paraId="79E83D6C">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5A22">
    <w:pPr>
      <w:pStyle w:val="20"/>
      <w:jc w:val="center"/>
    </w:pPr>
  </w:p>
  <w:p w14:paraId="1CF58587">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49EF7">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A8B73A">
                          <w:pPr>
                            <w:pStyle w:val="20"/>
                            <w:jc w:val="center"/>
                          </w:pPr>
                          <w:r>
                            <w:fldChar w:fldCharType="begin"/>
                          </w:r>
                          <w:r>
                            <w:instrText xml:space="preserve">PAGE   \* MERGEFORMAT</w:instrText>
                          </w:r>
                          <w:r>
                            <w:fldChar w:fldCharType="separate"/>
                          </w:r>
                          <w:r>
                            <w:rPr>
                              <w:lang w:val="zh-CN"/>
                            </w:rPr>
                            <w:t>-</w:t>
                          </w:r>
                          <w:r>
                            <w:t xml:space="preserve"> 27 -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62A8B73A">
                    <w:pPr>
                      <w:pStyle w:val="20"/>
                      <w:jc w:val="center"/>
                    </w:pPr>
                    <w:r>
                      <w:fldChar w:fldCharType="begin"/>
                    </w:r>
                    <w:r>
                      <w:instrText xml:space="preserve">PAGE   \* MERGEFORMAT</w:instrText>
                    </w:r>
                    <w:r>
                      <w:fldChar w:fldCharType="separate"/>
                    </w:r>
                    <w:r>
                      <w:rPr>
                        <w:lang w:val="zh-CN"/>
                      </w:rPr>
                      <w:t>-</w:t>
                    </w:r>
                    <w:r>
                      <w:t xml:space="preserve"> 27 -</w:t>
                    </w:r>
                    <w:r>
                      <w:fldChar w:fldCharType="end"/>
                    </w:r>
                  </w:p>
                </w:txbxContent>
              </v:textbox>
            </v:shape>
          </w:pict>
        </mc:Fallback>
      </mc:AlternateContent>
    </w:r>
  </w:p>
  <w:p w14:paraId="58118A3B">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1DCAF">
    <w:pPr>
      <w:pStyle w:val="22"/>
      <w:pBdr>
        <w:bottom w:val="none" w:color="auto" w:sz="0" w:space="1"/>
      </w:pBdr>
    </w:pPr>
  </w:p>
  <w:p w14:paraId="7E39E0BD">
    <w:pPr>
      <w:pStyle w:val="22"/>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84E92">
    <w:pPr>
      <w:pStyle w:val="22"/>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rPr>
        <w:rFonts w:cs="Times New Roman"/>
      </w:rPr>
    </w:lvl>
  </w:abstractNum>
  <w:abstractNum w:abstractNumId="1">
    <w:nsid w:val="CE2A5F3B"/>
    <w:multiLevelType w:val="singleLevel"/>
    <w:tmpl w:val="CE2A5F3B"/>
    <w:lvl w:ilvl="0" w:tentative="0">
      <w:start w:val="5"/>
      <w:numFmt w:val="decimal"/>
      <w:suff w:val="space"/>
      <w:lvlText w:val="%1."/>
      <w:lvlJc w:val="left"/>
    </w:lvl>
  </w:abstractNum>
  <w:abstractNum w:abstractNumId="2">
    <w:nsid w:val="05926F0E"/>
    <w:multiLevelType w:val="multilevel"/>
    <w:tmpl w:val="05926F0E"/>
    <w:lvl w:ilvl="0" w:tentative="0">
      <w:start w:val="1"/>
      <w:numFmt w:val="decimal"/>
      <w:lvlText w:val="%1."/>
      <w:lvlJc w:val="left"/>
      <w:pPr>
        <w:ind w:left="420" w:hanging="420"/>
      </w:pPr>
      <w:rPr>
        <w:rFonts w:cs="Times New Roman"/>
      </w:rPr>
    </w:lvl>
    <w:lvl w:ilvl="1" w:tentative="0">
      <w:start w:val="1"/>
      <w:numFmt w:val="lowerLetter"/>
      <w:pStyle w:val="84"/>
      <w:lvlText w:val="%2)"/>
      <w:lvlJc w:val="left"/>
      <w:pPr>
        <w:ind w:left="840" w:hanging="420"/>
      </w:pPr>
      <w:rPr>
        <w:rFonts w:cs="Times New Roman"/>
      </w:rPr>
    </w:lvl>
    <w:lvl w:ilvl="2" w:tentative="0">
      <w:start w:val="1"/>
      <w:numFmt w:val="lowerRoman"/>
      <w:pStyle w:val="69"/>
      <w:lvlText w:val="%3."/>
      <w:lvlJc w:val="right"/>
      <w:pPr>
        <w:ind w:left="1260" w:hanging="420"/>
      </w:pPr>
      <w:rPr>
        <w:rFonts w:cs="Times New Roman"/>
      </w:rPr>
    </w:lvl>
    <w:lvl w:ilvl="3" w:tentative="0">
      <w:start w:val="1"/>
      <w:numFmt w:val="decimal"/>
      <w:pStyle w:val="39"/>
      <w:lvlText w:val="%4."/>
      <w:lvlJc w:val="left"/>
      <w:pPr>
        <w:ind w:left="1680" w:hanging="420"/>
      </w:pPr>
      <w:rPr>
        <w:rFonts w:cs="Times New Roman"/>
      </w:rPr>
    </w:lvl>
    <w:lvl w:ilvl="4" w:tentative="0">
      <w:start w:val="1"/>
      <w:numFmt w:val="lowerLetter"/>
      <w:pStyle w:val="77"/>
      <w:lvlText w:val="%5)"/>
      <w:lvlJc w:val="left"/>
      <w:pPr>
        <w:ind w:left="2100" w:hanging="420"/>
      </w:pPr>
      <w:rPr>
        <w:rFonts w:cs="Times New Roman"/>
      </w:rPr>
    </w:lvl>
    <w:lvl w:ilvl="5" w:tentative="0">
      <w:start w:val="1"/>
      <w:numFmt w:val="lowerRoman"/>
      <w:pStyle w:val="71"/>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C474297"/>
    <w:multiLevelType w:val="multilevel"/>
    <w:tmpl w:val="0C474297"/>
    <w:lvl w:ilvl="0" w:tentative="0">
      <w:start w:val="1"/>
      <w:numFmt w:val="decimal"/>
      <w:pStyle w:val="74"/>
      <w:lvlText w:val="(%1)"/>
      <w:lvlJc w:val="left"/>
      <w:pPr>
        <w:ind w:left="360" w:hanging="360"/>
      </w:pPr>
      <w:rPr>
        <w:rFonts w:hint="default" w:cs="Times New Roman"/>
      </w:rPr>
    </w:lvl>
    <w:lvl w:ilvl="1" w:tentative="0">
      <w:start w:val="1"/>
      <w:numFmt w:val="lowerLetter"/>
      <w:pStyle w:val="75"/>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FC16C3F"/>
    <w:multiLevelType w:val="multilevel"/>
    <w:tmpl w:val="1FC16C3F"/>
    <w:lvl w:ilvl="0" w:tentative="0">
      <w:start w:val="1"/>
      <w:numFmt w:val="chineseCounting"/>
      <w:suff w:val="nothing"/>
      <w:lvlText w:val="第%1章　"/>
      <w:lvlJc w:val="left"/>
      <w:pPr>
        <w:ind w:left="-402" w:firstLine="402"/>
      </w:pPr>
      <w:rPr>
        <w:rFonts w:hint="eastAsia" w:cs="Times New Roman"/>
      </w:rPr>
    </w:lvl>
    <w:lvl w:ilvl="1" w:tentative="0">
      <w:start w:val="1"/>
      <w:numFmt w:val="chineseCounting"/>
      <w:suff w:val="nothing"/>
      <w:lvlText w:val="第%2节　"/>
      <w:lvlJc w:val="left"/>
      <w:pPr>
        <w:ind w:left="-402" w:firstLine="402"/>
      </w:pPr>
      <w:rPr>
        <w:rFonts w:hint="eastAsia" w:cs="Times New Roman"/>
      </w:rPr>
    </w:lvl>
    <w:lvl w:ilvl="2" w:tentative="0">
      <w:start w:val="1"/>
      <w:numFmt w:val="chineseCounting"/>
      <w:suff w:val="nothing"/>
      <w:lvlText w:val="第%3条　"/>
      <w:lvlJc w:val="left"/>
      <w:pPr>
        <w:ind w:left="-402" w:firstLine="402"/>
      </w:pPr>
      <w:rPr>
        <w:rFonts w:hint="eastAsia" w:cs="Times New Roman"/>
      </w:rPr>
    </w:lvl>
    <w:lvl w:ilvl="3" w:tentative="0">
      <w:start w:val="1"/>
      <w:numFmt w:val="chineseCounting"/>
      <w:suff w:val="nothing"/>
      <w:lvlText w:val="（%4）"/>
      <w:lvlJc w:val="left"/>
      <w:pPr>
        <w:ind w:left="-402" w:firstLine="402"/>
      </w:pPr>
      <w:rPr>
        <w:rFonts w:hint="eastAsia" w:cs="Times New Roman"/>
      </w:rPr>
    </w:lvl>
    <w:lvl w:ilvl="4" w:tentative="0">
      <w:start w:val="1"/>
      <w:numFmt w:val="decimal"/>
      <w:suff w:val="nothing"/>
      <w:lvlText w:val="%5．"/>
      <w:lvlJc w:val="left"/>
      <w:pPr>
        <w:ind w:left="-402" w:firstLine="402"/>
      </w:pPr>
      <w:rPr>
        <w:rFonts w:hint="eastAsia" w:cs="Times New Roman"/>
      </w:rPr>
    </w:lvl>
    <w:lvl w:ilvl="5" w:tentative="0">
      <w:start w:val="1"/>
      <w:numFmt w:val="decimal"/>
      <w:suff w:val="nothing"/>
      <w:lvlText w:val="（%6）"/>
      <w:lvlJc w:val="left"/>
      <w:pPr>
        <w:ind w:left="-402" w:firstLine="402"/>
      </w:pPr>
      <w:rPr>
        <w:rFonts w:hint="eastAsia" w:cs="Times New Roman"/>
      </w:rPr>
    </w:lvl>
    <w:lvl w:ilvl="6" w:tentative="0">
      <w:start w:val="1"/>
      <w:numFmt w:val="decimalEnclosedCircleChinese"/>
      <w:suff w:val="nothing"/>
      <w:lvlText w:val="%7 "/>
      <w:lvlJc w:val="left"/>
      <w:pPr>
        <w:ind w:left="-402" w:firstLine="402"/>
      </w:pPr>
      <w:rPr>
        <w:rFonts w:hint="eastAsia" w:cs="Times New Roman"/>
      </w:rPr>
    </w:lvl>
    <w:lvl w:ilvl="7" w:tentative="0">
      <w:start w:val="1"/>
      <w:numFmt w:val="decimal"/>
      <w:suff w:val="nothing"/>
      <w:lvlText w:val="%8）"/>
      <w:lvlJc w:val="left"/>
      <w:pPr>
        <w:ind w:left="-402" w:firstLine="402"/>
      </w:pPr>
      <w:rPr>
        <w:rFonts w:hint="eastAsia" w:cs="Times New Roman"/>
      </w:rPr>
    </w:lvl>
    <w:lvl w:ilvl="8" w:tentative="0">
      <w:start w:val="1"/>
      <w:numFmt w:val="lowerLetter"/>
      <w:suff w:val="nothing"/>
      <w:lvlText w:val="%9．"/>
      <w:lvlJc w:val="left"/>
      <w:pPr>
        <w:ind w:left="-402" w:firstLine="402"/>
      </w:pPr>
      <w:rPr>
        <w:rFonts w:hint="eastAsia" w:cs="Times New Roman"/>
      </w:rPr>
    </w:lvl>
  </w:abstractNum>
  <w:abstractNum w:abstractNumId="5">
    <w:nsid w:val="1FD97BE0"/>
    <w:multiLevelType w:val="singleLevel"/>
    <w:tmpl w:val="1FD97BE0"/>
    <w:lvl w:ilvl="0" w:tentative="0">
      <w:start w:val="1"/>
      <w:numFmt w:val="chineseCounting"/>
      <w:suff w:val="nothing"/>
      <w:lvlText w:val="（%1）"/>
      <w:lvlJc w:val="left"/>
      <w:rPr>
        <w:rFonts w:hint="eastAsia" w:cs="Times New Roman"/>
      </w:rPr>
    </w:lvl>
  </w:abstractNum>
  <w:abstractNum w:abstractNumId="6">
    <w:nsid w:val="20CA1E46"/>
    <w:multiLevelType w:val="multilevel"/>
    <w:tmpl w:val="20CA1E46"/>
    <w:lvl w:ilvl="0" w:tentative="0">
      <w:start w:val="1"/>
      <w:numFmt w:val="decimal"/>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pStyle w:val="82"/>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7">
    <w:nsid w:val="24B72DA8"/>
    <w:multiLevelType w:val="multilevel"/>
    <w:tmpl w:val="24B72DA8"/>
    <w:lvl w:ilvl="0" w:tentative="0">
      <w:start w:val="1"/>
      <w:numFmt w:val="decimal"/>
      <w:pStyle w:val="67"/>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8">
    <w:nsid w:val="2EBEB4BA"/>
    <w:multiLevelType w:val="singleLevel"/>
    <w:tmpl w:val="2EBEB4BA"/>
    <w:lvl w:ilvl="0" w:tentative="0">
      <w:start w:val="26"/>
      <w:numFmt w:val="decimal"/>
      <w:suff w:val="space"/>
      <w:lvlText w:val="%1."/>
      <w:lvlJc w:val="left"/>
      <w:rPr>
        <w:rFonts w:cs="Times New Roman"/>
      </w:rPr>
    </w:lvl>
  </w:abstractNum>
  <w:num w:numId="1">
    <w:abstractNumId w:val="2"/>
  </w:num>
  <w:num w:numId="2">
    <w:abstractNumId w:val="7"/>
  </w:num>
  <w:num w:numId="3">
    <w:abstractNumId w:val="3"/>
  </w:num>
  <w:num w:numId="4">
    <w:abstractNumId w:val="6"/>
  </w:num>
  <w:num w:numId="5">
    <w:abstractNumId w:val="4"/>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mZhZmVjMTAzM2Q1ZTNkNDhhOWI1OTdmYTA1NGIifQ=="/>
  </w:docVars>
  <w:rsids>
    <w:rsidRoot w:val="002309E4"/>
    <w:rsid w:val="0000080E"/>
    <w:rsid w:val="00001B94"/>
    <w:rsid w:val="00010534"/>
    <w:rsid w:val="00014034"/>
    <w:rsid w:val="00034971"/>
    <w:rsid w:val="00054D7E"/>
    <w:rsid w:val="000733DC"/>
    <w:rsid w:val="0009235D"/>
    <w:rsid w:val="00095DFC"/>
    <w:rsid w:val="000972F9"/>
    <w:rsid w:val="000A7F9A"/>
    <w:rsid w:val="000B5E56"/>
    <w:rsid w:val="000C5EBE"/>
    <w:rsid w:val="000D03A7"/>
    <w:rsid w:val="000D0594"/>
    <w:rsid w:val="000D78BF"/>
    <w:rsid w:val="000E04DA"/>
    <w:rsid w:val="000E11E0"/>
    <w:rsid w:val="000E2B00"/>
    <w:rsid w:val="000F09E8"/>
    <w:rsid w:val="000F4F65"/>
    <w:rsid w:val="00103353"/>
    <w:rsid w:val="00104AFC"/>
    <w:rsid w:val="00104B56"/>
    <w:rsid w:val="00135C9F"/>
    <w:rsid w:val="00144C24"/>
    <w:rsid w:val="001461E5"/>
    <w:rsid w:val="00177774"/>
    <w:rsid w:val="00180145"/>
    <w:rsid w:val="001823D7"/>
    <w:rsid w:val="001A296D"/>
    <w:rsid w:val="001C27A2"/>
    <w:rsid w:val="001D1B2E"/>
    <w:rsid w:val="001D5F40"/>
    <w:rsid w:val="001D6CB7"/>
    <w:rsid w:val="0021027A"/>
    <w:rsid w:val="00215CD1"/>
    <w:rsid w:val="00217C71"/>
    <w:rsid w:val="002309E4"/>
    <w:rsid w:val="00265927"/>
    <w:rsid w:val="00284682"/>
    <w:rsid w:val="00286FD8"/>
    <w:rsid w:val="002A1C03"/>
    <w:rsid w:val="00300689"/>
    <w:rsid w:val="00310C6E"/>
    <w:rsid w:val="00317E17"/>
    <w:rsid w:val="0033651A"/>
    <w:rsid w:val="00345931"/>
    <w:rsid w:val="0035060B"/>
    <w:rsid w:val="00357206"/>
    <w:rsid w:val="00362C49"/>
    <w:rsid w:val="00363E0A"/>
    <w:rsid w:val="0036407B"/>
    <w:rsid w:val="003A201A"/>
    <w:rsid w:val="003A5110"/>
    <w:rsid w:val="003E63CB"/>
    <w:rsid w:val="003E7F76"/>
    <w:rsid w:val="003F49D7"/>
    <w:rsid w:val="00400554"/>
    <w:rsid w:val="004146EE"/>
    <w:rsid w:val="0044474D"/>
    <w:rsid w:val="004450D5"/>
    <w:rsid w:val="004502EF"/>
    <w:rsid w:val="004833CD"/>
    <w:rsid w:val="00490B57"/>
    <w:rsid w:val="004D58DF"/>
    <w:rsid w:val="004E7294"/>
    <w:rsid w:val="004F2107"/>
    <w:rsid w:val="004F79AC"/>
    <w:rsid w:val="00510C1B"/>
    <w:rsid w:val="00520B5A"/>
    <w:rsid w:val="005249AF"/>
    <w:rsid w:val="005466EF"/>
    <w:rsid w:val="00551447"/>
    <w:rsid w:val="00572C51"/>
    <w:rsid w:val="005918D9"/>
    <w:rsid w:val="005951AC"/>
    <w:rsid w:val="005A0B78"/>
    <w:rsid w:val="005B7575"/>
    <w:rsid w:val="005B7D3E"/>
    <w:rsid w:val="005D3653"/>
    <w:rsid w:val="005D6B20"/>
    <w:rsid w:val="005F1B07"/>
    <w:rsid w:val="005F4F4E"/>
    <w:rsid w:val="005F61D6"/>
    <w:rsid w:val="0063632A"/>
    <w:rsid w:val="00644984"/>
    <w:rsid w:val="00651B8B"/>
    <w:rsid w:val="0065565B"/>
    <w:rsid w:val="0066754B"/>
    <w:rsid w:val="00676258"/>
    <w:rsid w:val="006A146A"/>
    <w:rsid w:val="006A1C3C"/>
    <w:rsid w:val="006B43F1"/>
    <w:rsid w:val="006C317D"/>
    <w:rsid w:val="006D4034"/>
    <w:rsid w:val="006E1F14"/>
    <w:rsid w:val="006E2B60"/>
    <w:rsid w:val="006E3C8F"/>
    <w:rsid w:val="00700C2A"/>
    <w:rsid w:val="00706D04"/>
    <w:rsid w:val="00730FDD"/>
    <w:rsid w:val="00737C93"/>
    <w:rsid w:val="00753678"/>
    <w:rsid w:val="00754BD5"/>
    <w:rsid w:val="00793E59"/>
    <w:rsid w:val="00794385"/>
    <w:rsid w:val="007B0B88"/>
    <w:rsid w:val="007E5DBA"/>
    <w:rsid w:val="007E79B2"/>
    <w:rsid w:val="007F0DBF"/>
    <w:rsid w:val="008036D7"/>
    <w:rsid w:val="0080618C"/>
    <w:rsid w:val="0082226A"/>
    <w:rsid w:val="0082234C"/>
    <w:rsid w:val="0082258E"/>
    <w:rsid w:val="00826C26"/>
    <w:rsid w:val="008337BC"/>
    <w:rsid w:val="0084786E"/>
    <w:rsid w:val="0086346A"/>
    <w:rsid w:val="00882FCA"/>
    <w:rsid w:val="00890BE0"/>
    <w:rsid w:val="00895151"/>
    <w:rsid w:val="008A1566"/>
    <w:rsid w:val="008A41A6"/>
    <w:rsid w:val="008A5E78"/>
    <w:rsid w:val="008A73EF"/>
    <w:rsid w:val="008B0B8E"/>
    <w:rsid w:val="008D48B4"/>
    <w:rsid w:val="008E1B18"/>
    <w:rsid w:val="008F0323"/>
    <w:rsid w:val="008F3425"/>
    <w:rsid w:val="008F724A"/>
    <w:rsid w:val="00910D3C"/>
    <w:rsid w:val="00930E5F"/>
    <w:rsid w:val="009401E7"/>
    <w:rsid w:val="00944401"/>
    <w:rsid w:val="009635C2"/>
    <w:rsid w:val="009636CB"/>
    <w:rsid w:val="0097179A"/>
    <w:rsid w:val="00980FF3"/>
    <w:rsid w:val="009B1937"/>
    <w:rsid w:val="009B4B2A"/>
    <w:rsid w:val="009C7479"/>
    <w:rsid w:val="009E6B9E"/>
    <w:rsid w:val="009F387F"/>
    <w:rsid w:val="009F567A"/>
    <w:rsid w:val="00A00F87"/>
    <w:rsid w:val="00A05995"/>
    <w:rsid w:val="00A1002D"/>
    <w:rsid w:val="00A17C81"/>
    <w:rsid w:val="00A55A50"/>
    <w:rsid w:val="00A61C1C"/>
    <w:rsid w:val="00B17AE2"/>
    <w:rsid w:val="00B27B44"/>
    <w:rsid w:val="00B40949"/>
    <w:rsid w:val="00B702EE"/>
    <w:rsid w:val="00B80B9D"/>
    <w:rsid w:val="00B94B9D"/>
    <w:rsid w:val="00BB0A86"/>
    <w:rsid w:val="00BC4C0C"/>
    <w:rsid w:val="00BD5392"/>
    <w:rsid w:val="00BF2A42"/>
    <w:rsid w:val="00BF5F5D"/>
    <w:rsid w:val="00BF6597"/>
    <w:rsid w:val="00C025D1"/>
    <w:rsid w:val="00C14CA2"/>
    <w:rsid w:val="00C212A3"/>
    <w:rsid w:val="00C51565"/>
    <w:rsid w:val="00C53128"/>
    <w:rsid w:val="00C5518A"/>
    <w:rsid w:val="00C66C92"/>
    <w:rsid w:val="00D01347"/>
    <w:rsid w:val="00D01F28"/>
    <w:rsid w:val="00D13461"/>
    <w:rsid w:val="00D16586"/>
    <w:rsid w:val="00D171B7"/>
    <w:rsid w:val="00D44720"/>
    <w:rsid w:val="00D4599D"/>
    <w:rsid w:val="00D5445C"/>
    <w:rsid w:val="00D5752D"/>
    <w:rsid w:val="00D872E4"/>
    <w:rsid w:val="00DC46B1"/>
    <w:rsid w:val="00DC4B0E"/>
    <w:rsid w:val="00DD37DB"/>
    <w:rsid w:val="00E147B2"/>
    <w:rsid w:val="00E239C3"/>
    <w:rsid w:val="00E342CE"/>
    <w:rsid w:val="00E5259A"/>
    <w:rsid w:val="00E534B4"/>
    <w:rsid w:val="00E944B1"/>
    <w:rsid w:val="00ED2B5B"/>
    <w:rsid w:val="00ED3FFC"/>
    <w:rsid w:val="00EE7015"/>
    <w:rsid w:val="00EF1861"/>
    <w:rsid w:val="00EF3CC8"/>
    <w:rsid w:val="00F026C5"/>
    <w:rsid w:val="00F11FA7"/>
    <w:rsid w:val="00F20F06"/>
    <w:rsid w:val="00F45382"/>
    <w:rsid w:val="00F54B60"/>
    <w:rsid w:val="00F727BA"/>
    <w:rsid w:val="00F74BC5"/>
    <w:rsid w:val="00F80375"/>
    <w:rsid w:val="00F80D4C"/>
    <w:rsid w:val="00F83F61"/>
    <w:rsid w:val="00F902FD"/>
    <w:rsid w:val="00FA41D7"/>
    <w:rsid w:val="00FC0169"/>
    <w:rsid w:val="00FC3F5C"/>
    <w:rsid w:val="00FC4EC6"/>
    <w:rsid w:val="010A06C2"/>
    <w:rsid w:val="01390BCC"/>
    <w:rsid w:val="0144688D"/>
    <w:rsid w:val="01635C49"/>
    <w:rsid w:val="01DA09AC"/>
    <w:rsid w:val="01EB38D8"/>
    <w:rsid w:val="020866C9"/>
    <w:rsid w:val="02213D51"/>
    <w:rsid w:val="02B95509"/>
    <w:rsid w:val="02CE1353"/>
    <w:rsid w:val="0313544C"/>
    <w:rsid w:val="034B5034"/>
    <w:rsid w:val="039406FC"/>
    <w:rsid w:val="03A06B8D"/>
    <w:rsid w:val="03D50A54"/>
    <w:rsid w:val="043C5C87"/>
    <w:rsid w:val="04730898"/>
    <w:rsid w:val="04E06C0D"/>
    <w:rsid w:val="04FE4606"/>
    <w:rsid w:val="051031AE"/>
    <w:rsid w:val="059A406C"/>
    <w:rsid w:val="059B2E1F"/>
    <w:rsid w:val="05CF5FA2"/>
    <w:rsid w:val="05D250F6"/>
    <w:rsid w:val="05E80E12"/>
    <w:rsid w:val="06025153"/>
    <w:rsid w:val="06676252"/>
    <w:rsid w:val="06766E75"/>
    <w:rsid w:val="06790A01"/>
    <w:rsid w:val="06CA3863"/>
    <w:rsid w:val="06E15F8D"/>
    <w:rsid w:val="07267E44"/>
    <w:rsid w:val="07D93C8D"/>
    <w:rsid w:val="08012539"/>
    <w:rsid w:val="08096863"/>
    <w:rsid w:val="08A70B11"/>
    <w:rsid w:val="08DC4C5E"/>
    <w:rsid w:val="090E7123"/>
    <w:rsid w:val="09497E1A"/>
    <w:rsid w:val="094F69BA"/>
    <w:rsid w:val="09CA153F"/>
    <w:rsid w:val="09D64425"/>
    <w:rsid w:val="09EF451D"/>
    <w:rsid w:val="0A7D25E6"/>
    <w:rsid w:val="0AF22A49"/>
    <w:rsid w:val="0B0E4DA1"/>
    <w:rsid w:val="0B36102C"/>
    <w:rsid w:val="0B427292"/>
    <w:rsid w:val="0BA10100"/>
    <w:rsid w:val="0BBF43C3"/>
    <w:rsid w:val="0C710CBE"/>
    <w:rsid w:val="0C7809D9"/>
    <w:rsid w:val="0CAF7D35"/>
    <w:rsid w:val="0CE2480D"/>
    <w:rsid w:val="0CE63257"/>
    <w:rsid w:val="0D221C54"/>
    <w:rsid w:val="0D462DD0"/>
    <w:rsid w:val="0D81718A"/>
    <w:rsid w:val="0D953ED6"/>
    <w:rsid w:val="0D9D3D6A"/>
    <w:rsid w:val="0E1F739B"/>
    <w:rsid w:val="0E210A52"/>
    <w:rsid w:val="0E374BB2"/>
    <w:rsid w:val="0E3F6C7C"/>
    <w:rsid w:val="0E89766B"/>
    <w:rsid w:val="0EA24254"/>
    <w:rsid w:val="0F125514"/>
    <w:rsid w:val="0F161477"/>
    <w:rsid w:val="0F5E5AE8"/>
    <w:rsid w:val="0F66697A"/>
    <w:rsid w:val="0FDF2936"/>
    <w:rsid w:val="0FE7187F"/>
    <w:rsid w:val="0FF46A0B"/>
    <w:rsid w:val="100A2472"/>
    <w:rsid w:val="101C3B92"/>
    <w:rsid w:val="103E7F29"/>
    <w:rsid w:val="106A5D03"/>
    <w:rsid w:val="10A1053B"/>
    <w:rsid w:val="10A672E7"/>
    <w:rsid w:val="10EF574B"/>
    <w:rsid w:val="10EF74F9"/>
    <w:rsid w:val="110034B4"/>
    <w:rsid w:val="110533C1"/>
    <w:rsid w:val="110660A6"/>
    <w:rsid w:val="111F1149"/>
    <w:rsid w:val="1143368F"/>
    <w:rsid w:val="1189606E"/>
    <w:rsid w:val="118D1C82"/>
    <w:rsid w:val="119A5749"/>
    <w:rsid w:val="11C4717C"/>
    <w:rsid w:val="125759BD"/>
    <w:rsid w:val="12687563"/>
    <w:rsid w:val="12860CC6"/>
    <w:rsid w:val="129A57A2"/>
    <w:rsid w:val="12A63F9E"/>
    <w:rsid w:val="12E666D9"/>
    <w:rsid w:val="1336140F"/>
    <w:rsid w:val="133B07D3"/>
    <w:rsid w:val="13453832"/>
    <w:rsid w:val="137C43C4"/>
    <w:rsid w:val="138A1AB6"/>
    <w:rsid w:val="13AD35E4"/>
    <w:rsid w:val="13FB34BE"/>
    <w:rsid w:val="1480375B"/>
    <w:rsid w:val="14C021B2"/>
    <w:rsid w:val="14DF145A"/>
    <w:rsid w:val="14EA0703"/>
    <w:rsid w:val="14F97212"/>
    <w:rsid w:val="153E0A4F"/>
    <w:rsid w:val="156764CF"/>
    <w:rsid w:val="156B673E"/>
    <w:rsid w:val="156C2EC6"/>
    <w:rsid w:val="160457F4"/>
    <w:rsid w:val="16821106"/>
    <w:rsid w:val="16D812D2"/>
    <w:rsid w:val="16E15B36"/>
    <w:rsid w:val="173F1DFA"/>
    <w:rsid w:val="17D31922"/>
    <w:rsid w:val="17D87B2E"/>
    <w:rsid w:val="180C1F01"/>
    <w:rsid w:val="1822077E"/>
    <w:rsid w:val="1829683C"/>
    <w:rsid w:val="184F13F4"/>
    <w:rsid w:val="18B2733F"/>
    <w:rsid w:val="18E13BCB"/>
    <w:rsid w:val="18E35B95"/>
    <w:rsid w:val="192835A8"/>
    <w:rsid w:val="195F3E26"/>
    <w:rsid w:val="198A6011"/>
    <w:rsid w:val="19AF03C7"/>
    <w:rsid w:val="19D50A4D"/>
    <w:rsid w:val="1A41745E"/>
    <w:rsid w:val="1A441E0D"/>
    <w:rsid w:val="1A4C1518"/>
    <w:rsid w:val="1AC35979"/>
    <w:rsid w:val="1ACE4623"/>
    <w:rsid w:val="1ADB1D58"/>
    <w:rsid w:val="1AF220BF"/>
    <w:rsid w:val="1AFA5418"/>
    <w:rsid w:val="1B2617F5"/>
    <w:rsid w:val="1D1778F4"/>
    <w:rsid w:val="1DD957B9"/>
    <w:rsid w:val="1DE351EB"/>
    <w:rsid w:val="1E302B54"/>
    <w:rsid w:val="1E592F82"/>
    <w:rsid w:val="1E733517"/>
    <w:rsid w:val="1E980F0C"/>
    <w:rsid w:val="1EB651CB"/>
    <w:rsid w:val="1ECA6EAF"/>
    <w:rsid w:val="1ED6413C"/>
    <w:rsid w:val="1EDF41B4"/>
    <w:rsid w:val="1EE561D1"/>
    <w:rsid w:val="1EEE2707"/>
    <w:rsid w:val="1F5629B9"/>
    <w:rsid w:val="1F7664A2"/>
    <w:rsid w:val="1F8D685B"/>
    <w:rsid w:val="1FCE410D"/>
    <w:rsid w:val="1FE74446"/>
    <w:rsid w:val="20232D1B"/>
    <w:rsid w:val="20325D08"/>
    <w:rsid w:val="20427645"/>
    <w:rsid w:val="207A2E7F"/>
    <w:rsid w:val="20BB30DF"/>
    <w:rsid w:val="20C9094D"/>
    <w:rsid w:val="20E06C98"/>
    <w:rsid w:val="210A0F60"/>
    <w:rsid w:val="214642EC"/>
    <w:rsid w:val="215F7D83"/>
    <w:rsid w:val="216751F7"/>
    <w:rsid w:val="219263AA"/>
    <w:rsid w:val="21DF252A"/>
    <w:rsid w:val="21F637F2"/>
    <w:rsid w:val="224376A4"/>
    <w:rsid w:val="2262401F"/>
    <w:rsid w:val="2297044C"/>
    <w:rsid w:val="22A530BF"/>
    <w:rsid w:val="23127636"/>
    <w:rsid w:val="23564AB2"/>
    <w:rsid w:val="239624B8"/>
    <w:rsid w:val="23AE03E7"/>
    <w:rsid w:val="23C562A3"/>
    <w:rsid w:val="23CE7442"/>
    <w:rsid w:val="23EA427B"/>
    <w:rsid w:val="242E06CB"/>
    <w:rsid w:val="242F4F47"/>
    <w:rsid w:val="24393F52"/>
    <w:rsid w:val="24830B6A"/>
    <w:rsid w:val="25280C02"/>
    <w:rsid w:val="253825EA"/>
    <w:rsid w:val="254C6B9E"/>
    <w:rsid w:val="25902C01"/>
    <w:rsid w:val="26973C51"/>
    <w:rsid w:val="26B161BC"/>
    <w:rsid w:val="26C5154E"/>
    <w:rsid w:val="27463247"/>
    <w:rsid w:val="275479A8"/>
    <w:rsid w:val="2759428A"/>
    <w:rsid w:val="27951673"/>
    <w:rsid w:val="281D224A"/>
    <w:rsid w:val="283024B5"/>
    <w:rsid w:val="288A35EE"/>
    <w:rsid w:val="28F60FCD"/>
    <w:rsid w:val="292A6EC8"/>
    <w:rsid w:val="29D74B46"/>
    <w:rsid w:val="29D922B8"/>
    <w:rsid w:val="29DD49DB"/>
    <w:rsid w:val="29F1428B"/>
    <w:rsid w:val="2A0C4820"/>
    <w:rsid w:val="2A2B739C"/>
    <w:rsid w:val="2A4135C2"/>
    <w:rsid w:val="2AA763D5"/>
    <w:rsid w:val="2AF05AFA"/>
    <w:rsid w:val="2B0B5110"/>
    <w:rsid w:val="2C097269"/>
    <w:rsid w:val="2C1335B4"/>
    <w:rsid w:val="2C504E98"/>
    <w:rsid w:val="2CFE4ECE"/>
    <w:rsid w:val="2D1D613B"/>
    <w:rsid w:val="2DBE7A5B"/>
    <w:rsid w:val="2E8059EF"/>
    <w:rsid w:val="2EB37960"/>
    <w:rsid w:val="2EC60A4A"/>
    <w:rsid w:val="2EE569C6"/>
    <w:rsid w:val="2F443489"/>
    <w:rsid w:val="2F672377"/>
    <w:rsid w:val="2F7C2A8D"/>
    <w:rsid w:val="2F8135BA"/>
    <w:rsid w:val="2FB344DB"/>
    <w:rsid w:val="300E12F2"/>
    <w:rsid w:val="30500D17"/>
    <w:rsid w:val="30DD0D03"/>
    <w:rsid w:val="311A1F18"/>
    <w:rsid w:val="31374878"/>
    <w:rsid w:val="315B6CD7"/>
    <w:rsid w:val="319D62DB"/>
    <w:rsid w:val="31D04385"/>
    <w:rsid w:val="31D73965"/>
    <w:rsid w:val="31EB0625"/>
    <w:rsid w:val="31FD3BE4"/>
    <w:rsid w:val="325A6FD8"/>
    <w:rsid w:val="32733EC7"/>
    <w:rsid w:val="32BF0681"/>
    <w:rsid w:val="32C428D3"/>
    <w:rsid w:val="33331FD2"/>
    <w:rsid w:val="337A3E72"/>
    <w:rsid w:val="3383276B"/>
    <w:rsid w:val="33953AD8"/>
    <w:rsid w:val="33C223E2"/>
    <w:rsid w:val="343B3756"/>
    <w:rsid w:val="34572416"/>
    <w:rsid w:val="348C1D7E"/>
    <w:rsid w:val="34F605A6"/>
    <w:rsid w:val="35B069A7"/>
    <w:rsid w:val="362A675A"/>
    <w:rsid w:val="362E0051"/>
    <w:rsid w:val="366B6436"/>
    <w:rsid w:val="368B2DD6"/>
    <w:rsid w:val="36B50719"/>
    <w:rsid w:val="374D654E"/>
    <w:rsid w:val="375A5088"/>
    <w:rsid w:val="378724ED"/>
    <w:rsid w:val="379C3549"/>
    <w:rsid w:val="38327B47"/>
    <w:rsid w:val="38790CC3"/>
    <w:rsid w:val="38795776"/>
    <w:rsid w:val="38F0250E"/>
    <w:rsid w:val="38F73337"/>
    <w:rsid w:val="391159AF"/>
    <w:rsid w:val="39EC3D26"/>
    <w:rsid w:val="39F531D2"/>
    <w:rsid w:val="3A3C733D"/>
    <w:rsid w:val="3A476A38"/>
    <w:rsid w:val="3A52627F"/>
    <w:rsid w:val="3A576316"/>
    <w:rsid w:val="3A685AA2"/>
    <w:rsid w:val="3A8B1791"/>
    <w:rsid w:val="3A8F74D3"/>
    <w:rsid w:val="3A9F3301"/>
    <w:rsid w:val="3B146D18"/>
    <w:rsid w:val="3B2319C9"/>
    <w:rsid w:val="3B634407"/>
    <w:rsid w:val="3B721655"/>
    <w:rsid w:val="3B8215FA"/>
    <w:rsid w:val="3B882CF7"/>
    <w:rsid w:val="3B9C6B95"/>
    <w:rsid w:val="3BA0368D"/>
    <w:rsid w:val="3BDA756D"/>
    <w:rsid w:val="3BF35EB4"/>
    <w:rsid w:val="3BFA6BCE"/>
    <w:rsid w:val="3C1B6F4F"/>
    <w:rsid w:val="3C2B6D87"/>
    <w:rsid w:val="3C3E427E"/>
    <w:rsid w:val="3C5D1BB7"/>
    <w:rsid w:val="3C884A06"/>
    <w:rsid w:val="3C907271"/>
    <w:rsid w:val="3CBE6B95"/>
    <w:rsid w:val="3D105D38"/>
    <w:rsid w:val="3DB14A2F"/>
    <w:rsid w:val="3DC30A67"/>
    <w:rsid w:val="3E51386D"/>
    <w:rsid w:val="3EB96787"/>
    <w:rsid w:val="3ECB7F2A"/>
    <w:rsid w:val="3EEC6DAF"/>
    <w:rsid w:val="3EFF76BA"/>
    <w:rsid w:val="3F00142F"/>
    <w:rsid w:val="3FFF7EC9"/>
    <w:rsid w:val="4009192C"/>
    <w:rsid w:val="40703903"/>
    <w:rsid w:val="409D5D7A"/>
    <w:rsid w:val="40A908E9"/>
    <w:rsid w:val="40D41F2E"/>
    <w:rsid w:val="41AC06D8"/>
    <w:rsid w:val="41C01C51"/>
    <w:rsid w:val="41E06F7A"/>
    <w:rsid w:val="42090E2F"/>
    <w:rsid w:val="422B44D2"/>
    <w:rsid w:val="423D1B28"/>
    <w:rsid w:val="42C6780A"/>
    <w:rsid w:val="430A5E4A"/>
    <w:rsid w:val="434E51C9"/>
    <w:rsid w:val="43654793"/>
    <w:rsid w:val="441B5E2C"/>
    <w:rsid w:val="442C03A1"/>
    <w:rsid w:val="44476FCF"/>
    <w:rsid w:val="448D57F7"/>
    <w:rsid w:val="44B270DB"/>
    <w:rsid w:val="45102CD2"/>
    <w:rsid w:val="454A4722"/>
    <w:rsid w:val="4574425A"/>
    <w:rsid w:val="463A6D87"/>
    <w:rsid w:val="46A73BE7"/>
    <w:rsid w:val="46B1257F"/>
    <w:rsid w:val="470E352E"/>
    <w:rsid w:val="47140CE8"/>
    <w:rsid w:val="471B4258"/>
    <w:rsid w:val="47892189"/>
    <w:rsid w:val="4822043E"/>
    <w:rsid w:val="48320CAE"/>
    <w:rsid w:val="48564C16"/>
    <w:rsid w:val="485E04E5"/>
    <w:rsid w:val="486B6297"/>
    <w:rsid w:val="48802209"/>
    <w:rsid w:val="488717E9"/>
    <w:rsid w:val="48D71562"/>
    <w:rsid w:val="48D805F5"/>
    <w:rsid w:val="48E9608E"/>
    <w:rsid w:val="495E69EE"/>
    <w:rsid w:val="498D5CEC"/>
    <w:rsid w:val="498E0956"/>
    <w:rsid w:val="49A563CB"/>
    <w:rsid w:val="49CE113A"/>
    <w:rsid w:val="4A8C0F12"/>
    <w:rsid w:val="4B5D05E6"/>
    <w:rsid w:val="4B840262"/>
    <w:rsid w:val="4B90263B"/>
    <w:rsid w:val="4BC40386"/>
    <w:rsid w:val="4BEA0DFF"/>
    <w:rsid w:val="4C165F6D"/>
    <w:rsid w:val="4C222DEC"/>
    <w:rsid w:val="4C3A5BFD"/>
    <w:rsid w:val="4C983FC5"/>
    <w:rsid w:val="4C9B795A"/>
    <w:rsid w:val="4CA54E6F"/>
    <w:rsid w:val="4CC60B45"/>
    <w:rsid w:val="4CCA439B"/>
    <w:rsid w:val="4CE433F7"/>
    <w:rsid w:val="4CE611B2"/>
    <w:rsid w:val="4D1B69A4"/>
    <w:rsid w:val="4D50664E"/>
    <w:rsid w:val="4D6D31E7"/>
    <w:rsid w:val="4DE84AD8"/>
    <w:rsid w:val="4E10402F"/>
    <w:rsid w:val="4E4306E9"/>
    <w:rsid w:val="4E825454"/>
    <w:rsid w:val="4E926C43"/>
    <w:rsid w:val="4EC279D7"/>
    <w:rsid w:val="4F367D6D"/>
    <w:rsid w:val="4FD5533C"/>
    <w:rsid w:val="4FDC3254"/>
    <w:rsid w:val="50362290"/>
    <w:rsid w:val="50503493"/>
    <w:rsid w:val="506B2513"/>
    <w:rsid w:val="5076668A"/>
    <w:rsid w:val="510612DE"/>
    <w:rsid w:val="515406D7"/>
    <w:rsid w:val="51736FBF"/>
    <w:rsid w:val="51E7154B"/>
    <w:rsid w:val="51F030D5"/>
    <w:rsid w:val="51FD289D"/>
    <w:rsid w:val="5217080F"/>
    <w:rsid w:val="52484C73"/>
    <w:rsid w:val="52723ECF"/>
    <w:rsid w:val="52744AE3"/>
    <w:rsid w:val="52855C9B"/>
    <w:rsid w:val="530C54AA"/>
    <w:rsid w:val="53460A90"/>
    <w:rsid w:val="537A4843"/>
    <w:rsid w:val="53B14ECD"/>
    <w:rsid w:val="53E37401"/>
    <w:rsid w:val="53E732A5"/>
    <w:rsid w:val="542228D7"/>
    <w:rsid w:val="54D83366"/>
    <w:rsid w:val="551C3DDC"/>
    <w:rsid w:val="5531653B"/>
    <w:rsid w:val="555F60C6"/>
    <w:rsid w:val="55922E56"/>
    <w:rsid w:val="55CC1E09"/>
    <w:rsid w:val="55E93E08"/>
    <w:rsid w:val="55FB55C5"/>
    <w:rsid w:val="561B07B0"/>
    <w:rsid w:val="563A36F2"/>
    <w:rsid w:val="56463975"/>
    <w:rsid w:val="56933C1B"/>
    <w:rsid w:val="56ED6744"/>
    <w:rsid w:val="57180A4A"/>
    <w:rsid w:val="572A7F10"/>
    <w:rsid w:val="575C2093"/>
    <w:rsid w:val="575E5568"/>
    <w:rsid w:val="57A06424"/>
    <w:rsid w:val="584B7BF5"/>
    <w:rsid w:val="588D16A1"/>
    <w:rsid w:val="5895240C"/>
    <w:rsid w:val="58A255C2"/>
    <w:rsid w:val="58DB5A41"/>
    <w:rsid w:val="58EC5485"/>
    <w:rsid w:val="58EF7663"/>
    <w:rsid w:val="59174B67"/>
    <w:rsid w:val="591A54E5"/>
    <w:rsid w:val="593013ED"/>
    <w:rsid w:val="59701E26"/>
    <w:rsid w:val="59A87409"/>
    <w:rsid w:val="5A004D4A"/>
    <w:rsid w:val="5A156465"/>
    <w:rsid w:val="5A215162"/>
    <w:rsid w:val="5A305BEC"/>
    <w:rsid w:val="5A53777D"/>
    <w:rsid w:val="5A712786"/>
    <w:rsid w:val="5B714063"/>
    <w:rsid w:val="5BA37FCD"/>
    <w:rsid w:val="5BF326AE"/>
    <w:rsid w:val="5BFC1478"/>
    <w:rsid w:val="5C292E8C"/>
    <w:rsid w:val="5C4C1DF4"/>
    <w:rsid w:val="5CC901CB"/>
    <w:rsid w:val="5D6276AC"/>
    <w:rsid w:val="5D87118C"/>
    <w:rsid w:val="5DA20BA7"/>
    <w:rsid w:val="5DA33F6C"/>
    <w:rsid w:val="5E007206"/>
    <w:rsid w:val="5E091CE0"/>
    <w:rsid w:val="5E161C7B"/>
    <w:rsid w:val="5E5166CA"/>
    <w:rsid w:val="5E5E6C13"/>
    <w:rsid w:val="5EA031AD"/>
    <w:rsid w:val="5EC55836"/>
    <w:rsid w:val="5EE017FC"/>
    <w:rsid w:val="5F2822DC"/>
    <w:rsid w:val="5F350549"/>
    <w:rsid w:val="5F3A2539"/>
    <w:rsid w:val="5F400345"/>
    <w:rsid w:val="5F4955F3"/>
    <w:rsid w:val="5F695FF8"/>
    <w:rsid w:val="5F6F7843"/>
    <w:rsid w:val="5F7D28C4"/>
    <w:rsid w:val="5FBD2AD0"/>
    <w:rsid w:val="5FDF43C7"/>
    <w:rsid w:val="60535CFF"/>
    <w:rsid w:val="609414C2"/>
    <w:rsid w:val="60D85953"/>
    <w:rsid w:val="60EB4E51"/>
    <w:rsid w:val="614B4CAE"/>
    <w:rsid w:val="61516DED"/>
    <w:rsid w:val="61532759"/>
    <w:rsid w:val="615450FD"/>
    <w:rsid w:val="61753AD2"/>
    <w:rsid w:val="6195412E"/>
    <w:rsid w:val="624031A3"/>
    <w:rsid w:val="62487DE4"/>
    <w:rsid w:val="624D3512"/>
    <w:rsid w:val="629A590B"/>
    <w:rsid w:val="62BD104B"/>
    <w:rsid w:val="62BE7103"/>
    <w:rsid w:val="62CE03EB"/>
    <w:rsid w:val="630F41D8"/>
    <w:rsid w:val="631657EC"/>
    <w:rsid w:val="63707A1C"/>
    <w:rsid w:val="64260712"/>
    <w:rsid w:val="64A96E72"/>
    <w:rsid w:val="64B368CF"/>
    <w:rsid w:val="64B67287"/>
    <w:rsid w:val="653A164E"/>
    <w:rsid w:val="654E0B3E"/>
    <w:rsid w:val="65CE30A3"/>
    <w:rsid w:val="66086E9B"/>
    <w:rsid w:val="66503D66"/>
    <w:rsid w:val="6665447D"/>
    <w:rsid w:val="66823ED1"/>
    <w:rsid w:val="6697091C"/>
    <w:rsid w:val="673069F6"/>
    <w:rsid w:val="676F7D18"/>
    <w:rsid w:val="67700A62"/>
    <w:rsid w:val="6773320D"/>
    <w:rsid w:val="679A481B"/>
    <w:rsid w:val="67FC1454"/>
    <w:rsid w:val="681F410F"/>
    <w:rsid w:val="6825412C"/>
    <w:rsid w:val="684B6A13"/>
    <w:rsid w:val="68FD2359"/>
    <w:rsid w:val="690A0C77"/>
    <w:rsid w:val="69232D3B"/>
    <w:rsid w:val="695B03FD"/>
    <w:rsid w:val="699C0196"/>
    <w:rsid w:val="69A24955"/>
    <w:rsid w:val="69A47FF6"/>
    <w:rsid w:val="69C92260"/>
    <w:rsid w:val="69E7542D"/>
    <w:rsid w:val="6AAC205F"/>
    <w:rsid w:val="6ADE1B67"/>
    <w:rsid w:val="6AF503DD"/>
    <w:rsid w:val="6BB3513A"/>
    <w:rsid w:val="6C117498"/>
    <w:rsid w:val="6C3D64DF"/>
    <w:rsid w:val="6C88244D"/>
    <w:rsid w:val="6C9C7F3A"/>
    <w:rsid w:val="6CBE13CE"/>
    <w:rsid w:val="6CE35466"/>
    <w:rsid w:val="6E3A5CBE"/>
    <w:rsid w:val="6E3B0B20"/>
    <w:rsid w:val="6E4771A1"/>
    <w:rsid w:val="6E5D3031"/>
    <w:rsid w:val="6E805CAF"/>
    <w:rsid w:val="6E94030B"/>
    <w:rsid w:val="6ED17905"/>
    <w:rsid w:val="6EF73380"/>
    <w:rsid w:val="6F1138E7"/>
    <w:rsid w:val="6F1B2538"/>
    <w:rsid w:val="6F1B6B2B"/>
    <w:rsid w:val="6FCA6DDF"/>
    <w:rsid w:val="703C565E"/>
    <w:rsid w:val="70437B92"/>
    <w:rsid w:val="706935C4"/>
    <w:rsid w:val="708030A8"/>
    <w:rsid w:val="70A738E4"/>
    <w:rsid w:val="71AC73C6"/>
    <w:rsid w:val="721E1120"/>
    <w:rsid w:val="723635F8"/>
    <w:rsid w:val="72367C8E"/>
    <w:rsid w:val="724216DC"/>
    <w:rsid w:val="72503A53"/>
    <w:rsid w:val="72647DF7"/>
    <w:rsid w:val="728153B3"/>
    <w:rsid w:val="728B2DDC"/>
    <w:rsid w:val="72997818"/>
    <w:rsid w:val="72BD7A32"/>
    <w:rsid w:val="72E1439C"/>
    <w:rsid w:val="73313BD5"/>
    <w:rsid w:val="73BB60DE"/>
    <w:rsid w:val="74143DE2"/>
    <w:rsid w:val="74341F76"/>
    <w:rsid w:val="7444514C"/>
    <w:rsid w:val="744C76B2"/>
    <w:rsid w:val="74A67E22"/>
    <w:rsid w:val="74F17E67"/>
    <w:rsid w:val="75D67789"/>
    <w:rsid w:val="76587A02"/>
    <w:rsid w:val="769D02A6"/>
    <w:rsid w:val="76AC51CA"/>
    <w:rsid w:val="770F5341"/>
    <w:rsid w:val="771C1FEB"/>
    <w:rsid w:val="77251282"/>
    <w:rsid w:val="772A6B6C"/>
    <w:rsid w:val="772C162A"/>
    <w:rsid w:val="773706AE"/>
    <w:rsid w:val="77AD276B"/>
    <w:rsid w:val="77B8749C"/>
    <w:rsid w:val="77D53A9C"/>
    <w:rsid w:val="78054355"/>
    <w:rsid w:val="781F6A99"/>
    <w:rsid w:val="788E3BD5"/>
    <w:rsid w:val="78CE1E32"/>
    <w:rsid w:val="79697BB9"/>
    <w:rsid w:val="79A47EF6"/>
    <w:rsid w:val="79A75717"/>
    <w:rsid w:val="79DC7338"/>
    <w:rsid w:val="79E26E11"/>
    <w:rsid w:val="79F30FA6"/>
    <w:rsid w:val="7A344A7E"/>
    <w:rsid w:val="7A575F13"/>
    <w:rsid w:val="7A7F1A71"/>
    <w:rsid w:val="7ADE63F2"/>
    <w:rsid w:val="7AED2462"/>
    <w:rsid w:val="7B1C357F"/>
    <w:rsid w:val="7B226FCC"/>
    <w:rsid w:val="7B477DF0"/>
    <w:rsid w:val="7B4A207F"/>
    <w:rsid w:val="7B5A10D9"/>
    <w:rsid w:val="7B7315D6"/>
    <w:rsid w:val="7B904AEA"/>
    <w:rsid w:val="7BF757D5"/>
    <w:rsid w:val="7C594C70"/>
    <w:rsid w:val="7C776EA4"/>
    <w:rsid w:val="7CF5012A"/>
    <w:rsid w:val="7CFA66AA"/>
    <w:rsid w:val="7D077474"/>
    <w:rsid w:val="7DBC2D12"/>
    <w:rsid w:val="7E5C0A47"/>
    <w:rsid w:val="7E5E6FCF"/>
    <w:rsid w:val="7E6510EA"/>
    <w:rsid w:val="7E867872"/>
    <w:rsid w:val="7E956169"/>
    <w:rsid w:val="7F8143BD"/>
    <w:rsid w:val="7FCD77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99" w:semiHidden="0" w:name="index 8"/>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autoRedefine/>
    <w:qFormat/>
    <w:uiPriority w:val="99"/>
    <w:pPr>
      <w:keepNext/>
      <w:keepLines/>
      <w:spacing w:before="340" w:after="330" w:line="578" w:lineRule="auto"/>
      <w:outlineLvl w:val="0"/>
    </w:pPr>
    <w:rPr>
      <w:b/>
      <w:bCs/>
      <w:kern w:val="44"/>
      <w:sz w:val="44"/>
      <w:szCs w:val="44"/>
    </w:rPr>
  </w:style>
  <w:style w:type="paragraph" w:styleId="4">
    <w:name w:val="heading 2"/>
    <w:basedOn w:val="1"/>
    <w:link w:val="41"/>
    <w:autoRedefine/>
    <w:qFormat/>
    <w:uiPriority w:val="99"/>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42"/>
    <w:autoRedefine/>
    <w:qFormat/>
    <w:uiPriority w:val="99"/>
    <w:pPr>
      <w:keepNext/>
      <w:keepLines/>
      <w:spacing w:before="260" w:after="260"/>
      <w:outlineLvl w:val="2"/>
    </w:pPr>
    <w:rPr>
      <w:rFonts w:ascii="Calibri" w:hAnsi="Calibri"/>
      <w:b/>
      <w:kern w:val="0"/>
      <w:sz w:val="32"/>
      <w:szCs w:val="20"/>
    </w:rPr>
  </w:style>
  <w:style w:type="paragraph" w:styleId="6">
    <w:name w:val="heading 4"/>
    <w:basedOn w:val="1"/>
    <w:next w:val="1"/>
    <w:link w:val="43"/>
    <w:autoRedefine/>
    <w:qFormat/>
    <w:uiPriority w:val="99"/>
    <w:pPr>
      <w:keepNext/>
      <w:spacing w:before="240" w:after="60"/>
      <w:outlineLvl w:val="3"/>
    </w:pPr>
    <w:rPr>
      <w:b/>
      <w:bCs/>
      <w:sz w:val="28"/>
      <w:szCs w:val="28"/>
    </w:rPr>
  </w:style>
  <w:style w:type="paragraph" w:styleId="7">
    <w:name w:val="heading 5"/>
    <w:basedOn w:val="1"/>
    <w:next w:val="1"/>
    <w:link w:val="44"/>
    <w:autoRedefine/>
    <w:qFormat/>
    <w:uiPriority w:val="99"/>
    <w:pPr>
      <w:keepNext/>
      <w:keepLines/>
      <w:spacing w:before="280" w:after="290" w:line="376" w:lineRule="auto"/>
      <w:outlineLvl w:val="4"/>
    </w:pPr>
    <w:rPr>
      <w:b/>
      <w:bCs/>
      <w:sz w:val="28"/>
      <w:szCs w:val="28"/>
    </w:rPr>
  </w:style>
  <w:style w:type="paragraph" w:styleId="8">
    <w:name w:val="heading 6"/>
    <w:basedOn w:val="1"/>
    <w:next w:val="1"/>
    <w:link w:val="45"/>
    <w:autoRedefine/>
    <w:qFormat/>
    <w:uiPriority w:val="99"/>
    <w:pPr>
      <w:keepNext/>
      <w:keepLines/>
      <w:spacing w:before="240" w:after="64" w:line="320" w:lineRule="auto"/>
      <w:outlineLvl w:val="5"/>
    </w:pPr>
    <w:rPr>
      <w:rFonts w:ascii="Cambria" w:hAnsi="Cambria"/>
      <w:b/>
      <w:bCs/>
      <w:sz w:val="24"/>
    </w:rPr>
  </w:style>
  <w:style w:type="character" w:default="1" w:styleId="31">
    <w:name w:val="Default Paragraph Font"/>
    <w:autoRedefine/>
    <w:semiHidden/>
    <w:qFormat/>
    <w:uiPriority w:val="99"/>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9">
    <w:name w:val="table of authorities"/>
    <w:basedOn w:val="1"/>
    <w:next w:val="1"/>
    <w:autoRedefine/>
    <w:qFormat/>
    <w:uiPriority w:val="99"/>
    <w:pPr>
      <w:ind w:left="420"/>
    </w:pPr>
    <w:rPr>
      <w:szCs w:val="20"/>
    </w:rPr>
  </w:style>
  <w:style w:type="paragraph" w:styleId="10">
    <w:name w:val="index 8"/>
    <w:basedOn w:val="1"/>
    <w:next w:val="1"/>
    <w:autoRedefine/>
    <w:qFormat/>
    <w:uiPriority w:val="99"/>
    <w:pPr>
      <w:ind w:left="2940"/>
    </w:pPr>
  </w:style>
  <w:style w:type="paragraph" w:styleId="11">
    <w:name w:val="Normal Indent"/>
    <w:basedOn w:val="1"/>
    <w:next w:val="1"/>
    <w:autoRedefine/>
    <w:qFormat/>
    <w:locked/>
    <w:uiPriority w:val="0"/>
    <w:pPr>
      <w:ind w:firstLine="420"/>
    </w:pPr>
    <w:rPr>
      <w:kern w:val="0"/>
      <w:sz w:val="20"/>
      <w:szCs w:val="20"/>
    </w:rPr>
  </w:style>
  <w:style w:type="paragraph" w:styleId="12">
    <w:name w:val="Document Map"/>
    <w:basedOn w:val="1"/>
    <w:link w:val="46"/>
    <w:autoRedefine/>
    <w:qFormat/>
    <w:uiPriority w:val="99"/>
    <w:rPr>
      <w:rFonts w:ascii="宋体"/>
      <w:sz w:val="18"/>
      <w:szCs w:val="18"/>
    </w:rPr>
  </w:style>
  <w:style w:type="paragraph" w:styleId="13">
    <w:name w:val="annotation text"/>
    <w:basedOn w:val="1"/>
    <w:link w:val="47"/>
    <w:autoRedefine/>
    <w:qFormat/>
    <w:uiPriority w:val="99"/>
    <w:pPr>
      <w:jc w:val="left"/>
    </w:pPr>
  </w:style>
  <w:style w:type="paragraph" w:styleId="14">
    <w:name w:val="Body Text"/>
    <w:basedOn w:val="1"/>
    <w:link w:val="48"/>
    <w:autoRedefine/>
    <w:qFormat/>
    <w:uiPriority w:val="99"/>
  </w:style>
  <w:style w:type="paragraph" w:styleId="15">
    <w:name w:val="Body Text Indent"/>
    <w:basedOn w:val="1"/>
    <w:next w:val="16"/>
    <w:link w:val="49"/>
    <w:autoRedefine/>
    <w:qFormat/>
    <w:uiPriority w:val="99"/>
    <w:pPr>
      <w:spacing w:after="120"/>
      <w:ind w:left="420" w:leftChars="200"/>
    </w:pPr>
  </w:style>
  <w:style w:type="paragraph" w:styleId="16">
    <w:name w:val="Body Text First Indent 2"/>
    <w:basedOn w:val="15"/>
    <w:next w:val="11"/>
    <w:link w:val="56"/>
    <w:autoRedefine/>
    <w:qFormat/>
    <w:uiPriority w:val="99"/>
    <w:pPr>
      <w:ind w:firstLine="420" w:firstLineChars="200"/>
    </w:pPr>
  </w:style>
  <w:style w:type="paragraph" w:styleId="17">
    <w:name w:val="toc 3"/>
    <w:basedOn w:val="1"/>
    <w:next w:val="1"/>
    <w:autoRedefine/>
    <w:qFormat/>
    <w:uiPriority w:val="99"/>
    <w:pPr>
      <w:ind w:left="840" w:leftChars="400"/>
    </w:pPr>
  </w:style>
  <w:style w:type="paragraph" w:styleId="18">
    <w:name w:val="Plain Text"/>
    <w:basedOn w:val="1"/>
    <w:next w:val="10"/>
    <w:link w:val="50"/>
    <w:autoRedefine/>
    <w:qFormat/>
    <w:uiPriority w:val="99"/>
    <w:rPr>
      <w:rFonts w:ascii="宋体" w:hAnsi="Courier New"/>
      <w:szCs w:val="20"/>
    </w:rPr>
  </w:style>
  <w:style w:type="paragraph" w:styleId="19">
    <w:name w:val="Balloon Text"/>
    <w:basedOn w:val="1"/>
    <w:link w:val="51"/>
    <w:autoRedefine/>
    <w:qFormat/>
    <w:uiPriority w:val="99"/>
    <w:rPr>
      <w:sz w:val="18"/>
      <w:szCs w:val="18"/>
    </w:rPr>
  </w:style>
  <w:style w:type="paragraph" w:styleId="20">
    <w:name w:val="footer"/>
    <w:basedOn w:val="1"/>
    <w:link w:val="52"/>
    <w:autoRedefine/>
    <w:qFormat/>
    <w:uiPriority w:val="99"/>
    <w:pPr>
      <w:tabs>
        <w:tab w:val="center" w:pos="4153"/>
        <w:tab w:val="right" w:pos="8306"/>
      </w:tabs>
      <w:snapToGrid w:val="0"/>
      <w:jc w:val="left"/>
    </w:pPr>
    <w:rPr>
      <w:sz w:val="18"/>
      <w:szCs w:val="18"/>
    </w:rPr>
  </w:style>
  <w:style w:type="paragraph" w:styleId="21">
    <w:name w:val="envelope return"/>
    <w:basedOn w:val="1"/>
    <w:autoRedefine/>
    <w:qFormat/>
    <w:locked/>
    <w:uiPriority w:val="0"/>
    <w:pPr>
      <w:snapToGrid w:val="0"/>
    </w:pPr>
    <w:rPr>
      <w:rFonts w:ascii="Arial" w:hAnsi="Arial"/>
    </w:rPr>
  </w:style>
  <w:style w:type="paragraph" w:styleId="22">
    <w:name w:val="header"/>
    <w:basedOn w:val="1"/>
    <w:link w:val="53"/>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99"/>
  </w:style>
  <w:style w:type="paragraph" w:styleId="24">
    <w:name w:val="toc 2"/>
    <w:basedOn w:val="1"/>
    <w:next w:val="1"/>
    <w:autoRedefine/>
    <w:qFormat/>
    <w:uiPriority w:val="99"/>
    <w:pPr>
      <w:ind w:left="420" w:leftChars="200"/>
    </w:p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6">
    <w:name w:val="index 1"/>
    <w:basedOn w:val="1"/>
    <w:next w:val="1"/>
    <w:autoRedefine/>
    <w:semiHidden/>
    <w:qFormat/>
    <w:locked/>
    <w:uiPriority w:val="0"/>
    <w:pPr>
      <w:spacing w:line="400" w:lineRule="exact"/>
      <w:ind w:firstLine="420" w:firstLineChars="200"/>
    </w:pPr>
    <w:rPr>
      <w:rFonts w:ascii="宋体" w:hAnsi="Courier New"/>
      <w:szCs w:val="20"/>
    </w:rPr>
  </w:style>
  <w:style w:type="paragraph" w:styleId="27">
    <w:name w:val="annotation subject"/>
    <w:basedOn w:val="13"/>
    <w:next w:val="13"/>
    <w:link w:val="54"/>
    <w:autoRedefine/>
    <w:qFormat/>
    <w:uiPriority w:val="99"/>
    <w:rPr>
      <w:b/>
      <w:bCs/>
    </w:rPr>
  </w:style>
  <w:style w:type="paragraph" w:styleId="28">
    <w:name w:val="Body Text First Indent"/>
    <w:basedOn w:val="14"/>
    <w:next w:val="1"/>
    <w:link w:val="55"/>
    <w:autoRedefine/>
    <w:qFormat/>
    <w:uiPriority w:val="99"/>
    <w:pPr>
      <w:ind w:firstLine="420" w:firstLineChars="100"/>
    </w:pPr>
    <w:rPr>
      <w:rFonts w:ascii="金山简黑体" w:hAnsi="Courier New" w:eastAsia="金山简黑体"/>
      <w:b/>
      <w:spacing w:val="-8"/>
      <w:sz w:val="44"/>
      <w:szCs w:val="20"/>
    </w:rPr>
  </w:style>
  <w:style w:type="table" w:styleId="30">
    <w:name w:val="Table Grid"/>
    <w:basedOn w:val="29"/>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99"/>
    <w:rPr>
      <w:rFonts w:cs="Times New Roman"/>
      <w:b/>
      <w:bCs/>
    </w:rPr>
  </w:style>
  <w:style w:type="character" w:styleId="33">
    <w:name w:val="page number"/>
    <w:basedOn w:val="31"/>
    <w:autoRedefine/>
    <w:qFormat/>
    <w:uiPriority w:val="99"/>
    <w:rPr>
      <w:rFonts w:cs="Times New Roman"/>
    </w:rPr>
  </w:style>
  <w:style w:type="character" w:styleId="34">
    <w:name w:val="Hyperlink"/>
    <w:basedOn w:val="31"/>
    <w:autoRedefine/>
    <w:qFormat/>
    <w:uiPriority w:val="99"/>
    <w:rPr>
      <w:rFonts w:ascii="Arial" w:hAnsi="Arial" w:cs="Times New Roman"/>
      <w:color w:val="003399"/>
      <w:sz w:val="18"/>
      <w:u w:val="none"/>
    </w:rPr>
  </w:style>
  <w:style w:type="character" w:styleId="35">
    <w:name w:val="annotation reference"/>
    <w:basedOn w:val="31"/>
    <w:autoRedefine/>
    <w:qFormat/>
    <w:uiPriority w:val="99"/>
    <w:rPr>
      <w:rFonts w:cs="Times New Roman"/>
      <w:sz w:val="21"/>
      <w:szCs w:val="21"/>
    </w:rPr>
  </w:style>
  <w:style w:type="character" w:styleId="36">
    <w:name w:val="HTML Sample"/>
    <w:basedOn w:val="31"/>
    <w:autoRedefine/>
    <w:qFormat/>
    <w:uiPriority w:val="99"/>
    <w:rPr>
      <w:rFonts w:ascii="宋体" w:hAnsi="宋体" w:eastAsia="宋体" w:cs="宋体"/>
    </w:rPr>
  </w:style>
  <w:style w:type="paragraph" w:customStyle="1" w:styleId="37">
    <w:name w:val="BodyText"/>
    <w:next w:val="38"/>
    <w:autoRedefine/>
    <w:qFormat/>
    <w:uiPriority w:val="99"/>
    <w:pPr>
      <w:ind w:left="102"/>
      <w:jc w:val="both"/>
      <w:textAlignment w:val="baseline"/>
    </w:pPr>
    <w:rPr>
      <w:rFonts w:ascii="宋体" w:hAnsi="宋体" w:eastAsia="宋体" w:cs="Times New Roman"/>
      <w:kern w:val="2"/>
      <w:sz w:val="29"/>
      <w:szCs w:val="24"/>
      <w:lang w:val="en-US" w:eastAsia="zh-CN" w:bidi="ar-SA"/>
    </w:rPr>
  </w:style>
  <w:style w:type="paragraph" w:customStyle="1" w:styleId="38">
    <w:name w:val="181"/>
    <w:next w:val="1"/>
    <w:autoRedefine/>
    <w:qFormat/>
    <w:uiPriority w:val="99"/>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customStyle="1" w:styleId="39">
    <w:name w:val="标题4"/>
    <w:basedOn w:val="6"/>
    <w:next w:val="1"/>
    <w:link w:val="79"/>
    <w:autoRedefine/>
    <w:qFormat/>
    <w:uiPriority w:val="99"/>
    <w:pPr>
      <w:keepLines/>
      <w:numPr>
        <w:ilvl w:val="3"/>
        <w:numId w:val="1"/>
      </w:numPr>
      <w:tabs>
        <w:tab w:val="left" w:pos="1276"/>
      </w:tabs>
      <w:spacing w:beforeLines="50" w:afterLines="50" w:line="360" w:lineRule="auto"/>
      <w:ind w:left="0" w:firstLine="562"/>
    </w:pPr>
    <w:rPr>
      <w:rFonts w:ascii="宋体" w:hAnsi="宋体"/>
      <w:szCs w:val="32"/>
    </w:rPr>
  </w:style>
  <w:style w:type="character" w:customStyle="1" w:styleId="40">
    <w:name w:val="Heading 1 Char"/>
    <w:basedOn w:val="31"/>
    <w:link w:val="3"/>
    <w:autoRedefine/>
    <w:qFormat/>
    <w:locked/>
    <w:uiPriority w:val="99"/>
    <w:rPr>
      <w:rFonts w:cs="Times New Roman"/>
      <w:b/>
      <w:bCs/>
      <w:kern w:val="44"/>
      <w:sz w:val="44"/>
      <w:szCs w:val="44"/>
    </w:rPr>
  </w:style>
  <w:style w:type="character" w:customStyle="1" w:styleId="41">
    <w:name w:val="Heading 2 Char"/>
    <w:basedOn w:val="31"/>
    <w:link w:val="4"/>
    <w:autoRedefine/>
    <w:qFormat/>
    <w:locked/>
    <w:uiPriority w:val="99"/>
    <w:rPr>
      <w:rFonts w:ascii="Arial" w:hAnsi="Arial" w:cs="Times New Roman"/>
      <w:bCs/>
      <w:color w:val="000000"/>
      <w:kern w:val="2"/>
      <w:sz w:val="32"/>
      <w:szCs w:val="32"/>
      <w:lang w:val="pt-BR"/>
    </w:rPr>
  </w:style>
  <w:style w:type="character" w:customStyle="1" w:styleId="42">
    <w:name w:val="Heading 3 Char"/>
    <w:basedOn w:val="31"/>
    <w:link w:val="5"/>
    <w:autoRedefine/>
    <w:qFormat/>
    <w:locked/>
    <w:uiPriority w:val="99"/>
    <w:rPr>
      <w:rFonts w:ascii="Calibri" w:hAnsi="Calibri" w:eastAsia="宋体"/>
      <w:b/>
      <w:sz w:val="32"/>
    </w:rPr>
  </w:style>
  <w:style w:type="character" w:customStyle="1" w:styleId="43">
    <w:name w:val="Heading 4 Char"/>
    <w:basedOn w:val="31"/>
    <w:link w:val="6"/>
    <w:autoRedefine/>
    <w:qFormat/>
    <w:locked/>
    <w:uiPriority w:val="99"/>
    <w:rPr>
      <w:rFonts w:cs="Times New Roman"/>
      <w:b/>
      <w:bCs/>
      <w:kern w:val="2"/>
      <w:sz w:val="28"/>
      <w:szCs w:val="28"/>
    </w:rPr>
  </w:style>
  <w:style w:type="character" w:customStyle="1" w:styleId="44">
    <w:name w:val="Heading 5 Char"/>
    <w:basedOn w:val="31"/>
    <w:link w:val="7"/>
    <w:autoRedefine/>
    <w:semiHidden/>
    <w:qFormat/>
    <w:locked/>
    <w:uiPriority w:val="99"/>
    <w:rPr>
      <w:rFonts w:cs="Times New Roman"/>
      <w:b/>
      <w:bCs/>
      <w:kern w:val="2"/>
      <w:sz w:val="28"/>
      <w:szCs w:val="28"/>
    </w:rPr>
  </w:style>
  <w:style w:type="character" w:customStyle="1" w:styleId="45">
    <w:name w:val="Heading 6 Char"/>
    <w:basedOn w:val="31"/>
    <w:link w:val="8"/>
    <w:autoRedefine/>
    <w:semiHidden/>
    <w:qFormat/>
    <w:locked/>
    <w:uiPriority w:val="99"/>
    <w:rPr>
      <w:rFonts w:ascii="Cambria" w:hAnsi="Cambria" w:eastAsia="宋体" w:cs="Times New Roman"/>
      <w:b/>
      <w:bCs/>
      <w:kern w:val="2"/>
      <w:sz w:val="24"/>
      <w:szCs w:val="24"/>
    </w:rPr>
  </w:style>
  <w:style w:type="character" w:customStyle="1" w:styleId="46">
    <w:name w:val="Document Map Char"/>
    <w:basedOn w:val="31"/>
    <w:link w:val="12"/>
    <w:autoRedefine/>
    <w:semiHidden/>
    <w:qFormat/>
    <w:locked/>
    <w:uiPriority w:val="99"/>
    <w:rPr>
      <w:rFonts w:ascii="宋体" w:cs="Times New Roman"/>
      <w:kern w:val="2"/>
      <w:sz w:val="18"/>
      <w:szCs w:val="18"/>
    </w:rPr>
  </w:style>
  <w:style w:type="character" w:customStyle="1" w:styleId="47">
    <w:name w:val="Comment Text Char"/>
    <w:basedOn w:val="31"/>
    <w:link w:val="13"/>
    <w:autoRedefine/>
    <w:qFormat/>
    <w:locked/>
    <w:uiPriority w:val="99"/>
    <w:rPr>
      <w:rFonts w:cs="Times New Roman"/>
      <w:kern w:val="2"/>
      <w:sz w:val="24"/>
      <w:szCs w:val="24"/>
    </w:rPr>
  </w:style>
  <w:style w:type="character" w:customStyle="1" w:styleId="48">
    <w:name w:val="Body Text Char"/>
    <w:basedOn w:val="31"/>
    <w:link w:val="14"/>
    <w:autoRedefine/>
    <w:qFormat/>
    <w:locked/>
    <w:uiPriority w:val="99"/>
    <w:rPr>
      <w:rFonts w:cs="Times New Roman"/>
      <w:kern w:val="2"/>
      <w:sz w:val="24"/>
      <w:szCs w:val="24"/>
    </w:rPr>
  </w:style>
  <w:style w:type="character" w:customStyle="1" w:styleId="49">
    <w:name w:val="Body Text Indent Char"/>
    <w:basedOn w:val="31"/>
    <w:link w:val="15"/>
    <w:autoRedefine/>
    <w:qFormat/>
    <w:locked/>
    <w:uiPriority w:val="99"/>
    <w:rPr>
      <w:rFonts w:cs="Times New Roman"/>
      <w:kern w:val="2"/>
      <w:sz w:val="24"/>
      <w:szCs w:val="24"/>
    </w:rPr>
  </w:style>
  <w:style w:type="character" w:customStyle="1" w:styleId="50">
    <w:name w:val="Plain Text Char"/>
    <w:basedOn w:val="31"/>
    <w:link w:val="18"/>
    <w:autoRedefine/>
    <w:qFormat/>
    <w:locked/>
    <w:uiPriority w:val="99"/>
    <w:rPr>
      <w:rFonts w:ascii="宋体" w:hAnsi="Courier New" w:cs="Times New Roman"/>
      <w:kern w:val="2"/>
      <w:sz w:val="21"/>
    </w:rPr>
  </w:style>
  <w:style w:type="character" w:customStyle="1" w:styleId="51">
    <w:name w:val="Balloon Text Char"/>
    <w:basedOn w:val="31"/>
    <w:link w:val="19"/>
    <w:autoRedefine/>
    <w:qFormat/>
    <w:locked/>
    <w:uiPriority w:val="99"/>
    <w:rPr>
      <w:rFonts w:cs="Times New Roman"/>
      <w:kern w:val="2"/>
      <w:sz w:val="18"/>
      <w:szCs w:val="18"/>
    </w:rPr>
  </w:style>
  <w:style w:type="character" w:customStyle="1" w:styleId="52">
    <w:name w:val="Footer Char"/>
    <w:basedOn w:val="31"/>
    <w:link w:val="20"/>
    <w:autoRedefine/>
    <w:qFormat/>
    <w:locked/>
    <w:uiPriority w:val="99"/>
    <w:rPr>
      <w:rFonts w:cs="Times New Roman"/>
      <w:kern w:val="2"/>
      <w:sz w:val="18"/>
      <w:szCs w:val="18"/>
    </w:rPr>
  </w:style>
  <w:style w:type="character" w:customStyle="1" w:styleId="53">
    <w:name w:val="Header Char"/>
    <w:basedOn w:val="31"/>
    <w:link w:val="22"/>
    <w:autoRedefine/>
    <w:qFormat/>
    <w:locked/>
    <w:uiPriority w:val="99"/>
    <w:rPr>
      <w:rFonts w:cs="Times New Roman"/>
      <w:kern w:val="2"/>
      <w:sz w:val="18"/>
      <w:szCs w:val="18"/>
    </w:rPr>
  </w:style>
  <w:style w:type="character" w:customStyle="1" w:styleId="54">
    <w:name w:val="Comment Subject Char"/>
    <w:basedOn w:val="47"/>
    <w:link w:val="27"/>
    <w:autoRedefine/>
    <w:qFormat/>
    <w:locked/>
    <w:uiPriority w:val="99"/>
  </w:style>
  <w:style w:type="character" w:customStyle="1" w:styleId="55">
    <w:name w:val="Body Text First Indent Char"/>
    <w:basedOn w:val="48"/>
    <w:link w:val="28"/>
    <w:autoRedefine/>
    <w:qFormat/>
    <w:locked/>
    <w:uiPriority w:val="99"/>
    <w:rPr>
      <w:rFonts w:ascii="金山简黑体" w:hAnsi="Courier New" w:eastAsia="金山简黑体"/>
      <w:b/>
      <w:spacing w:val="-8"/>
    </w:rPr>
  </w:style>
  <w:style w:type="character" w:customStyle="1" w:styleId="56">
    <w:name w:val="Body Text First Indent 2 Char"/>
    <w:basedOn w:val="49"/>
    <w:link w:val="16"/>
    <w:autoRedefine/>
    <w:qFormat/>
    <w:locked/>
    <w:uiPriority w:val="99"/>
  </w:style>
  <w:style w:type="paragraph" w:customStyle="1" w:styleId="57">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8">
    <w:name w:val="列出段落1"/>
    <w:basedOn w:val="1"/>
    <w:autoRedefine/>
    <w:qFormat/>
    <w:uiPriority w:val="99"/>
    <w:pPr>
      <w:ind w:firstLine="420" w:firstLineChars="200"/>
    </w:pPr>
  </w:style>
  <w:style w:type="paragraph" w:customStyle="1" w:styleId="59">
    <w:name w:val="样式 正文文本 + 宋体 首行缩进:  0.74 厘米 行距: 1.5 倍行距"/>
    <w:basedOn w:val="14"/>
    <w:autoRedefine/>
    <w:qFormat/>
    <w:uiPriority w:val="99"/>
    <w:pPr>
      <w:spacing w:after="120" w:line="360" w:lineRule="auto"/>
      <w:ind w:firstLine="200" w:firstLineChars="200"/>
    </w:pPr>
    <w:rPr>
      <w:rFonts w:ascii="Calibri" w:hAnsi="Calibri"/>
      <w:sz w:val="24"/>
      <w:szCs w:val="22"/>
    </w:rPr>
  </w:style>
  <w:style w:type="paragraph" w:customStyle="1" w:styleId="60">
    <w:name w:val="纯文本1"/>
    <w:basedOn w:val="1"/>
    <w:autoRedefine/>
    <w:qFormat/>
    <w:uiPriority w:val="99"/>
    <w:rPr>
      <w:rFonts w:ascii="宋体" w:hAnsi="Courier New"/>
      <w:szCs w:val="22"/>
    </w:rPr>
  </w:style>
  <w:style w:type="paragraph" w:customStyle="1" w:styleId="61">
    <w:name w:val="无间隔1"/>
    <w:link w:val="62"/>
    <w:autoRedefine/>
    <w:qFormat/>
    <w:uiPriority w:val="99"/>
    <w:rPr>
      <w:rFonts w:ascii="Calibri" w:hAnsi="Calibri" w:eastAsia="宋体" w:cs="Times New Roman"/>
      <w:kern w:val="0"/>
      <w:sz w:val="22"/>
      <w:szCs w:val="22"/>
      <w:lang w:val="en-US" w:eastAsia="zh-CN" w:bidi="ar-SA"/>
    </w:rPr>
  </w:style>
  <w:style w:type="character" w:customStyle="1" w:styleId="62">
    <w:name w:val="无间隔 Char"/>
    <w:basedOn w:val="31"/>
    <w:link w:val="61"/>
    <w:autoRedefine/>
    <w:qFormat/>
    <w:locked/>
    <w:uiPriority w:val="99"/>
    <w:rPr>
      <w:rFonts w:ascii="Calibri" w:hAnsi="Calibri" w:cs="Times New Roman"/>
      <w:sz w:val="22"/>
      <w:szCs w:val="22"/>
      <w:lang w:val="en-US" w:eastAsia="zh-CN" w:bidi="ar-SA"/>
    </w:rPr>
  </w:style>
  <w:style w:type="character" w:customStyle="1" w:styleId="63">
    <w:name w:val="bookmark-item"/>
    <w:basedOn w:val="31"/>
    <w:autoRedefine/>
    <w:qFormat/>
    <w:uiPriority w:val="99"/>
    <w:rPr>
      <w:rFonts w:cs="Times New Roman"/>
    </w:rPr>
  </w:style>
  <w:style w:type="paragraph" w:customStyle="1" w:styleId="64">
    <w:name w:val="表内文字居中"/>
    <w:autoRedefine/>
    <w:qFormat/>
    <w:uiPriority w:val="99"/>
    <w:pPr>
      <w:jc w:val="center"/>
    </w:pPr>
    <w:rPr>
      <w:rFonts w:ascii="Times New Roman" w:hAnsi="Times New Roman" w:eastAsia="宋体" w:cs="Times New Roman"/>
      <w:kern w:val="2"/>
      <w:sz w:val="24"/>
      <w:szCs w:val="24"/>
      <w:lang w:val="en-US" w:eastAsia="zh-CN" w:bidi="ar-SA"/>
    </w:rPr>
  </w:style>
  <w:style w:type="paragraph" w:customStyle="1" w:styleId="65">
    <w:name w:val="Table Paragraph"/>
    <w:basedOn w:val="1"/>
    <w:autoRedefine/>
    <w:qFormat/>
    <w:uiPriority w:val="99"/>
    <w:pPr>
      <w:spacing w:before="120" w:after="120" w:line="360" w:lineRule="auto"/>
      <w:ind w:firstLine="200"/>
    </w:pPr>
    <w:rPr>
      <w:rFonts w:ascii="宋体" w:hAnsi="宋体" w:cs="宋体"/>
      <w:color w:val="000000"/>
      <w:kern w:val="0"/>
      <w:lang w:val="zh-CN"/>
    </w:rPr>
  </w:style>
  <w:style w:type="paragraph" w:customStyle="1" w:styleId="66">
    <w:name w:val="标题 61"/>
    <w:basedOn w:val="1"/>
    <w:next w:val="1"/>
    <w:link w:val="73"/>
    <w:autoRedefine/>
    <w:qFormat/>
    <w:uiPriority w:val="99"/>
    <w:pPr>
      <w:keepNext/>
      <w:keepLines/>
      <w:spacing w:before="240" w:after="64" w:line="320" w:lineRule="auto"/>
      <w:outlineLvl w:val="5"/>
    </w:pPr>
    <w:rPr>
      <w:rFonts w:ascii="Cambria" w:hAnsi="Cambria"/>
      <w:b/>
      <w:bCs/>
      <w:kern w:val="0"/>
      <w:sz w:val="24"/>
    </w:rPr>
  </w:style>
  <w:style w:type="paragraph" w:customStyle="1" w:styleId="67">
    <w:name w:val="简单序列"/>
    <w:basedOn w:val="3"/>
    <w:link w:val="68"/>
    <w:autoRedefine/>
    <w:qFormat/>
    <w:uiPriority w:val="99"/>
    <w:pPr>
      <w:numPr>
        <w:ilvl w:val="0"/>
        <w:numId w:val="2"/>
      </w:numPr>
      <w:spacing w:before="0" w:after="0" w:line="360" w:lineRule="auto"/>
      <w:ind w:left="420" w:hanging="420"/>
    </w:pPr>
    <w:rPr>
      <w:rFonts w:ascii="宋体" w:hAnsi="宋体"/>
      <w:bCs w:val="0"/>
      <w:sz w:val="21"/>
      <w:szCs w:val="21"/>
    </w:rPr>
  </w:style>
  <w:style w:type="character" w:customStyle="1" w:styleId="68">
    <w:name w:val="简单序列 字符"/>
    <w:basedOn w:val="31"/>
    <w:link w:val="67"/>
    <w:autoRedefine/>
    <w:qFormat/>
    <w:locked/>
    <w:uiPriority w:val="99"/>
    <w:rPr>
      <w:rFonts w:ascii="宋体" w:eastAsia="宋体" w:cs="Times New Roman"/>
      <w:b/>
      <w:kern w:val="44"/>
      <w:sz w:val="21"/>
      <w:szCs w:val="21"/>
    </w:rPr>
  </w:style>
  <w:style w:type="paragraph" w:customStyle="1" w:styleId="69">
    <w:name w:val="标题三"/>
    <w:basedOn w:val="5"/>
    <w:link w:val="70"/>
    <w:autoRedefine/>
    <w:qFormat/>
    <w:uiPriority w:val="99"/>
    <w:pPr>
      <w:numPr>
        <w:ilvl w:val="2"/>
        <w:numId w:val="1"/>
      </w:numPr>
      <w:spacing w:before="100" w:after="100"/>
      <w:ind w:left="0" w:right="-218" w:rightChars="-91" w:firstLine="643"/>
    </w:pPr>
    <w:rPr>
      <w:rFonts w:ascii="宋体" w:hAnsi="宋体"/>
      <w:bCs/>
      <w:szCs w:val="32"/>
    </w:rPr>
  </w:style>
  <w:style w:type="character" w:customStyle="1" w:styleId="70">
    <w:name w:val="标题三 字符"/>
    <w:basedOn w:val="31"/>
    <w:link w:val="69"/>
    <w:autoRedefine/>
    <w:qFormat/>
    <w:locked/>
    <w:uiPriority w:val="99"/>
    <w:rPr>
      <w:rFonts w:ascii="宋体" w:eastAsia="宋体" w:cs="Times New Roman"/>
      <w:b/>
      <w:bCs/>
      <w:kern w:val="2"/>
      <w:sz w:val="32"/>
      <w:szCs w:val="32"/>
    </w:rPr>
  </w:style>
  <w:style w:type="paragraph" w:customStyle="1" w:styleId="71">
    <w:name w:val="标题六"/>
    <w:basedOn w:val="8"/>
    <w:link w:val="72"/>
    <w:autoRedefine/>
    <w:qFormat/>
    <w:uiPriority w:val="99"/>
    <w:pPr>
      <w:numPr>
        <w:ilvl w:val="5"/>
        <w:numId w:val="1"/>
      </w:numPr>
      <w:spacing w:beforeLines="50" w:afterLines="50" w:line="360" w:lineRule="auto"/>
      <w:ind w:left="0" w:firstLine="482" w:firstLineChars="200"/>
    </w:pPr>
    <w:rPr>
      <w:rFonts w:ascii="宋体" w:hAnsi="宋体"/>
      <w:szCs w:val="32"/>
    </w:rPr>
  </w:style>
  <w:style w:type="character" w:customStyle="1" w:styleId="72">
    <w:name w:val="标题六 字符"/>
    <w:basedOn w:val="31"/>
    <w:link w:val="71"/>
    <w:autoRedefine/>
    <w:qFormat/>
    <w:locked/>
    <w:uiPriority w:val="99"/>
    <w:rPr>
      <w:rFonts w:ascii="宋体" w:eastAsia="宋体" w:cs="Times New Roman"/>
      <w:b/>
      <w:bCs/>
      <w:kern w:val="2"/>
      <w:sz w:val="32"/>
      <w:szCs w:val="32"/>
    </w:rPr>
  </w:style>
  <w:style w:type="character" w:customStyle="1" w:styleId="73">
    <w:name w:val="标题 6 Char"/>
    <w:basedOn w:val="31"/>
    <w:link w:val="66"/>
    <w:autoRedefine/>
    <w:semiHidden/>
    <w:qFormat/>
    <w:locked/>
    <w:uiPriority w:val="99"/>
    <w:rPr>
      <w:rFonts w:ascii="Cambria" w:hAnsi="Cambria" w:cs="Times New Roman"/>
      <w:b/>
      <w:bCs/>
      <w:sz w:val="24"/>
      <w:szCs w:val="24"/>
    </w:rPr>
  </w:style>
  <w:style w:type="paragraph" w:customStyle="1" w:styleId="74">
    <w:name w:val="标题1"/>
    <w:basedOn w:val="3"/>
    <w:autoRedefine/>
    <w:qFormat/>
    <w:uiPriority w:val="99"/>
    <w:pPr>
      <w:pageBreakBefore/>
      <w:numPr>
        <w:ilvl w:val="0"/>
        <w:numId w:val="3"/>
      </w:numPr>
      <w:tabs>
        <w:tab w:val="left" w:pos="1985"/>
      </w:tabs>
      <w:spacing w:before="200" w:after="200" w:line="360" w:lineRule="auto"/>
      <w:ind w:left="0" w:firstLine="723" w:firstLineChars="200"/>
      <w:jc w:val="center"/>
    </w:pPr>
    <w:rPr>
      <w:rFonts w:ascii="宋体" w:hAnsi="宋体"/>
      <w:sz w:val="36"/>
    </w:rPr>
  </w:style>
  <w:style w:type="paragraph" w:customStyle="1" w:styleId="75">
    <w:name w:val="标题2"/>
    <w:basedOn w:val="4"/>
    <w:link w:val="76"/>
    <w:autoRedefine/>
    <w:qFormat/>
    <w:uiPriority w:val="99"/>
    <w:pPr>
      <w:numPr>
        <w:ilvl w:val="1"/>
        <w:numId w:val="3"/>
      </w:numPr>
      <w:tabs>
        <w:tab w:val="clear" w:pos="567"/>
      </w:tabs>
      <w:spacing w:before="100" w:after="100" w:line="500" w:lineRule="exact"/>
    </w:pPr>
    <w:rPr>
      <w:rFonts w:ascii="宋体" w:hAnsi="宋体"/>
      <w:b/>
      <w:color w:val="auto"/>
      <w:sz w:val="32"/>
      <w:lang w:val="en-US"/>
    </w:rPr>
  </w:style>
  <w:style w:type="character" w:customStyle="1" w:styleId="76">
    <w:name w:val="标题2 字符"/>
    <w:basedOn w:val="31"/>
    <w:link w:val="75"/>
    <w:autoRedefine/>
    <w:qFormat/>
    <w:locked/>
    <w:uiPriority w:val="99"/>
    <w:rPr>
      <w:rFonts w:ascii="宋体" w:eastAsia="宋体" w:cs="Times New Roman"/>
      <w:b/>
      <w:bCs/>
      <w:kern w:val="2"/>
      <w:sz w:val="32"/>
      <w:szCs w:val="32"/>
    </w:rPr>
  </w:style>
  <w:style w:type="paragraph" w:customStyle="1" w:styleId="77">
    <w:name w:val="标题5"/>
    <w:basedOn w:val="7"/>
    <w:link w:val="78"/>
    <w:autoRedefine/>
    <w:qFormat/>
    <w:uiPriority w:val="99"/>
    <w:pPr>
      <w:numPr>
        <w:ilvl w:val="4"/>
        <w:numId w:val="1"/>
      </w:numPr>
      <w:ind w:left="0" w:firstLine="562" w:firstLineChars="200"/>
    </w:pPr>
    <w:rPr>
      <w:rFonts w:ascii="宋体" w:hAnsi="宋体"/>
      <w:szCs w:val="32"/>
    </w:rPr>
  </w:style>
  <w:style w:type="character" w:customStyle="1" w:styleId="78">
    <w:name w:val="标题5 字符"/>
    <w:basedOn w:val="31"/>
    <w:link w:val="77"/>
    <w:autoRedefine/>
    <w:qFormat/>
    <w:locked/>
    <w:uiPriority w:val="99"/>
    <w:rPr>
      <w:rFonts w:ascii="宋体" w:eastAsia="宋体" w:cs="Times New Roman"/>
      <w:b/>
      <w:bCs/>
      <w:kern w:val="2"/>
      <w:sz w:val="32"/>
      <w:szCs w:val="32"/>
    </w:rPr>
  </w:style>
  <w:style w:type="character" w:customStyle="1" w:styleId="79">
    <w:name w:val="标题4 字符"/>
    <w:basedOn w:val="31"/>
    <w:link w:val="39"/>
    <w:autoRedefine/>
    <w:qFormat/>
    <w:locked/>
    <w:uiPriority w:val="99"/>
    <w:rPr>
      <w:rFonts w:ascii="宋体" w:eastAsia="宋体" w:cs="Times New Roman"/>
      <w:b/>
      <w:bCs/>
      <w:kern w:val="2"/>
      <w:sz w:val="32"/>
      <w:szCs w:val="32"/>
    </w:rPr>
  </w:style>
  <w:style w:type="paragraph" w:customStyle="1" w:styleId="80">
    <w:name w:val="标题6"/>
    <w:basedOn w:val="71"/>
    <w:link w:val="81"/>
    <w:autoRedefine/>
    <w:qFormat/>
    <w:uiPriority w:val="99"/>
    <w:pPr>
      <w:numPr>
        <w:ilvl w:val="0"/>
        <w:numId w:val="0"/>
      </w:numPr>
      <w:spacing w:before="156" w:after="156"/>
    </w:pPr>
  </w:style>
  <w:style w:type="character" w:customStyle="1" w:styleId="81">
    <w:name w:val="标题6 字符"/>
    <w:basedOn w:val="72"/>
    <w:link w:val="80"/>
    <w:autoRedefine/>
    <w:qFormat/>
    <w:locked/>
    <w:uiPriority w:val="99"/>
  </w:style>
  <w:style w:type="paragraph" w:customStyle="1" w:styleId="82">
    <w:name w:val="标题3"/>
    <w:basedOn w:val="69"/>
    <w:link w:val="83"/>
    <w:autoRedefine/>
    <w:qFormat/>
    <w:uiPriority w:val="99"/>
    <w:pPr>
      <w:numPr>
        <w:numId w:val="4"/>
      </w:numPr>
      <w:tabs>
        <w:tab w:val="left" w:pos="720"/>
        <w:tab w:val="left" w:pos="2160"/>
      </w:tabs>
      <w:ind w:right="-191"/>
    </w:pPr>
  </w:style>
  <w:style w:type="character" w:customStyle="1" w:styleId="83">
    <w:name w:val="标题3 字符"/>
    <w:basedOn w:val="70"/>
    <w:link w:val="82"/>
    <w:autoRedefine/>
    <w:qFormat/>
    <w:locked/>
    <w:uiPriority w:val="99"/>
  </w:style>
  <w:style w:type="paragraph" w:customStyle="1" w:styleId="84">
    <w:name w:val="标题二"/>
    <w:basedOn w:val="75"/>
    <w:link w:val="85"/>
    <w:autoRedefine/>
    <w:qFormat/>
    <w:uiPriority w:val="99"/>
    <w:pPr>
      <w:numPr>
        <w:numId w:val="1"/>
      </w:numPr>
      <w:tabs>
        <w:tab w:val="left" w:pos="992"/>
      </w:tabs>
      <w:ind w:left="0" w:firstLine="643"/>
    </w:pPr>
  </w:style>
  <w:style w:type="character" w:customStyle="1" w:styleId="85">
    <w:name w:val="标题二 字符"/>
    <w:basedOn w:val="76"/>
    <w:link w:val="84"/>
    <w:autoRedefine/>
    <w:qFormat/>
    <w:locked/>
    <w:uiPriority w:val="99"/>
  </w:style>
  <w:style w:type="character" w:customStyle="1" w:styleId="86">
    <w:name w:val="正文文本 Char"/>
    <w:basedOn w:val="31"/>
    <w:autoRedefine/>
    <w:qFormat/>
    <w:uiPriority w:val="99"/>
    <w:rPr>
      <w:rFonts w:ascii="金山简黑体" w:hAnsi="Courier New" w:eastAsia="金山简黑体" w:cs="Times New Roman"/>
      <w:b/>
      <w:spacing w:val="-8"/>
      <w:sz w:val="20"/>
      <w:szCs w:val="20"/>
    </w:rPr>
  </w:style>
  <w:style w:type="paragraph" w:customStyle="1" w:styleId="87">
    <w:name w:val="Intense Quote1"/>
    <w:basedOn w:val="1"/>
    <w:next w:val="1"/>
    <w:link w:val="88"/>
    <w:autoRedefine/>
    <w:qFormat/>
    <w:uiPriority w:val="99"/>
    <w:pPr>
      <w:pBdr>
        <w:bottom w:val="single" w:color="4F81BD" w:sz="4" w:space="4"/>
      </w:pBdr>
      <w:spacing w:before="200" w:after="280"/>
      <w:ind w:left="936" w:right="936"/>
    </w:pPr>
    <w:rPr>
      <w:b/>
      <w:bCs/>
      <w:i/>
      <w:iCs/>
      <w:color w:val="4F81BD"/>
      <w:szCs w:val="22"/>
    </w:rPr>
  </w:style>
  <w:style w:type="character" w:customStyle="1" w:styleId="88">
    <w:name w:val="明显引用 Char"/>
    <w:basedOn w:val="31"/>
    <w:link w:val="87"/>
    <w:autoRedefine/>
    <w:qFormat/>
    <w:locked/>
    <w:uiPriority w:val="99"/>
    <w:rPr>
      <w:rFonts w:cs="Times New Roman"/>
      <w:b/>
      <w:bCs/>
      <w:i/>
      <w:iCs/>
      <w:color w:val="4F81BD"/>
      <w:kern w:val="2"/>
      <w:sz w:val="22"/>
      <w:szCs w:val="22"/>
    </w:rPr>
  </w:style>
  <w:style w:type="character" w:customStyle="1" w:styleId="89">
    <w:name w:val="font41"/>
    <w:autoRedefine/>
    <w:qFormat/>
    <w:uiPriority w:val="99"/>
    <w:rPr>
      <w:rFonts w:ascii="宋体" w:hAnsi="宋体" w:eastAsia="宋体"/>
      <w:color w:val="FF0000"/>
      <w:sz w:val="21"/>
      <w:u w:val="none"/>
    </w:rPr>
  </w:style>
  <w:style w:type="character" w:customStyle="1" w:styleId="90">
    <w:name w:val="font21"/>
    <w:autoRedefine/>
    <w:qFormat/>
    <w:uiPriority w:val="99"/>
    <w:rPr>
      <w:rFonts w:ascii="宋体" w:hAnsi="宋体" w:eastAsia="宋体"/>
      <w:b/>
      <w:color w:val="000000"/>
      <w:sz w:val="21"/>
      <w:u w:val="none"/>
    </w:rPr>
  </w:style>
  <w:style w:type="paragraph" w:customStyle="1" w:styleId="91">
    <w:name w:val="wang正文"/>
    <w:basedOn w:val="1"/>
    <w:autoRedefine/>
    <w:qFormat/>
    <w:uiPriority w:val="99"/>
    <w:pPr>
      <w:tabs>
        <w:tab w:val="left" w:pos="6840"/>
      </w:tabs>
      <w:topLinePunct/>
      <w:ind w:firstLine="420"/>
    </w:pPr>
    <w:rPr>
      <w:kern w:val="0"/>
    </w:rPr>
  </w:style>
  <w:style w:type="paragraph" w:customStyle="1" w:styleId="92">
    <w:name w:val="List Paragraph1"/>
    <w:basedOn w:val="1"/>
    <w:autoRedefine/>
    <w:qFormat/>
    <w:uiPriority w:val="99"/>
    <w:pPr>
      <w:ind w:firstLine="420" w:firstLineChars="200"/>
    </w:pPr>
  </w:style>
  <w:style w:type="paragraph" w:customStyle="1" w:styleId="93">
    <w:name w:val="TOC 标题1"/>
    <w:basedOn w:val="3"/>
    <w:next w:val="1"/>
    <w:autoRedefine/>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94">
    <w:name w:val="1"/>
    <w:basedOn w:val="1"/>
    <w:next w:val="18"/>
    <w:autoRedefine/>
    <w:qFormat/>
    <w:uiPriority w:val="99"/>
    <w:rPr>
      <w:rFonts w:ascii="宋体" w:hAnsi="Courier New"/>
      <w:szCs w:val="20"/>
    </w:rPr>
  </w:style>
  <w:style w:type="table" w:customStyle="1" w:styleId="95">
    <w:name w:val="网格型1"/>
    <w:autoRedefine/>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
    <w:name w:val="Other|1"/>
    <w:basedOn w:val="1"/>
    <w:autoRedefine/>
    <w:qFormat/>
    <w:uiPriority w:val="99"/>
    <w:pPr>
      <w:spacing w:line="389" w:lineRule="auto"/>
      <w:ind w:firstLine="400"/>
    </w:pPr>
    <w:rPr>
      <w:rFonts w:ascii="宋体" w:hAnsi="宋体" w:cs="宋体"/>
      <w:sz w:val="22"/>
      <w:szCs w:val="22"/>
      <w:lang w:val="zh-TW" w:eastAsia="zh-TW"/>
    </w:rPr>
  </w:style>
  <w:style w:type="paragraph" w:customStyle="1" w:styleId="97">
    <w:name w:val="Body text|2"/>
    <w:basedOn w:val="1"/>
    <w:autoRedefine/>
    <w:qFormat/>
    <w:uiPriority w:val="99"/>
    <w:pPr>
      <w:jc w:val="center"/>
    </w:pPr>
    <w:rPr>
      <w:rFonts w:ascii="宋体" w:hAnsi="宋体" w:cs="宋体"/>
      <w:sz w:val="17"/>
      <w:szCs w:val="17"/>
      <w:lang w:val="zh-TW" w:eastAsia="zh-TW"/>
    </w:rPr>
  </w:style>
  <w:style w:type="paragraph" w:customStyle="1" w:styleId="98">
    <w:name w:val="Body text|1"/>
    <w:basedOn w:val="1"/>
    <w:autoRedefine/>
    <w:qFormat/>
    <w:uiPriority w:val="99"/>
    <w:pPr>
      <w:spacing w:line="389" w:lineRule="auto"/>
      <w:ind w:firstLine="400"/>
    </w:pPr>
    <w:rPr>
      <w:rFonts w:ascii="宋体" w:hAnsi="宋体" w:cs="宋体"/>
      <w:sz w:val="22"/>
      <w:szCs w:val="22"/>
      <w:lang w:val="zh-TW" w:eastAsia="zh-TW"/>
    </w:rPr>
  </w:style>
  <w:style w:type="paragraph" w:customStyle="1" w:styleId="99">
    <w:name w:val="WPSOffice手动目录 1"/>
    <w:autoRedefine/>
    <w:qFormat/>
    <w:uiPriority w:val="99"/>
    <w:rPr>
      <w:rFonts w:ascii="Times New Roman" w:hAnsi="Times New Roman" w:eastAsia="宋体" w:cs="Times New Roman"/>
      <w:kern w:val="0"/>
      <w:sz w:val="20"/>
      <w:szCs w:val="20"/>
      <w:lang w:val="en-US" w:eastAsia="zh-CN" w:bidi="ar-SA"/>
    </w:rPr>
  </w:style>
  <w:style w:type="paragraph" w:customStyle="1" w:styleId="100">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styleId="101">
    <w:name w:val="List Paragraph"/>
    <w:basedOn w:val="1"/>
    <w:autoRedefine/>
    <w:qFormat/>
    <w:uiPriority w:val="0"/>
    <w:pPr>
      <w:ind w:firstLine="420" w:firstLineChars="200"/>
    </w:pPr>
  </w:style>
  <w:style w:type="character" w:customStyle="1" w:styleId="102">
    <w:name w:val="NormalCharacter"/>
    <w:link w:val="1"/>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User</Company>
  <Pages>59</Pages>
  <Words>6260</Words>
  <Characters>7082</Characters>
  <Lines>0</Lines>
  <Paragraphs>0</Paragraphs>
  <TotalTime>46</TotalTime>
  <ScaleCrop>false</ScaleCrop>
  <LinksUpToDate>false</LinksUpToDate>
  <CharactersWithSpaces>7177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2022-07-22T01:26:00Z</dcterms:created>
  <dc:creator>Administrator</dc:creator>
  <cp:lastModifiedBy>喜洋洋</cp:lastModifiedBy>
  <cp:lastPrinted>2024-03-20T02:48:00Z</cp:lastPrinted>
  <dcterms:modified xsi:type="dcterms:W3CDTF">2025-05-14T00:50:38Z</dcterms:modified>
  <dc:title>广西桂碧乐工程咨询管理有限责任公司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9FFBA79BA1E34ADFB553E542369AC28C_13</vt:lpwstr>
  </property>
  <property fmtid="{D5CDD505-2E9C-101B-9397-08002B2CF9AE}" pid="4" name="KSOTemplateDocerSaveRecord">
    <vt:lpwstr>eyJoZGlkIjoiNDI2Njk5YzZlYzdkNGEyYjI0Mjg0NWM0ZjY0OWMzYTUiLCJ1c2VySWQiOiIxMDU0Mjk5NzA1In0=</vt:lpwstr>
  </property>
</Properties>
</file>