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F8B64">
      <w:pPr>
        <w:ind w:firstLine="0" w:firstLineChars="0"/>
        <w:jc w:val="both"/>
        <w:rPr>
          <w:rFonts w:ascii="方正小标宋简体" w:eastAsia="方正小标宋简体"/>
          <w:b/>
          <w:bCs/>
          <w:color w:val="auto"/>
          <w:sz w:val="48"/>
          <w:szCs w:val="48"/>
        </w:rPr>
      </w:pPr>
    </w:p>
    <w:p w14:paraId="7714B3CD">
      <w:pPr>
        <w:pStyle w:val="14"/>
        <w:ind w:firstLine="480"/>
        <w:rPr>
          <w:color w:val="auto"/>
        </w:rPr>
      </w:pPr>
    </w:p>
    <w:p w14:paraId="3FB9F490">
      <w:pPr>
        <w:ind w:firstLine="0" w:firstLineChars="0"/>
        <w:jc w:val="center"/>
        <w:rPr>
          <w:rFonts w:ascii="方正小标宋简体" w:eastAsia="方正小标宋简体"/>
          <w:b/>
          <w:bCs/>
          <w:color w:val="auto"/>
          <w:sz w:val="48"/>
          <w:szCs w:val="48"/>
        </w:rPr>
      </w:pPr>
    </w:p>
    <w:p w14:paraId="64C1EB05">
      <w:pPr>
        <w:pStyle w:val="18"/>
        <w:snapToGrid w:val="0"/>
        <w:spacing w:line="360" w:lineRule="auto"/>
        <w:ind w:firstLine="0" w:firstLineChars="0"/>
        <w:jc w:val="center"/>
        <w:rPr>
          <w:rFonts w:ascii="仿宋" w:hAnsi="仿宋" w:eastAsia="仿宋" w:cs="仿宋"/>
          <w:b/>
          <w:bCs/>
          <w:color w:val="auto"/>
          <w:sz w:val="84"/>
          <w:szCs w:val="84"/>
          <w:lang w:val="en-US"/>
        </w:rPr>
      </w:pPr>
      <w:r>
        <w:rPr>
          <w:rFonts w:hint="eastAsia" w:ascii="仿宋" w:hAnsi="仿宋" w:eastAsia="仿宋" w:cs="仿宋"/>
          <w:b/>
          <w:bCs/>
          <w:color w:val="auto"/>
          <w:sz w:val="84"/>
          <w:szCs w:val="84"/>
        </w:rPr>
        <w:t>竞争性磋商文件</w:t>
      </w:r>
    </w:p>
    <w:p w14:paraId="3C4879F8">
      <w:pPr>
        <w:pStyle w:val="18"/>
        <w:snapToGrid w:val="0"/>
        <w:spacing w:line="360" w:lineRule="auto"/>
        <w:ind w:firstLine="1132" w:firstLineChars="376"/>
        <w:jc w:val="left"/>
        <w:rPr>
          <w:rFonts w:ascii="仿宋_GB2312" w:hAnsi="宋体" w:eastAsia="仿宋_GB2312"/>
          <w:b/>
          <w:bCs/>
          <w:color w:val="auto"/>
          <w:sz w:val="30"/>
          <w:szCs w:val="30"/>
        </w:rPr>
      </w:pPr>
    </w:p>
    <w:p w14:paraId="16C00A35">
      <w:pPr>
        <w:pStyle w:val="18"/>
        <w:snapToGrid w:val="0"/>
        <w:spacing w:line="360" w:lineRule="auto"/>
        <w:ind w:firstLine="1132" w:firstLineChars="376"/>
        <w:jc w:val="left"/>
        <w:rPr>
          <w:rFonts w:ascii="仿宋_GB2312" w:hAnsi="宋体" w:eastAsia="仿宋_GB2312"/>
          <w:b/>
          <w:bCs/>
          <w:color w:val="auto"/>
          <w:sz w:val="30"/>
          <w:szCs w:val="30"/>
        </w:rPr>
      </w:pPr>
    </w:p>
    <w:p w14:paraId="3E56505C">
      <w:pPr>
        <w:pStyle w:val="18"/>
        <w:snapToGrid w:val="0"/>
        <w:spacing w:line="360" w:lineRule="auto"/>
        <w:ind w:firstLine="0" w:firstLineChars="0"/>
        <w:jc w:val="center"/>
        <w:rPr>
          <w:rFonts w:ascii="仿宋_GB2312" w:hAnsi="宋体" w:eastAsia="仿宋_GB2312"/>
          <w:b/>
          <w:bCs/>
          <w:color w:val="auto"/>
          <w:sz w:val="44"/>
          <w:szCs w:val="44"/>
        </w:rPr>
      </w:pPr>
      <w:r>
        <w:rPr>
          <w:rFonts w:hint="eastAsia" w:ascii="仿宋_GB2312" w:hAnsi="宋体" w:eastAsia="仿宋_GB2312"/>
          <w:b/>
          <w:bCs/>
          <w:color w:val="auto"/>
          <w:sz w:val="44"/>
          <w:szCs w:val="44"/>
        </w:rPr>
        <w:t>（全流程电子化评标）</w:t>
      </w:r>
    </w:p>
    <w:p w14:paraId="1DF9B022">
      <w:pPr>
        <w:pStyle w:val="18"/>
        <w:snapToGrid w:val="0"/>
        <w:spacing w:line="360" w:lineRule="auto"/>
        <w:ind w:firstLine="1132" w:firstLineChars="376"/>
        <w:jc w:val="left"/>
        <w:rPr>
          <w:rFonts w:ascii="仿宋_GB2312" w:hAnsi="宋体" w:eastAsia="仿宋_GB2312"/>
          <w:b/>
          <w:bCs/>
          <w:color w:val="auto"/>
          <w:sz w:val="30"/>
          <w:szCs w:val="30"/>
        </w:rPr>
      </w:pPr>
    </w:p>
    <w:p w14:paraId="20379152">
      <w:pPr>
        <w:pStyle w:val="18"/>
        <w:snapToGrid w:val="0"/>
        <w:spacing w:line="360" w:lineRule="auto"/>
        <w:ind w:firstLine="1132" w:firstLineChars="376"/>
        <w:jc w:val="left"/>
        <w:rPr>
          <w:rFonts w:ascii="仿宋_GB2312" w:hAnsi="宋体" w:eastAsia="仿宋_GB2312"/>
          <w:b/>
          <w:bCs/>
          <w:color w:val="auto"/>
          <w:sz w:val="30"/>
          <w:szCs w:val="30"/>
        </w:rPr>
      </w:pPr>
    </w:p>
    <w:p w14:paraId="7BAA5794">
      <w:pPr>
        <w:pStyle w:val="18"/>
        <w:snapToGrid w:val="0"/>
        <w:spacing w:line="360" w:lineRule="auto"/>
        <w:ind w:firstLine="0" w:firstLineChars="0"/>
        <w:jc w:val="left"/>
        <w:rPr>
          <w:rFonts w:ascii="仿宋_GB2312" w:hAnsi="宋体" w:eastAsia="仿宋_GB2312"/>
          <w:b/>
          <w:bCs/>
          <w:color w:val="auto"/>
          <w:sz w:val="30"/>
          <w:szCs w:val="30"/>
        </w:rPr>
      </w:pPr>
    </w:p>
    <w:p w14:paraId="629E6E3E">
      <w:pPr>
        <w:pStyle w:val="18"/>
        <w:snapToGrid w:val="0"/>
        <w:spacing w:line="360" w:lineRule="auto"/>
        <w:ind w:firstLine="0" w:firstLineChars="0"/>
        <w:jc w:val="left"/>
        <w:rPr>
          <w:rFonts w:ascii="仿宋_GB2312" w:hAnsi="宋体" w:eastAsia="仿宋_GB2312"/>
          <w:b/>
          <w:bCs/>
          <w:color w:val="auto"/>
          <w:sz w:val="30"/>
          <w:szCs w:val="30"/>
        </w:rPr>
      </w:pPr>
    </w:p>
    <w:p w14:paraId="58BAF89D">
      <w:pPr>
        <w:pStyle w:val="18"/>
        <w:snapToGrid w:val="0"/>
        <w:spacing w:line="360" w:lineRule="auto"/>
        <w:ind w:firstLine="1132" w:firstLineChars="376"/>
        <w:jc w:val="left"/>
        <w:rPr>
          <w:rFonts w:ascii="仿宋_GB2312" w:hAnsi="宋体" w:eastAsia="仿宋_GB2312"/>
          <w:b/>
          <w:bCs/>
          <w:color w:val="auto"/>
          <w:sz w:val="30"/>
          <w:szCs w:val="30"/>
        </w:rPr>
      </w:pPr>
    </w:p>
    <w:p w14:paraId="53C6A532">
      <w:pPr>
        <w:pStyle w:val="18"/>
        <w:snapToGrid w:val="0"/>
        <w:spacing w:line="480" w:lineRule="auto"/>
        <w:ind w:firstLine="321" w:firstLineChars="100"/>
        <w:jc w:val="both"/>
        <w:rPr>
          <w:rFonts w:hint="eastAsia" w:hAnsi="宋体" w:eastAsia="宋体" w:cs="宋体"/>
          <w:b/>
          <w:bCs/>
          <w:color w:val="auto"/>
          <w:sz w:val="32"/>
          <w:szCs w:val="32"/>
          <w:lang w:eastAsia="zh-CN"/>
        </w:rPr>
      </w:pPr>
      <w:r>
        <w:rPr>
          <w:rFonts w:hint="eastAsia" w:hAnsi="宋体" w:cs="宋体"/>
          <w:b/>
          <w:bCs/>
          <w:color w:val="auto"/>
          <w:sz w:val="32"/>
          <w:szCs w:val="32"/>
        </w:rPr>
        <w:t>项目</w:t>
      </w:r>
      <w:r>
        <w:rPr>
          <w:rFonts w:hint="eastAsia" w:hAnsi="宋体" w:cs="宋体"/>
          <w:b/>
          <w:bCs/>
          <w:color w:val="auto"/>
          <w:w w:val="95"/>
          <w:sz w:val="32"/>
          <w:szCs w:val="32"/>
        </w:rPr>
        <w:t>名称</w:t>
      </w:r>
      <w:r>
        <w:rPr>
          <w:rFonts w:hint="eastAsia" w:hAnsi="宋体" w:cs="宋体"/>
          <w:b/>
          <w:bCs/>
          <w:color w:val="auto"/>
          <w:sz w:val="32"/>
          <w:szCs w:val="32"/>
        </w:rPr>
        <w:t>：</w:t>
      </w:r>
      <w:r>
        <w:rPr>
          <w:rFonts w:hint="eastAsia" w:hAnsi="宋体" w:cs="宋体"/>
          <w:b/>
          <w:bCs/>
          <w:color w:val="auto"/>
          <w:sz w:val="32"/>
          <w:szCs w:val="32"/>
          <w:lang w:eastAsia="zh-CN"/>
        </w:rPr>
        <w:t>广西轻工技师学院驻校教官队管理服务采购</w:t>
      </w:r>
    </w:p>
    <w:p w14:paraId="36E46616">
      <w:pPr>
        <w:snapToGrid w:val="0"/>
        <w:spacing w:line="480" w:lineRule="auto"/>
        <w:ind w:firstLine="305" w:firstLineChars="100"/>
        <w:rPr>
          <w:rFonts w:hint="eastAsia" w:ascii="宋体" w:hAnsi="宋体" w:eastAsia="宋体" w:cs="宋体"/>
          <w:color w:val="auto"/>
          <w:sz w:val="32"/>
          <w:szCs w:val="32"/>
          <w:lang w:eastAsia="zh-CN"/>
        </w:rPr>
      </w:pPr>
      <w:r>
        <w:rPr>
          <w:rFonts w:hint="eastAsia" w:ascii="宋体" w:hAnsi="宋体" w:eastAsia="宋体" w:cs="宋体"/>
          <w:b/>
          <w:bCs/>
          <w:color w:val="auto"/>
          <w:w w:val="95"/>
          <w:sz w:val="32"/>
          <w:szCs w:val="32"/>
        </w:rPr>
        <w:t>项目</w:t>
      </w:r>
      <w:r>
        <w:rPr>
          <w:rFonts w:hint="eastAsia" w:ascii="宋体" w:hAnsi="宋体" w:eastAsia="宋体" w:cs="宋体"/>
          <w:b/>
          <w:bCs/>
          <w:color w:val="auto"/>
          <w:sz w:val="32"/>
          <w:szCs w:val="32"/>
        </w:rPr>
        <w:t>编号</w:t>
      </w:r>
      <w:r>
        <w:rPr>
          <w:rFonts w:hint="eastAsia" w:ascii="宋体" w:hAnsi="宋体" w:eastAsia="宋体" w:cs="宋体"/>
          <w:b/>
          <w:bCs/>
          <w:color w:val="auto"/>
          <w:w w:val="95"/>
          <w:sz w:val="32"/>
          <w:szCs w:val="32"/>
        </w:rPr>
        <w:t>：</w:t>
      </w:r>
      <w:r>
        <w:rPr>
          <w:rFonts w:hint="eastAsia" w:ascii="宋体" w:hAnsi="宋体" w:eastAsia="宋体" w:cs="宋体"/>
          <w:b/>
          <w:bCs/>
          <w:color w:val="auto"/>
          <w:w w:val="95"/>
          <w:sz w:val="32"/>
          <w:szCs w:val="32"/>
          <w:lang w:eastAsia="zh-CN"/>
        </w:rPr>
        <w:t>GXZC2025-C3-000778-HWST</w:t>
      </w:r>
    </w:p>
    <w:p w14:paraId="5CB423AB">
      <w:pPr>
        <w:pStyle w:val="18"/>
        <w:snapToGrid w:val="0"/>
        <w:spacing w:line="480" w:lineRule="auto"/>
        <w:ind w:firstLine="305" w:firstLineChars="100"/>
        <w:jc w:val="left"/>
        <w:rPr>
          <w:rFonts w:hAnsi="宋体" w:cs="宋体"/>
          <w:b/>
          <w:bCs/>
          <w:color w:val="auto"/>
          <w:w w:val="95"/>
          <w:sz w:val="32"/>
          <w:szCs w:val="32"/>
        </w:rPr>
      </w:pPr>
      <w:r>
        <w:rPr>
          <w:rFonts w:hint="eastAsia" w:hAnsi="宋体" w:cs="宋体"/>
          <w:b/>
          <w:bCs/>
          <w:color w:val="auto"/>
          <w:w w:val="95"/>
          <w:sz w:val="32"/>
          <w:szCs w:val="32"/>
        </w:rPr>
        <w:t>采 购 人：广西轻工技师学院</w:t>
      </w:r>
    </w:p>
    <w:p w14:paraId="2E866519">
      <w:pPr>
        <w:pStyle w:val="18"/>
        <w:snapToGrid w:val="0"/>
        <w:spacing w:line="480" w:lineRule="auto"/>
        <w:ind w:firstLine="305" w:firstLineChars="100"/>
        <w:jc w:val="left"/>
        <w:rPr>
          <w:rFonts w:hAnsi="宋体" w:cs="宋体"/>
          <w:b/>
          <w:bCs/>
          <w:color w:val="auto"/>
          <w:w w:val="95"/>
          <w:sz w:val="32"/>
          <w:szCs w:val="32"/>
        </w:rPr>
      </w:pPr>
      <w:r>
        <w:rPr>
          <w:rFonts w:hint="eastAsia" w:hAnsi="宋体" w:cs="宋体"/>
          <w:b/>
          <w:bCs/>
          <w:color w:val="auto"/>
          <w:w w:val="95"/>
          <w:sz w:val="32"/>
          <w:szCs w:val="32"/>
        </w:rPr>
        <w:t>采购代理机构：华物盛泰工程咨询管理有限公司</w:t>
      </w:r>
    </w:p>
    <w:p w14:paraId="5959F320">
      <w:pPr>
        <w:pStyle w:val="18"/>
        <w:snapToGrid w:val="0"/>
        <w:spacing w:line="480" w:lineRule="auto"/>
        <w:ind w:firstLine="0" w:firstLineChars="0"/>
        <w:jc w:val="center"/>
        <w:rPr>
          <w:rFonts w:hAnsi="宋体" w:cs="宋体"/>
          <w:b/>
          <w:bCs/>
          <w:color w:val="auto"/>
          <w:w w:val="95"/>
          <w:sz w:val="32"/>
          <w:szCs w:val="32"/>
        </w:rPr>
      </w:pPr>
      <w:r>
        <w:rPr>
          <w:rFonts w:hint="eastAsia" w:hAnsi="宋体" w:cs="宋体"/>
          <w:b/>
          <w:bCs/>
          <w:color w:val="auto"/>
          <w:w w:val="95"/>
          <w:sz w:val="32"/>
          <w:szCs w:val="32"/>
          <w:lang w:eastAsia="zh-CN"/>
        </w:rPr>
        <w:t>2025年</w:t>
      </w:r>
      <w:r>
        <w:rPr>
          <w:rFonts w:hint="eastAsia" w:hAnsi="宋体" w:cs="宋体"/>
          <w:b/>
          <w:bCs/>
          <w:color w:val="auto"/>
          <w:w w:val="95"/>
          <w:sz w:val="32"/>
          <w:szCs w:val="32"/>
          <w:lang w:val="en-US" w:eastAsia="zh-CN"/>
        </w:rPr>
        <w:t>4</w:t>
      </w:r>
      <w:r>
        <w:rPr>
          <w:rFonts w:hint="eastAsia" w:hAnsi="宋体" w:cs="宋体"/>
          <w:b/>
          <w:bCs/>
          <w:color w:val="auto"/>
          <w:w w:val="95"/>
          <w:sz w:val="32"/>
          <w:szCs w:val="32"/>
          <w:lang w:eastAsia="zh-CN"/>
        </w:rPr>
        <w:t>月</w:t>
      </w:r>
      <w:r>
        <w:rPr>
          <w:rFonts w:hint="eastAsia" w:hAnsi="宋体" w:cs="宋体"/>
          <w:b/>
          <w:bCs/>
          <w:color w:val="auto"/>
          <w:w w:val="95"/>
          <w:sz w:val="32"/>
          <w:szCs w:val="32"/>
        </w:rPr>
        <w:t xml:space="preserve"> </w:t>
      </w:r>
    </w:p>
    <w:p w14:paraId="34973273">
      <w:pPr>
        <w:ind w:firstLine="574"/>
        <w:rPr>
          <w:rFonts w:ascii="仿宋_GB2312" w:hAnsi="宋体" w:eastAsia="仿宋_GB2312"/>
          <w:b/>
          <w:bCs/>
          <w:color w:val="auto"/>
          <w:w w:val="95"/>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531" w:header="851" w:footer="992" w:gutter="0"/>
          <w:cols w:space="425" w:num="1"/>
          <w:docGrid w:type="lines" w:linePitch="312" w:charSpace="0"/>
        </w:sectPr>
      </w:pPr>
    </w:p>
    <w:sdt>
      <w:sdtPr>
        <w:rPr>
          <w:rFonts w:hint="eastAsia" w:ascii="仿宋" w:hAnsi="仿宋" w:eastAsia="仿宋" w:cs="仿宋"/>
          <w:color w:val="auto"/>
          <w:kern w:val="2"/>
          <w:sz w:val="21"/>
          <w:szCs w:val="21"/>
          <w:lang w:val="zh-CN"/>
        </w:rPr>
        <w:id w:val="493773562"/>
      </w:sdtPr>
      <w:sdtEndPr>
        <w:rPr>
          <w:rFonts w:hint="eastAsia" w:asciiTheme="minorEastAsia" w:hAnsiTheme="minorHAnsi" w:eastAsiaTheme="minorEastAsia" w:cstheme="minorBidi"/>
          <w:color w:val="auto"/>
          <w:kern w:val="2"/>
          <w:sz w:val="21"/>
          <w:szCs w:val="21"/>
          <w:lang w:val="zh-CN"/>
        </w:rPr>
      </w:sdtEndPr>
      <w:sdtContent>
        <w:p w14:paraId="211BC5BD">
          <w:pPr>
            <w:pStyle w:val="59"/>
            <w:spacing w:before="0"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lang w:val="zh-CN"/>
            </w:rPr>
            <w:t>目  录</w:t>
          </w:r>
        </w:p>
        <w:p w14:paraId="419D3C2C">
          <w:pPr>
            <w:pStyle w:val="23"/>
            <w:spacing w:line="480" w:lineRule="auto"/>
            <w:rPr>
              <w:rFonts w:ascii="宋体" w:hAnsi="宋体" w:eastAsia="宋体"/>
              <w:b/>
              <w:bCs/>
              <w:color w:val="auto"/>
              <w:sz w:val="24"/>
              <w:szCs w:val="24"/>
            </w:rPr>
          </w:pPr>
        </w:p>
        <w:p w14:paraId="4331B388">
          <w:pPr>
            <w:pStyle w:val="23"/>
            <w:spacing w:line="900" w:lineRule="atLeast"/>
            <w:rPr>
              <w:rFonts w:asciiTheme="minorHAnsi"/>
              <w:b/>
              <w:bCs/>
              <w:color w:val="auto"/>
              <w:sz w:val="24"/>
              <w:szCs w:val="24"/>
            </w:rPr>
          </w:pPr>
          <w:r>
            <w:rPr>
              <w:rFonts w:ascii="宋体" w:hAnsi="宋体" w:eastAsia="宋体"/>
              <w:b/>
              <w:bCs/>
              <w:color w:val="auto"/>
              <w:sz w:val="24"/>
              <w:szCs w:val="24"/>
            </w:rPr>
            <w:fldChar w:fldCharType="begin"/>
          </w:r>
          <w:r>
            <w:rPr>
              <w:rFonts w:ascii="宋体" w:hAnsi="宋体" w:eastAsia="宋体"/>
              <w:b/>
              <w:bCs/>
              <w:color w:val="auto"/>
              <w:sz w:val="24"/>
              <w:szCs w:val="24"/>
            </w:rPr>
            <w:instrText xml:space="preserve"> TOC \o "1-1" \h \z \u </w:instrText>
          </w:r>
          <w:r>
            <w:rPr>
              <w:rFonts w:ascii="宋体" w:hAnsi="宋体" w:eastAsia="宋体"/>
              <w:b/>
              <w:bCs/>
              <w:color w:val="auto"/>
              <w:sz w:val="24"/>
              <w:szCs w:val="24"/>
            </w:rPr>
            <w:fldChar w:fldCharType="separate"/>
          </w:r>
          <w:r>
            <w:rPr>
              <w:color w:val="auto"/>
            </w:rPr>
            <w:fldChar w:fldCharType="begin"/>
          </w:r>
          <w:r>
            <w:rPr>
              <w:color w:val="auto"/>
            </w:rPr>
            <w:instrText xml:space="preserve"> HYPERLINK \l "_Toc76480565" </w:instrText>
          </w:r>
          <w:r>
            <w:rPr>
              <w:color w:val="auto"/>
            </w:rPr>
            <w:fldChar w:fldCharType="separate"/>
          </w:r>
          <w:r>
            <w:rPr>
              <w:rStyle w:val="36"/>
              <w:b/>
              <w:bCs/>
              <w:color w:val="auto"/>
              <w:sz w:val="24"/>
              <w:szCs w:val="24"/>
            </w:rPr>
            <w:t>第一章 竞争性磋商公告</w:t>
          </w:r>
          <w:r>
            <w:rPr>
              <w:b/>
              <w:bCs/>
              <w:color w:val="auto"/>
              <w:sz w:val="24"/>
              <w:szCs w:val="24"/>
            </w:rPr>
            <w:tab/>
          </w:r>
          <w:r>
            <w:rPr>
              <w:b/>
              <w:bCs/>
              <w:color w:val="auto"/>
              <w:sz w:val="24"/>
              <w:szCs w:val="24"/>
            </w:rPr>
            <w:fldChar w:fldCharType="begin"/>
          </w:r>
          <w:r>
            <w:rPr>
              <w:b/>
              <w:bCs/>
              <w:color w:val="auto"/>
              <w:sz w:val="24"/>
              <w:szCs w:val="24"/>
            </w:rPr>
            <w:instrText xml:space="preserve"> PAGEREF _Toc76480565 \h </w:instrText>
          </w:r>
          <w:r>
            <w:rPr>
              <w:b/>
              <w:bCs/>
              <w:color w:val="auto"/>
              <w:sz w:val="24"/>
              <w:szCs w:val="24"/>
            </w:rPr>
            <w:fldChar w:fldCharType="separate"/>
          </w:r>
          <w:r>
            <w:rPr>
              <w:b/>
              <w:bCs/>
              <w:color w:val="auto"/>
              <w:sz w:val="24"/>
              <w:szCs w:val="24"/>
            </w:rPr>
            <w:t>1</w:t>
          </w:r>
          <w:r>
            <w:rPr>
              <w:b/>
              <w:bCs/>
              <w:color w:val="auto"/>
              <w:sz w:val="24"/>
              <w:szCs w:val="24"/>
            </w:rPr>
            <w:fldChar w:fldCharType="end"/>
          </w:r>
          <w:r>
            <w:rPr>
              <w:b/>
              <w:bCs/>
              <w:color w:val="auto"/>
              <w:sz w:val="24"/>
              <w:szCs w:val="24"/>
            </w:rPr>
            <w:fldChar w:fldCharType="end"/>
          </w:r>
        </w:p>
        <w:p w14:paraId="55F26DA4">
          <w:pPr>
            <w:pStyle w:val="23"/>
            <w:spacing w:line="900" w:lineRule="atLeast"/>
            <w:ind w:firstLine="370"/>
            <w:rPr>
              <w:rFonts w:asciiTheme="minorHAnsi"/>
              <w:b/>
              <w:bCs/>
              <w:color w:val="auto"/>
              <w:sz w:val="24"/>
              <w:szCs w:val="24"/>
            </w:rPr>
          </w:pPr>
          <w:r>
            <w:rPr>
              <w:color w:val="auto"/>
            </w:rPr>
            <w:fldChar w:fldCharType="begin"/>
          </w:r>
          <w:r>
            <w:rPr>
              <w:color w:val="auto"/>
            </w:rPr>
            <w:instrText xml:space="preserve"> HYPERLINK \l "_Toc76480566" </w:instrText>
          </w:r>
          <w:r>
            <w:rPr>
              <w:color w:val="auto"/>
            </w:rPr>
            <w:fldChar w:fldCharType="separate"/>
          </w:r>
          <w:r>
            <w:rPr>
              <w:rStyle w:val="36"/>
              <w:b/>
              <w:bCs/>
              <w:color w:val="auto"/>
              <w:sz w:val="24"/>
              <w:szCs w:val="24"/>
            </w:rPr>
            <w:t>第二章 供应商须知</w:t>
          </w:r>
          <w:r>
            <w:rPr>
              <w:b/>
              <w:bCs/>
              <w:color w:val="auto"/>
              <w:sz w:val="24"/>
              <w:szCs w:val="24"/>
            </w:rPr>
            <w:tab/>
          </w:r>
          <w:r>
            <w:rPr>
              <w:b/>
              <w:bCs/>
              <w:color w:val="auto"/>
              <w:sz w:val="24"/>
              <w:szCs w:val="24"/>
            </w:rPr>
            <w:fldChar w:fldCharType="begin"/>
          </w:r>
          <w:r>
            <w:rPr>
              <w:b/>
              <w:bCs/>
              <w:color w:val="auto"/>
              <w:sz w:val="24"/>
              <w:szCs w:val="24"/>
            </w:rPr>
            <w:instrText xml:space="preserve"> PAGEREF _Toc76480566 \h </w:instrText>
          </w:r>
          <w:r>
            <w:rPr>
              <w:b/>
              <w:bCs/>
              <w:color w:val="auto"/>
              <w:sz w:val="24"/>
              <w:szCs w:val="24"/>
            </w:rPr>
            <w:fldChar w:fldCharType="separate"/>
          </w:r>
          <w:r>
            <w:rPr>
              <w:b/>
              <w:bCs/>
              <w:color w:val="auto"/>
              <w:sz w:val="24"/>
              <w:szCs w:val="24"/>
            </w:rPr>
            <w:t>4</w:t>
          </w:r>
          <w:r>
            <w:rPr>
              <w:b/>
              <w:bCs/>
              <w:color w:val="auto"/>
              <w:sz w:val="24"/>
              <w:szCs w:val="24"/>
            </w:rPr>
            <w:fldChar w:fldCharType="end"/>
          </w:r>
          <w:r>
            <w:rPr>
              <w:b/>
              <w:bCs/>
              <w:color w:val="auto"/>
              <w:sz w:val="24"/>
              <w:szCs w:val="24"/>
            </w:rPr>
            <w:fldChar w:fldCharType="end"/>
          </w:r>
        </w:p>
        <w:p w14:paraId="0EF68C33">
          <w:pPr>
            <w:pStyle w:val="23"/>
            <w:spacing w:line="900" w:lineRule="atLeast"/>
            <w:ind w:firstLine="370"/>
            <w:rPr>
              <w:rFonts w:asciiTheme="minorHAnsi"/>
              <w:b/>
              <w:bCs/>
              <w:color w:val="auto"/>
              <w:sz w:val="24"/>
              <w:szCs w:val="24"/>
            </w:rPr>
          </w:pPr>
          <w:r>
            <w:rPr>
              <w:color w:val="auto"/>
            </w:rPr>
            <w:fldChar w:fldCharType="begin"/>
          </w:r>
          <w:r>
            <w:rPr>
              <w:color w:val="auto"/>
            </w:rPr>
            <w:instrText xml:space="preserve"> HYPERLINK \l "_Toc76480567" </w:instrText>
          </w:r>
          <w:r>
            <w:rPr>
              <w:color w:val="auto"/>
            </w:rPr>
            <w:fldChar w:fldCharType="separate"/>
          </w:r>
          <w:r>
            <w:rPr>
              <w:rStyle w:val="36"/>
              <w:b/>
              <w:bCs/>
              <w:color w:val="auto"/>
              <w:sz w:val="24"/>
              <w:szCs w:val="24"/>
            </w:rPr>
            <w:t>第三章 采购需求</w:t>
          </w:r>
          <w:r>
            <w:rPr>
              <w:b/>
              <w:bCs/>
              <w:color w:val="auto"/>
              <w:sz w:val="24"/>
              <w:szCs w:val="24"/>
            </w:rPr>
            <w:tab/>
          </w:r>
          <w:r>
            <w:rPr>
              <w:b/>
              <w:bCs/>
              <w:color w:val="auto"/>
              <w:sz w:val="24"/>
              <w:szCs w:val="24"/>
            </w:rPr>
            <w:fldChar w:fldCharType="begin"/>
          </w:r>
          <w:r>
            <w:rPr>
              <w:b/>
              <w:bCs/>
              <w:color w:val="auto"/>
              <w:sz w:val="24"/>
              <w:szCs w:val="24"/>
            </w:rPr>
            <w:instrText xml:space="preserve"> PAGEREF _Toc76480567 \h </w:instrText>
          </w:r>
          <w:r>
            <w:rPr>
              <w:b/>
              <w:bCs/>
              <w:color w:val="auto"/>
              <w:sz w:val="24"/>
              <w:szCs w:val="24"/>
            </w:rPr>
            <w:fldChar w:fldCharType="separate"/>
          </w:r>
          <w:r>
            <w:rPr>
              <w:b/>
              <w:bCs/>
              <w:color w:val="auto"/>
              <w:sz w:val="24"/>
              <w:szCs w:val="24"/>
            </w:rPr>
            <w:t>20</w:t>
          </w:r>
          <w:r>
            <w:rPr>
              <w:b/>
              <w:bCs/>
              <w:color w:val="auto"/>
              <w:sz w:val="24"/>
              <w:szCs w:val="24"/>
            </w:rPr>
            <w:fldChar w:fldCharType="end"/>
          </w:r>
          <w:r>
            <w:rPr>
              <w:b/>
              <w:bCs/>
              <w:color w:val="auto"/>
              <w:sz w:val="24"/>
              <w:szCs w:val="24"/>
            </w:rPr>
            <w:fldChar w:fldCharType="end"/>
          </w:r>
        </w:p>
        <w:p w14:paraId="401B7A76">
          <w:pPr>
            <w:pStyle w:val="23"/>
            <w:spacing w:line="900" w:lineRule="atLeast"/>
            <w:ind w:firstLine="370"/>
            <w:rPr>
              <w:rFonts w:asciiTheme="minorHAnsi"/>
              <w:b/>
              <w:bCs/>
              <w:color w:val="auto"/>
              <w:sz w:val="24"/>
              <w:szCs w:val="24"/>
            </w:rPr>
          </w:pPr>
          <w:r>
            <w:rPr>
              <w:color w:val="auto"/>
            </w:rPr>
            <w:fldChar w:fldCharType="begin"/>
          </w:r>
          <w:r>
            <w:rPr>
              <w:color w:val="auto"/>
            </w:rPr>
            <w:instrText xml:space="preserve"> HYPERLINK \l "_Toc76480568" </w:instrText>
          </w:r>
          <w:r>
            <w:rPr>
              <w:color w:val="auto"/>
            </w:rPr>
            <w:fldChar w:fldCharType="separate"/>
          </w:r>
          <w:r>
            <w:rPr>
              <w:rStyle w:val="36"/>
              <w:b/>
              <w:bCs/>
              <w:color w:val="auto"/>
              <w:sz w:val="24"/>
              <w:szCs w:val="24"/>
            </w:rPr>
            <w:t>第四章 评审程序、评审方法和评审标准</w:t>
          </w:r>
          <w:r>
            <w:rPr>
              <w:b/>
              <w:bCs/>
              <w:color w:val="auto"/>
              <w:sz w:val="24"/>
              <w:szCs w:val="24"/>
            </w:rPr>
            <w:tab/>
          </w:r>
          <w:r>
            <w:rPr>
              <w:b/>
              <w:bCs/>
              <w:color w:val="auto"/>
              <w:sz w:val="24"/>
              <w:szCs w:val="24"/>
            </w:rPr>
            <w:fldChar w:fldCharType="begin"/>
          </w:r>
          <w:r>
            <w:rPr>
              <w:b/>
              <w:bCs/>
              <w:color w:val="auto"/>
              <w:sz w:val="24"/>
              <w:szCs w:val="24"/>
            </w:rPr>
            <w:instrText xml:space="preserve"> PAGEREF _Toc76480568 \h </w:instrText>
          </w:r>
          <w:r>
            <w:rPr>
              <w:b/>
              <w:bCs/>
              <w:color w:val="auto"/>
              <w:sz w:val="24"/>
              <w:szCs w:val="24"/>
            </w:rPr>
            <w:fldChar w:fldCharType="separate"/>
          </w:r>
          <w:r>
            <w:rPr>
              <w:b/>
              <w:bCs/>
              <w:color w:val="auto"/>
              <w:sz w:val="24"/>
              <w:szCs w:val="24"/>
            </w:rPr>
            <w:t>38</w:t>
          </w:r>
          <w:r>
            <w:rPr>
              <w:b/>
              <w:bCs/>
              <w:color w:val="auto"/>
              <w:sz w:val="24"/>
              <w:szCs w:val="24"/>
            </w:rPr>
            <w:fldChar w:fldCharType="end"/>
          </w:r>
          <w:r>
            <w:rPr>
              <w:b/>
              <w:bCs/>
              <w:color w:val="auto"/>
              <w:sz w:val="24"/>
              <w:szCs w:val="24"/>
            </w:rPr>
            <w:fldChar w:fldCharType="end"/>
          </w:r>
        </w:p>
        <w:p w14:paraId="67E25021">
          <w:pPr>
            <w:pStyle w:val="23"/>
            <w:spacing w:line="900" w:lineRule="atLeast"/>
            <w:ind w:firstLine="370"/>
            <w:rPr>
              <w:rFonts w:asciiTheme="minorHAnsi"/>
              <w:b/>
              <w:bCs/>
              <w:color w:val="auto"/>
              <w:sz w:val="24"/>
              <w:szCs w:val="24"/>
            </w:rPr>
          </w:pPr>
          <w:r>
            <w:rPr>
              <w:color w:val="auto"/>
            </w:rPr>
            <w:fldChar w:fldCharType="begin"/>
          </w:r>
          <w:r>
            <w:rPr>
              <w:color w:val="auto"/>
            </w:rPr>
            <w:instrText xml:space="preserve"> HYPERLINK \l "_Toc76480569" </w:instrText>
          </w:r>
          <w:r>
            <w:rPr>
              <w:color w:val="auto"/>
            </w:rPr>
            <w:fldChar w:fldCharType="separate"/>
          </w:r>
          <w:r>
            <w:rPr>
              <w:rStyle w:val="36"/>
              <w:b/>
              <w:bCs/>
              <w:color w:val="auto"/>
              <w:sz w:val="24"/>
              <w:szCs w:val="24"/>
            </w:rPr>
            <w:t>第五章 响应文件格式</w:t>
          </w:r>
          <w:r>
            <w:rPr>
              <w:b/>
              <w:bCs/>
              <w:color w:val="auto"/>
              <w:sz w:val="24"/>
              <w:szCs w:val="24"/>
            </w:rPr>
            <w:tab/>
          </w:r>
          <w:r>
            <w:rPr>
              <w:b/>
              <w:bCs/>
              <w:color w:val="auto"/>
              <w:sz w:val="24"/>
              <w:szCs w:val="24"/>
            </w:rPr>
            <w:fldChar w:fldCharType="begin"/>
          </w:r>
          <w:r>
            <w:rPr>
              <w:b/>
              <w:bCs/>
              <w:color w:val="auto"/>
              <w:sz w:val="24"/>
              <w:szCs w:val="24"/>
            </w:rPr>
            <w:instrText xml:space="preserve"> PAGEREF _Toc76480569 \h </w:instrText>
          </w:r>
          <w:r>
            <w:rPr>
              <w:b/>
              <w:bCs/>
              <w:color w:val="auto"/>
              <w:sz w:val="24"/>
              <w:szCs w:val="24"/>
            </w:rPr>
            <w:fldChar w:fldCharType="separate"/>
          </w:r>
          <w:r>
            <w:rPr>
              <w:b/>
              <w:bCs/>
              <w:color w:val="auto"/>
              <w:sz w:val="24"/>
              <w:szCs w:val="24"/>
            </w:rPr>
            <w:t>43</w:t>
          </w:r>
          <w:r>
            <w:rPr>
              <w:b/>
              <w:bCs/>
              <w:color w:val="auto"/>
              <w:sz w:val="24"/>
              <w:szCs w:val="24"/>
            </w:rPr>
            <w:fldChar w:fldCharType="end"/>
          </w:r>
          <w:r>
            <w:rPr>
              <w:b/>
              <w:bCs/>
              <w:color w:val="auto"/>
              <w:sz w:val="24"/>
              <w:szCs w:val="24"/>
            </w:rPr>
            <w:fldChar w:fldCharType="end"/>
          </w:r>
        </w:p>
        <w:p w14:paraId="534808BB">
          <w:pPr>
            <w:pStyle w:val="23"/>
            <w:spacing w:line="900" w:lineRule="atLeast"/>
            <w:ind w:firstLine="370"/>
            <w:rPr>
              <w:rFonts w:asciiTheme="minorHAnsi"/>
              <w:b/>
              <w:bCs/>
              <w:color w:val="auto"/>
              <w:sz w:val="24"/>
              <w:szCs w:val="24"/>
            </w:rPr>
          </w:pPr>
          <w:r>
            <w:rPr>
              <w:color w:val="auto"/>
            </w:rPr>
            <w:fldChar w:fldCharType="begin"/>
          </w:r>
          <w:r>
            <w:rPr>
              <w:color w:val="auto"/>
            </w:rPr>
            <w:instrText xml:space="preserve"> HYPERLINK \l "_Toc76480570" </w:instrText>
          </w:r>
          <w:r>
            <w:rPr>
              <w:color w:val="auto"/>
            </w:rPr>
            <w:fldChar w:fldCharType="separate"/>
          </w:r>
          <w:r>
            <w:rPr>
              <w:rStyle w:val="36"/>
              <w:b/>
              <w:bCs/>
              <w:color w:val="auto"/>
              <w:sz w:val="24"/>
              <w:szCs w:val="24"/>
            </w:rPr>
            <w:t>第六章 合同文本</w:t>
          </w:r>
          <w:r>
            <w:rPr>
              <w:b/>
              <w:bCs/>
              <w:color w:val="auto"/>
              <w:sz w:val="24"/>
              <w:szCs w:val="24"/>
            </w:rPr>
            <w:tab/>
          </w:r>
          <w:r>
            <w:rPr>
              <w:b/>
              <w:bCs/>
              <w:color w:val="auto"/>
              <w:sz w:val="24"/>
              <w:szCs w:val="24"/>
            </w:rPr>
            <w:fldChar w:fldCharType="begin"/>
          </w:r>
          <w:r>
            <w:rPr>
              <w:b/>
              <w:bCs/>
              <w:color w:val="auto"/>
              <w:sz w:val="24"/>
              <w:szCs w:val="24"/>
            </w:rPr>
            <w:instrText xml:space="preserve"> PAGEREF _Toc76480570 \h </w:instrText>
          </w:r>
          <w:r>
            <w:rPr>
              <w:b/>
              <w:bCs/>
              <w:color w:val="auto"/>
              <w:sz w:val="24"/>
              <w:szCs w:val="24"/>
            </w:rPr>
            <w:fldChar w:fldCharType="separate"/>
          </w:r>
          <w:r>
            <w:rPr>
              <w:b/>
              <w:bCs/>
              <w:color w:val="auto"/>
              <w:sz w:val="24"/>
              <w:szCs w:val="24"/>
            </w:rPr>
            <w:t>71</w:t>
          </w:r>
          <w:r>
            <w:rPr>
              <w:b/>
              <w:bCs/>
              <w:color w:val="auto"/>
              <w:sz w:val="24"/>
              <w:szCs w:val="24"/>
            </w:rPr>
            <w:fldChar w:fldCharType="end"/>
          </w:r>
          <w:r>
            <w:rPr>
              <w:b/>
              <w:bCs/>
              <w:color w:val="auto"/>
              <w:sz w:val="24"/>
              <w:szCs w:val="24"/>
            </w:rPr>
            <w:fldChar w:fldCharType="end"/>
          </w:r>
        </w:p>
        <w:p w14:paraId="6380745F">
          <w:pPr>
            <w:spacing w:line="900" w:lineRule="atLeast"/>
            <w:ind w:firstLine="424" w:firstLineChars="176"/>
            <w:rPr>
              <w:color w:val="auto"/>
            </w:rPr>
          </w:pPr>
          <w:r>
            <w:rPr>
              <w:rFonts w:ascii="宋体" w:hAnsi="宋体" w:eastAsia="宋体"/>
              <w:b/>
              <w:bCs/>
              <w:color w:val="auto"/>
              <w:sz w:val="24"/>
              <w:szCs w:val="24"/>
            </w:rPr>
            <w:fldChar w:fldCharType="end"/>
          </w:r>
        </w:p>
      </w:sdtContent>
    </w:sdt>
    <w:p w14:paraId="10973CC1">
      <w:pPr>
        <w:ind w:firstLine="420"/>
        <w:rPr>
          <w:color w:val="auto"/>
        </w:rPr>
      </w:pPr>
    </w:p>
    <w:p w14:paraId="7FC22045">
      <w:pPr>
        <w:spacing w:before="260" w:after="260" w:line="415" w:lineRule="auto"/>
        <w:ind w:firstLine="0" w:firstLineChars="0"/>
        <w:rPr>
          <w:color w:val="auto"/>
        </w:rPr>
        <w:sectPr>
          <w:pgSz w:w="11906" w:h="16838"/>
          <w:pgMar w:top="1440" w:right="1080" w:bottom="1440" w:left="1080" w:header="851" w:footer="992" w:gutter="0"/>
          <w:cols w:space="425" w:num="1"/>
          <w:docGrid w:type="lines" w:linePitch="312" w:charSpace="0"/>
        </w:sectPr>
      </w:pPr>
      <w:r>
        <w:rPr>
          <w:color w:val="auto"/>
        </w:rPr>
        <w:br w:type="page"/>
      </w:r>
    </w:p>
    <w:p w14:paraId="16417451">
      <w:pPr>
        <w:pStyle w:val="49"/>
        <w:rPr>
          <w:rFonts w:ascii="仿宋" w:hAnsi="仿宋" w:eastAsia="仿宋" w:cs="仿宋"/>
          <w:color w:val="auto"/>
        </w:rPr>
      </w:pPr>
      <w:bookmarkStart w:id="0" w:name="_Toc76480565"/>
      <w:r>
        <w:rPr>
          <w:rFonts w:hint="eastAsia" w:ascii="仿宋" w:hAnsi="仿宋" w:eastAsia="仿宋" w:cs="仿宋"/>
          <w:color w:val="auto"/>
        </w:rPr>
        <w:t>第一章</w:t>
      </w:r>
      <w:bookmarkStart w:id="1" w:name="_Toc28359001"/>
      <w:bookmarkEnd w:id="1"/>
      <w:bookmarkStart w:id="2" w:name="_Toc35393789"/>
      <w:bookmarkEnd w:id="2"/>
      <w:r>
        <w:rPr>
          <w:rFonts w:hint="eastAsia" w:ascii="仿宋" w:hAnsi="仿宋" w:eastAsia="仿宋" w:cs="仿宋"/>
          <w:color w:val="auto"/>
        </w:rPr>
        <w:t>竞争性磋商公告</w:t>
      </w:r>
      <w:bookmarkEnd w:id="0"/>
    </w:p>
    <w:p w14:paraId="68A4E70C">
      <w:pPr>
        <w:pBdr>
          <w:top w:val="single" w:color="auto" w:sz="4" w:space="1"/>
          <w:left w:val="single" w:color="auto" w:sz="4" w:space="4"/>
          <w:bottom w:val="single" w:color="auto" w:sz="4" w:space="1"/>
          <w:right w:val="single" w:color="auto" w:sz="4" w:space="4"/>
        </w:pBdr>
        <w:ind w:firstLine="420"/>
        <w:rPr>
          <w:rFonts w:ascii="宋体" w:hAnsi="宋体"/>
          <w:color w:val="auto"/>
        </w:rPr>
      </w:pPr>
      <w:r>
        <w:rPr>
          <w:rFonts w:hint="eastAsia" w:ascii="宋体" w:hAnsi="宋体"/>
          <w:color w:val="auto"/>
        </w:rPr>
        <w:t>项目概况</w:t>
      </w:r>
    </w:p>
    <w:p w14:paraId="3C075E6F">
      <w:pPr>
        <w:pBdr>
          <w:top w:val="single" w:color="auto" w:sz="4" w:space="1"/>
          <w:left w:val="single" w:color="auto" w:sz="4" w:space="4"/>
          <w:bottom w:val="single" w:color="auto" w:sz="4" w:space="1"/>
          <w:right w:val="single" w:color="auto" w:sz="4" w:space="4"/>
        </w:pBdr>
        <w:ind w:firstLine="420"/>
        <w:jc w:val="both"/>
        <w:rPr>
          <w:rFonts w:ascii="宋体" w:hAnsi="宋体"/>
          <w:color w:val="auto"/>
        </w:rPr>
      </w:pPr>
      <w:r>
        <w:rPr>
          <w:rFonts w:hint="eastAsia" w:ascii="宋体" w:hAnsi="宋体"/>
          <w:color w:val="auto"/>
          <w:u w:val="single"/>
          <w:lang w:eastAsia="zh-CN"/>
        </w:rPr>
        <w:t>广西轻工技师学院驻校教官队管理服务采购</w:t>
      </w:r>
      <w:r>
        <w:rPr>
          <w:rFonts w:hint="eastAsia" w:ascii="宋体" w:hAnsi="宋体"/>
          <w:color w:val="auto"/>
        </w:rPr>
        <w:t>采购项目的潜在供应商应在</w:t>
      </w:r>
      <w:r>
        <w:rPr>
          <w:rFonts w:hint="eastAsia" w:ascii="宋体" w:hAnsi="宋体"/>
          <w:color w:val="auto"/>
          <w:u w:val="single"/>
          <w:lang w:eastAsia="zh-CN"/>
        </w:rPr>
        <w:t>广西政府采购云平台（https://www.gcy.zfcg.gxzf.gov.cn/）</w:t>
      </w:r>
      <w:r>
        <w:rPr>
          <w:rFonts w:hint="eastAsia" w:ascii="宋体" w:hAnsi="宋体"/>
          <w:color w:val="auto"/>
        </w:rPr>
        <w:t>获取采购文件，并于</w:t>
      </w:r>
      <w:r>
        <w:rPr>
          <w:rFonts w:hint="eastAsia" w:ascii="宋体" w:hAnsi="宋体"/>
          <w:color w:val="auto"/>
          <w:u w:val="single"/>
          <w:lang w:eastAsia="zh-CN"/>
        </w:rPr>
        <w:t>2025年4月28日</w:t>
      </w:r>
      <w:r>
        <w:rPr>
          <w:rFonts w:hint="eastAsia" w:ascii="宋体" w:hAnsi="宋体"/>
          <w:color w:val="auto"/>
          <w:u w:val="single"/>
        </w:rPr>
        <w:t xml:space="preserve"> 9：</w:t>
      </w:r>
      <w:r>
        <w:rPr>
          <w:rFonts w:hint="eastAsia" w:ascii="宋体" w:hAnsi="宋体"/>
          <w:color w:val="auto"/>
          <w:u w:val="single"/>
          <w:lang w:val="en-US" w:eastAsia="zh-CN"/>
        </w:rPr>
        <w:t>00</w:t>
      </w:r>
      <w:r>
        <w:rPr>
          <w:rFonts w:hint="eastAsia" w:ascii="宋体" w:hAnsi="宋体"/>
          <w:color w:val="auto"/>
          <w:u w:val="single"/>
        </w:rPr>
        <w:t>（北京时间）</w:t>
      </w:r>
      <w:r>
        <w:rPr>
          <w:rFonts w:hint="eastAsia" w:ascii="宋体" w:hAnsi="宋体"/>
          <w:color w:val="auto"/>
        </w:rPr>
        <w:t>前提交响应文件。</w:t>
      </w:r>
    </w:p>
    <w:p w14:paraId="76669F9B">
      <w:pPr>
        <w:pStyle w:val="55"/>
        <w:spacing w:before="100" w:after="100"/>
        <w:rPr>
          <w:bCs/>
          <w:color w:val="auto"/>
        </w:rPr>
      </w:pPr>
      <w:bookmarkStart w:id="3" w:name="_Toc72767522"/>
      <w:bookmarkStart w:id="4" w:name="_Toc44405601"/>
      <w:r>
        <w:rPr>
          <w:rFonts w:hint="eastAsia"/>
          <w:bCs/>
          <w:color w:val="auto"/>
        </w:rPr>
        <w:t>一、项目基本情况</w:t>
      </w:r>
      <w:bookmarkEnd w:id="3"/>
      <w:bookmarkEnd w:id="4"/>
    </w:p>
    <w:p w14:paraId="24AA6A20">
      <w:pPr>
        <w:ind w:firstLine="420"/>
        <w:rPr>
          <w:rFonts w:hint="eastAsia" w:ascii="宋体" w:hAnsi="宋体" w:eastAsia="宋体" w:cs="宋体"/>
          <w:bCs/>
          <w:color w:val="auto"/>
          <w:kern w:val="0"/>
          <w:lang w:eastAsia="zh-CN"/>
        </w:rPr>
      </w:pPr>
      <w:r>
        <w:rPr>
          <w:rFonts w:hint="eastAsia" w:ascii="宋体" w:hAnsi="宋体" w:eastAsia="宋体" w:cs="宋体"/>
          <w:bCs/>
          <w:color w:val="auto"/>
          <w:kern w:val="0"/>
        </w:rPr>
        <w:t>项目编号：</w:t>
      </w:r>
      <w:r>
        <w:rPr>
          <w:rFonts w:hint="eastAsia" w:ascii="宋体" w:hAnsi="宋体" w:eastAsia="宋体" w:cs="宋体"/>
          <w:bCs/>
          <w:color w:val="auto"/>
          <w:kern w:val="0"/>
          <w:lang w:eastAsia="zh-CN"/>
        </w:rPr>
        <w:t>GXZC2025-C3-000778-HWST</w:t>
      </w:r>
    </w:p>
    <w:p w14:paraId="5F289AEE">
      <w:pPr>
        <w:ind w:firstLine="420"/>
        <w:rPr>
          <w:rFonts w:hint="eastAsia" w:ascii="宋体" w:hAnsi="宋体" w:eastAsia="宋体" w:cs="宋体"/>
          <w:bCs/>
          <w:color w:val="auto"/>
          <w:kern w:val="0"/>
          <w:lang w:eastAsia="zh-CN"/>
        </w:rPr>
      </w:pPr>
      <w:r>
        <w:rPr>
          <w:rFonts w:hint="eastAsia" w:ascii="宋体" w:hAnsi="宋体" w:eastAsia="宋体" w:cs="宋体"/>
          <w:bCs/>
          <w:color w:val="auto"/>
          <w:kern w:val="0"/>
        </w:rPr>
        <w:t>项目名称：</w:t>
      </w:r>
      <w:r>
        <w:rPr>
          <w:rFonts w:hint="eastAsia" w:ascii="宋体" w:hAnsi="宋体" w:eastAsia="宋体" w:cs="宋体"/>
          <w:bCs/>
          <w:color w:val="auto"/>
          <w:kern w:val="0"/>
          <w:lang w:eastAsia="zh-CN"/>
        </w:rPr>
        <w:t>广西轻工技师学院驻校教官队管理服务采购</w:t>
      </w:r>
    </w:p>
    <w:p w14:paraId="3E79713B">
      <w:pPr>
        <w:ind w:firstLine="420"/>
        <w:rPr>
          <w:rFonts w:ascii="宋体" w:hAnsi="宋体" w:eastAsia="宋体" w:cs="宋体"/>
          <w:bCs/>
          <w:color w:val="auto"/>
          <w:kern w:val="0"/>
        </w:rPr>
      </w:pPr>
      <w:r>
        <w:rPr>
          <w:rFonts w:hint="eastAsia" w:ascii="宋体" w:hAnsi="宋体" w:eastAsia="宋体" w:cs="宋体"/>
          <w:bCs/>
          <w:color w:val="auto"/>
          <w:kern w:val="0"/>
        </w:rPr>
        <w:t>采购方式：竞争性磋商</w:t>
      </w:r>
    </w:p>
    <w:p w14:paraId="1333E3CB">
      <w:pPr>
        <w:ind w:firstLine="420"/>
        <w:rPr>
          <w:rFonts w:hint="default" w:ascii="宋体" w:hAnsi="宋体" w:eastAsia="宋体" w:cs="宋体"/>
          <w:bCs/>
          <w:color w:val="auto"/>
          <w:kern w:val="0"/>
          <w:lang w:val="en-US" w:eastAsia="zh-CN"/>
        </w:rPr>
      </w:pPr>
      <w:r>
        <w:rPr>
          <w:rFonts w:hint="eastAsia" w:ascii="宋体" w:hAnsi="宋体" w:eastAsia="宋体" w:cs="宋体"/>
          <w:bCs/>
          <w:color w:val="auto"/>
          <w:kern w:val="0"/>
        </w:rPr>
        <w:t>预算总金额（元）：</w:t>
      </w:r>
      <w:r>
        <w:rPr>
          <w:rFonts w:hint="eastAsia" w:ascii="宋体" w:hAnsi="宋体" w:eastAsia="宋体" w:cs="宋体"/>
          <w:bCs/>
          <w:color w:val="auto"/>
          <w:kern w:val="0"/>
          <w:lang w:val="en-US" w:eastAsia="zh-CN"/>
        </w:rPr>
        <w:t>1506600.00</w:t>
      </w:r>
    </w:p>
    <w:p w14:paraId="7F6621F7">
      <w:pPr>
        <w:ind w:firstLine="420"/>
        <w:rPr>
          <w:rFonts w:hint="eastAsia" w:ascii="宋体" w:hAnsi="宋体" w:eastAsia="宋体" w:cs="宋体"/>
          <w:bCs/>
          <w:color w:val="auto"/>
          <w:kern w:val="0"/>
          <w:lang w:eastAsia="zh-CN"/>
        </w:rPr>
      </w:pPr>
      <w:r>
        <w:rPr>
          <w:rFonts w:hint="eastAsia" w:ascii="宋体" w:hAnsi="宋体" w:eastAsia="宋体" w:cs="宋体"/>
          <w:bCs/>
          <w:color w:val="auto"/>
          <w:kern w:val="0"/>
        </w:rPr>
        <w:t>标项名称</w:t>
      </w:r>
      <w:r>
        <w:rPr>
          <w:rFonts w:hint="eastAsia" w:ascii="宋体" w:hAnsi="宋体" w:eastAsia="宋体" w:cs="宋体"/>
          <w:bCs/>
          <w:color w:val="auto"/>
          <w:kern w:val="0"/>
          <w:lang w:eastAsia="zh-CN"/>
        </w:rPr>
        <w:t>：广西轻工技师学院驻校教官队管理服务采购</w:t>
      </w:r>
    </w:p>
    <w:p w14:paraId="1AAECCC8">
      <w:pPr>
        <w:ind w:firstLine="420"/>
        <w:rPr>
          <w:rFonts w:ascii="宋体" w:hAnsi="宋体" w:eastAsia="宋体" w:cs="宋体"/>
          <w:bCs/>
          <w:color w:val="auto"/>
          <w:kern w:val="0"/>
        </w:rPr>
      </w:pPr>
      <w:r>
        <w:rPr>
          <w:rFonts w:hint="eastAsia" w:ascii="宋体" w:hAnsi="宋体" w:eastAsia="宋体" w:cs="宋体"/>
          <w:bCs/>
          <w:color w:val="auto"/>
          <w:kern w:val="0"/>
        </w:rPr>
        <w:t>数量</w:t>
      </w:r>
      <w:r>
        <w:rPr>
          <w:rFonts w:hint="eastAsia" w:ascii="宋体" w:hAnsi="宋体" w:eastAsia="宋体" w:cs="宋体"/>
          <w:bCs/>
          <w:color w:val="auto"/>
          <w:kern w:val="0"/>
          <w:lang w:eastAsia="zh-CN"/>
        </w:rPr>
        <w:t>：</w:t>
      </w:r>
      <w:r>
        <w:rPr>
          <w:rFonts w:hint="eastAsia" w:ascii="宋体" w:hAnsi="宋体" w:eastAsia="宋体" w:cs="宋体"/>
          <w:bCs/>
          <w:color w:val="auto"/>
          <w:kern w:val="0"/>
        </w:rPr>
        <w:t>1</w:t>
      </w:r>
    </w:p>
    <w:p w14:paraId="49A768BE">
      <w:pPr>
        <w:ind w:firstLine="420"/>
        <w:rPr>
          <w:rFonts w:hint="eastAsia" w:ascii="宋体" w:hAnsi="宋体" w:eastAsia="宋体" w:cs="宋体"/>
          <w:bCs/>
          <w:color w:val="auto"/>
          <w:kern w:val="0"/>
          <w:lang w:eastAsia="zh-CN"/>
        </w:rPr>
      </w:pPr>
      <w:r>
        <w:rPr>
          <w:rFonts w:hint="eastAsia" w:ascii="宋体" w:hAnsi="宋体" w:eastAsia="宋体" w:cs="宋体"/>
          <w:bCs/>
          <w:color w:val="auto"/>
          <w:kern w:val="0"/>
        </w:rPr>
        <w:t>预算金额（元）：</w:t>
      </w:r>
      <w:r>
        <w:rPr>
          <w:rFonts w:hint="eastAsia" w:ascii="宋体" w:hAnsi="宋体" w:eastAsia="宋体" w:cs="宋体"/>
          <w:bCs/>
          <w:color w:val="auto"/>
          <w:kern w:val="0"/>
          <w:lang w:val="en-US" w:eastAsia="zh-CN"/>
        </w:rPr>
        <w:t>1506600.00</w:t>
      </w:r>
    </w:p>
    <w:p w14:paraId="7C832845">
      <w:pPr>
        <w:ind w:firstLine="420"/>
        <w:rPr>
          <w:rFonts w:ascii="宋体" w:hAnsi="宋体" w:eastAsia="宋体" w:cs="宋体"/>
          <w:bCs/>
          <w:color w:val="auto"/>
          <w:kern w:val="0"/>
        </w:rPr>
      </w:pPr>
      <w:r>
        <w:rPr>
          <w:rFonts w:hint="eastAsia" w:ascii="宋体" w:hAnsi="宋体" w:eastAsia="宋体" w:cs="宋体"/>
          <w:bCs/>
          <w:color w:val="auto"/>
          <w:kern w:val="0"/>
        </w:rPr>
        <w:t>简要规格描述或项目基本概况介绍、用途：</w:t>
      </w:r>
      <w:r>
        <w:rPr>
          <w:rFonts w:hint="eastAsia" w:ascii="宋体" w:hAnsi="宋体" w:eastAsia="宋体" w:cs="宋体"/>
          <w:bCs/>
          <w:color w:val="auto"/>
          <w:kern w:val="0"/>
          <w:lang w:eastAsia="zh-CN"/>
        </w:rPr>
        <w:t>广西轻工技师学院驻校教官队管理服务采购</w:t>
      </w:r>
      <w:r>
        <w:rPr>
          <w:rFonts w:hint="eastAsia" w:ascii="宋体" w:hAnsi="宋体" w:eastAsia="宋体" w:cs="宋体"/>
          <w:bCs/>
          <w:color w:val="auto"/>
          <w:kern w:val="0"/>
        </w:rPr>
        <w:t>，详见</w:t>
      </w:r>
      <w:r>
        <w:rPr>
          <w:rFonts w:hint="eastAsia" w:ascii="宋体" w:hAnsi="宋体" w:eastAsia="宋体" w:cs="宋体"/>
          <w:bCs/>
          <w:color w:val="auto"/>
          <w:kern w:val="0"/>
          <w:lang w:val="en-US" w:eastAsia="zh-CN"/>
        </w:rPr>
        <w:t>竞争性磋商文件</w:t>
      </w:r>
      <w:bookmarkStart w:id="21" w:name="_GoBack"/>
      <w:bookmarkEnd w:id="21"/>
      <w:r>
        <w:rPr>
          <w:rFonts w:hint="eastAsia" w:ascii="宋体" w:hAnsi="宋体" w:eastAsia="宋体" w:cs="宋体"/>
          <w:bCs/>
          <w:color w:val="auto"/>
          <w:kern w:val="0"/>
        </w:rPr>
        <w:t>。</w:t>
      </w:r>
    </w:p>
    <w:p w14:paraId="3DA048E7">
      <w:pPr>
        <w:ind w:firstLine="420"/>
        <w:rPr>
          <w:rFonts w:hint="eastAsia" w:ascii="宋体" w:hAnsi="宋体" w:eastAsia="宋体" w:cs="宋体"/>
          <w:bCs/>
          <w:color w:val="auto"/>
          <w:kern w:val="0"/>
          <w:lang w:eastAsia="zh-CN"/>
        </w:rPr>
      </w:pPr>
      <w:r>
        <w:rPr>
          <w:rFonts w:hint="eastAsia" w:ascii="宋体" w:hAnsi="宋体" w:eastAsia="宋体" w:cs="宋体"/>
          <w:bCs/>
          <w:color w:val="auto"/>
          <w:kern w:val="0"/>
        </w:rPr>
        <w:t>最高限价（如有）：</w:t>
      </w:r>
      <w:r>
        <w:rPr>
          <w:rFonts w:hint="eastAsia" w:ascii="宋体" w:hAnsi="宋体" w:eastAsia="宋体" w:cs="宋体"/>
          <w:bCs/>
          <w:color w:val="auto"/>
          <w:kern w:val="0"/>
          <w:lang w:val="en-US" w:eastAsia="zh-CN"/>
        </w:rPr>
        <w:t>1506600.00</w:t>
      </w:r>
    </w:p>
    <w:p w14:paraId="6FA1B825">
      <w:pPr>
        <w:ind w:firstLine="420"/>
        <w:rPr>
          <w:rFonts w:ascii="宋体" w:hAnsi="宋体" w:eastAsia="宋体" w:cs="宋体"/>
          <w:bCs/>
          <w:color w:val="auto"/>
          <w:kern w:val="0"/>
        </w:rPr>
      </w:pPr>
      <w:r>
        <w:rPr>
          <w:rFonts w:hint="eastAsia" w:ascii="宋体" w:hAnsi="宋体" w:eastAsia="宋体" w:cs="宋体"/>
          <w:bCs/>
          <w:color w:val="auto"/>
          <w:kern w:val="0"/>
        </w:rPr>
        <w:t>合同履约期限：</w:t>
      </w:r>
      <w:r>
        <w:rPr>
          <w:rFonts w:hint="eastAsia" w:ascii="宋体" w:hAnsi="宋体" w:eastAsia="宋体" w:cs="宋体"/>
          <w:color w:val="000000"/>
          <w:sz w:val="21"/>
          <w:szCs w:val="21"/>
          <w:highlight w:val="none"/>
        </w:rPr>
        <w:t>自合同签订之日起</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年</w:t>
      </w:r>
      <w:r>
        <w:rPr>
          <w:rFonts w:hint="eastAsia" w:ascii="宋体" w:hAnsi="宋体" w:eastAsia="宋体" w:cs="宋体"/>
          <w:color w:val="auto"/>
          <w:sz w:val="21"/>
          <w:szCs w:val="21"/>
          <w:lang w:eastAsia="zh-CN"/>
        </w:rPr>
        <w:t>，</w:t>
      </w:r>
      <w:r>
        <w:rPr>
          <w:rFonts w:hint="eastAsia" w:ascii="宋体" w:hAnsi="宋体" w:eastAsia="宋体" w:cs="宋体"/>
          <w:sz w:val="21"/>
          <w:szCs w:val="21"/>
        </w:rPr>
        <w:t>服务期满后，双方自动解除合同关系，双方互不承担对方损失。采购人可根据成交供应商服务期内服务质量情况，考虑是否与成交供应商按本项目合同服务质量及每年成交服务费</w:t>
      </w:r>
      <w:r>
        <w:rPr>
          <w:rFonts w:hint="eastAsia" w:ascii="宋体" w:hAnsi="宋体" w:eastAsia="宋体" w:cs="宋体"/>
          <w:sz w:val="21"/>
          <w:szCs w:val="21"/>
          <w:lang w:val="en-US" w:eastAsia="zh-CN"/>
        </w:rPr>
        <w:t>再</w:t>
      </w:r>
      <w:r>
        <w:rPr>
          <w:rFonts w:hint="eastAsia" w:ascii="宋体" w:hAnsi="宋体" w:eastAsia="宋体" w:cs="宋体"/>
          <w:sz w:val="21"/>
          <w:szCs w:val="21"/>
        </w:rPr>
        <w:t>续签服务，成交供应商可以自由选择接受或拒绝。</w:t>
      </w:r>
    </w:p>
    <w:p w14:paraId="023C182A">
      <w:pPr>
        <w:ind w:firstLine="420"/>
        <w:rPr>
          <w:rFonts w:ascii="宋体" w:hAnsi="宋体" w:eastAsia="宋体" w:cs="宋体"/>
          <w:bCs/>
          <w:color w:val="auto"/>
          <w:kern w:val="0"/>
        </w:rPr>
      </w:pPr>
      <w:r>
        <w:rPr>
          <w:rFonts w:hint="eastAsia" w:ascii="宋体" w:hAnsi="宋体" w:eastAsia="宋体" w:cs="宋体"/>
          <w:bCs/>
          <w:color w:val="auto"/>
          <w:kern w:val="0"/>
        </w:rPr>
        <w:t>本标项（否）接受联合体投标</w:t>
      </w:r>
    </w:p>
    <w:p w14:paraId="1DD7F776">
      <w:pPr>
        <w:ind w:firstLine="420"/>
        <w:rPr>
          <w:rFonts w:ascii="宋体" w:hAnsi="宋体" w:eastAsia="宋体" w:cs="宋体"/>
          <w:bCs/>
          <w:color w:val="auto"/>
          <w:kern w:val="0"/>
        </w:rPr>
      </w:pPr>
      <w:r>
        <w:rPr>
          <w:rFonts w:hint="eastAsia" w:ascii="宋体" w:hAnsi="宋体" w:eastAsia="宋体" w:cs="宋体"/>
          <w:bCs/>
          <w:color w:val="auto"/>
          <w:kern w:val="0"/>
        </w:rPr>
        <w:t>备注：/</w:t>
      </w:r>
    </w:p>
    <w:p w14:paraId="467A1E46">
      <w:pPr>
        <w:pStyle w:val="55"/>
        <w:spacing w:before="100" w:after="100"/>
        <w:rPr>
          <w:rFonts w:ascii="宋体" w:hAnsi="宋体" w:eastAsia="宋体" w:cs="宋体"/>
          <w:bCs/>
          <w:color w:val="auto"/>
          <w:sz w:val="21"/>
          <w:szCs w:val="21"/>
        </w:rPr>
      </w:pPr>
      <w:r>
        <w:rPr>
          <w:rFonts w:hint="eastAsia" w:ascii="宋体" w:hAnsi="宋体" w:eastAsia="宋体" w:cs="宋体"/>
          <w:bCs/>
          <w:color w:val="auto"/>
          <w:sz w:val="21"/>
          <w:szCs w:val="21"/>
        </w:rPr>
        <w:t>二、申请人的资格要求</w:t>
      </w:r>
    </w:p>
    <w:p w14:paraId="785E27E6">
      <w:pPr>
        <w:ind w:firstLine="420"/>
        <w:rPr>
          <w:rFonts w:ascii="宋体" w:hAnsi="宋体" w:eastAsia="宋体" w:cs="宋体"/>
          <w:color w:val="auto"/>
        </w:rPr>
      </w:pPr>
      <w:r>
        <w:rPr>
          <w:rFonts w:hint="eastAsia" w:ascii="宋体" w:hAnsi="宋体" w:eastAsia="宋体" w:cs="宋体"/>
          <w:color w:val="auto"/>
        </w:rPr>
        <w:t>1.满足《中华人民共和国政府采购法》第二十二条规定；</w:t>
      </w:r>
    </w:p>
    <w:p w14:paraId="588CD5BB">
      <w:pPr>
        <w:ind w:firstLine="420"/>
        <w:rPr>
          <w:rFonts w:ascii="宋体" w:hAnsi="宋体" w:eastAsia="宋体" w:cs="宋体"/>
          <w:color w:val="auto"/>
        </w:rPr>
      </w:pPr>
      <w:r>
        <w:rPr>
          <w:rFonts w:hint="eastAsia" w:ascii="宋体" w:hAnsi="宋体" w:eastAsia="宋体" w:cs="宋体"/>
          <w:color w:val="auto"/>
        </w:rPr>
        <w:t>2.落实政府采购政策需满足的资格要求：</w:t>
      </w:r>
      <w:r>
        <w:rPr>
          <w:rFonts w:hint="eastAsia" w:ascii="宋体" w:hAnsi="宋体" w:eastAsia="宋体" w:cs="宋体"/>
          <w:color w:val="000000" w:themeColor="text1"/>
        </w:rPr>
        <w:t>分标1：专门面向中小企业采购项目，供应商应为中小微企业，或监狱企业，或残疾人福利性单位；</w:t>
      </w:r>
    </w:p>
    <w:p w14:paraId="494E05CD">
      <w:pPr>
        <w:ind w:firstLine="420"/>
        <w:rPr>
          <w:rFonts w:ascii="宋体" w:hAnsi="宋体" w:cs="宋体"/>
          <w:color w:val="auto"/>
        </w:rPr>
      </w:pPr>
      <w:r>
        <w:rPr>
          <w:rFonts w:hint="eastAsia" w:ascii="宋体" w:hAnsi="宋体" w:eastAsia="宋体" w:cs="宋体"/>
          <w:color w:val="auto"/>
        </w:rPr>
        <w:t>3.本项目的特定资格要求：</w:t>
      </w:r>
      <w:r>
        <w:rPr>
          <w:rFonts w:hint="eastAsia" w:ascii="宋体" w:hAnsi="宋体" w:cs="宋体"/>
          <w:color w:val="auto"/>
          <w:lang w:val="en-US" w:eastAsia="zh-CN"/>
        </w:rPr>
        <w:t>无</w:t>
      </w:r>
      <w:r>
        <w:rPr>
          <w:rFonts w:hint="eastAsia" w:ascii="宋体" w:hAnsi="宋体" w:cs="宋体"/>
          <w:color w:val="auto"/>
        </w:rPr>
        <w:t>。</w:t>
      </w:r>
    </w:p>
    <w:p w14:paraId="39BCC20F">
      <w:pPr>
        <w:pStyle w:val="55"/>
        <w:spacing w:before="100" w:after="100"/>
        <w:rPr>
          <w:rFonts w:ascii="宋体" w:hAnsi="宋体" w:eastAsia="宋体" w:cs="宋体"/>
          <w:bCs/>
          <w:color w:val="auto"/>
          <w:sz w:val="21"/>
          <w:szCs w:val="21"/>
        </w:rPr>
      </w:pPr>
      <w:r>
        <w:rPr>
          <w:rFonts w:hint="eastAsia" w:ascii="宋体" w:hAnsi="宋体" w:eastAsia="宋体" w:cs="宋体"/>
          <w:bCs/>
          <w:color w:val="auto"/>
          <w:sz w:val="21"/>
          <w:szCs w:val="21"/>
        </w:rPr>
        <w:t>三、获取采购文件</w:t>
      </w:r>
    </w:p>
    <w:p w14:paraId="382A0869">
      <w:pPr>
        <w:ind w:firstLine="420"/>
        <w:rPr>
          <w:rFonts w:ascii="宋体" w:hAnsi="宋体" w:eastAsia="宋体" w:cs="宋体"/>
          <w:color w:val="auto"/>
        </w:rPr>
      </w:pPr>
      <w:r>
        <w:rPr>
          <w:rFonts w:hint="eastAsia" w:ascii="宋体" w:hAnsi="宋体" w:eastAsia="宋体" w:cs="宋体"/>
          <w:color w:val="auto"/>
        </w:rPr>
        <w:t>时间：</w:t>
      </w:r>
      <w:r>
        <w:rPr>
          <w:rFonts w:hint="eastAsia" w:ascii="宋体" w:hAnsi="宋体" w:eastAsia="宋体" w:cs="宋体"/>
          <w:color w:val="auto"/>
          <w:lang w:eastAsia="zh-CN"/>
        </w:rPr>
        <w:t>2025年</w:t>
      </w:r>
      <w:r>
        <w:rPr>
          <w:rFonts w:hint="eastAsia" w:ascii="宋体" w:hAnsi="宋体" w:eastAsia="宋体" w:cs="宋体"/>
          <w:color w:val="auto"/>
          <w:lang w:val="en-US" w:eastAsia="zh-CN"/>
        </w:rPr>
        <w:t>4</w:t>
      </w:r>
      <w:r>
        <w:rPr>
          <w:rFonts w:hint="eastAsia" w:ascii="宋体" w:hAnsi="宋体" w:eastAsia="宋体" w:cs="宋体"/>
          <w:color w:val="auto"/>
          <w:lang w:eastAsia="zh-CN"/>
        </w:rPr>
        <w:t>月</w:t>
      </w:r>
      <w:r>
        <w:rPr>
          <w:rFonts w:hint="eastAsia" w:ascii="宋体" w:hAnsi="宋体" w:eastAsia="宋体" w:cs="宋体"/>
          <w:color w:val="auto"/>
          <w:lang w:val="en-US" w:eastAsia="zh-CN"/>
        </w:rPr>
        <w:t>17</w:t>
      </w:r>
      <w:r>
        <w:rPr>
          <w:rFonts w:hint="eastAsia" w:ascii="宋体" w:hAnsi="宋体" w:eastAsia="宋体" w:cs="宋体"/>
          <w:color w:val="auto"/>
        </w:rPr>
        <w:t>日至202</w:t>
      </w:r>
      <w:r>
        <w:rPr>
          <w:rFonts w:hint="eastAsia" w:ascii="宋体" w:hAnsi="宋体" w:eastAsia="宋体" w:cs="宋体"/>
          <w:color w:val="auto"/>
          <w:lang w:val="en-US" w:eastAsia="zh-CN"/>
        </w:rPr>
        <w:t>5</w:t>
      </w:r>
      <w:r>
        <w:rPr>
          <w:rFonts w:hint="eastAsia" w:ascii="宋体" w:hAnsi="宋体" w:eastAsia="宋体" w:cs="宋体"/>
          <w:color w:val="auto"/>
        </w:rPr>
        <w:t>年</w:t>
      </w:r>
      <w:r>
        <w:rPr>
          <w:rFonts w:hint="eastAsia" w:ascii="宋体" w:hAnsi="宋体" w:eastAsia="宋体" w:cs="宋体"/>
          <w:color w:val="auto"/>
          <w:lang w:val="en-US" w:eastAsia="zh-CN"/>
        </w:rPr>
        <w:t>4</w:t>
      </w:r>
      <w:r>
        <w:rPr>
          <w:rFonts w:hint="eastAsia" w:ascii="宋体" w:hAnsi="宋体" w:eastAsia="宋体" w:cs="宋体"/>
          <w:color w:val="auto"/>
        </w:rPr>
        <w:t>月</w:t>
      </w:r>
      <w:r>
        <w:rPr>
          <w:rFonts w:hint="eastAsia" w:ascii="宋体" w:hAnsi="宋体" w:eastAsia="宋体" w:cs="宋体"/>
          <w:color w:val="auto"/>
          <w:lang w:val="en-US" w:eastAsia="zh-CN"/>
        </w:rPr>
        <w:t>24</w:t>
      </w:r>
      <w:r>
        <w:rPr>
          <w:rFonts w:hint="eastAsia" w:ascii="宋体" w:hAnsi="宋体" w:eastAsia="宋体" w:cs="宋体"/>
          <w:color w:val="auto"/>
        </w:rPr>
        <w:t>日，每天上午00</w:t>
      </w:r>
      <w:r>
        <w:rPr>
          <w:rFonts w:hint="eastAsia" w:ascii="宋体" w:hAnsi="宋体" w:eastAsia="宋体" w:cs="宋体"/>
          <w:color w:val="auto"/>
          <w:lang w:eastAsia="zh-CN"/>
        </w:rPr>
        <w:t>：</w:t>
      </w:r>
      <w:r>
        <w:rPr>
          <w:rFonts w:hint="eastAsia" w:ascii="宋体" w:hAnsi="宋体" w:eastAsia="宋体" w:cs="宋体"/>
          <w:color w:val="auto"/>
        </w:rPr>
        <w:t>00至12</w:t>
      </w:r>
      <w:r>
        <w:rPr>
          <w:rFonts w:hint="eastAsia" w:ascii="宋体" w:hAnsi="宋体" w:eastAsia="宋体" w:cs="宋体"/>
          <w:color w:val="auto"/>
          <w:lang w:eastAsia="zh-CN"/>
        </w:rPr>
        <w:t>：</w:t>
      </w:r>
      <w:r>
        <w:rPr>
          <w:rFonts w:hint="eastAsia" w:ascii="宋体" w:hAnsi="宋体" w:eastAsia="宋体" w:cs="宋体"/>
          <w:color w:val="auto"/>
        </w:rPr>
        <w:t>00 ，下午12</w:t>
      </w:r>
      <w:r>
        <w:rPr>
          <w:rFonts w:hint="eastAsia" w:ascii="宋体" w:hAnsi="宋体" w:eastAsia="宋体" w:cs="宋体"/>
          <w:color w:val="auto"/>
          <w:lang w:eastAsia="zh-CN"/>
        </w:rPr>
        <w:t>：</w:t>
      </w:r>
      <w:r>
        <w:rPr>
          <w:rFonts w:hint="eastAsia" w:ascii="宋体" w:hAnsi="宋体" w:eastAsia="宋体" w:cs="宋体"/>
          <w:color w:val="auto"/>
        </w:rPr>
        <w:t>00至23</w:t>
      </w:r>
      <w:r>
        <w:rPr>
          <w:rFonts w:hint="eastAsia" w:ascii="宋体" w:hAnsi="宋体" w:eastAsia="宋体" w:cs="宋体"/>
          <w:color w:val="auto"/>
          <w:lang w:eastAsia="zh-CN"/>
        </w:rPr>
        <w:t>：</w:t>
      </w:r>
      <w:r>
        <w:rPr>
          <w:rFonts w:hint="eastAsia" w:ascii="宋体" w:hAnsi="宋体" w:eastAsia="宋体" w:cs="宋体"/>
          <w:color w:val="auto"/>
        </w:rPr>
        <w:t>59（北京时间，法定节假日除外）。</w:t>
      </w:r>
    </w:p>
    <w:p w14:paraId="3EC1000A">
      <w:pPr>
        <w:ind w:firstLine="420"/>
        <w:rPr>
          <w:rFonts w:hint="eastAsia" w:ascii="宋体" w:hAnsi="宋体" w:eastAsia="宋体" w:cs="宋体"/>
          <w:bCs/>
          <w:color w:val="auto"/>
          <w:kern w:val="0"/>
          <w:lang w:eastAsia="zh-CN"/>
        </w:rPr>
      </w:pPr>
      <w:r>
        <w:rPr>
          <w:rFonts w:hint="eastAsia" w:ascii="宋体" w:hAnsi="宋体" w:eastAsia="宋体" w:cs="宋体"/>
          <w:color w:val="auto"/>
        </w:rPr>
        <w:t>地点（网址）：</w:t>
      </w:r>
      <w:r>
        <w:rPr>
          <w:rFonts w:hint="eastAsia" w:ascii="宋体" w:hAnsi="宋体" w:eastAsia="宋体" w:cs="宋体"/>
          <w:bCs/>
          <w:color w:val="auto"/>
          <w:kern w:val="0"/>
          <w:lang w:eastAsia="zh-CN"/>
        </w:rPr>
        <w:t>广西政府采购云平台（https://www.gcy.zfcg.gxzf.gov.cn/）</w:t>
      </w:r>
    </w:p>
    <w:p w14:paraId="5607AE0A">
      <w:pPr>
        <w:ind w:firstLine="420"/>
        <w:rPr>
          <w:rFonts w:ascii="宋体" w:hAnsi="宋体" w:eastAsia="宋体" w:cs="宋体"/>
          <w:bCs/>
          <w:color w:val="auto"/>
          <w:kern w:val="0"/>
        </w:rPr>
      </w:pPr>
      <w:r>
        <w:rPr>
          <w:rFonts w:hint="eastAsia" w:ascii="宋体" w:hAnsi="宋体" w:eastAsia="宋体" w:cs="宋体"/>
          <w:bCs/>
          <w:color w:val="auto"/>
          <w:kern w:val="0"/>
        </w:rPr>
        <w:t>方式：网上下载。本项目不提供纸质文件，供应商可自行在广西政府采购云平台（https://www.gcy.zfcg.gxzf.gov.cn/） 下载</w:t>
      </w:r>
      <w:r>
        <w:rPr>
          <w:rFonts w:hint="eastAsia" w:ascii="宋体" w:hAnsi="宋体" w:eastAsia="宋体" w:cs="宋体"/>
          <w:bCs/>
          <w:color w:val="auto"/>
          <w:kern w:val="0"/>
          <w:lang w:val="en-US" w:eastAsia="zh-CN"/>
        </w:rPr>
        <w:t>采购文件</w:t>
      </w:r>
      <w:r>
        <w:rPr>
          <w:rFonts w:hint="eastAsia" w:ascii="宋体" w:hAnsi="宋体" w:eastAsia="宋体" w:cs="宋体"/>
          <w:bCs/>
          <w:color w:val="auto"/>
          <w:kern w:val="0"/>
        </w:rPr>
        <w:t>（操作路径：登录广西政府采购云平台-项目采购-获取采购文件-找到本项目-点击“申请获取采购文件”），电子投标文件制作需要基于广西政府采购云平台（https://www.gcy.zfcg.gxzf.gov.cn/） 获取的</w:t>
      </w:r>
      <w:r>
        <w:rPr>
          <w:rFonts w:hint="eastAsia" w:ascii="宋体" w:hAnsi="宋体" w:eastAsia="宋体" w:cs="宋体"/>
          <w:bCs/>
          <w:color w:val="auto"/>
          <w:kern w:val="0"/>
          <w:lang w:val="en-US" w:eastAsia="zh-CN"/>
        </w:rPr>
        <w:t>采购文件</w:t>
      </w:r>
      <w:r>
        <w:rPr>
          <w:rFonts w:hint="eastAsia" w:ascii="宋体" w:hAnsi="宋体" w:eastAsia="宋体" w:cs="宋体"/>
          <w:bCs/>
          <w:color w:val="auto"/>
          <w:kern w:val="0"/>
        </w:rPr>
        <w:t>编制。</w:t>
      </w:r>
    </w:p>
    <w:p w14:paraId="70038549">
      <w:pPr>
        <w:ind w:firstLine="420"/>
        <w:rPr>
          <w:rFonts w:ascii="宋体" w:hAnsi="宋体" w:eastAsia="宋体" w:cs="宋体"/>
          <w:bCs/>
          <w:color w:val="auto"/>
          <w:kern w:val="0"/>
        </w:rPr>
      </w:pPr>
      <w:r>
        <w:rPr>
          <w:rFonts w:hint="eastAsia" w:ascii="宋体" w:hAnsi="宋体" w:eastAsia="宋体" w:cs="宋体"/>
          <w:bCs/>
          <w:color w:val="auto"/>
          <w:kern w:val="0"/>
        </w:rPr>
        <w:t xml:space="preserve">售价（元）：0 </w:t>
      </w:r>
    </w:p>
    <w:p w14:paraId="36680C1C">
      <w:pPr>
        <w:pStyle w:val="55"/>
        <w:spacing w:before="100" w:after="100"/>
        <w:rPr>
          <w:rFonts w:ascii="宋体" w:hAnsi="宋体" w:eastAsia="宋体" w:cs="宋体"/>
          <w:bCs/>
          <w:color w:val="auto"/>
          <w:sz w:val="21"/>
          <w:szCs w:val="21"/>
        </w:rPr>
      </w:pPr>
      <w:r>
        <w:rPr>
          <w:rFonts w:hint="eastAsia" w:ascii="宋体" w:hAnsi="宋体" w:eastAsia="宋体" w:cs="宋体"/>
          <w:bCs/>
          <w:color w:val="auto"/>
          <w:sz w:val="21"/>
          <w:szCs w:val="21"/>
        </w:rPr>
        <w:t>四、响应文件提交</w:t>
      </w:r>
    </w:p>
    <w:p w14:paraId="3698002E">
      <w:pPr>
        <w:ind w:firstLine="420"/>
        <w:rPr>
          <w:rFonts w:ascii="宋体" w:hAnsi="宋体" w:eastAsia="宋体" w:cs="宋体"/>
          <w:color w:val="auto"/>
        </w:rPr>
      </w:pPr>
      <w:r>
        <w:rPr>
          <w:rFonts w:hint="eastAsia" w:ascii="宋体" w:hAnsi="宋体" w:eastAsia="宋体" w:cs="宋体"/>
          <w:color w:val="auto"/>
        </w:rPr>
        <w:t>截止时间：</w:t>
      </w:r>
      <w:r>
        <w:rPr>
          <w:rFonts w:hint="eastAsia" w:ascii="宋体" w:hAnsi="宋体" w:eastAsia="宋体" w:cs="宋体"/>
          <w:color w:val="auto"/>
          <w:lang w:eastAsia="zh-CN"/>
        </w:rPr>
        <w:t>2025年4月28日</w:t>
      </w:r>
      <w:r>
        <w:rPr>
          <w:rFonts w:hint="eastAsia" w:ascii="宋体" w:hAnsi="宋体" w:eastAsia="宋体" w:cs="宋体"/>
          <w:color w:val="auto"/>
        </w:rPr>
        <w:t>09：</w:t>
      </w:r>
      <w:r>
        <w:rPr>
          <w:rFonts w:hint="eastAsia" w:ascii="宋体" w:hAnsi="宋体" w:eastAsia="宋体" w:cs="宋体"/>
          <w:color w:val="auto"/>
          <w:lang w:val="en-US" w:eastAsia="zh-CN"/>
        </w:rPr>
        <w:t>00</w:t>
      </w:r>
      <w:r>
        <w:rPr>
          <w:rFonts w:hint="eastAsia" w:ascii="宋体" w:hAnsi="宋体" w:eastAsia="宋体" w:cs="宋体"/>
          <w:color w:val="auto"/>
        </w:rPr>
        <w:t>（北京时间）</w:t>
      </w:r>
    </w:p>
    <w:p w14:paraId="4519D06A">
      <w:pPr>
        <w:ind w:firstLine="420"/>
        <w:rPr>
          <w:rFonts w:hint="eastAsia" w:ascii="宋体" w:hAnsi="宋体" w:eastAsia="宋体" w:cs="宋体"/>
          <w:color w:val="auto"/>
          <w:lang w:eastAsia="zh-CN"/>
        </w:rPr>
      </w:pPr>
      <w:r>
        <w:rPr>
          <w:rFonts w:hint="eastAsia" w:ascii="宋体" w:hAnsi="宋体" w:eastAsia="宋体" w:cs="宋体"/>
          <w:color w:val="auto"/>
        </w:rPr>
        <w:t>地点（网址）：</w:t>
      </w:r>
      <w:r>
        <w:rPr>
          <w:rFonts w:hint="eastAsia" w:ascii="宋体" w:hAnsi="宋体" w:eastAsia="宋体" w:cs="宋体"/>
          <w:bCs/>
          <w:color w:val="auto"/>
          <w:kern w:val="0"/>
          <w:lang w:eastAsia="zh-CN"/>
        </w:rPr>
        <w:t>广西政府采购云平台（https://www.gcy.zfcg.gxzf.gov.cn/）</w:t>
      </w:r>
    </w:p>
    <w:p w14:paraId="53B32C2F">
      <w:pPr>
        <w:pStyle w:val="55"/>
        <w:spacing w:before="100" w:after="100"/>
        <w:rPr>
          <w:rFonts w:ascii="宋体" w:hAnsi="宋体" w:eastAsia="宋体" w:cs="宋体"/>
          <w:bCs/>
          <w:color w:val="auto"/>
          <w:sz w:val="21"/>
          <w:szCs w:val="21"/>
        </w:rPr>
      </w:pPr>
      <w:r>
        <w:rPr>
          <w:rFonts w:hint="eastAsia" w:ascii="宋体" w:hAnsi="宋体" w:eastAsia="宋体" w:cs="宋体"/>
          <w:bCs/>
          <w:color w:val="auto"/>
          <w:sz w:val="21"/>
          <w:szCs w:val="21"/>
        </w:rPr>
        <w:t>五、响应文件开启</w:t>
      </w:r>
    </w:p>
    <w:p w14:paraId="60CCA5F0">
      <w:pPr>
        <w:ind w:firstLine="420"/>
        <w:rPr>
          <w:rFonts w:ascii="宋体" w:hAnsi="宋体" w:eastAsia="宋体" w:cs="宋体"/>
          <w:color w:val="auto"/>
        </w:rPr>
      </w:pPr>
      <w:r>
        <w:rPr>
          <w:rFonts w:hint="eastAsia" w:ascii="宋体" w:hAnsi="宋体" w:eastAsia="宋体" w:cs="宋体"/>
          <w:color w:val="auto"/>
        </w:rPr>
        <w:t>开启时间：</w:t>
      </w:r>
      <w:r>
        <w:rPr>
          <w:rFonts w:hint="eastAsia" w:ascii="宋体" w:hAnsi="宋体" w:eastAsia="宋体" w:cs="宋体"/>
          <w:color w:val="auto"/>
          <w:lang w:eastAsia="zh-CN"/>
        </w:rPr>
        <w:t>2025年4月28日</w:t>
      </w:r>
      <w:r>
        <w:rPr>
          <w:rFonts w:hint="eastAsia" w:ascii="宋体" w:hAnsi="宋体" w:eastAsia="宋体" w:cs="宋体"/>
          <w:color w:val="auto"/>
        </w:rPr>
        <w:t>09：</w:t>
      </w:r>
      <w:r>
        <w:rPr>
          <w:rFonts w:hint="eastAsia" w:ascii="宋体" w:hAnsi="宋体" w:eastAsia="宋体" w:cs="宋体"/>
          <w:color w:val="auto"/>
          <w:lang w:val="en-US" w:eastAsia="zh-CN"/>
        </w:rPr>
        <w:t>00</w:t>
      </w:r>
      <w:r>
        <w:rPr>
          <w:rFonts w:hint="eastAsia" w:ascii="宋体" w:hAnsi="宋体" w:eastAsia="宋体" w:cs="宋体"/>
          <w:color w:val="auto"/>
        </w:rPr>
        <w:t>（（北京时间）</w:t>
      </w:r>
    </w:p>
    <w:p w14:paraId="04836DA4">
      <w:pPr>
        <w:ind w:firstLine="420"/>
        <w:rPr>
          <w:rFonts w:hint="eastAsia" w:ascii="宋体" w:hAnsi="宋体" w:eastAsia="宋体" w:cs="宋体"/>
          <w:color w:val="auto"/>
          <w:lang w:eastAsia="zh-CN"/>
        </w:rPr>
      </w:pPr>
      <w:r>
        <w:rPr>
          <w:rFonts w:hint="eastAsia" w:ascii="宋体" w:hAnsi="宋体" w:eastAsia="宋体" w:cs="宋体"/>
          <w:color w:val="auto"/>
        </w:rPr>
        <w:t>地点（网址）：</w:t>
      </w:r>
      <w:r>
        <w:rPr>
          <w:rFonts w:hint="eastAsia" w:ascii="宋体" w:hAnsi="宋体" w:eastAsia="宋体" w:cs="宋体"/>
          <w:bCs/>
          <w:color w:val="auto"/>
          <w:kern w:val="0"/>
          <w:lang w:eastAsia="zh-CN"/>
        </w:rPr>
        <w:t>广西政府采购云平台（https://www.gcy.zfcg.gxzf.gov.cn/）</w:t>
      </w:r>
    </w:p>
    <w:p w14:paraId="7BF1C8B9">
      <w:pPr>
        <w:pStyle w:val="55"/>
        <w:spacing w:before="100" w:after="100"/>
        <w:rPr>
          <w:rFonts w:ascii="宋体" w:hAnsi="宋体" w:eastAsia="宋体" w:cs="宋体"/>
          <w:bCs/>
          <w:color w:val="auto"/>
          <w:sz w:val="21"/>
          <w:szCs w:val="21"/>
        </w:rPr>
      </w:pPr>
      <w:r>
        <w:rPr>
          <w:rFonts w:hint="eastAsia" w:ascii="宋体" w:hAnsi="宋体" w:eastAsia="宋体" w:cs="宋体"/>
          <w:bCs/>
          <w:color w:val="auto"/>
          <w:sz w:val="21"/>
          <w:szCs w:val="21"/>
        </w:rPr>
        <w:t>六、公告期限</w:t>
      </w:r>
    </w:p>
    <w:p w14:paraId="744FA1BB">
      <w:pPr>
        <w:ind w:firstLine="420"/>
        <w:rPr>
          <w:rFonts w:ascii="宋体" w:hAnsi="宋体" w:eastAsia="宋体" w:cs="宋体"/>
          <w:color w:val="auto"/>
        </w:rPr>
      </w:pPr>
      <w:r>
        <w:rPr>
          <w:rFonts w:hint="eastAsia" w:ascii="宋体" w:hAnsi="宋体" w:eastAsia="宋体" w:cs="宋体"/>
          <w:color w:val="auto"/>
        </w:rPr>
        <w:t>自本公告发布之日起</w:t>
      </w:r>
      <w:r>
        <w:rPr>
          <w:rFonts w:hint="eastAsia" w:ascii="宋体" w:hAnsi="宋体" w:eastAsia="宋体" w:cs="宋体"/>
          <w:color w:val="auto"/>
          <w:lang w:val="en-US" w:eastAsia="zh-CN"/>
        </w:rPr>
        <w:t>5</w:t>
      </w:r>
      <w:r>
        <w:rPr>
          <w:rFonts w:hint="eastAsia" w:ascii="宋体" w:hAnsi="宋体" w:eastAsia="宋体" w:cs="宋体"/>
          <w:color w:val="auto"/>
        </w:rPr>
        <w:t>个工作日。</w:t>
      </w:r>
    </w:p>
    <w:p w14:paraId="732B8558">
      <w:pPr>
        <w:pStyle w:val="55"/>
        <w:spacing w:before="100" w:after="100"/>
        <w:rPr>
          <w:rFonts w:ascii="宋体" w:hAnsi="宋体" w:eastAsia="宋体" w:cs="宋体"/>
          <w:bCs/>
          <w:color w:val="auto"/>
          <w:sz w:val="21"/>
          <w:szCs w:val="21"/>
        </w:rPr>
      </w:pPr>
      <w:r>
        <w:rPr>
          <w:rFonts w:hint="eastAsia" w:ascii="宋体" w:hAnsi="宋体" w:eastAsia="宋体" w:cs="宋体"/>
          <w:bCs/>
          <w:color w:val="auto"/>
          <w:sz w:val="21"/>
          <w:szCs w:val="21"/>
        </w:rPr>
        <w:t>七、其他补充事宜</w:t>
      </w:r>
    </w:p>
    <w:p w14:paraId="5665895C">
      <w:pPr>
        <w:ind w:firstLine="420"/>
        <w:rPr>
          <w:rFonts w:ascii="宋体" w:hAnsi="宋体" w:eastAsia="宋体" w:cs="宋体"/>
          <w:color w:val="auto"/>
        </w:rPr>
      </w:pPr>
      <w:r>
        <w:rPr>
          <w:rFonts w:hint="eastAsia" w:ascii="宋体" w:hAnsi="宋体" w:eastAsia="宋体" w:cs="宋体"/>
          <w:color w:val="auto"/>
        </w:rPr>
        <w:t>1.磋商保证金：</w:t>
      </w:r>
      <w:r>
        <w:rPr>
          <w:rFonts w:hint="eastAsia" w:ascii="宋体" w:hAnsi="宋体" w:eastAsia="宋体" w:cs="宋体"/>
          <w:color w:val="auto"/>
          <w:lang w:val="en-US" w:eastAsia="zh-CN"/>
        </w:rPr>
        <w:t>15</w:t>
      </w:r>
      <w:r>
        <w:rPr>
          <w:rFonts w:hint="eastAsia" w:ascii="宋体" w:hAnsi="宋体" w:eastAsia="宋体" w:cs="宋体"/>
          <w:color w:val="auto"/>
        </w:rPr>
        <w:t>000.00元。</w:t>
      </w:r>
    </w:p>
    <w:p w14:paraId="6741B618">
      <w:pPr>
        <w:wordWrap w:val="0"/>
        <w:ind w:firstLine="420"/>
        <w:rPr>
          <w:rFonts w:hint="eastAsia" w:ascii="宋体" w:hAnsi="宋体" w:eastAsia="宋体" w:cs="宋体"/>
          <w:color w:val="auto"/>
        </w:rPr>
      </w:pPr>
      <w:bookmarkStart w:id="5" w:name="_Hlk76374920"/>
      <w:r>
        <w:rPr>
          <w:rFonts w:hint="eastAsia" w:ascii="宋体" w:hAnsi="宋体" w:eastAsia="宋体" w:cs="宋体"/>
          <w:color w:val="auto"/>
        </w:rPr>
        <w:t>磋商保证金的交纳方式：银行转账、支票、汇票、本票或者金融、担保机构出具的保函，禁止采用现钞方式。采用银行转账方式的，在首次响应文件提交截止时间前交至采购代理机构指定账户并且到账（开户银行：中国工商银行南宁市南湖支行，开户名称：华物盛泰工程咨询管理有限公司，银行账号：2102 1100 1930 0328 345）；采用支票、汇票、本票或者保函等方式的，在首次响应文件提交截止时间前，供应商必须提交单独密封的支票、汇票、本票或者保函原件。否则视为无效磋商保证金。</w:t>
      </w:r>
    </w:p>
    <w:p w14:paraId="7599901C">
      <w:pPr>
        <w:ind w:firstLine="420"/>
        <w:rPr>
          <w:rFonts w:hint="eastAsia" w:ascii="宋体" w:hAnsi="宋体" w:eastAsia="宋体" w:cs="宋体"/>
          <w:color w:val="auto"/>
          <w:lang w:val="en-US" w:eastAsia="zh-CN"/>
        </w:rPr>
      </w:pPr>
      <w:r>
        <w:rPr>
          <w:rFonts w:hint="eastAsia" w:ascii="宋体" w:hAnsi="宋体" w:eastAsia="宋体" w:cs="宋体"/>
          <w:color w:val="auto"/>
          <w:lang w:val="en-US" w:eastAsia="zh-CN"/>
        </w:rPr>
        <w:t>2.采购意向公开链接：</w:t>
      </w:r>
    </w:p>
    <w:p w14:paraId="26891E81">
      <w:pPr>
        <w:ind w:firstLine="42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网上查询地址：</w:t>
      </w:r>
    </w:p>
    <w:p w14:paraId="19939FD4">
      <w:pPr>
        <w:ind w:firstLine="420"/>
        <w:rPr>
          <w:rFonts w:hint="eastAsia" w:ascii="宋体" w:hAnsi="宋体" w:eastAsia="宋体" w:cs="宋体"/>
          <w:color w:val="auto"/>
        </w:rPr>
      </w:pPr>
      <w:r>
        <w:rPr>
          <w:rFonts w:hint="eastAsia" w:ascii="宋体" w:hAnsi="宋体" w:eastAsia="宋体" w:cs="宋体"/>
          <w:color w:val="auto"/>
        </w:rPr>
        <w:t>www.ccgp.gov.cn（中国政府采购网）、zfcg.gxzf.gov.cn（广西壮族自治区政府采购网）</w:t>
      </w:r>
    </w:p>
    <w:p w14:paraId="58168FF8">
      <w:pPr>
        <w:ind w:firstLine="42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.本项目需要落实的政府采购政策：</w:t>
      </w:r>
    </w:p>
    <w:p w14:paraId="79D4BC90">
      <w:pPr>
        <w:ind w:firstLine="420"/>
        <w:rPr>
          <w:rFonts w:hint="eastAsia" w:ascii="宋体" w:hAnsi="宋体" w:eastAsia="宋体" w:cs="宋体"/>
          <w:color w:val="auto"/>
        </w:rPr>
      </w:pPr>
      <w:r>
        <w:rPr>
          <w:rFonts w:hint="eastAsia" w:ascii="宋体" w:hAnsi="宋体" w:eastAsia="宋体" w:cs="宋体"/>
          <w:color w:val="auto"/>
        </w:rPr>
        <w:t>（1）政府采购促进中小企业发展。</w:t>
      </w:r>
    </w:p>
    <w:p w14:paraId="50DEBE07">
      <w:pPr>
        <w:ind w:firstLine="420"/>
        <w:rPr>
          <w:rFonts w:hint="eastAsia" w:ascii="宋体" w:hAnsi="宋体" w:eastAsia="宋体" w:cs="宋体"/>
          <w:color w:val="auto"/>
        </w:rPr>
      </w:pPr>
      <w:r>
        <w:rPr>
          <w:rFonts w:hint="eastAsia" w:ascii="宋体" w:hAnsi="宋体" w:eastAsia="宋体" w:cs="宋体"/>
          <w:color w:val="auto"/>
        </w:rPr>
        <w:t>（2）政府采购支持采用本国产品的政策。</w:t>
      </w:r>
    </w:p>
    <w:p w14:paraId="08DEE52C">
      <w:pPr>
        <w:ind w:firstLine="420"/>
        <w:rPr>
          <w:rFonts w:hint="eastAsia" w:ascii="宋体" w:hAnsi="宋体" w:eastAsia="宋体" w:cs="宋体"/>
          <w:color w:val="auto"/>
        </w:rPr>
      </w:pPr>
      <w:r>
        <w:rPr>
          <w:rFonts w:hint="eastAsia" w:ascii="宋体" w:hAnsi="宋体" w:eastAsia="宋体" w:cs="宋体"/>
          <w:color w:val="auto"/>
        </w:rPr>
        <w:t>（3）强制采购节能产品；优先采购节能产品、环境标志产品。</w:t>
      </w:r>
    </w:p>
    <w:p w14:paraId="535F0681">
      <w:pPr>
        <w:ind w:firstLine="420"/>
        <w:rPr>
          <w:rFonts w:hint="eastAsia" w:ascii="宋体" w:hAnsi="宋体" w:eastAsia="宋体" w:cs="宋体"/>
          <w:color w:val="auto"/>
        </w:rPr>
      </w:pPr>
      <w:r>
        <w:rPr>
          <w:rFonts w:hint="eastAsia" w:ascii="宋体" w:hAnsi="宋体" w:eastAsia="宋体" w:cs="宋体"/>
          <w:color w:val="auto"/>
        </w:rPr>
        <w:t>（4）政府采购促进残疾人就业政策。</w:t>
      </w:r>
    </w:p>
    <w:p w14:paraId="6EA14279">
      <w:pPr>
        <w:ind w:firstLine="420"/>
        <w:rPr>
          <w:rFonts w:hint="eastAsia" w:ascii="宋体" w:hAnsi="宋体" w:eastAsia="宋体" w:cs="宋体"/>
          <w:color w:val="auto"/>
        </w:rPr>
      </w:pPr>
      <w:r>
        <w:rPr>
          <w:rFonts w:hint="eastAsia" w:ascii="宋体" w:hAnsi="宋体" w:eastAsia="宋体" w:cs="宋体"/>
          <w:color w:val="auto"/>
        </w:rPr>
        <w:t>（5）政府采购支持监狱企业发展。</w:t>
      </w:r>
    </w:p>
    <w:p w14:paraId="5E4E1E87">
      <w:pPr>
        <w:spacing w:line="360" w:lineRule="auto"/>
        <w:ind w:firstLine="420" w:firstLineChars="200"/>
        <w:rPr>
          <w:rFonts w:hint="eastAsia"/>
          <w:color w:val="auto"/>
        </w:rPr>
      </w:pPr>
      <w:r>
        <w:rPr>
          <w:rFonts w:hint="eastAsia" w:ascii="宋体" w:hAnsi="宋体" w:cs="宋体"/>
          <w:color w:val="auto"/>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3358D1CC">
      <w:pPr>
        <w:ind w:firstLine="420"/>
        <w:rPr>
          <w:rFonts w:ascii="宋体" w:hAnsi="宋体" w:eastAsia="宋体" w:cs="宋体"/>
          <w:color w:val="auto"/>
        </w:rPr>
      </w:pPr>
      <w:r>
        <w:rPr>
          <w:rFonts w:hint="eastAsia" w:ascii="宋体" w:hAnsi="宋体" w:eastAsia="宋体" w:cs="宋体"/>
          <w:color w:val="auto"/>
          <w:kern w:val="0"/>
          <w:lang w:val="en-US" w:eastAsia="zh-CN"/>
        </w:rPr>
        <w:t>6</w:t>
      </w:r>
      <w:r>
        <w:rPr>
          <w:rFonts w:hint="eastAsia" w:ascii="宋体" w:hAnsi="宋体" w:eastAsia="宋体" w:cs="宋体"/>
          <w:color w:val="auto"/>
          <w:kern w:val="0"/>
        </w:rPr>
        <w:t>.供应商</w:t>
      </w:r>
      <w:r>
        <w:rPr>
          <w:rFonts w:hint="eastAsia" w:ascii="宋体" w:hAnsi="宋体" w:eastAsia="宋体" w:cs="宋体"/>
          <w:color w:val="auto"/>
        </w:rPr>
        <w:t>竞标注意事项：</w:t>
      </w:r>
    </w:p>
    <w:p w14:paraId="171B1E30">
      <w:pPr>
        <w:ind w:firstLine="420"/>
        <w:rPr>
          <w:rFonts w:hint="eastAsia" w:ascii="宋体" w:hAnsi="宋体" w:eastAsia="宋体" w:cs="宋体"/>
          <w:color w:val="auto"/>
        </w:rPr>
      </w:pPr>
      <w:r>
        <w:rPr>
          <w:rFonts w:hint="eastAsia" w:ascii="宋体" w:hAnsi="宋体" w:eastAsia="宋体" w:cs="宋体"/>
          <w:color w:val="auto"/>
        </w:rPr>
        <w:t>（1）本项目为全流程电子化采购项目，通过广西政府采购云平台（https://www.gcy.zfcg.gxzf.gov.cn/）实行在线电子投标，供应商应按照本项目招标文件和广西政府采购云平台的要求编制、加密后在响应截止时间前通过网络上传至广西政府采购云平台（加密的电子响应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投标具体操作流程。</w:t>
      </w:r>
    </w:p>
    <w:p w14:paraId="65449853">
      <w:pPr>
        <w:ind w:firstLine="420"/>
        <w:rPr>
          <w:rFonts w:hint="eastAsia" w:ascii="宋体" w:hAnsi="宋体" w:eastAsia="宋体" w:cs="宋体"/>
          <w:color w:val="auto"/>
        </w:rPr>
      </w:pPr>
      <w:r>
        <w:rPr>
          <w:rFonts w:hint="eastAsia" w:ascii="宋体" w:hAnsi="宋体" w:eastAsia="宋体" w:cs="宋体"/>
          <w:color w:val="auto"/>
        </w:rPr>
        <w:t>（2）未进行网上注册并办理数字证书（CA认证）的供应商将无法参与本项目政府采购活动，供应商应当在响应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555ED769">
      <w:pPr>
        <w:ind w:firstLine="420"/>
        <w:rPr>
          <w:rFonts w:hint="eastAsia" w:ascii="宋体" w:hAnsi="宋体" w:eastAsia="宋体" w:cs="宋体"/>
          <w:color w:val="auto"/>
        </w:rPr>
      </w:pPr>
      <w:r>
        <w:rPr>
          <w:rFonts w:hint="eastAsia" w:ascii="宋体" w:hAnsi="宋体" w:eastAsia="宋体" w:cs="宋体"/>
          <w:color w:val="auto"/>
        </w:rPr>
        <w:t>（3）CA证书在线解密：供应商投标时，需凭制作响应文件时用来加密的有效数字证书（CA认证）登录广西政府采购云平台电子开标大厅现场按规定时间对加密的响应文件进行解密，否则后果自负。</w:t>
      </w:r>
    </w:p>
    <w:p w14:paraId="6CEABC1B">
      <w:pPr>
        <w:ind w:firstLine="420"/>
        <w:rPr>
          <w:rFonts w:ascii="宋体" w:hAnsi="宋体" w:eastAsia="宋体" w:cs="宋体"/>
          <w:bCs/>
          <w:color w:val="auto"/>
          <w:kern w:val="0"/>
        </w:rPr>
      </w:pPr>
      <w:r>
        <w:rPr>
          <w:rFonts w:hint="eastAsia" w:ascii="宋体" w:hAnsi="宋体" w:eastAsia="宋体" w:cs="宋体"/>
          <w:color w:val="auto"/>
        </w:rPr>
        <w:t>注：1）为确保网上操作合法、有效和安全，请供应商确保在电子投标过程中能够对相关数据电文进行加密和使用电子签章，妥善保管CA数字证书并使用有效的CA数字证书参与整个招标活动。2）供应商应当在响应截止时间前完成电子响应文件的上传、提交，响应截止时间前可以补充、修改或者撤回响应文件。补充或者修改响应文件的，应当先行撤回原响应文件，补充、修改后重新上传、提交，响应截止时间前未完成上传、提交的，视为撤回响应文件。响应截止时间以后上传递交的响应文件，广西政府采购云平台将予以拒收</w:t>
      </w:r>
      <w:r>
        <w:rPr>
          <w:rFonts w:hint="eastAsia" w:ascii="宋体" w:hAnsi="宋体" w:eastAsia="宋体" w:cs="宋体"/>
          <w:bCs/>
          <w:color w:val="auto"/>
          <w:kern w:val="0"/>
        </w:rPr>
        <w:t>。</w:t>
      </w:r>
    </w:p>
    <w:bookmarkEnd w:id="5"/>
    <w:p w14:paraId="14AD392F">
      <w:pPr>
        <w:pStyle w:val="55"/>
        <w:spacing w:before="100" w:after="100"/>
        <w:rPr>
          <w:rFonts w:ascii="宋体" w:hAnsi="宋体" w:eastAsia="宋体" w:cs="宋体"/>
          <w:bCs/>
          <w:color w:val="auto"/>
          <w:sz w:val="21"/>
          <w:szCs w:val="21"/>
        </w:rPr>
      </w:pPr>
      <w:r>
        <w:rPr>
          <w:rFonts w:hint="eastAsia" w:ascii="宋体" w:hAnsi="宋体" w:eastAsia="宋体" w:cs="宋体"/>
          <w:bCs/>
          <w:color w:val="auto"/>
          <w:sz w:val="21"/>
          <w:szCs w:val="21"/>
        </w:rPr>
        <w:t>八、凡对本次采购提出询问，请按以下方式联系</w:t>
      </w:r>
    </w:p>
    <w:p w14:paraId="64F71FAE">
      <w:pPr>
        <w:ind w:firstLine="420"/>
        <w:rPr>
          <w:rFonts w:ascii="宋体" w:hAnsi="宋体" w:eastAsia="宋体" w:cs="宋体"/>
          <w:color w:val="auto"/>
        </w:rPr>
      </w:pPr>
      <w:r>
        <w:rPr>
          <w:rFonts w:hint="eastAsia" w:ascii="宋体" w:hAnsi="宋体" w:eastAsia="宋体" w:cs="宋体"/>
          <w:color w:val="auto"/>
        </w:rPr>
        <w:t>1.采购人信息</w:t>
      </w:r>
    </w:p>
    <w:p w14:paraId="696CB69B">
      <w:pPr>
        <w:ind w:firstLine="420"/>
        <w:rPr>
          <w:rFonts w:ascii="宋体" w:hAnsi="宋体" w:eastAsia="宋体" w:cs="宋体"/>
          <w:color w:val="auto"/>
        </w:rPr>
      </w:pPr>
      <w:r>
        <w:rPr>
          <w:rFonts w:hint="eastAsia" w:ascii="宋体" w:hAnsi="宋体" w:eastAsia="宋体" w:cs="宋体"/>
          <w:color w:val="auto"/>
        </w:rPr>
        <w:t>名    称：广西轻工技师学院</w:t>
      </w:r>
    </w:p>
    <w:p w14:paraId="41B19B77">
      <w:pPr>
        <w:ind w:firstLine="420"/>
        <w:rPr>
          <w:rFonts w:ascii="宋体" w:hAnsi="宋体" w:eastAsia="宋体" w:cs="宋体"/>
          <w:color w:val="auto"/>
        </w:rPr>
      </w:pPr>
      <w:r>
        <w:rPr>
          <w:rFonts w:hint="eastAsia" w:ascii="宋体" w:hAnsi="宋体" w:eastAsia="宋体" w:cs="宋体"/>
          <w:color w:val="auto"/>
        </w:rPr>
        <w:t>地    址：南宁市石柱岭路13号</w:t>
      </w:r>
    </w:p>
    <w:p w14:paraId="64E1386F">
      <w:pPr>
        <w:ind w:firstLine="420"/>
        <w:rPr>
          <w:rFonts w:ascii="宋体" w:hAnsi="宋体" w:eastAsia="宋体" w:cs="宋体"/>
          <w:color w:val="auto"/>
        </w:rPr>
      </w:pPr>
      <w:r>
        <w:rPr>
          <w:rFonts w:hint="eastAsia" w:ascii="宋体" w:hAnsi="宋体" w:eastAsia="宋体" w:cs="宋体"/>
          <w:color w:val="auto"/>
        </w:rPr>
        <w:t>项目联系人：</w:t>
      </w:r>
      <w:r>
        <w:rPr>
          <w:rFonts w:hint="eastAsia" w:ascii="宋体" w:hAnsi="宋体" w:eastAsia="宋体" w:cs="宋体"/>
          <w:color w:val="auto"/>
          <w:lang w:val="en-US" w:eastAsia="zh-CN"/>
        </w:rPr>
        <w:t>黄</w:t>
      </w:r>
      <w:r>
        <w:rPr>
          <w:rFonts w:hint="eastAsia" w:ascii="宋体" w:hAnsi="宋体" w:eastAsia="宋体" w:cs="宋体"/>
          <w:color w:val="auto"/>
        </w:rPr>
        <w:t>老师</w:t>
      </w:r>
    </w:p>
    <w:p w14:paraId="473F30EF">
      <w:pPr>
        <w:ind w:firstLine="420"/>
        <w:rPr>
          <w:rFonts w:ascii="宋体" w:hAnsi="宋体" w:eastAsia="宋体" w:cs="宋体"/>
          <w:color w:val="auto"/>
        </w:rPr>
      </w:pPr>
      <w:r>
        <w:rPr>
          <w:rFonts w:hint="eastAsia" w:ascii="宋体" w:hAnsi="宋体" w:eastAsia="宋体" w:cs="宋体"/>
          <w:color w:val="auto"/>
        </w:rPr>
        <w:t>项目联系方式：</w:t>
      </w:r>
      <w:r>
        <w:rPr>
          <w:rFonts w:hint="eastAsia" w:ascii="宋体" w:hAnsi="宋体" w:cs="宋体"/>
          <w:color w:val="auto"/>
          <w:szCs w:val="21"/>
          <w:highlight w:val="none"/>
          <w:lang w:val="en-US" w:eastAsia="zh-CN"/>
        </w:rPr>
        <w:t>0771-4829582</w:t>
      </w:r>
    </w:p>
    <w:p w14:paraId="33B5B309">
      <w:pPr>
        <w:ind w:firstLine="420"/>
        <w:rPr>
          <w:rFonts w:ascii="宋体" w:hAnsi="宋体" w:eastAsia="宋体" w:cs="宋体"/>
          <w:color w:val="auto"/>
        </w:rPr>
      </w:pPr>
      <w:r>
        <w:rPr>
          <w:rFonts w:hint="eastAsia" w:ascii="宋体" w:hAnsi="宋体" w:eastAsia="宋体" w:cs="宋体"/>
          <w:color w:val="auto"/>
        </w:rPr>
        <w:t>2.采购代理机构信息</w:t>
      </w:r>
    </w:p>
    <w:p w14:paraId="540F85E9">
      <w:pPr>
        <w:ind w:firstLine="420"/>
        <w:rPr>
          <w:rFonts w:ascii="宋体" w:hAnsi="宋体" w:eastAsia="宋体" w:cs="宋体"/>
          <w:color w:val="auto"/>
        </w:rPr>
      </w:pPr>
      <w:r>
        <w:rPr>
          <w:rFonts w:hint="eastAsia" w:ascii="宋体" w:hAnsi="宋体" w:eastAsia="宋体" w:cs="宋体"/>
          <w:color w:val="auto"/>
        </w:rPr>
        <w:t>名    称：华物盛泰工程咨询管理有限公司</w:t>
      </w:r>
    </w:p>
    <w:p w14:paraId="4607D162">
      <w:pPr>
        <w:ind w:firstLine="420"/>
        <w:rPr>
          <w:rFonts w:ascii="宋体" w:hAnsi="宋体" w:eastAsia="宋体" w:cs="宋体"/>
          <w:color w:val="auto"/>
        </w:rPr>
      </w:pPr>
      <w:r>
        <w:rPr>
          <w:rFonts w:hint="eastAsia" w:ascii="宋体" w:hAnsi="宋体" w:eastAsia="宋体" w:cs="宋体"/>
          <w:color w:val="auto"/>
        </w:rPr>
        <w:t>地　　址：南宁市青秀区百花岭路10号百花苑小区6栋2层</w:t>
      </w:r>
    </w:p>
    <w:p w14:paraId="30AC1EE7">
      <w:pPr>
        <w:ind w:firstLine="420"/>
        <w:rPr>
          <w:rFonts w:hint="default" w:ascii="宋体" w:hAnsi="宋体" w:eastAsia="宋体" w:cs="宋体"/>
          <w:color w:val="auto"/>
          <w:lang w:val="en-US" w:eastAsia="zh-CN"/>
        </w:rPr>
      </w:pPr>
      <w:r>
        <w:rPr>
          <w:rFonts w:hint="eastAsia" w:ascii="宋体" w:hAnsi="宋体" w:eastAsia="宋体" w:cs="宋体"/>
          <w:color w:val="auto"/>
        </w:rPr>
        <w:t>项目联系人：王悦强</w:t>
      </w:r>
      <w:r>
        <w:rPr>
          <w:rFonts w:hint="eastAsia" w:ascii="宋体" w:hAnsi="宋体" w:eastAsia="宋体" w:cs="宋体"/>
          <w:color w:val="auto"/>
          <w:lang w:eastAsia="zh-CN"/>
        </w:rPr>
        <w:t>、</w:t>
      </w:r>
      <w:r>
        <w:rPr>
          <w:rFonts w:hint="eastAsia" w:ascii="宋体" w:hAnsi="宋体" w:eastAsia="宋体" w:cs="宋体"/>
          <w:color w:val="auto"/>
          <w:lang w:val="en-US" w:eastAsia="zh-CN"/>
        </w:rPr>
        <w:t>曾杰</w:t>
      </w:r>
    </w:p>
    <w:p w14:paraId="51A589D8">
      <w:pPr>
        <w:ind w:firstLine="420"/>
        <w:rPr>
          <w:rFonts w:ascii="宋体" w:hAnsi="宋体" w:eastAsia="宋体" w:cs="宋体"/>
          <w:color w:val="auto"/>
        </w:rPr>
      </w:pPr>
      <w:r>
        <w:rPr>
          <w:rFonts w:hint="eastAsia" w:ascii="宋体" w:hAnsi="宋体" w:eastAsia="宋体" w:cs="宋体"/>
          <w:color w:val="auto"/>
        </w:rPr>
        <w:t>项目联系方式：0771-5581861</w:t>
      </w:r>
    </w:p>
    <w:p w14:paraId="39645E26">
      <w:pPr>
        <w:pStyle w:val="49"/>
        <w:rPr>
          <w:rFonts w:ascii="仿宋" w:hAnsi="仿宋" w:eastAsia="仿宋" w:cs="仿宋"/>
          <w:color w:val="auto"/>
        </w:rPr>
      </w:pPr>
      <w:bookmarkStart w:id="6" w:name="_Toc76480566"/>
      <w:r>
        <w:rPr>
          <w:rFonts w:hint="eastAsia" w:ascii="仿宋" w:hAnsi="仿宋" w:eastAsia="仿宋" w:cs="仿宋"/>
          <w:color w:val="auto"/>
        </w:rPr>
        <w:t>第二章 供应商须知</w:t>
      </w:r>
      <w:bookmarkEnd w:id="6"/>
    </w:p>
    <w:p w14:paraId="6E80DDBF">
      <w:pPr>
        <w:pStyle w:val="63"/>
        <w:rPr>
          <w:color w:val="auto"/>
        </w:rPr>
      </w:pPr>
      <w:r>
        <w:rPr>
          <w:rFonts w:hint="eastAsia"/>
          <w:color w:val="auto"/>
        </w:rPr>
        <w:t>供应商须知前附表</w:t>
      </w:r>
    </w:p>
    <w:tbl>
      <w:tblPr>
        <w:tblStyle w:val="30"/>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8557"/>
      </w:tblGrid>
      <w:tr w14:paraId="498A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tcPr>
          <w:p w14:paraId="5C0163FA">
            <w:pPr>
              <w:ind w:firstLine="0" w:firstLineChars="0"/>
              <w:jc w:val="center"/>
              <w:rPr>
                <w:b/>
                <w:bCs/>
                <w:color w:val="auto"/>
              </w:rPr>
            </w:pPr>
            <w:r>
              <w:rPr>
                <w:rFonts w:hint="eastAsia"/>
                <w:b/>
                <w:bCs/>
                <w:color w:val="auto"/>
              </w:rPr>
              <w:t>条款号</w:t>
            </w:r>
          </w:p>
        </w:tc>
        <w:tc>
          <w:tcPr>
            <w:tcW w:w="8557" w:type="dxa"/>
          </w:tcPr>
          <w:p w14:paraId="5767E8CC">
            <w:pPr>
              <w:ind w:firstLine="0" w:firstLineChars="0"/>
              <w:jc w:val="center"/>
              <w:rPr>
                <w:b/>
                <w:bCs/>
                <w:color w:val="auto"/>
              </w:rPr>
            </w:pPr>
            <w:r>
              <w:rPr>
                <w:rFonts w:hint="eastAsia"/>
                <w:b/>
                <w:bCs/>
                <w:color w:val="auto"/>
              </w:rPr>
              <w:t>内    容</w:t>
            </w:r>
          </w:p>
        </w:tc>
      </w:tr>
      <w:tr w14:paraId="6F2F1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1B832AF7">
            <w:pPr>
              <w:ind w:firstLine="0" w:firstLineChars="0"/>
              <w:jc w:val="center"/>
              <w:rPr>
                <w:color w:val="auto"/>
              </w:rPr>
            </w:pPr>
            <w:r>
              <w:rPr>
                <w:rFonts w:hint="eastAsia"/>
                <w:color w:val="auto"/>
              </w:rPr>
              <w:t>3</w:t>
            </w:r>
          </w:p>
        </w:tc>
        <w:tc>
          <w:tcPr>
            <w:tcW w:w="8557" w:type="dxa"/>
            <w:vAlign w:val="center"/>
          </w:tcPr>
          <w:p w14:paraId="1169CCEE">
            <w:pPr>
              <w:ind w:firstLine="0" w:firstLineChars="0"/>
              <w:rPr>
                <w:rFonts w:cs="Times New Roman"/>
                <w:color w:val="auto"/>
              </w:rPr>
            </w:pPr>
            <w:r>
              <w:rPr>
                <w:rFonts w:hint="eastAsia"/>
                <w:bCs/>
                <w:color w:val="auto"/>
              </w:rPr>
              <w:t>1.供应商的资格条件</w:t>
            </w:r>
            <w:r>
              <w:rPr>
                <w:rFonts w:hint="eastAsia"/>
                <w:color w:val="auto"/>
              </w:rPr>
              <w:t>：详见竞争性磋商公告</w:t>
            </w:r>
          </w:p>
          <w:p w14:paraId="1EE17022">
            <w:pPr>
              <w:ind w:firstLine="0" w:firstLineChars="0"/>
              <w:rPr>
                <w:color w:val="auto"/>
              </w:rPr>
            </w:pPr>
            <w:r>
              <w:rPr>
                <w:rFonts w:hint="eastAsia"/>
                <w:color w:val="auto"/>
              </w:rPr>
              <w:t>2.</w:t>
            </w:r>
            <w:r>
              <w:rPr>
                <w:rFonts w:hint="eastAsia"/>
                <w:bCs/>
                <w:color w:val="auto"/>
              </w:rPr>
              <w:t>供应商</w:t>
            </w:r>
            <w:r>
              <w:rPr>
                <w:rFonts w:hint="eastAsia"/>
                <w:color w:val="auto"/>
              </w:rPr>
              <w:t>出现下列情形之一的，不得参加政府采购活动：</w:t>
            </w:r>
          </w:p>
          <w:p w14:paraId="3D43A433">
            <w:pPr>
              <w:ind w:firstLine="420"/>
              <w:rPr>
                <w:color w:val="auto"/>
              </w:rPr>
            </w:pPr>
            <w:r>
              <w:rPr>
                <w:rFonts w:hint="eastAsia"/>
                <w:color w:val="auto"/>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67E245D">
            <w:pPr>
              <w:ind w:firstLine="420"/>
              <w:rPr>
                <w:color w:val="auto"/>
              </w:rPr>
            </w:pPr>
            <w:r>
              <w:rPr>
                <w:rFonts w:hint="eastAsia"/>
                <w:color w:val="auto"/>
              </w:rPr>
              <w:t>2.2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5E57A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7372A149">
            <w:pPr>
              <w:ind w:firstLine="0" w:firstLineChars="0"/>
              <w:jc w:val="center"/>
              <w:rPr>
                <w:color w:val="auto"/>
              </w:rPr>
            </w:pPr>
            <w:r>
              <w:rPr>
                <w:rFonts w:hint="eastAsia"/>
                <w:color w:val="auto"/>
              </w:rPr>
              <w:t>5.1</w:t>
            </w:r>
          </w:p>
        </w:tc>
        <w:tc>
          <w:tcPr>
            <w:tcW w:w="8557" w:type="dxa"/>
            <w:vAlign w:val="center"/>
          </w:tcPr>
          <w:p w14:paraId="064223DA">
            <w:pPr>
              <w:ind w:firstLine="0" w:firstLineChars="0"/>
              <w:rPr>
                <w:color w:val="auto"/>
              </w:rPr>
            </w:pPr>
            <w:r>
              <w:rPr>
                <w:rFonts w:hint="eastAsia"/>
                <w:color w:val="auto"/>
              </w:rPr>
              <w:t>是否接受联合体竞标</w:t>
            </w:r>
            <w:r>
              <w:rPr>
                <w:rFonts w:hint="eastAsia"/>
                <w:color w:val="auto"/>
                <w:lang w:eastAsia="zh-CN"/>
              </w:rPr>
              <w:t>：</w:t>
            </w:r>
            <w:r>
              <w:rPr>
                <w:rFonts w:hint="eastAsia"/>
                <w:color w:val="auto"/>
              </w:rPr>
              <w:t xml:space="preserve"> 详见竞争性磋商公告</w:t>
            </w:r>
          </w:p>
        </w:tc>
      </w:tr>
      <w:tr w14:paraId="0CEA9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498400D0">
            <w:pPr>
              <w:ind w:firstLine="0" w:firstLineChars="0"/>
              <w:jc w:val="center"/>
              <w:rPr>
                <w:color w:val="auto"/>
              </w:rPr>
            </w:pPr>
            <w:r>
              <w:rPr>
                <w:rFonts w:hint="eastAsia"/>
                <w:color w:val="auto"/>
              </w:rPr>
              <w:t>5</w:t>
            </w:r>
            <w:r>
              <w:rPr>
                <w:color w:val="auto"/>
              </w:rPr>
              <w:t>.2</w:t>
            </w:r>
          </w:p>
        </w:tc>
        <w:tc>
          <w:tcPr>
            <w:tcW w:w="8557" w:type="dxa"/>
            <w:vAlign w:val="center"/>
          </w:tcPr>
          <w:p w14:paraId="49543544">
            <w:pPr>
              <w:ind w:firstLine="0" w:firstLineChars="0"/>
              <w:rPr>
                <w:rFonts w:cs="Times New Roman"/>
                <w:color w:val="auto"/>
              </w:rPr>
            </w:pPr>
            <w:r>
              <w:rPr>
                <w:rFonts w:hint="eastAsia" w:cs="Times New Roman"/>
                <w:color w:val="auto"/>
              </w:rPr>
              <w:t>如接受联合体竞标，联合体竞标要求如下：</w:t>
            </w:r>
          </w:p>
          <w:p w14:paraId="1A4F29F0">
            <w:pPr>
              <w:ind w:firstLine="0" w:firstLineChars="0"/>
              <w:rPr>
                <w:rFonts w:ascii="宋体" w:hAnsi="宋体" w:cs="宋体"/>
                <w:color w:val="auto"/>
              </w:rPr>
            </w:pPr>
            <w:r>
              <w:rPr>
                <w:rFonts w:hint="eastAsia" w:ascii="宋体" w:hAnsi="宋体" w:cs="宋体"/>
                <w:color w:val="auto"/>
              </w:rPr>
              <w:t>1.两个以上供应商可以组成一个竞标联合体，以一个供应商的身份共同参加竞标。联合体竞标的，须提供《联合体竞标协议书》（格式后附）。</w:t>
            </w:r>
          </w:p>
          <w:p w14:paraId="4382DBAD">
            <w:pPr>
              <w:ind w:firstLine="0" w:firstLineChars="0"/>
              <w:rPr>
                <w:rFonts w:ascii="宋体" w:hAnsi="宋体" w:cs="宋体"/>
                <w:color w:val="auto"/>
              </w:rPr>
            </w:pPr>
            <w:r>
              <w:rPr>
                <w:rFonts w:hint="eastAsia" w:ascii="宋体" w:hAnsi="宋体" w:cs="宋体"/>
                <w:color w:val="auto"/>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2F081D94">
            <w:pPr>
              <w:ind w:firstLine="0" w:firstLineChars="0"/>
              <w:rPr>
                <w:rFonts w:ascii="宋体" w:hAnsi="宋体" w:cs="宋体"/>
                <w:color w:val="auto"/>
              </w:rPr>
            </w:pPr>
            <w:r>
              <w:rPr>
                <w:rFonts w:hint="eastAsia" w:ascii="宋体" w:hAnsi="宋体" w:cs="宋体"/>
                <w:color w:val="auto"/>
              </w:rPr>
              <w:t>3.联合体各方之间必须签订联合竞标协议，协议书必须明确主体方（或者牵头方）并明确约定联合体各方承担的工作和相应的责任（</w:t>
            </w:r>
            <w:r>
              <w:rPr>
                <w:rFonts w:hint="eastAsia" w:ascii="宋体" w:hAnsi="宋体" w:cs="宋体"/>
                <w:b/>
                <w:bCs/>
                <w:color w:val="auto"/>
              </w:rPr>
              <w:t>各方承担责任与义务的分工必须符合采购需求，否则，联合体竞标无效</w:t>
            </w:r>
            <w:r>
              <w:rPr>
                <w:rFonts w:hint="eastAsia" w:ascii="宋体" w:hAnsi="宋体" w:cs="宋体"/>
                <w:color w:val="auto"/>
              </w:rPr>
              <w:t>），并将联合竞标协议放入响应文件。联合体各方必须共同与采购人签订采购合同，就采购合同约定的事项对采购人承担连带责任。</w:t>
            </w:r>
          </w:p>
          <w:p w14:paraId="29608240">
            <w:pPr>
              <w:ind w:firstLine="0" w:firstLineChars="0"/>
              <w:rPr>
                <w:rFonts w:ascii="宋体" w:hAnsi="宋体" w:cs="宋体"/>
                <w:color w:val="auto"/>
              </w:rPr>
            </w:pPr>
            <w:r>
              <w:rPr>
                <w:rFonts w:hint="eastAsia" w:ascii="宋体" w:hAnsi="宋体" w:cs="宋体"/>
                <w:color w:val="auto"/>
              </w:rPr>
              <w:t>4.以联合体形式参加政府采购活动的，联合体各方不得再单独参加或者与其他供应商另外组成联合体参加同一合同项下的政府采购活动。</w:t>
            </w:r>
          </w:p>
          <w:p w14:paraId="6420E379">
            <w:pPr>
              <w:ind w:firstLine="0" w:firstLineChars="0"/>
              <w:rPr>
                <w:rFonts w:ascii="宋体" w:hAnsi="宋体" w:cs="宋体"/>
                <w:color w:val="auto"/>
              </w:rPr>
            </w:pPr>
            <w:r>
              <w:rPr>
                <w:rFonts w:hint="eastAsia" w:ascii="宋体" w:hAnsi="宋体" w:cs="宋体"/>
                <w:color w:val="auto"/>
              </w:rPr>
              <w:t>5.联合体中有同类资质的供应商按照联合体分工承担相同工作的，应当按照资质等级较低的供应商确定资质等级。</w:t>
            </w:r>
          </w:p>
          <w:p w14:paraId="591EFCD1">
            <w:pPr>
              <w:ind w:firstLine="0" w:firstLineChars="0"/>
              <w:rPr>
                <w:rFonts w:ascii="宋体" w:hAnsi="宋体" w:cs="宋体"/>
                <w:color w:val="auto"/>
              </w:rPr>
            </w:pPr>
            <w:r>
              <w:rPr>
                <w:rFonts w:hint="eastAsia" w:ascii="宋体" w:hAnsi="宋体" w:cs="宋体"/>
                <w:color w:val="auto"/>
              </w:rPr>
              <w:t>6.联合体竞标业绩、履约能力按照联合体各方中较高的一方认定并计算（磋商文件另有规定的除外）。</w:t>
            </w:r>
          </w:p>
          <w:p w14:paraId="540B2AB5">
            <w:pPr>
              <w:ind w:firstLine="0" w:firstLineChars="0"/>
              <w:rPr>
                <w:rFonts w:ascii="宋体" w:hAnsi="宋体" w:cs="宋体"/>
                <w:color w:val="auto"/>
              </w:rPr>
            </w:pPr>
            <w:r>
              <w:rPr>
                <w:rFonts w:hint="eastAsia" w:ascii="宋体" w:hAnsi="宋体" w:cs="宋体"/>
                <w:color w:val="auto"/>
              </w:rPr>
              <w:t>7.供应商为联合体的，可以由联合体中的一方或者多方共同交纳磋商保证金，其交纳的保证金对联合体各方均具有约束力。</w:t>
            </w:r>
          </w:p>
          <w:p w14:paraId="441DCFC2">
            <w:pPr>
              <w:ind w:firstLine="0" w:firstLineChars="0"/>
              <w:rPr>
                <w:rFonts w:ascii="宋体" w:hAnsi="宋体" w:cs="宋体"/>
                <w:color w:val="auto"/>
              </w:rPr>
            </w:pPr>
            <w:r>
              <w:rPr>
                <w:rFonts w:hint="eastAsia" w:ascii="宋体" w:hAnsi="宋体" w:cs="宋体"/>
                <w:color w:val="auto"/>
              </w:rPr>
              <w:t>8.联合体各方均应按照磋商文件的规定提交资格证明文件。</w:t>
            </w:r>
          </w:p>
        </w:tc>
      </w:tr>
      <w:tr w14:paraId="44708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104D9194">
            <w:pPr>
              <w:ind w:firstLine="0" w:firstLineChars="0"/>
              <w:jc w:val="center"/>
              <w:rPr>
                <w:color w:val="auto"/>
              </w:rPr>
            </w:pPr>
            <w:r>
              <w:rPr>
                <w:rFonts w:hint="eastAsia"/>
                <w:color w:val="auto"/>
              </w:rPr>
              <w:t>6.</w:t>
            </w:r>
            <w:r>
              <w:rPr>
                <w:color w:val="auto"/>
              </w:rPr>
              <w:t>2</w:t>
            </w:r>
          </w:p>
        </w:tc>
        <w:tc>
          <w:tcPr>
            <w:tcW w:w="8557" w:type="dxa"/>
            <w:vAlign w:val="center"/>
          </w:tcPr>
          <w:p w14:paraId="31FDE14A">
            <w:pPr>
              <w:ind w:firstLine="0" w:firstLineChars="0"/>
              <w:rPr>
                <w:b/>
                <w:bCs/>
                <w:color w:val="auto"/>
              </w:rPr>
            </w:pPr>
            <w:r>
              <w:rPr>
                <w:b/>
                <w:bCs/>
                <w:color w:val="auto"/>
              </w:rPr>
              <w:fldChar w:fldCharType="begin"/>
            </w:r>
            <w:r>
              <w:rPr>
                <w:rFonts w:hint="eastAsia"/>
                <w:b/>
                <w:bCs/>
                <w:color w:val="auto"/>
              </w:rPr>
              <w:instrText xml:space="preserve">eq \o\ac(□,√)</w:instrText>
            </w:r>
            <w:r>
              <w:rPr>
                <w:b/>
                <w:bCs/>
                <w:color w:val="auto"/>
              </w:rPr>
              <w:fldChar w:fldCharType="end"/>
            </w:r>
            <w:r>
              <w:rPr>
                <w:rFonts w:hint="eastAsia"/>
                <w:b/>
                <w:bCs/>
                <w:color w:val="auto"/>
              </w:rPr>
              <w:t>不允许分包</w:t>
            </w:r>
          </w:p>
          <w:p w14:paraId="7190379E">
            <w:pPr>
              <w:ind w:firstLine="0" w:firstLineChars="0"/>
              <w:rPr>
                <w:color w:val="auto"/>
              </w:rPr>
            </w:pPr>
            <w:r>
              <w:rPr>
                <w:rFonts w:hint="eastAsia"/>
                <w:color w:val="auto"/>
              </w:rPr>
              <w:t>□允许分包</w:t>
            </w:r>
          </w:p>
          <w:p w14:paraId="6E96CAAC">
            <w:pPr>
              <w:ind w:firstLine="420"/>
              <w:rPr>
                <w:color w:val="auto"/>
              </w:rPr>
            </w:pPr>
            <w:r>
              <w:rPr>
                <w:rFonts w:hint="eastAsia"/>
                <w:color w:val="auto"/>
              </w:rPr>
              <w:t>分包内容：</w:t>
            </w:r>
            <w:r>
              <w:rPr>
                <w:color w:val="auto"/>
                <w:u w:val="single"/>
              </w:rPr>
              <w:t xml:space="preserve">        /</w:t>
            </w:r>
            <w:r>
              <w:rPr>
                <w:rFonts w:hint="eastAsia"/>
                <w:color w:val="auto"/>
              </w:rPr>
              <w:t>。</w:t>
            </w:r>
          </w:p>
          <w:p w14:paraId="46E4AC5D">
            <w:pPr>
              <w:ind w:firstLine="420"/>
              <w:rPr>
                <w:color w:val="auto"/>
              </w:rPr>
            </w:pPr>
            <w:r>
              <w:rPr>
                <w:rFonts w:hint="eastAsia"/>
                <w:color w:val="auto"/>
              </w:rPr>
              <w:t>分包金额或者比例：</w:t>
            </w:r>
            <w:r>
              <w:rPr>
                <w:color w:val="auto"/>
                <w:u w:val="single"/>
              </w:rPr>
              <w:t>/</w:t>
            </w:r>
            <w:r>
              <w:rPr>
                <w:rFonts w:hint="eastAsia"/>
                <w:color w:val="auto"/>
              </w:rPr>
              <w:t>。</w:t>
            </w:r>
          </w:p>
        </w:tc>
      </w:tr>
      <w:tr w14:paraId="463A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64FD528E">
            <w:pPr>
              <w:ind w:firstLine="0" w:firstLineChars="0"/>
              <w:jc w:val="center"/>
              <w:rPr>
                <w:color w:val="auto"/>
              </w:rPr>
            </w:pPr>
            <w:r>
              <w:rPr>
                <w:rFonts w:hint="eastAsia"/>
                <w:color w:val="auto"/>
              </w:rPr>
              <w:t>12.1.</w:t>
            </w:r>
            <w:r>
              <w:rPr>
                <w:color w:val="auto"/>
              </w:rPr>
              <w:t>1</w:t>
            </w:r>
          </w:p>
        </w:tc>
        <w:tc>
          <w:tcPr>
            <w:tcW w:w="8557" w:type="dxa"/>
            <w:vAlign w:val="center"/>
          </w:tcPr>
          <w:p w14:paraId="315CC8E2">
            <w:pPr>
              <w:ind w:firstLine="0" w:firstLineChars="0"/>
              <w:rPr>
                <w:b/>
                <w:bCs/>
                <w:color w:val="auto"/>
              </w:rPr>
            </w:pPr>
            <w:r>
              <w:rPr>
                <w:rFonts w:hint="eastAsia"/>
                <w:b/>
                <w:bCs/>
                <w:color w:val="auto"/>
              </w:rPr>
              <w:t>资格证明文件</w:t>
            </w:r>
          </w:p>
          <w:p w14:paraId="61401E08">
            <w:pPr>
              <w:pStyle w:val="61"/>
              <w:numPr>
                <w:ilvl w:val="0"/>
                <w:numId w:val="1"/>
              </w:numPr>
              <w:ind w:left="420" w:leftChars="200" w:firstLine="0" w:firstLineChars="0"/>
              <w:rPr>
                <w:rFonts w:cs="Times New Roman"/>
                <w:color w:val="auto"/>
              </w:rPr>
            </w:pPr>
            <w:r>
              <w:rPr>
                <w:rFonts w:hint="eastAsia"/>
                <w:color w:val="auto"/>
              </w:rPr>
              <w:t>供应商为法人或者其他组织的提供其营业执照等证明文件（如营业执照或者事业单位法人证书或者执业许可证或者登记证书等），供应商为自然人的提供其身份证复印件；（</w:t>
            </w:r>
            <w:r>
              <w:rPr>
                <w:rFonts w:hint="eastAsia"/>
                <w:b/>
                <w:bCs/>
                <w:color w:val="auto"/>
              </w:rPr>
              <w:t>必须提供，否则响应文件按无效响应处理</w:t>
            </w:r>
            <w:r>
              <w:rPr>
                <w:rFonts w:hint="eastAsia"/>
                <w:color w:val="auto"/>
              </w:rPr>
              <w:t>）</w:t>
            </w:r>
          </w:p>
          <w:p w14:paraId="678AD966">
            <w:pPr>
              <w:pStyle w:val="61"/>
              <w:numPr>
                <w:ilvl w:val="0"/>
                <w:numId w:val="1"/>
              </w:numPr>
              <w:ind w:left="420" w:leftChars="200" w:firstLine="0" w:firstLineChars="0"/>
              <w:rPr>
                <w:color w:val="auto"/>
              </w:rPr>
            </w:pPr>
            <w:r>
              <w:rPr>
                <w:rFonts w:hint="eastAsia"/>
                <w:color w:val="auto"/>
              </w:rPr>
              <w:t>供应商依法缴纳税收的相关材料（</w:t>
            </w:r>
            <w:r>
              <w:rPr>
                <w:rFonts w:hint="eastAsia"/>
                <w:color w:val="auto"/>
                <w:u w:val="single"/>
              </w:rPr>
              <w:t>2024年</w:t>
            </w:r>
            <w:r>
              <w:rPr>
                <w:rFonts w:hint="eastAsia"/>
                <w:color w:val="auto"/>
                <w:u w:val="single"/>
                <w:lang w:val="en-US" w:eastAsia="zh-CN"/>
              </w:rPr>
              <w:t>10</w:t>
            </w:r>
            <w:r>
              <w:rPr>
                <w:rFonts w:hint="eastAsia"/>
                <w:color w:val="auto"/>
                <w:u w:val="single"/>
              </w:rPr>
              <w:t>月至今任意1个</w:t>
            </w:r>
            <w:r>
              <w:rPr>
                <w:rFonts w:hint="eastAsia"/>
                <w:color w:val="auto"/>
              </w:rPr>
              <w:t>月的依法缴纳税收的凭据复印件；</w:t>
            </w:r>
            <w:r>
              <w:rPr>
                <w:rFonts w:hint="eastAsia" w:cs="Times New Roman"/>
                <w:color w:val="auto"/>
              </w:rPr>
              <w:t>依法免税的，必须提供相应文件证明其依法免税。</w:t>
            </w:r>
            <w:r>
              <w:rPr>
                <w:rFonts w:hint="eastAsia"/>
                <w:color w:val="auto"/>
              </w:rPr>
              <w:t>）；</w:t>
            </w:r>
            <w:r>
              <w:rPr>
                <w:rFonts w:hint="eastAsia"/>
                <w:b/>
                <w:color w:val="auto"/>
              </w:rPr>
              <w:t>新成立不足一个月的供应商不需提供</w:t>
            </w:r>
            <w:r>
              <w:rPr>
                <w:rFonts w:hint="eastAsia"/>
                <w:color w:val="auto"/>
              </w:rPr>
              <w:t>（</w:t>
            </w:r>
            <w:r>
              <w:rPr>
                <w:rFonts w:hint="eastAsia"/>
                <w:b/>
                <w:bCs/>
                <w:color w:val="auto"/>
              </w:rPr>
              <w:t>必须提供，否则响应文件按无效响应处理</w:t>
            </w:r>
            <w:r>
              <w:rPr>
                <w:rFonts w:hint="eastAsia"/>
                <w:color w:val="auto"/>
              </w:rPr>
              <w:t>）</w:t>
            </w:r>
          </w:p>
          <w:p w14:paraId="784321FF">
            <w:pPr>
              <w:pStyle w:val="61"/>
              <w:numPr>
                <w:ilvl w:val="0"/>
                <w:numId w:val="1"/>
              </w:numPr>
              <w:ind w:left="420" w:leftChars="200" w:firstLine="0" w:firstLineChars="0"/>
              <w:rPr>
                <w:color w:val="auto"/>
              </w:rPr>
            </w:pPr>
            <w:r>
              <w:rPr>
                <w:rFonts w:hint="eastAsia"/>
                <w:color w:val="auto"/>
              </w:rPr>
              <w:t>供应商依法缴纳社会保障资金的相关材料[</w:t>
            </w:r>
            <w:r>
              <w:rPr>
                <w:rFonts w:hint="eastAsia"/>
                <w:color w:val="auto"/>
                <w:u w:val="single"/>
              </w:rPr>
              <w:t>2024年</w:t>
            </w:r>
            <w:r>
              <w:rPr>
                <w:rFonts w:hint="eastAsia"/>
                <w:color w:val="auto"/>
                <w:u w:val="single"/>
                <w:lang w:val="en-US" w:eastAsia="zh-CN"/>
              </w:rPr>
              <w:t>10</w:t>
            </w:r>
            <w:r>
              <w:rPr>
                <w:rFonts w:hint="eastAsia"/>
                <w:color w:val="auto"/>
                <w:u w:val="single"/>
              </w:rPr>
              <w:t>月至今任意1个</w:t>
            </w:r>
            <w:r>
              <w:rPr>
                <w:rFonts w:hint="eastAsia"/>
                <w:color w:val="auto"/>
              </w:rPr>
              <w:t>月的依法缴纳社会保障资金的缴费凭证（专用收据或者社会保险缴纳清单）复印件；</w:t>
            </w:r>
            <w:r>
              <w:rPr>
                <w:rFonts w:hint="eastAsia" w:cs="Times New Roman"/>
                <w:color w:val="auto"/>
              </w:rPr>
              <w:t>依法不需要缴纳社会保障资金的，必须提供相应文件证明不需要缴纳社会保障资金。</w:t>
            </w:r>
            <w:r>
              <w:rPr>
                <w:rFonts w:hint="eastAsia"/>
                <w:color w:val="auto"/>
              </w:rPr>
              <w:t>]；</w:t>
            </w:r>
            <w:r>
              <w:rPr>
                <w:rFonts w:hint="eastAsia"/>
                <w:b/>
                <w:color w:val="auto"/>
              </w:rPr>
              <w:t>新成立不足一个月的供应商不需提供</w:t>
            </w:r>
            <w:r>
              <w:rPr>
                <w:rFonts w:hint="eastAsia"/>
                <w:color w:val="auto"/>
              </w:rPr>
              <w:t>（</w:t>
            </w:r>
            <w:r>
              <w:rPr>
                <w:rFonts w:hint="eastAsia"/>
                <w:b/>
                <w:bCs/>
                <w:color w:val="auto"/>
              </w:rPr>
              <w:t>必须提供，否则响应文件按无效响应处理</w:t>
            </w:r>
            <w:r>
              <w:rPr>
                <w:rFonts w:hint="eastAsia"/>
                <w:color w:val="auto"/>
              </w:rPr>
              <w:t>）</w:t>
            </w:r>
          </w:p>
          <w:p w14:paraId="2E34055E">
            <w:pPr>
              <w:pStyle w:val="61"/>
              <w:numPr>
                <w:ilvl w:val="0"/>
                <w:numId w:val="1"/>
              </w:numPr>
              <w:ind w:left="420" w:leftChars="200" w:firstLine="0" w:firstLineChars="0"/>
              <w:rPr>
                <w:color w:val="auto"/>
              </w:rPr>
            </w:pPr>
            <w:r>
              <w:rPr>
                <w:rFonts w:hint="eastAsia" w:ascii="宋体" w:hAnsi="宋体" w:cs="宋体"/>
                <w:color w:val="auto"/>
              </w:rPr>
              <w:t>供应商</w:t>
            </w:r>
            <w:r>
              <w:rPr>
                <w:rFonts w:hint="eastAsia"/>
                <w:color w:val="auto"/>
              </w:rPr>
              <w:t>财务状况报告（</w:t>
            </w:r>
            <w:r>
              <w:rPr>
                <w:color w:val="auto"/>
                <w:u w:val="single"/>
              </w:rPr>
              <w:t>202</w:t>
            </w:r>
            <w:r>
              <w:rPr>
                <w:rFonts w:hint="eastAsia"/>
                <w:color w:val="auto"/>
                <w:u w:val="single"/>
              </w:rPr>
              <w:t>3</w:t>
            </w:r>
            <w:r>
              <w:rPr>
                <w:rFonts w:hint="eastAsia"/>
                <w:color w:val="auto"/>
              </w:rPr>
              <w:t>年度</w:t>
            </w:r>
            <w:r>
              <w:rPr>
                <w:rFonts w:hint="eastAsia"/>
                <w:color w:val="auto"/>
                <w:lang w:val="en-US" w:eastAsia="zh-CN"/>
              </w:rPr>
              <w:t>或2024年度</w:t>
            </w:r>
            <w:r>
              <w:rPr>
                <w:rFonts w:hint="eastAsia"/>
                <w:color w:val="auto"/>
              </w:rPr>
              <w:t>财务报表复印件，或者银行出具的资信证明，或者中国人民银行征信中心出具的信用报告（企业竞标的提供企业信用报告，自然人竞标的提供个人信用报告）；供应商属于成立时间</w:t>
            </w:r>
            <w:r>
              <w:rPr>
                <w:rFonts w:hint="eastAsia"/>
                <w:color w:val="auto"/>
                <w:kern w:val="0"/>
              </w:rPr>
              <w:t>在规定年度之后</w:t>
            </w:r>
            <w:r>
              <w:rPr>
                <w:rFonts w:hint="eastAsia"/>
                <w:color w:val="auto"/>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rPr>
              <w:t>；</w:t>
            </w:r>
            <w:r>
              <w:rPr>
                <w:rFonts w:hint="eastAsia"/>
                <w:bCs/>
                <w:color w:val="auto"/>
              </w:rPr>
              <w:t>（</w:t>
            </w:r>
            <w:r>
              <w:rPr>
                <w:rFonts w:hint="eastAsia"/>
                <w:b/>
                <w:bCs/>
                <w:color w:val="auto"/>
              </w:rPr>
              <w:t>必须提供，否则响应文件按无效响应处理</w:t>
            </w:r>
            <w:r>
              <w:rPr>
                <w:rFonts w:hint="eastAsia"/>
                <w:bCs/>
                <w:color w:val="auto"/>
              </w:rPr>
              <w:t>）</w:t>
            </w:r>
          </w:p>
          <w:p w14:paraId="07FB1D94">
            <w:pPr>
              <w:pStyle w:val="61"/>
              <w:numPr>
                <w:ilvl w:val="0"/>
                <w:numId w:val="1"/>
              </w:numPr>
              <w:ind w:left="420" w:leftChars="200" w:firstLine="0" w:firstLineChars="0"/>
              <w:rPr>
                <w:color w:val="auto"/>
              </w:rPr>
            </w:pPr>
            <w:r>
              <w:rPr>
                <w:rFonts w:hint="eastAsia"/>
                <w:color w:val="auto"/>
              </w:rPr>
              <w:t>供应商直接控股、管理关系信息表（格式后附）；（</w:t>
            </w:r>
            <w:r>
              <w:rPr>
                <w:rFonts w:hint="eastAsia"/>
                <w:b/>
                <w:bCs/>
                <w:color w:val="auto"/>
              </w:rPr>
              <w:t>必须提供，否则响应文件按无效响应处理</w:t>
            </w:r>
            <w:r>
              <w:rPr>
                <w:rFonts w:hint="eastAsia"/>
                <w:color w:val="auto"/>
              </w:rPr>
              <w:t>）</w:t>
            </w:r>
          </w:p>
          <w:p w14:paraId="4CE9034C">
            <w:pPr>
              <w:pStyle w:val="61"/>
              <w:numPr>
                <w:ilvl w:val="0"/>
                <w:numId w:val="1"/>
              </w:numPr>
              <w:ind w:left="420" w:leftChars="200" w:firstLine="0" w:firstLineChars="0"/>
              <w:rPr>
                <w:color w:val="auto"/>
              </w:rPr>
            </w:pPr>
            <w:r>
              <w:rPr>
                <w:rFonts w:hint="eastAsia"/>
                <w:color w:val="auto"/>
              </w:rPr>
              <w:t>竞标声明（格式后附）；（</w:t>
            </w:r>
            <w:r>
              <w:rPr>
                <w:rFonts w:hint="eastAsia"/>
                <w:b/>
                <w:bCs/>
                <w:color w:val="auto"/>
              </w:rPr>
              <w:t>必须提供，否则响应文件按无效响应处理</w:t>
            </w:r>
            <w:r>
              <w:rPr>
                <w:rFonts w:hint="eastAsia"/>
                <w:color w:val="auto"/>
              </w:rPr>
              <w:t>）</w:t>
            </w:r>
          </w:p>
          <w:p w14:paraId="2001982E">
            <w:pPr>
              <w:pStyle w:val="61"/>
              <w:numPr>
                <w:ilvl w:val="0"/>
                <w:numId w:val="1"/>
              </w:numPr>
              <w:ind w:left="420" w:leftChars="200" w:firstLine="0" w:firstLineChars="0"/>
              <w:rPr>
                <w:color w:val="auto"/>
              </w:rPr>
            </w:pPr>
            <w:r>
              <w:rPr>
                <w:rFonts w:hint="eastAsia" w:ascii="宋体" w:hAnsi="宋体" w:eastAsia="宋体" w:cs="宋体"/>
                <w:color w:val="auto"/>
              </w:rPr>
              <w:t>中小企业声明函（或残疾人福利性单位声明函或监狱企业证明文件）；</w:t>
            </w:r>
            <w:r>
              <w:rPr>
                <w:rFonts w:hint="eastAsia" w:ascii="宋体" w:hAnsi="宋体" w:eastAsia="宋体" w:cs="宋体"/>
                <w:b/>
                <w:bCs/>
                <w:color w:val="auto"/>
              </w:rPr>
              <w:t>（专门面向中小企业标段必须提供）</w:t>
            </w:r>
          </w:p>
          <w:p w14:paraId="5EA24712">
            <w:pPr>
              <w:pStyle w:val="61"/>
              <w:numPr>
                <w:ilvl w:val="0"/>
                <w:numId w:val="1"/>
              </w:numPr>
              <w:ind w:left="420" w:leftChars="200" w:firstLine="0" w:firstLineChars="0"/>
              <w:rPr>
                <w:color w:val="auto"/>
              </w:rPr>
            </w:pPr>
            <w:r>
              <w:rPr>
                <w:rFonts w:hint="eastAsia" w:ascii="宋体" w:hAnsi="宋体" w:eastAsia="宋体" w:cs="宋体"/>
                <w:color w:val="auto"/>
              </w:rPr>
              <w:t>本项目的特定资格要求证明文件；（</w:t>
            </w:r>
            <w:r>
              <w:rPr>
                <w:rFonts w:hint="eastAsia" w:ascii="宋体" w:hAnsi="宋体" w:eastAsia="宋体" w:cs="宋体"/>
                <w:b/>
                <w:bCs/>
                <w:color w:val="auto"/>
              </w:rPr>
              <w:t>如有要求则必须提供</w:t>
            </w:r>
            <w:r>
              <w:rPr>
                <w:rFonts w:hint="eastAsia" w:ascii="宋体" w:hAnsi="宋体" w:eastAsia="宋体" w:cs="宋体"/>
                <w:color w:val="auto"/>
              </w:rPr>
              <w:t>）</w:t>
            </w:r>
          </w:p>
          <w:p w14:paraId="58BB8AAE">
            <w:pPr>
              <w:pStyle w:val="61"/>
              <w:numPr>
                <w:ilvl w:val="0"/>
                <w:numId w:val="1"/>
              </w:numPr>
              <w:ind w:left="420" w:leftChars="200" w:firstLine="0" w:firstLineChars="0"/>
              <w:rPr>
                <w:color w:val="auto"/>
              </w:rPr>
            </w:pPr>
            <w:r>
              <w:rPr>
                <w:rFonts w:hint="eastAsia"/>
                <w:color w:val="auto"/>
              </w:rPr>
              <w:t>除磋商文件规定必须提供以外，供应商认为需要提供的其他证明材料。</w:t>
            </w:r>
          </w:p>
          <w:p w14:paraId="10242B23">
            <w:pPr>
              <w:ind w:firstLine="0" w:firstLineChars="0"/>
              <w:rPr>
                <w:b/>
                <w:bCs/>
                <w:color w:val="auto"/>
              </w:rPr>
            </w:pPr>
            <w:r>
              <w:rPr>
                <w:rFonts w:hint="eastAsia"/>
                <w:b/>
                <w:bCs/>
                <w:color w:val="auto"/>
              </w:rPr>
              <w:t>注：1.以上标明“必须提供”的材料属于复印件的，必须加盖供应商公章，否则响应文件按无效响应处理。</w:t>
            </w:r>
          </w:p>
          <w:p w14:paraId="7B3C1D4B">
            <w:pPr>
              <w:ind w:firstLine="422"/>
              <w:rPr>
                <w:b/>
                <w:bCs/>
                <w:color w:val="auto"/>
              </w:rPr>
            </w:pPr>
            <w:r>
              <w:rPr>
                <w:rFonts w:hint="eastAsia"/>
                <w:b/>
                <w:bCs/>
                <w:color w:val="auto"/>
              </w:rPr>
              <w:t>2.联合体竞标时，第1-5项资格证明文件联合体各方均必须分别提供，联合体各方分别盖章和签字，否则响应文件按无效响应处理。</w:t>
            </w:r>
          </w:p>
          <w:p w14:paraId="19722F68">
            <w:pPr>
              <w:ind w:firstLine="422"/>
              <w:rPr>
                <w:rFonts w:ascii="宋体" w:hAnsi="宋体"/>
                <w:b/>
                <w:bCs/>
                <w:color w:val="auto"/>
              </w:rPr>
            </w:pPr>
            <w:r>
              <w:rPr>
                <w:rFonts w:hint="eastAsia" w:ascii="宋体" w:hAnsi="宋体"/>
                <w:b/>
                <w:bCs/>
                <w:color w:val="auto"/>
              </w:rPr>
              <w:t>3</w:t>
            </w:r>
            <w:r>
              <w:rPr>
                <w:rFonts w:ascii="宋体" w:hAnsi="宋体"/>
                <w:b/>
                <w:bCs/>
                <w:color w:val="auto"/>
              </w:rPr>
              <w:t>.</w:t>
            </w:r>
            <w:r>
              <w:rPr>
                <w:rFonts w:hint="eastAsia" w:ascii="宋体" w:hAnsi="宋体"/>
                <w:b/>
                <w:bCs/>
                <w:color w:val="auto"/>
              </w:rPr>
              <w:t>电子响应文件中所</w:t>
            </w:r>
            <w:r>
              <w:rPr>
                <w:rFonts w:hint="eastAsia" w:ascii="宋体" w:hAnsi="宋体"/>
                <w:b/>
                <w:bCs/>
                <w:color w:val="auto"/>
                <w:lang w:eastAsia="zh-CN"/>
              </w:rPr>
              <w:t>需</w:t>
            </w:r>
            <w:r>
              <w:rPr>
                <w:rFonts w:hint="eastAsia" w:ascii="宋体" w:hAnsi="宋体"/>
                <w:b/>
                <w:bCs/>
                <w:color w:val="auto"/>
              </w:rPr>
              <w:t>加盖公章部分均建议采用CA签章。若响应文件中有专门标注的某关联点，并要求供应商在电子投标系统中作出竞标响应的，如供应商未对关联点进行响应或者在响应文件</w:t>
            </w:r>
            <w:r>
              <w:rPr>
                <w:rFonts w:hint="eastAsia" w:ascii="宋体" w:hAnsi="宋体"/>
                <w:b/>
                <w:bCs/>
                <w:color w:val="auto"/>
                <w:lang w:eastAsia="zh-CN"/>
              </w:rPr>
              <w:t>其他内容</w:t>
            </w:r>
            <w:r>
              <w:rPr>
                <w:rFonts w:hint="eastAsia" w:ascii="宋体" w:hAnsi="宋体"/>
                <w:b/>
                <w:bCs/>
                <w:color w:val="auto"/>
              </w:rPr>
              <w:t>进行描述，造成电子评审不能查询的责任由供应商自行承担。</w:t>
            </w:r>
          </w:p>
          <w:p w14:paraId="4910FACD">
            <w:pPr>
              <w:ind w:firstLine="422"/>
              <w:rPr>
                <w:rFonts w:ascii="宋体" w:hAnsi="宋体"/>
                <w:b/>
                <w:bCs/>
                <w:color w:val="auto"/>
              </w:rPr>
            </w:pPr>
            <w:r>
              <w:rPr>
                <w:rFonts w:hint="eastAsia" w:ascii="宋体" w:hAnsi="宋体"/>
                <w:b/>
                <w:bCs/>
                <w:color w:val="auto"/>
              </w:rPr>
              <w:t>4.分公司参加竞标的，应当取得总公司授权。</w:t>
            </w:r>
          </w:p>
        </w:tc>
      </w:tr>
      <w:tr w14:paraId="7C480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5137E5BE">
            <w:pPr>
              <w:ind w:firstLine="0" w:firstLineChars="0"/>
              <w:jc w:val="center"/>
              <w:rPr>
                <w:rFonts w:hint="eastAsia" w:eastAsiaTheme="minorEastAsia"/>
                <w:color w:val="auto"/>
                <w:lang w:eastAsia="zh-CN"/>
              </w:rPr>
            </w:pPr>
            <w:r>
              <w:rPr>
                <w:rFonts w:hint="eastAsia"/>
                <w:color w:val="auto"/>
              </w:rPr>
              <w:t>12.</w:t>
            </w:r>
            <w:r>
              <w:rPr>
                <w:color w:val="auto"/>
              </w:rPr>
              <w:t>1</w:t>
            </w:r>
            <w:r>
              <w:rPr>
                <w:rFonts w:hint="eastAsia"/>
                <w:color w:val="auto"/>
              </w:rPr>
              <w:t>.</w:t>
            </w:r>
            <w:r>
              <w:rPr>
                <w:rFonts w:hint="eastAsia"/>
                <w:color w:val="auto"/>
                <w:lang w:val="en-US" w:eastAsia="zh-CN"/>
              </w:rPr>
              <w:t>2</w:t>
            </w:r>
          </w:p>
        </w:tc>
        <w:tc>
          <w:tcPr>
            <w:tcW w:w="8557" w:type="dxa"/>
            <w:vAlign w:val="center"/>
          </w:tcPr>
          <w:p w14:paraId="46F3510C">
            <w:pPr>
              <w:spacing w:line="360" w:lineRule="auto"/>
              <w:rPr>
                <w:rFonts w:hint="eastAsia" w:ascii="宋体" w:hAnsi="宋体" w:cs="宋体"/>
                <w:b/>
                <w:bCs/>
                <w:color w:val="000000"/>
                <w:szCs w:val="21"/>
              </w:rPr>
            </w:pPr>
            <w:r>
              <w:rPr>
                <w:rFonts w:hint="eastAsia" w:ascii="宋体" w:hAnsi="宋体" w:cs="宋体"/>
                <w:b/>
                <w:bCs/>
                <w:color w:val="000000"/>
                <w:szCs w:val="21"/>
              </w:rPr>
              <w:t>报价商务技术文件</w:t>
            </w:r>
          </w:p>
          <w:p w14:paraId="39DF8500">
            <w:pPr>
              <w:spacing w:line="360" w:lineRule="auto"/>
              <w:rPr>
                <w:rFonts w:hint="eastAsia" w:ascii="宋体" w:hAnsi="宋体" w:cs="宋体"/>
                <w:color w:val="000000"/>
                <w:szCs w:val="21"/>
              </w:rPr>
            </w:pPr>
            <w:r>
              <w:rPr>
                <w:rFonts w:hint="eastAsia" w:ascii="宋体" w:hAnsi="宋体" w:cs="宋体"/>
                <w:color w:val="000000"/>
                <w:szCs w:val="21"/>
              </w:rPr>
              <w:t>1.无串通竞标行为的承诺函（格式后附）；（</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65FA278C">
            <w:pPr>
              <w:spacing w:line="360" w:lineRule="auto"/>
              <w:rPr>
                <w:rFonts w:hint="eastAsia" w:ascii="宋体" w:hAnsi="宋体" w:cs="宋体"/>
                <w:color w:val="000000"/>
                <w:szCs w:val="21"/>
              </w:rPr>
            </w:pPr>
            <w:r>
              <w:rPr>
                <w:rFonts w:hint="eastAsia" w:ascii="宋体" w:hAnsi="宋体" w:cs="宋体"/>
                <w:color w:val="000000"/>
                <w:szCs w:val="21"/>
              </w:rPr>
              <w:t>2.竞标报价表（格式后附）；（</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2590CFE6">
            <w:pPr>
              <w:snapToGrid w:val="0"/>
              <w:spacing w:line="360" w:lineRule="auto"/>
              <w:jc w:val="left"/>
              <w:rPr>
                <w:rFonts w:hint="eastAsia" w:ascii="宋体" w:hAnsi="宋体" w:cs="宋体"/>
                <w:color w:val="000000"/>
                <w:szCs w:val="21"/>
              </w:rPr>
            </w:pPr>
            <w:r>
              <w:rPr>
                <w:rFonts w:hint="eastAsia" w:ascii="宋体" w:hAnsi="宋体" w:cs="宋体"/>
                <w:color w:val="000000"/>
                <w:szCs w:val="21"/>
              </w:rPr>
              <w:t>3.法定代表人身份证明书及法定代表人有效身份证正反面复印件（格式后附）；（</w:t>
            </w:r>
            <w:r>
              <w:rPr>
                <w:rFonts w:hint="eastAsia" w:ascii="宋体" w:hAnsi="宋体" w:cs="宋体"/>
                <w:b/>
                <w:bCs/>
                <w:color w:val="000000"/>
                <w:szCs w:val="21"/>
              </w:rPr>
              <w:t>除自然人竞标外</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04B9795E">
            <w:pPr>
              <w:spacing w:line="360" w:lineRule="auto"/>
              <w:rPr>
                <w:rFonts w:hint="eastAsia" w:ascii="宋体" w:hAnsi="宋体" w:cs="宋体"/>
                <w:b/>
                <w:color w:val="000000"/>
                <w:szCs w:val="21"/>
              </w:rPr>
            </w:pPr>
            <w:r>
              <w:rPr>
                <w:rFonts w:hint="eastAsia" w:ascii="宋体" w:hAnsi="宋体" w:cs="宋体"/>
                <w:color w:val="000000"/>
                <w:szCs w:val="21"/>
              </w:rPr>
              <w:t>4.法定代表人授权委托书及委托代理人有效身份证正反面复印件（格式后附）；（</w:t>
            </w:r>
            <w:r>
              <w:rPr>
                <w:rFonts w:hint="eastAsia" w:ascii="宋体" w:hAnsi="宋体" w:cs="宋体"/>
                <w:b/>
                <w:color w:val="000000"/>
                <w:szCs w:val="21"/>
              </w:rPr>
              <w:t>委托时必须提供，否则响应文件按无效响应处理</w:t>
            </w:r>
            <w:r>
              <w:rPr>
                <w:rFonts w:hint="eastAsia" w:ascii="宋体" w:hAnsi="宋体" w:cs="宋体"/>
                <w:color w:val="000000"/>
                <w:szCs w:val="21"/>
              </w:rPr>
              <w:t>）</w:t>
            </w:r>
          </w:p>
          <w:p w14:paraId="7F0A6457">
            <w:pPr>
              <w:spacing w:line="360" w:lineRule="auto"/>
              <w:rPr>
                <w:rFonts w:hint="eastAsia" w:ascii="宋体" w:hAnsi="宋体" w:cs="宋体"/>
                <w:color w:val="000000"/>
                <w:szCs w:val="21"/>
              </w:rPr>
            </w:pPr>
            <w:r>
              <w:rPr>
                <w:rFonts w:hint="eastAsia" w:ascii="宋体" w:hAnsi="宋体" w:cs="宋体"/>
                <w:color w:val="000000"/>
                <w:szCs w:val="21"/>
              </w:rPr>
              <w:t>5.磋商保证金提交凭证；（</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75D4FD86">
            <w:pPr>
              <w:spacing w:line="360" w:lineRule="auto"/>
              <w:rPr>
                <w:rFonts w:hint="eastAsia" w:ascii="宋体" w:hAnsi="宋体" w:cs="宋体"/>
                <w:color w:val="000000"/>
                <w:szCs w:val="21"/>
              </w:rPr>
            </w:pPr>
            <w:r>
              <w:rPr>
                <w:rFonts w:hint="eastAsia" w:ascii="宋体" w:hAnsi="宋体" w:cs="宋体"/>
                <w:color w:val="000000"/>
                <w:szCs w:val="21"/>
              </w:rPr>
              <w:t>6.商务条款偏离表（格式后附）；（</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437FB8C4">
            <w:pPr>
              <w:spacing w:line="360" w:lineRule="auto"/>
              <w:rPr>
                <w:rFonts w:hint="eastAsia" w:ascii="宋体" w:hAnsi="宋体" w:cs="宋体"/>
                <w:color w:val="000000"/>
                <w:szCs w:val="21"/>
              </w:rPr>
            </w:pPr>
            <w:r>
              <w:rPr>
                <w:rFonts w:hint="eastAsia" w:ascii="宋体" w:hAnsi="宋体" w:cs="宋体"/>
                <w:color w:val="000000"/>
                <w:szCs w:val="21"/>
              </w:rPr>
              <w:t>7.服务方案；（</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010BDC6D">
            <w:pPr>
              <w:spacing w:line="360" w:lineRule="auto"/>
              <w:rPr>
                <w:rFonts w:ascii="宋体" w:hAnsi="宋体" w:cs="宋体"/>
                <w:color w:val="000000"/>
                <w:szCs w:val="21"/>
              </w:rPr>
            </w:pPr>
            <w:r>
              <w:rPr>
                <w:rFonts w:hint="eastAsia" w:ascii="宋体" w:hAnsi="宋体" w:cs="宋体"/>
                <w:color w:val="000000"/>
                <w:szCs w:val="21"/>
              </w:rPr>
              <w:t>8.技术需求偏离表（格式后附）；（</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44CCB1B7">
            <w:pPr>
              <w:spacing w:line="360" w:lineRule="auto"/>
              <w:rPr>
                <w:rFonts w:hint="eastAsia" w:ascii="宋体" w:hAnsi="宋体" w:cs="宋体"/>
                <w:color w:val="000000"/>
                <w:szCs w:val="21"/>
              </w:rPr>
            </w:pPr>
            <w:r>
              <w:rPr>
                <w:rFonts w:hint="eastAsia" w:ascii="宋体" w:hAnsi="宋体" w:cs="宋体"/>
                <w:color w:val="000000"/>
                <w:szCs w:val="21"/>
              </w:rPr>
              <w:t xml:space="preserve">9.项目实施人员一览表（格式自拟）； </w:t>
            </w:r>
          </w:p>
          <w:p w14:paraId="31A5166C">
            <w:pPr>
              <w:spacing w:line="360" w:lineRule="auto"/>
              <w:rPr>
                <w:rFonts w:hint="eastAsia" w:ascii="宋体" w:hAnsi="宋体" w:cs="宋体"/>
                <w:color w:val="000000"/>
                <w:szCs w:val="21"/>
              </w:rPr>
            </w:pPr>
            <w:r>
              <w:rPr>
                <w:rFonts w:hint="eastAsia" w:ascii="宋体" w:hAnsi="宋体" w:cs="宋体"/>
                <w:color w:val="000000"/>
                <w:szCs w:val="21"/>
              </w:rPr>
              <w:t>10.对应采购需求的技术需求、商务条款提供的其他文件资料；</w:t>
            </w:r>
          </w:p>
          <w:p w14:paraId="2BCF6FA0">
            <w:pPr>
              <w:spacing w:line="360" w:lineRule="auto"/>
              <w:rPr>
                <w:rFonts w:hint="eastAsia" w:ascii="宋体" w:hAnsi="宋体" w:cs="宋体"/>
                <w:color w:val="000000"/>
                <w:szCs w:val="21"/>
              </w:rPr>
            </w:pPr>
            <w:r>
              <w:rPr>
                <w:rFonts w:ascii="宋体" w:hAnsi="宋体" w:cs="宋体"/>
                <w:color w:val="000000"/>
                <w:szCs w:val="21"/>
              </w:rPr>
              <w:t>11</w:t>
            </w:r>
            <w:r>
              <w:rPr>
                <w:rFonts w:hint="eastAsia" w:ascii="宋体" w:hAnsi="宋体" w:cs="宋体"/>
                <w:color w:val="000000"/>
                <w:szCs w:val="21"/>
              </w:rPr>
              <w:t>.供应商认为需要提供的其他有关资料。</w:t>
            </w:r>
          </w:p>
          <w:p w14:paraId="38909717">
            <w:pPr>
              <w:ind w:firstLine="0" w:firstLineChars="0"/>
              <w:rPr>
                <w:b/>
                <w:bCs/>
                <w:color w:val="auto"/>
              </w:rPr>
            </w:pPr>
            <w:r>
              <w:rPr>
                <w:rFonts w:hint="eastAsia"/>
                <w:b/>
                <w:bCs/>
                <w:color w:val="auto"/>
              </w:rPr>
              <w:t>注：</w:t>
            </w:r>
            <w:r>
              <w:rPr>
                <w:rFonts w:ascii="宋体" w:hAnsi="宋体" w:eastAsia="宋体" w:cs="宋体"/>
                <w:b/>
                <w:color w:val="auto"/>
              </w:rPr>
              <w:t>1</w:t>
            </w:r>
            <w:r>
              <w:rPr>
                <w:rFonts w:hint="eastAsia" w:ascii="宋体" w:hAnsi="宋体" w:eastAsia="宋体" w:cs="宋体"/>
                <w:b/>
                <w:color w:val="auto"/>
              </w:rPr>
              <w:t>.以上标明“必须提供”的材料属于复印件的，必须加盖供应商公章，否则响应文件按无效响应处理。</w:t>
            </w:r>
          </w:p>
          <w:p w14:paraId="230A8FB0">
            <w:pPr>
              <w:snapToGrid w:val="0"/>
              <w:ind w:firstLine="422"/>
              <w:rPr>
                <w:rFonts w:ascii="宋体" w:hAnsi="宋体" w:eastAsia="宋体" w:cs="宋体"/>
                <w:b/>
                <w:color w:val="auto"/>
              </w:rPr>
            </w:pPr>
            <w:r>
              <w:rPr>
                <w:rFonts w:ascii="宋体" w:hAnsi="宋体"/>
                <w:b/>
                <w:bCs/>
                <w:color w:val="auto"/>
              </w:rPr>
              <w:t>2.</w:t>
            </w:r>
            <w:r>
              <w:rPr>
                <w:rFonts w:hint="eastAsia" w:ascii="宋体" w:hAnsi="宋体"/>
                <w:b/>
                <w:bCs/>
                <w:color w:val="auto"/>
              </w:rPr>
              <w:t>电子响应文件中所</w:t>
            </w:r>
            <w:r>
              <w:rPr>
                <w:rFonts w:hint="eastAsia" w:ascii="宋体" w:hAnsi="宋体"/>
                <w:b/>
                <w:bCs/>
                <w:color w:val="auto"/>
                <w:lang w:eastAsia="zh-CN"/>
              </w:rPr>
              <w:t>需</w:t>
            </w:r>
            <w:r>
              <w:rPr>
                <w:rFonts w:hint="eastAsia" w:ascii="宋体" w:hAnsi="宋体"/>
                <w:b/>
                <w:bCs/>
                <w:color w:val="auto"/>
              </w:rPr>
              <w:t>加盖公章部分均建议采用CA签章。若响应文件中有专门标注的某关联点，并要求供应商在电子投标系统中作出竞标响应的，如供应商未对关联点进行响应或者在响应文件</w:t>
            </w:r>
            <w:r>
              <w:rPr>
                <w:rFonts w:hint="eastAsia" w:ascii="宋体" w:hAnsi="宋体"/>
                <w:b/>
                <w:bCs/>
                <w:color w:val="auto"/>
                <w:lang w:eastAsia="zh-CN"/>
              </w:rPr>
              <w:t>其他内容</w:t>
            </w:r>
            <w:r>
              <w:rPr>
                <w:rFonts w:hint="eastAsia" w:ascii="宋体" w:hAnsi="宋体"/>
                <w:b/>
                <w:bCs/>
                <w:color w:val="auto"/>
              </w:rPr>
              <w:t>进行描述，造成电子评审不能查询的责任由供应商自行承担。</w:t>
            </w:r>
          </w:p>
          <w:p w14:paraId="19BE3BA6">
            <w:pPr>
              <w:ind w:firstLine="422"/>
              <w:rPr>
                <w:b/>
                <w:bCs/>
                <w:color w:val="auto"/>
              </w:rPr>
            </w:pPr>
            <w:r>
              <w:rPr>
                <w:rFonts w:ascii="宋体" w:hAnsi="宋体" w:eastAsia="宋体" w:cs="宋体"/>
                <w:b/>
                <w:color w:val="auto"/>
              </w:rPr>
              <w:t>3</w:t>
            </w:r>
            <w:r>
              <w:rPr>
                <w:rFonts w:hint="eastAsia" w:ascii="宋体" w:hAnsi="宋体" w:eastAsia="宋体" w:cs="宋体"/>
                <w:b/>
                <w:color w:val="auto"/>
              </w:rPr>
              <w:t>.以上材料未附格式的，由供应商自行拟定。</w:t>
            </w:r>
          </w:p>
        </w:tc>
      </w:tr>
      <w:tr w14:paraId="0818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7C183EF3">
            <w:pPr>
              <w:ind w:firstLine="0" w:firstLineChars="0"/>
              <w:jc w:val="center"/>
              <w:rPr>
                <w:color w:val="auto"/>
              </w:rPr>
            </w:pPr>
            <w:r>
              <w:rPr>
                <w:rFonts w:hint="eastAsia"/>
                <w:color w:val="auto"/>
              </w:rPr>
              <w:t>15.2</w:t>
            </w:r>
          </w:p>
        </w:tc>
        <w:tc>
          <w:tcPr>
            <w:tcW w:w="8557" w:type="dxa"/>
            <w:vAlign w:val="center"/>
          </w:tcPr>
          <w:p w14:paraId="3D2DD136">
            <w:pPr>
              <w:widowControl w:val="0"/>
              <w:ind w:firstLine="0" w:firstLineChars="0"/>
              <w:contextualSpacing/>
              <w:rPr>
                <w:rFonts w:ascii="宋体" w:hAnsi="宋体" w:eastAsia="宋体" w:cs="Times New Roman"/>
                <w:b/>
                <w:color w:val="auto"/>
              </w:rPr>
            </w:pPr>
            <w:r>
              <w:rPr>
                <w:rFonts w:hint="eastAsia" w:ascii="宋体" w:hAnsi="宋体" w:eastAsia="宋体" w:cs="Times New Roman"/>
                <w:color w:val="auto"/>
              </w:rPr>
              <w:t>竞标报价是履行合同的最终价格，</w:t>
            </w:r>
            <w:r>
              <w:rPr>
                <w:rFonts w:hint="eastAsia" w:ascii="宋体" w:hAnsi="宋体" w:eastAsia="宋体" w:cs="宋体"/>
                <w:color w:val="auto"/>
              </w:rPr>
              <w:t>即满足全部采购需求所应提供的服务的价格；</w:t>
            </w:r>
            <w:r>
              <w:rPr>
                <w:rFonts w:hint="eastAsia" w:cs="新宋体" w:hAnsiTheme="minorEastAsia"/>
                <w:color w:val="auto"/>
              </w:rPr>
              <w:t>本次报价须为人民币报价，</w:t>
            </w:r>
            <w:r>
              <w:rPr>
                <w:rFonts w:ascii="宋体" w:hAnsi="宋体" w:cs="宋体"/>
                <w:color w:val="000000"/>
                <w:kern w:val="0"/>
                <w:sz w:val="22"/>
                <w:szCs w:val="22"/>
                <w:lang w:bidi="ar"/>
              </w:rPr>
              <w:t>包含但不限于人员的工资、相关的福利待遇和社会保险金、就餐费、高温补贴、法定节假日和公休假加班费以及国家规定的所有相关费用、管理费（包含人员意外伤害保险差额补偿等风险管理费）、人员服装费、人员各种培训费、</w:t>
            </w:r>
            <w:r>
              <w:rPr>
                <w:rFonts w:hint="eastAsia" w:ascii="宋体" w:hAnsi="宋体" w:cs="宋体"/>
                <w:color w:val="000000"/>
                <w:kern w:val="0"/>
                <w:sz w:val="22"/>
                <w:szCs w:val="22"/>
                <w:lang w:bidi="ar"/>
              </w:rPr>
              <w:t>成交供应商</w:t>
            </w:r>
            <w:r>
              <w:rPr>
                <w:rFonts w:ascii="宋体" w:hAnsi="宋体" w:cs="宋体"/>
                <w:color w:val="000000"/>
                <w:kern w:val="0"/>
                <w:sz w:val="22"/>
                <w:szCs w:val="22"/>
                <w:lang w:bidi="ar"/>
              </w:rPr>
              <w:t>合理利润及其他所有成本费用的总和</w:t>
            </w:r>
            <w:r>
              <w:rPr>
                <w:rFonts w:hint="eastAsia" w:cs="新宋体" w:hAnsiTheme="minorEastAsia"/>
                <w:color w:val="auto"/>
              </w:rPr>
              <w:t>。</w:t>
            </w:r>
          </w:p>
        </w:tc>
      </w:tr>
      <w:tr w14:paraId="3CF19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3EE9DECD">
            <w:pPr>
              <w:ind w:firstLine="0" w:firstLineChars="0"/>
              <w:jc w:val="center"/>
              <w:rPr>
                <w:color w:val="auto"/>
              </w:rPr>
            </w:pPr>
            <w:r>
              <w:rPr>
                <w:rFonts w:hint="eastAsia"/>
                <w:color w:val="auto"/>
              </w:rPr>
              <w:t>16.</w:t>
            </w:r>
            <w:r>
              <w:rPr>
                <w:color w:val="auto"/>
              </w:rPr>
              <w:t>2</w:t>
            </w:r>
          </w:p>
        </w:tc>
        <w:tc>
          <w:tcPr>
            <w:tcW w:w="8557" w:type="dxa"/>
            <w:vAlign w:val="center"/>
          </w:tcPr>
          <w:p w14:paraId="31072325">
            <w:pPr>
              <w:ind w:firstLine="0" w:firstLineChars="0"/>
              <w:rPr>
                <w:color w:val="auto"/>
              </w:rPr>
            </w:pPr>
            <w:r>
              <w:rPr>
                <w:rFonts w:hint="eastAsia"/>
                <w:color w:val="auto"/>
              </w:rPr>
              <w:t>竞标有效期：自首次响应文件提交截止之日起</w:t>
            </w:r>
            <w:r>
              <w:rPr>
                <w:b/>
                <w:bCs/>
                <w:color w:val="auto"/>
                <w:u w:val="single"/>
              </w:rPr>
              <w:t xml:space="preserve"> 90 </w:t>
            </w:r>
            <w:r>
              <w:rPr>
                <w:rFonts w:hint="eastAsia"/>
                <w:color w:val="auto"/>
              </w:rPr>
              <w:t>日。</w:t>
            </w:r>
          </w:p>
        </w:tc>
      </w:tr>
      <w:tr w14:paraId="429A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45409ECB">
            <w:pPr>
              <w:ind w:firstLine="0" w:firstLineChars="0"/>
              <w:jc w:val="center"/>
              <w:rPr>
                <w:color w:val="auto"/>
              </w:rPr>
            </w:pPr>
            <w:r>
              <w:rPr>
                <w:rFonts w:hint="eastAsia"/>
                <w:color w:val="auto"/>
              </w:rPr>
              <w:t>17.1</w:t>
            </w:r>
          </w:p>
        </w:tc>
        <w:tc>
          <w:tcPr>
            <w:tcW w:w="8557" w:type="dxa"/>
            <w:vAlign w:val="center"/>
          </w:tcPr>
          <w:p w14:paraId="0E297455">
            <w:pPr>
              <w:ind w:firstLine="0" w:firstLineChars="0"/>
              <w:rPr>
                <w:rFonts w:cs="Times New Roman"/>
                <w:color w:val="auto"/>
              </w:rPr>
            </w:pPr>
            <w:r>
              <w:rPr>
                <w:rFonts w:hint="eastAsia" w:cs="Times New Roman"/>
                <w:color w:val="auto"/>
              </w:rPr>
              <w:t>□本项目不收取磋商保证金。</w:t>
            </w:r>
          </w:p>
          <w:p w14:paraId="7A2F274A">
            <w:pPr>
              <w:ind w:firstLine="0" w:firstLineChars="0"/>
              <w:rPr>
                <w:rFonts w:cs="Times New Roman"/>
                <w:b/>
                <w:bCs/>
                <w:color w:val="auto"/>
              </w:rPr>
            </w:pPr>
            <w:r>
              <w:rPr>
                <w:rFonts w:ascii="宋体" w:hAnsi="宋体"/>
                <w:b/>
                <w:bCs/>
                <w:color w:val="auto"/>
              </w:rPr>
              <w:fldChar w:fldCharType="begin"/>
            </w:r>
            <w:r>
              <w:rPr>
                <w:rFonts w:hint="eastAsia" w:ascii="宋体" w:hAnsi="宋体"/>
                <w:b/>
                <w:bCs/>
                <w:color w:val="auto"/>
              </w:rPr>
              <w:instrText xml:space="preserve">eq \o\ac(□,√)</w:instrText>
            </w:r>
            <w:r>
              <w:rPr>
                <w:rFonts w:ascii="宋体" w:hAnsi="宋体"/>
                <w:b/>
                <w:bCs/>
                <w:color w:val="auto"/>
              </w:rPr>
              <w:fldChar w:fldCharType="end"/>
            </w:r>
            <w:r>
              <w:rPr>
                <w:rFonts w:hint="eastAsia" w:cs="Times New Roman"/>
                <w:b/>
                <w:bCs/>
                <w:color w:val="auto"/>
              </w:rPr>
              <w:t>本项目收取磋商保证金，具体规定如下：</w:t>
            </w:r>
          </w:p>
          <w:p w14:paraId="3F2E729F">
            <w:pPr>
              <w:ind w:firstLine="0" w:firstLineChars="0"/>
              <w:rPr>
                <w:color w:val="auto"/>
                <w:kern w:val="0"/>
              </w:rPr>
            </w:pPr>
            <w:r>
              <w:rPr>
                <w:rFonts w:hint="eastAsia"/>
                <w:color w:val="auto"/>
                <w:kern w:val="0"/>
              </w:rPr>
              <w:t>磋商保证金：详见竞争性磋商公告。</w:t>
            </w:r>
          </w:p>
          <w:p w14:paraId="116F7A24">
            <w:pPr>
              <w:wordWrap w:val="0"/>
              <w:ind w:firstLine="0" w:firstLineChars="0"/>
              <w:rPr>
                <w:color w:val="auto"/>
              </w:rPr>
            </w:pPr>
            <w:r>
              <w:rPr>
                <w:rFonts w:hint="eastAsia"/>
                <w:color w:val="auto"/>
              </w:rPr>
              <w:t>磋商保证金的交纳方式：</w:t>
            </w:r>
            <w:r>
              <w:rPr>
                <w:rFonts w:hint="eastAsia"/>
                <w:color w:val="auto"/>
                <w:kern w:val="0"/>
              </w:rPr>
              <w:t>详见竞争性磋商公告</w:t>
            </w:r>
            <w:r>
              <w:rPr>
                <w:rFonts w:hint="eastAsia"/>
                <w:color w:val="auto"/>
              </w:rPr>
              <w:t>。</w:t>
            </w:r>
          </w:p>
          <w:p w14:paraId="47594E9D">
            <w:pPr>
              <w:ind w:firstLine="0" w:firstLineChars="0"/>
              <w:rPr>
                <w:color w:val="auto"/>
              </w:rPr>
            </w:pPr>
            <w:r>
              <w:rPr>
                <w:rFonts w:hint="eastAsia"/>
                <w:color w:val="auto"/>
              </w:rPr>
              <w:t>相关要求：</w:t>
            </w:r>
          </w:p>
          <w:p w14:paraId="7BE32678">
            <w:pPr>
              <w:ind w:firstLine="420"/>
              <w:rPr>
                <w:color w:val="auto"/>
              </w:rPr>
            </w:pPr>
            <w:r>
              <w:rPr>
                <w:rFonts w:hint="eastAsia"/>
                <w:color w:val="auto"/>
              </w:rPr>
              <w:t>1.磋商保证金采用银行转账交纳方式的，在响应文件提交截止时间前交至指定账户并且到账，供应商应将银行转账底单的复印件作为磋商保证金提交凭证，放置于商务技术文件中，</w:t>
            </w:r>
            <w:r>
              <w:rPr>
                <w:rFonts w:hint="eastAsia"/>
                <w:b/>
                <w:bCs/>
                <w:color w:val="auto"/>
              </w:rPr>
              <w:t>否则响应文件按无效响应处理</w:t>
            </w:r>
            <w:r>
              <w:rPr>
                <w:rFonts w:hint="eastAsia"/>
                <w:color w:val="auto"/>
              </w:rPr>
              <w:t>。</w:t>
            </w:r>
          </w:p>
          <w:p w14:paraId="0F2141B8">
            <w:pPr>
              <w:ind w:firstLine="420"/>
              <w:rPr>
                <w:color w:val="auto"/>
              </w:rPr>
            </w:pPr>
            <w:r>
              <w:rPr>
                <w:rFonts w:hint="eastAsia" w:cs="Times New Roman"/>
                <w:color w:val="auto"/>
              </w:rPr>
              <w:t>2.</w:t>
            </w:r>
            <w:r>
              <w:rPr>
                <w:rFonts w:hint="eastAsia" w:ascii="宋体" w:hAnsi="宋体"/>
                <w:color w:val="auto"/>
              </w:rPr>
              <w:t>磋商保证金采用支票、汇票、本票或者银行、保险机构出具的保函</w:t>
            </w:r>
            <w:r>
              <w:rPr>
                <w:rFonts w:hint="eastAsia"/>
                <w:color w:val="auto"/>
              </w:rPr>
              <w:t>、保险</w:t>
            </w:r>
            <w:r>
              <w:rPr>
                <w:rFonts w:hint="eastAsia" w:ascii="宋体" w:hAnsi="宋体"/>
                <w:color w:val="auto"/>
              </w:rPr>
              <w:t>交纳方式的，供应商应将支票、汇票、本票或者银行、保险机构出具的保函</w:t>
            </w:r>
            <w:r>
              <w:rPr>
                <w:rFonts w:hint="eastAsia"/>
                <w:color w:val="auto"/>
              </w:rPr>
              <w:t>、保险</w:t>
            </w:r>
            <w:r>
              <w:rPr>
                <w:rFonts w:hint="eastAsia" w:ascii="宋体" w:hAnsi="宋体"/>
                <w:color w:val="auto"/>
              </w:rPr>
              <w:t>的复印件作为磋商保证金提交凭证，放置于</w:t>
            </w:r>
            <w:r>
              <w:rPr>
                <w:rFonts w:hint="eastAsia" w:ascii="宋体" w:hAnsi="宋体" w:cs="宋体"/>
                <w:color w:val="auto"/>
              </w:rPr>
              <w:t>商务技术文件</w:t>
            </w:r>
            <w:r>
              <w:rPr>
                <w:rFonts w:hint="eastAsia" w:ascii="宋体" w:hAnsi="宋体"/>
                <w:color w:val="auto"/>
              </w:rPr>
              <w:t>中</w:t>
            </w:r>
            <w:r>
              <w:rPr>
                <w:rFonts w:hint="eastAsia" w:cs="Times New Roman"/>
                <w:color w:val="auto"/>
              </w:rPr>
              <w:t>，</w:t>
            </w:r>
            <w:r>
              <w:rPr>
                <w:rFonts w:hint="eastAsia"/>
                <w:b/>
                <w:bCs/>
                <w:color w:val="auto"/>
              </w:rPr>
              <w:t>否则响应文件按无效处理</w:t>
            </w:r>
            <w:r>
              <w:rPr>
                <w:rFonts w:hint="eastAsia" w:cs="Times New Roman"/>
                <w:color w:val="auto"/>
              </w:rPr>
              <w:t>。</w:t>
            </w:r>
            <w:r>
              <w:rPr>
                <w:rFonts w:hint="eastAsia" w:ascii="宋体" w:hAnsi="宋体"/>
                <w:color w:val="auto"/>
              </w:rPr>
              <w:t>供应商必须</w:t>
            </w:r>
            <w:r>
              <w:rPr>
                <w:rFonts w:hint="eastAsia"/>
                <w:color w:val="auto"/>
              </w:rPr>
              <w:t>在响应文件提交截止时间前采用现场或邮寄方式</w:t>
            </w:r>
            <w:r>
              <w:rPr>
                <w:rFonts w:hint="eastAsia"/>
                <w:color w:val="auto"/>
                <w:lang w:eastAsia="zh-CN"/>
              </w:rPr>
              <w:t>【</w:t>
            </w:r>
            <w:r>
              <w:rPr>
                <w:rFonts w:hint="eastAsia"/>
                <w:color w:val="auto"/>
              </w:rPr>
              <w:t>现场提交地址：华物盛泰工程咨询管理有限公司（南宁市青秀区百花岭路10号百花苑小区6栋2层）；邮寄地址：华物盛泰工程咨询管理有限公司（南宁市青秀区百花岭路10号百花苑小区6栋2层）</w:t>
            </w:r>
            <w:r>
              <w:rPr>
                <w:rFonts w:hint="eastAsia"/>
                <w:color w:val="auto"/>
                <w:lang w:eastAsia="zh-CN"/>
              </w:rPr>
              <w:t>】</w:t>
            </w:r>
            <w:r>
              <w:rPr>
                <w:rFonts w:hint="eastAsia" w:ascii="宋体" w:hAnsi="宋体"/>
                <w:color w:val="auto"/>
              </w:rPr>
              <w:t>将</w:t>
            </w:r>
            <w:r>
              <w:rPr>
                <w:rFonts w:hint="eastAsia" w:ascii="宋体" w:hAnsi="宋体" w:cs="宋体"/>
                <w:color w:val="auto"/>
                <w:kern w:val="0"/>
              </w:rPr>
              <w:t>单独密封的</w:t>
            </w:r>
            <w:r>
              <w:rPr>
                <w:rFonts w:hint="eastAsia" w:ascii="宋体" w:hAnsi="宋体"/>
                <w:color w:val="auto"/>
              </w:rPr>
              <w:t>支票、汇票、本票或者银行、保险机构出具的保函原件提交给采购人或者采购代理机构，由采购人或者采购代理机构向供应商出具回执（邮寄方式的除外），并妥善保管。</w:t>
            </w:r>
          </w:p>
          <w:p w14:paraId="20FE6BC2">
            <w:pPr>
              <w:ind w:firstLine="420"/>
              <w:rPr>
                <w:color w:val="auto"/>
              </w:rPr>
            </w:pPr>
            <w:r>
              <w:rPr>
                <w:rFonts w:hint="eastAsia"/>
                <w:color w:val="auto"/>
              </w:rPr>
              <w:t>3.供应商为联合体的，可以由联合体中的一方或者多方共同交纳磋商保证金，其交纳的保证金对联合体各方均具有约束力。</w:t>
            </w:r>
          </w:p>
          <w:p w14:paraId="07C863A5">
            <w:pPr>
              <w:ind w:firstLine="0" w:firstLineChars="0"/>
              <w:rPr>
                <w:b/>
                <w:bCs/>
                <w:color w:val="auto"/>
              </w:rPr>
            </w:pPr>
          </w:p>
          <w:p w14:paraId="277A3301">
            <w:pPr>
              <w:ind w:firstLine="0" w:firstLineChars="0"/>
              <w:rPr>
                <w:b/>
                <w:bCs/>
                <w:color w:val="auto"/>
              </w:rPr>
            </w:pPr>
            <w:r>
              <w:rPr>
                <w:rFonts w:hint="eastAsia"/>
                <w:b/>
                <w:bCs/>
                <w:color w:val="auto"/>
              </w:rPr>
              <w:t>注：1.磋商保证金在响应文件提交截止时间后提交的，或者不按规定交纳方式交纳的，或者未足额交纳的（包含保函或保险额度不足的），视为无效磋商保证金。</w:t>
            </w:r>
          </w:p>
          <w:p w14:paraId="7EA3B796">
            <w:pPr>
              <w:ind w:firstLine="422"/>
              <w:rPr>
                <w:b/>
                <w:bCs/>
                <w:color w:val="auto"/>
              </w:rPr>
            </w:pPr>
            <w:r>
              <w:rPr>
                <w:rFonts w:hint="eastAsia"/>
                <w:b/>
                <w:bCs/>
                <w:color w:val="auto"/>
              </w:rPr>
              <w:t>2.供应商采用现钞方式或者从个人账户（自然人竞标除外）转出的磋商保证金，视为无效磋商保证金。</w:t>
            </w:r>
          </w:p>
          <w:p w14:paraId="4445FF42">
            <w:pPr>
              <w:ind w:firstLine="422"/>
              <w:rPr>
                <w:b/>
                <w:bCs/>
                <w:color w:val="auto"/>
              </w:rPr>
            </w:pPr>
            <w:r>
              <w:rPr>
                <w:rFonts w:hint="eastAsia"/>
                <w:b/>
                <w:bCs/>
                <w:color w:val="auto"/>
              </w:rPr>
              <w:t>3.支票、汇票或者本票出现无效或者背书情形的，视为无效磋商保证金。</w:t>
            </w:r>
          </w:p>
          <w:p w14:paraId="2226B710">
            <w:pPr>
              <w:snapToGrid w:val="0"/>
              <w:ind w:firstLine="422"/>
              <w:rPr>
                <w:rFonts w:ascii="宋体" w:hAnsi="宋体"/>
                <w:b/>
                <w:color w:val="auto"/>
              </w:rPr>
            </w:pPr>
            <w:r>
              <w:rPr>
                <w:rFonts w:hint="eastAsia" w:ascii="宋体" w:hAnsi="宋体"/>
                <w:b/>
                <w:color w:val="auto"/>
              </w:rPr>
              <w:t>4.保函、保险有效期低于竞标有效期的，视为无效磋商保证金。</w:t>
            </w:r>
          </w:p>
          <w:p w14:paraId="7A2865A8">
            <w:pPr>
              <w:snapToGrid w:val="0"/>
              <w:ind w:firstLine="422"/>
              <w:rPr>
                <w:rFonts w:ascii="宋体" w:hAnsi="宋体"/>
                <w:b/>
                <w:color w:val="auto"/>
              </w:rPr>
            </w:pPr>
            <w:r>
              <w:rPr>
                <w:rFonts w:hint="eastAsia" w:ascii="宋体" w:hAnsi="宋体"/>
                <w:b/>
                <w:color w:val="auto"/>
              </w:rPr>
              <w:t>5.采用银行、保险机构出具保函的，必须为无条件保函，否则视为无效</w:t>
            </w:r>
            <w:r>
              <w:rPr>
                <w:rFonts w:hint="eastAsia"/>
                <w:b/>
                <w:bCs/>
                <w:color w:val="auto"/>
              </w:rPr>
              <w:t>磋商</w:t>
            </w:r>
            <w:r>
              <w:rPr>
                <w:rFonts w:hint="eastAsia" w:ascii="宋体" w:hAnsi="宋体"/>
                <w:b/>
                <w:color w:val="auto"/>
              </w:rPr>
              <w:t>保证金。</w:t>
            </w:r>
          </w:p>
          <w:p w14:paraId="0B1FEF53">
            <w:pPr>
              <w:ind w:firstLine="422"/>
              <w:rPr>
                <w:b/>
                <w:bCs/>
                <w:color w:val="auto"/>
              </w:rPr>
            </w:pPr>
            <w:r>
              <w:rPr>
                <w:rFonts w:ascii="宋体" w:hAnsi="宋体"/>
                <w:b/>
                <w:color w:val="auto"/>
              </w:rPr>
              <w:t>6.</w:t>
            </w:r>
            <w:r>
              <w:rPr>
                <w:rFonts w:hint="eastAsia" w:ascii="宋体" w:hAnsi="宋体"/>
                <w:b/>
                <w:color w:val="auto"/>
              </w:rPr>
              <w:t>采用磋商保证保险的，保单确定的受益人（本项目采购人）的权益应与采用银行保函形式同等，否则视为无效磋商保证金。</w:t>
            </w:r>
          </w:p>
        </w:tc>
      </w:tr>
      <w:tr w14:paraId="14AA2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6E3F8DBD">
            <w:pPr>
              <w:ind w:firstLine="0" w:firstLineChars="0"/>
              <w:jc w:val="center"/>
              <w:rPr>
                <w:color w:val="auto"/>
              </w:rPr>
            </w:pPr>
            <w:r>
              <w:rPr>
                <w:color w:val="auto"/>
              </w:rPr>
              <w:t>19</w:t>
            </w:r>
          </w:p>
        </w:tc>
        <w:tc>
          <w:tcPr>
            <w:tcW w:w="8557" w:type="dxa"/>
            <w:vAlign w:val="center"/>
          </w:tcPr>
          <w:p w14:paraId="681D4528">
            <w:pPr>
              <w:ind w:firstLine="0" w:firstLineChars="0"/>
              <w:rPr>
                <w:color w:val="auto"/>
              </w:rPr>
            </w:pPr>
            <w:r>
              <w:rPr>
                <w:rFonts w:hint="eastAsia"/>
                <w:color w:val="auto"/>
              </w:rPr>
              <w:t>本项目</w:t>
            </w:r>
            <w:r>
              <w:rPr>
                <w:rFonts w:hint="eastAsia"/>
                <w:color w:val="auto"/>
                <w:lang w:val="en-US" w:eastAsia="zh-CN"/>
              </w:rPr>
              <w:t>不</w:t>
            </w:r>
            <w:r>
              <w:rPr>
                <w:rFonts w:hint="eastAsia"/>
                <w:color w:val="auto"/>
              </w:rPr>
              <w:t>接受电子备份响应文件。</w:t>
            </w:r>
          </w:p>
        </w:tc>
      </w:tr>
      <w:tr w14:paraId="27433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38347D2C">
            <w:pPr>
              <w:ind w:firstLine="0" w:firstLineChars="0"/>
              <w:jc w:val="center"/>
              <w:rPr>
                <w:color w:val="auto"/>
              </w:rPr>
            </w:pPr>
            <w:r>
              <w:rPr>
                <w:color w:val="auto"/>
              </w:rPr>
              <w:t>20</w:t>
            </w:r>
            <w:r>
              <w:rPr>
                <w:rFonts w:hint="eastAsia"/>
                <w:color w:val="auto"/>
              </w:rPr>
              <w:t>.1</w:t>
            </w:r>
          </w:p>
        </w:tc>
        <w:tc>
          <w:tcPr>
            <w:tcW w:w="8557" w:type="dxa"/>
            <w:vAlign w:val="center"/>
          </w:tcPr>
          <w:p w14:paraId="6368A269">
            <w:pPr>
              <w:ind w:firstLine="0" w:firstLineChars="0"/>
              <w:contextualSpacing/>
              <w:rPr>
                <w:rFonts w:ascii="宋体" w:hAnsi="宋体" w:eastAsia="宋体" w:cs="宋体"/>
                <w:color w:val="auto"/>
                <w:u w:val="single"/>
              </w:rPr>
            </w:pPr>
            <w:r>
              <w:rPr>
                <w:rFonts w:hint="eastAsia" w:ascii="宋体" w:hAnsi="宋体" w:eastAsia="宋体" w:cs="宋体"/>
                <w:color w:val="auto"/>
              </w:rPr>
              <w:t>响应文件提交截止时间：详见竞争性磋商公告。</w:t>
            </w:r>
          </w:p>
          <w:p w14:paraId="4B4E1424">
            <w:pPr>
              <w:ind w:firstLine="0" w:firstLineChars="0"/>
              <w:contextualSpacing/>
              <w:rPr>
                <w:rFonts w:ascii="宋体" w:hAnsi="宋体" w:eastAsia="宋体" w:cs="宋体"/>
                <w:color w:val="auto"/>
              </w:rPr>
            </w:pPr>
            <w:r>
              <w:rPr>
                <w:rFonts w:hint="eastAsia" w:ascii="宋体" w:hAnsi="宋体" w:eastAsia="宋体" w:cs="宋体"/>
                <w:color w:val="auto"/>
              </w:rPr>
              <w:t>响应文件提交地点：详见竞争性磋商公告。</w:t>
            </w:r>
          </w:p>
        </w:tc>
      </w:tr>
      <w:tr w14:paraId="68A55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4CE01458">
            <w:pPr>
              <w:ind w:firstLine="0" w:firstLineChars="0"/>
              <w:jc w:val="center"/>
              <w:rPr>
                <w:color w:val="auto"/>
              </w:rPr>
            </w:pPr>
            <w:r>
              <w:rPr>
                <w:rFonts w:hint="eastAsia"/>
                <w:color w:val="auto"/>
              </w:rPr>
              <w:t>2</w:t>
            </w:r>
            <w:r>
              <w:rPr>
                <w:color w:val="auto"/>
              </w:rPr>
              <w:t>4</w:t>
            </w:r>
            <w:r>
              <w:rPr>
                <w:rFonts w:hint="eastAsia"/>
                <w:color w:val="auto"/>
              </w:rPr>
              <w:t>.1</w:t>
            </w:r>
          </w:p>
        </w:tc>
        <w:tc>
          <w:tcPr>
            <w:tcW w:w="8557" w:type="dxa"/>
            <w:vAlign w:val="center"/>
          </w:tcPr>
          <w:p w14:paraId="22C3C100">
            <w:pPr>
              <w:ind w:firstLine="0" w:firstLineChars="0"/>
              <w:rPr>
                <w:color w:val="auto"/>
                <w:u w:val="single"/>
              </w:rPr>
            </w:pPr>
            <w:r>
              <w:rPr>
                <w:rFonts w:hint="eastAsia"/>
                <w:color w:val="auto"/>
              </w:rPr>
              <w:t>磋商小组的人数：</w:t>
            </w:r>
            <w:r>
              <w:rPr>
                <w:b/>
                <w:bCs/>
                <w:color w:val="auto"/>
                <w:u w:val="single"/>
              </w:rPr>
              <w:t>3</w:t>
            </w:r>
            <w:r>
              <w:rPr>
                <w:rFonts w:hint="eastAsia"/>
                <w:color w:val="auto"/>
              </w:rPr>
              <w:t>人。</w:t>
            </w:r>
          </w:p>
        </w:tc>
      </w:tr>
      <w:tr w14:paraId="41B47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5AED5700">
            <w:pPr>
              <w:ind w:firstLine="0" w:firstLineChars="0"/>
              <w:jc w:val="center"/>
              <w:rPr>
                <w:color w:val="auto"/>
              </w:rPr>
            </w:pPr>
            <w:r>
              <w:rPr>
                <w:rFonts w:hint="eastAsia" w:ascii="宋体" w:hAnsi="宋体" w:eastAsia="宋体" w:cs="宋体"/>
                <w:color w:val="auto"/>
              </w:rPr>
              <w:t>2</w:t>
            </w:r>
            <w:r>
              <w:rPr>
                <w:rFonts w:ascii="宋体" w:hAnsi="宋体" w:eastAsia="宋体" w:cs="宋体"/>
                <w:color w:val="auto"/>
              </w:rPr>
              <w:t>5</w:t>
            </w:r>
          </w:p>
        </w:tc>
        <w:tc>
          <w:tcPr>
            <w:tcW w:w="8557" w:type="dxa"/>
            <w:vAlign w:val="center"/>
          </w:tcPr>
          <w:p w14:paraId="5CD8EA11">
            <w:pPr>
              <w:ind w:firstLine="0" w:firstLineChars="0"/>
              <w:rPr>
                <w:rFonts w:ascii="宋体" w:hAnsi="宋体" w:eastAsia="宋体" w:cs="宋体"/>
                <w:color w:val="auto"/>
              </w:rPr>
            </w:pPr>
            <w:r>
              <w:rPr>
                <w:rFonts w:hint="eastAsia" w:ascii="宋体" w:hAnsi="宋体" w:eastAsia="宋体" w:cs="宋体"/>
                <w:color w:val="auto"/>
              </w:rPr>
              <w:t>首次响应文件开启时间详见“竞争性磋商公告”</w:t>
            </w:r>
          </w:p>
          <w:p w14:paraId="3A410B62">
            <w:pPr>
              <w:ind w:firstLine="0" w:firstLineChars="0"/>
              <w:rPr>
                <w:iCs/>
                <w:color w:val="auto"/>
              </w:rPr>
            </w:pPr>
            <w:r>
              <w:rPr>
                <w:rFonts w:hint="eastAsia" w:ascii="宋体" w:hAnsi="宋体" w:cs="宋体"/>
                <w:color w:val="auto"/>
              </w:rPr>
              <w:t>首次响应文件解密时间：</w:t>
            </w:r>
            <w:r>
              <w:rPr>
                <w:rFonts w:hint="eastAsia" w:ascii="宋体" w:hAnsi="宋体"/>
                <w:b/>
                <w:bCs/>
                <w:color w:val="auto"/>
              </w:rPr>
              <w:t>响应文件提交截止时间后30分钟内，供应商必须在此时间段内登录</w:t>
            </w:r>
            <w:r>
              <w:rPr>
                <w:rFonts w:hint="eastAsia" w:ascii="宋体" w:hAnsi="宋体"/>
                <w:b/>
                <w:bCs/>
                <w:color w:val="auto"/>
                <w:lang w:eastAsia="zh-CN"/>
              </w:rPr>
              <w:t>广西政府采购云平台</w:t>
            </w:r>
            <w:r>
              <w:rPr>
                <w:rFonts w:hint="eastAsia" w:ascii="宋体" w:hAnsi="宋体"/>
                <w:b/>
                <w:bCs/>
                <w:color w:val="auto"/>
              </w:rPr>
              <w:t>，用“项目采购-开标评标”功能完成电子响应文件的解密。若供应商在规定时间内未按时解密的，视为响应文件撤回。</w:t>
            </w:r>
          </w:p>
        </w:tc>
      </w:tr>
      <w:tr w14:paraId="11FAA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1082" w:type="dxa"/>
            <w:vAlign w:val="center"/>
          </w:tcPr>
          <w:p w14:paraId="01FF9128">
            <w:pPr>
              <w:ind w:firstLine="0" w:firstLineChars="0"/>
              <w:jc w:val="center"/>
              <w:rPr>
                <w:color w:val="auto"/>
              </w:rPr>
            </w:pPr>
            <w:r>
              <w:rPr>
                <w:rFonts w:hint="eastAsia"/>
                <w:color w:val="auto"/>
              </w:rPr>
              <w:t>2</w:t>
            </w:r>
            <w:r>
              <w:rPr>
                <w:color w:val="auto"/>
              </w:rPr>
              <w:t>6.3</w:t>
            </w:r>
          </w:p>
        </w:tc>
        <w:tc>
          <w:tcPr>
            <w:tcW w:w="8557" w:type="dxa"/>
            <w:vAlign w:val="center"/>
          </w:tcPr>
          <w:p w14:paraId="4B17EE19">
            <w:pPr>
              <w:ind w:firstLine="0" w:firstLineChars="0"/>
              <w:rPr>
                <w:color w:val="auto"/>
              </w:rPr>
            </w:pPr>
            <w:r>
              <w:rPr>
                <w:rFonts w:hint="eastAsia"/>
                <w:color w:val="auto"/>
              </w:rPr>
              <w:t>商务要求评审中允许负偏离的条款数为</w:t>
            </w:r>
            <w:r>
              <w:rPr>
                <w:rFonts w:hint="eastAsia"/>
                <w:b/>
                <w:bCs/>
                <w:color w:val="auto"/>
                <w:u w:val="single"/>
              </w:rPr>
              <w:t>0</w:t>
            </w:r>
            <w:r>
              <w:rPr>
                <w:rFonts w:hint="eastAsia"/>
                <w:color w:val="auto"/>
              </w:rPr>
              <w:t>项。</w:t>
            </w:r>
          </w:p>
          <w:p w14:paraId="65364465">
            <w:pPr>
              <w:ind w:firstLine="0" w:firstLineChars="0"/>
              <w:rPr>
                <w:color w:val="auto"/>
              </w:rPr>
            </w:pPr>
            <w:r>
              <w:rPr>
                <w:rFonts w:hint="eastAsia"/>
                <w:color w:val="auto"/>
              </w:rPr>
              <w:t>技术要求评审中允许负偏离的条款数为</w:t>
            </w:r>
            <w:r>
              <w:rPr>
                <w:rFonts w:hint="eastAsia"/>
                <w:b/>
                <w:bCs/>
                <w:color w:val="auto"/>
                <w:u w:val="single"/>
              </w:rPr>
              <w:t>0</w:t>
            </w:r>
            <w:r>
              <w:rPr>
                <w:rFonts w:hint="eastAsia"/>
                <w:color w:val="auto"/>
              </w:rPr>
              <w:t>项。</w:t>
            </w:r>
          </w:p>
        </w:tc>
      </w:tr>
      <w:tr w14:paraId="2FA22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554CB2B1">
            <w:pPr>
              <w:ind w:firstLine="0" w:firstLineChars="0"/>
              <w:jc w:val="center"/>
              <w:rPr>
                <w:color w:val="auto"/>
              </w:rPr>
            </w:pPr>
            <w:r>
              <w:rPr>
                <w:color w:val="auto"/>
              </w:rPr>
              <w:t>28.1</w:t>
            </w:r>
          </w:p>
        </w:tc>
        <w:tc>
          <w:tcPr>
            <w:tcW w:w="8557" w:type="dxa"/>
            <w:vAlign w:val="center"/>
          </w:tcPr>
          <w:p w14:paraId="366FAB6B">
            <w:pPr>
              <w:widowControl w:val="0"/>
              <w:autoSpaceDE w:val="0"/>
              <w:autoSpaceDN w:val="0"/>
              <w:snapToGrid w:val="0"/>
              <w:ind w:firstLine="0" w:firstLineChars="0"/>
              <w:jc w:val="both"/>
              <w:textAlignment w:val="bottom"/>
              <w:rPr>
                <w:rFonts w:ascii="宋体" w:hAnsi="宋体" w:eastAsia="宋体" w:cs="Times New Roman"/>
                <w:b/>
                <w:bCs/>
                <w:color w:val="auto"/>
              </w:rPr>
            </w:pPr>
            <w:r>
              <w:rPr>
                <w:rFonts w:ascii="宋体" w:hAnsi="宋体"/>
                <w:b/>
                <w:bCs/>
                <w:color w:val="auto"/>
              </w:rPr>
              <w:fldChar w:fldCharType="begin"/>
            </w:r>
            <w:r>
              <w:rPr>
                <w:rFonts w:hint="eastAsia" w:ascii="宋体" w:hAnsi="宋体"/>
                <w:b/>
                <w:bCs/>
                <w:color w:val="auto"/>
              </w:rPr>
              <w:instrText xml:space="preserve">eq \o\ac(□)</w:instrText>
            </w:r>
            <w:r>
              <w:rPr>
                <w:rFonts w:ascii="宋体" w:hAnsi="宋体"/>
                <w:b/>
                <w:bCs/>
                <w:color w:val="auto"/>
              </w:rPr>
              <w:fldChar w:fldCharType="end"/>
            </w:r>
            <w:r>
              <w:rPr>
                <w:rFonts w:hint="eastAsia" w:ascii="宋体" w:hAnsi="宋体" w:eastAsia="宋体" w:cs="Times New Roman"/>
                <w:b/>
                <w:bCs/>
                <w:color w:val="auto"/>
              </w:rPr>
              <w:t>本项目不收取履约保证金。</w:t>
            </w:r>
          </w:p>
          <w:p w14:paraId="3E808ED9">
            <w:pPr>
              <w:ind w:firstLine="0" w:firstLineChars="0"/>
              <w:rPr>
                <w:color w:val="auto"/>
              </w:rPr>
            </w:pPr>
            <w:r>
              <w:rPr>
                <w:rFonts w:hint="eastAsia" w:ascii="宋体" w:hAnsi="宋体" w:eastAsia="宋体" w:cs="Times New Roman"/>
                <w:color w:val="auto"/>
                <w:lang w:eastAsia="zh-CN"/>
              </w:rPr>
              <w:t>☑</w:t>
            </w:r>
            <w:r>
              <w:rPr>
                <w:rFonts w:hint="eastAsia" w:ascii="宋体" w:hAnsi="宋体" w:eastAsia="宋体" w:cs="Times New Roman"/>
                <w:color w:val="auto"/>
              </w:rPr>
              <w:t>本项目收取履约保证金。</w:t>
            </w:r>
          </w:p>
        </w:tc>
      </w:tr>
      <w:tr w14:paraId="6DDF7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12C98CD6">
            <w:pPr>
              <w:ind w:firstLine="0" w:firstLineChars="0"/>
              <w:jc w:val="center"/>
              <w:rPr>
                <w:color w:val="auto"/>
              </w:rPr>
            </w:pPr>
            <w:r>
              <w:rPr>
                <w:rFonts w:ascii="宋体" w:hAnsi="宋体" w:cs="宋体"/>
                <w:color w:val="auto"/>
              </w:rPr>
              <w:t>29.1</w:t>
            </w:r>
          </w:p>
        </w:tc>
        <w:tc>
          <w:tcPr>
            <w:tcW w:w="8557" w:type="dxa"/>
            <w:vAlign w:val="center"/>
          </w:tcPr>
          <w:p w14:paraId="125E49F3">
            <w:pPr>
              <w:autoSpaceDE w:val="0"/>
              <w:autoSpaceDN w:val="0"/>
              <w:snapToGrid w:val="0"/>
              <w:ind w:firstLine="0" w:firstLineChars="0"/>
              <w:textAlignment w:val="bottom"/>
              <w:rPr>
                <w:rFonts w:ascii="宋体" w:hAnsi="宋体"/>
                <w:color w:val="auto"/>
              </w:rPr>
            </w:pPr>
            <w:r>
              <w:rPr>
                <w:rFonts w:hint="eastAsia" w:ascii="宋体" w:hAnsi="宋体"/>
                <w:color w:val="auto"/>
              </w:rPr>
              <w:t xml:space="preserve">签订合同携带的证明材料： </w:t>
            </w:r>
          </w:p>
          <w:p w14:paraId="1A95E615">
            <w:pPr>
              <w:autoSpaceDE w:val="0"/>
              <w:autoSpaceDN w:val="0"/>
              <w:snapToGrid w:val="0"/>
              <w:ind w:firstLine="420"/>
              <w:textAlignment w:val="bottom"/>
              <w:rPr>
                <w:rFonts w:ascii="宋体" w:hAnsi="宋体"/>
                <w:color w:val="auto"/>
              </w:rPr>
            </w:pPr>
            <w:r>
              <w:rPr>
                <w:rFonts w:hint="eastAsia" w:ascii="宋体" w:hAnsi="宋体"/>
                <w:color w:val="auto"/>
              </w:rPr>
              <w:t>委托代理人负责签订合同的，须携带授权委托书及委托代理人身份证原件等其他资格证件。</w:t>
            </w:r>
          </w:p>
          <w:p w14:paraId="047BEE38">
            <w:pPr>
              <w:autoSpaceDE w:val="0"/>
              <w:autoSpaceDN w:val="0"/>
              <w:snapToGrid w:val="0"/>
              <w:ind w:firstLine="420"/>
              <w:textAlignment w:val="bottom"/>
              <w:rPr>
                <w:rFonts w:ascii="宋体" w:hAnsi="宋体"/>
                <w:color w:val="auto"/>
              </w:rPr>
            </w:pPr>
            <w:r>
              <w:rPr>
                <w:rFonts w:hint="eastAsia" w:ascii="宋体" w:hAnsi="宋体"/>
                <w:color w:val="auto"/>
              </w:rPr>
              <w:t>法定代表人负责签订合同的，须携带法定代表人</w:t>
            </w:r>
            <w:r>
              <w:rPr>
                <w:rFonts w:ascii="宋体" w:hAnsi="宋体"/>
                <w:color w:val="auto"/>
              </w:rPr>
              <w:t>身份证明原件</w:t>
            </w:r>
            <w:r>
              <w:rPr>
                <w:rFonts w:hint="eastAsia" w:ascii="宋体" w:hAnsi="宋体"/>
                <w:color w:val="auto"/>
              </w:rPr>
              <w:t>及</w:t>
            </w:r>
            <w:r>
              <w:rPr>
                <w:rFonts w:ascii="宋体" w:hAnsi="宋体"/>
                <w:color w:val="auto"/>
              </w:rPr>
              <w:t>身份证原件</w:t>
            </w:r>
            <w:r>
              <w:rPr>
                <w:rFonts w:hint="eastAsia" w:ascii="宋体" w:hAnsi="宋体"/>
                <w:color w:val="auto"/>
              </w:rPr>
              <w:t>等其他证明材料。</w:t>
            </w:r>
          </w:p>
        </w:tc>
      </w:tr>
      <w:tr w14:paraId="64D3A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6B1BFEF1">
            <w:pPr>
              <w:ind w:firstLine="0" w:firstLineChars="0"/>
              <w:jc w:val="center"/>
              <w:rPr>
                <w:color w:val="auto"/>
              </w:rPr>
            </w:pPr>
            <w:r>
              <w:rPr>
                <w:rFonts w:hint="eastAsia"/>
                <w:color w:val="auto"/>
              </w:rPr>
              <w:t>3</w:t>
            </w:r>
            <w:r>
              <w:rPr>
                <w:color w:val="auto"/>
              </w:rPr>
              <w:t>1.2</w:t>
            </w:r>
          </w:p>
        </w:tc>
        <w:tc>
          <w:tcPr>
            <w:tcW w:w="8557" w:type="dxa"/>
            <w:vAlign w:val="center"/>
          </w:tcPr>
          <w:p w14:paraId="7CC43531">
            <w:pPr>
              <w:ind w:firstLine="0" w:firstLineChars="0"/>
              <w:rPr>
                <w:color w:val="auto"/>
              </w:rPr>
            </w:pPr>
            <w:r>
              <w:rPr>
                <w:rFonts w:hint="eastAsia"/>
                <w:color w:val="auto"/>
              </w:rPr>
              <w:t>接收质疑函方式：以书面形式。</w:t>
            </w:r>
          </w:p>
          <w:p w14:paraId="26FE4A82">
            <w:pPr>
              <w:ind w:firstLine="420"/>
              <w:rPr>
                <w:color w:val="auto"/>
              </w:rPr>
            </w:pPr>
            <w:r>
              <w:rPr>
                <w:rFonts w:hint="eastAsia"/>
                <w:color w:val="auto"/>
              </w:rPr>
              <w:t>质疑联系部门及联系方式：华物盛泰工程咨询管理有限公司招标部门</w:t>
            </w:r>
          </w:p>
          <w:p w14:paraId="0C28D04D">
            <w:pPr>
              <w:ind w:firstLine="420"/>
              <w:rPr>
                <w:color w:val="auto"/>
              </w:rPr>
            </w:pPr>
            <w:r>
              <w:rPr>
                <w:rFonts w:hint="eastAsia"/>
                <w:color w:val="auto"/>
              </w:rPr>
              <w:t>联系电话：</w:t>
            </w:r>
            <w:r>
              <w:rPr>
                <w:color w:val="auto"/>
              </w:rPr>
              <w:t>0771-5581861</w:t>
            </w:r>
            <w:r>
              <w:rPr>
                <w:rFonts w:hint="eastAsia"/>
                <w:color w:val="auto"/>
              </w:rPr>
              <w:t>，通讯地址：南宁市青秀区百花岭路10号百花苑小区6栋2层。</w:t>
            </w:r>
          </w:p>
          <w:p w14:paraId="4778A2A1">
            <w:pPr>
              <w:ind w:firstLine="420"/>
              <w:rPr>
                <w:rFonts w:ascii="Times New Roman"/>
                <w:color w:val="auto"/>
                <w:szCs w:val="24"/>
              </w:rPr>
            </w:pPr>
            <w:r>
              <w:rPr>
                <w:rFonts w:hint="eastAsia" w:ascii="Times New Roman"/>
                <w:color w:val="auto"/>
                <w:szCs w:val="24"/>
              </w:rPr>
              <w:t>业务时间：工作日每天上午</w:t>
            </w:r>
            <w:r>
              <w:rPr>
                <w:rFonts w:hint="eastAsia" w:ascii="宋体" w:hAnsi="宋体"/>
                <w:color w:val="auto"/>
              </w:rPr>
              <w:t>8时30分到12时00分，15时00分到17时30分，业务时间以外、双休日和法定节假日不办理业务。</w:t>
            </w:r>
          </w:p>
        </w:tc>
      </w:tr>
      <w:tr w14:paraId="66171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3AEFBF1A">
            <w:pPr>
              <w:ind w:firstLine="0" w:firstLineChars="0"/>
              <w:jc w:val="center"/>
              <w:rPr>
                <w:color w:val="auto"/>
              </w:rPr>
            </w:pPr>
            <w:r>
              <w:rPr>
                <w:color w:val="auto"/>
              </w:rPr>
              <w:t>32.1</w:t>
            </w:r>
          </w:p>
        </w:tc>
        <w:tc>
          <w:tcPr>
            <w:tcW w:w="8557" w:type="dxa"/>
            <w:vAlign w:val="center"/>
          </w:tcPr>
          <w:p w14:paraId="207EEC67">
            <w:pPr>
              <w:ind w:firstLine="0" w:firstLineChars="0"/>
              <w:rPr>
                <w:color w:val="auto"/>
                <w:kern w:val="0"/>
              </w:rPr>
            </w:pPr>
            <w:r>
              <w:rPr>
                <w:rFonts w:hint="eastAsia"/>
                <w:color w:val="auto"/>
                <w:kern w:val="0"/>
              </w:rPr>
              <w:t>1.采购代理费支付方式：</w:t>
            </w:r>
          </w:p>
          <w:p w14:paraId="41A6C026">
            <w:pPr>
              <w:ind w:firstLine="422"/>
              <w:rPr>
                <w:b/>
                <w:bCs/>
                <w:color w:val="auto"/>
                <w:kern w:val="0"/>
              </w:rPr>
            </w:pPr>
            <w:r>
              <w:rPr>
                <w:rFonts w:hAnsi="宋体"/>
                <w:b/>
                <w:bCs/>
                <w:color w:val="auto"/>
              </w:rPr>
              <w:fldChar w:fldCharType="begin"/>
            </w:r>
            <w:r>
              <w:rPr>
                <w:rFonts w:hint="eastAsia" w:hAnsi="宋体"/>
                <w:b/>
                <w:bCs/>
                <w:color w:val="auto"/>
              </w:rPr>
              <w:instrText xml:space="preserve">eq \o\ac(□,√)</w:instrText>
            </w:r>
            <w:r>
              <w:rPr>
                <w:rFonts w:hAnsi="宋体"/>
                <w:b/>
                <w:bCs/>
                <w:color w:val="auto"/>
              </w:rPr>
              <w:fldChar w:fldCharType="end"/>
            </w:r>
            <w:r>
              <w:rPr>
                <w:rFonts w:hint="eastAsia"/>
                <w:b/>
                <w:bCs/>
                <w:color w:val="auto"/>
                <w:kern w:val="0"/>
              </w:rPr>
              <w:t>本项目代理服务费由</w:t>
            </w:r>
            <w:r>
              <w:rPr>
                <w:rFonts w:hint="eastAsia"/>
                <w:b/>
                <w:bCs/>
                <w:color w:val="auto"/>
                <w:kern w:val="0"/>
                <w:u w:val="single"/>
              </w:rPr>
              <w:t xml:space="preserve"> 成交供应商 </w:t>
            </w:r>
            <w:r>
              <w:rPr>
                <w:rFonts w:hint="eastAsia"/>
                <w:b/>
                <w:bCs/>
                <w:color w:val="auto"/>
                <w:kern w:val="0"/>
                <w:lang w:val="en-US" w:eastAsia="zh-CN"/>
              </w:rPr>
              <w:t>合同签订前</w:t>
            </w:r>
            <w:r>
              <w:rPr>
                <w:rFonts w:hint="eastAsia"/>
                <w:b/>
                <w:bCs/>
                <w:color w:val="auto"/>
                <w:kern w:val="0"/>
              </w:rPr>
              <w:t>，一次性向采购代理机构支付。</w:t>
            </w:r>
          </w:p>
          <w:p w14:paraId="333B5B13">
            <w:pPr>
              <w:ind w:firstLine="420"/>
              <w:rPr>
                <w:color w:val="auto"/>
                <w:kern w:val="0"/>
              </w:rPr>
            </w:pPr>
            <w:r>
              <w:rPr>
                <w:rFonts w:hint="eastAsia"/>
                <w:color w:val="auto"/>
                <w:kern w:val="0"/>
              </w:rPr>
              <w:t>□采购人支付。</w:t>
            </w:r>
          </w:p>
          <w:p w14:paraId="49CB414A">
            <w:pPr>
              <w:ind w:firstLine="0" w:firstLineChars="0"/>
              <w:rPr>
                <w:color w:val="auto"/>
                <w:kern w:val="0"/>
              </w:rPr>
            </w:pPr>
            <w:r>
              <w:rPr>
                <w:rFonts w:hint="eastAsia"/>
                <w:color w:val="auto"/>
                <w:kern w:val="0"/>
              </w:rPr>
              <w:t>2.采购代理费收取标准：</w:t>
            </w:r>
          </w:p>
          <w:p w14:paraId="606450E1">
            <w:pPr>
              <w:ind w:firstLine="422"/>
              <w:rPr>
                <w:color w:val="auto"/>
                <w:kern w:val="0"/>
              </w:rPr>
            </w:pPr>
            <w:r>
              <w:rPr>
                <w:rFonts w:hAnsi="宋体"/>
                <w:b/>
                <w:bCs/>
                <w:color w:val="auto"/>
              </w:rPr>
              <w:fldChar w:fldCharType="begin"/>
            </w:r>
            <w:r>
              <w:rPr>
                <w:rFonts w:hint="eastAsia" w:hAnsi="宋体"/>
                <w:b/>
                <w:bCs/>
                <w:color w:val="auto"/>
              </w:rPr>
              <w:instrText xml:space="preserve">eq \o\ac(□,</w:instrText>
            </w:r>
            <w:r>
              <w:rPr>
                <w:rFonts w:hint="eastAsia" w:hAnsi="宋体"/>
                <w:b/>
                <w:bCs/>
                <w:color w:val="auto"/>
                <w:position w:val="2"/>
                <w:sz w:val="13"/>
              </w:rPr>
              <w:instrText xml:space="preserve">√</w:instrText>
            </w:r>
            <w:r>
              <w:rPr>
                <w:rFonts w:hint="eastAsia" w:hAnsi="宋体"/>
                <w:b/>
                <w:bCs/>
                <w:color w:val="auto"/>
              </w:rPr>
              <w:instrText xml:space="preserve">)</w:instrText>
            </w:r>
            <w:r>
              <w:rPr>
                <w:rFonts w:hAnsi="宋体"/>
                <w:b/>
                <w:bCs/>
                <w:color w:val="auto"/>
              </w:rPr>
              <w:fldChar w:fldCharType="end"/>
            </w:r>
            <w:r>
              <w:rPr>
                <w:rFonts w:hint="eastAsia"/>
                <w:b/>
                <w:bCs/>
                <w:color w:val="auto"/>
                <w:kern w:val="0"/>
              </w:rPr>
              <w:t>以</w:t>
            </w:r>
            <w:r>
              <w:rPr>
                <w:rFonts w:hint="eastAsia" w:hAnsi="宋体" w:cs="宋体"/>
                <w:b/>
                <w:bCs/>
                <w:color w:val="auto"/>
              </w:rPr>
              <w:t>项目</w:t>
            </w:r>
            <w:r>
              <w:rPr>
                <w:rFonts w:hint="eastAsia"/>
                <w:color w:val="auto"/>
                <w:kern w:val="0"/>
              </w:rPr>
              <w:t>（</w:t>
            </w:r>
            <w:r>
              <w:rPr>
                <w:rFonts w:hAnsi="宋体"/>
                <w:b/>
                <w:bCs/>
                <w:color w:val="auto"/>
              </w:rPr>
              <w:fldChar w:fldCharType="begin"/>
            </w:r>
            <w:r>
              <w:rPr>
                <w:rFonts w:hint="eastAsia" w:hAnsi="宋体"/>
                <w:b/>
                <w:bCs/>
                <w:color w:val="auto"/>
              </w:rPr>
              <w:instrText xml:space="preserve">eq \o\ac(□,</w:instrText>
            </w:r>
            <w:r>
              <w:rPr>
                <w:rFonts w:hint="eastAsia" w:hAnsi="宋体"/>
                <w:b/>
                <w:bCs/>
                <w:color w:val="auto"/>
                <w:position w:val="2"/>
                <w:sz w:val="13"/>
              </w:rPr>
              <w:instrText xml:space="preserve">√</w:instrText>
            </w:r>
            <w:r>
              <w:rPr>
                <w:rFonts w:hint="eastAsia" w:hAnsi="宋体"/>
                <w:b/>
                <w:bCs/>
                <w:color w:val="auto"/>
              </w:rPr>
              <w:instrText xml:space="preserve">)</w:instrText>
            </w:r>
            <w:r>
              <w:rPr>
                <w:rFonts w:hAnsi="宋体"/>
                <w:b/>
                <w:bCs/>
                <w:color w:val="auto"/>
              </w:rPr>
              <w:fldChar w:fldCharType="end"/>
            </w:r>
            <w:r>
              <w:rPr>
                <w:rFonts w:hint="eastAsia"/>
                <w:b/>
                <w:bCs/>
                <w:color w:val="auto"/>
                <w:kern w:val="0"/>
              </w:rPr>
              <w:t>成交金额</w:t>
            </w:r>
            <w:r>
              <w:rPr>
                <w:rFonts w:hint="eastAsia"/>
                <w:color w:val="auto"/>
                <w:kern w:val="0"/>
              </w:rPr>
              <w:t>/□采购预算/□暂定成交金额/□其他</w:t>
            </w:r>
            <w:r>
              <w:rPr>
                <w:rFonts w:hint="eastAsia" w:hAnsi="宋体" w:cs="宋体"/>
                <w:color w:val="auto"/>
                <w:u w:val="single"/>
              </w:rPr>
              <w:t>/</w:t>
            </w:r>
            <w:r>
              <w:rPr>
                <w:rFonts w:hint="eastAsia"/>
                <w:color w:val="auto"/>
                <w:kern w:val="0"/>
              </w:rPr>
              <w:t>）为计费额，按本须知正文第</w:t>
            </w:r>
            <w:r>
              <w:rPr>
                <w:color w:val="auto"/>
                <w:kern w:val="0"/>
              </w:rPr>
              <w:t>32</w:t>
            </w:r>
            <w:r>
              <w:rPr>
                <w:rFonts w:hint="eastAsia"/>
                <w:color w:val="auto"/>
                <w:kern w:val="0"/>
              </w:rPr>
              <w:t>.</w:t>
            </w:r>
            <w:r>
              <w:rPr>
                <w:color w:val="auto"/>
                <w:kern w:val="0"/>
              </w:rPr>
              <w:t>2</w:t>
            </w:r>
            <w:r>
              <w:rPr>
                <w:rFonts w:hint="eastAsia"/>
                <w:color w:val="auto"/>
                <w:kern w:val="0"/>
              </w:rPr>
              <w:t>条规定的收费计算标准（□货物类/</w:t>
            </w:r>
            <w:r>
              <w:rPr>
                <w:rFonts w:hAnsi="宋体"/>
                <w:b/>
                <w:bCs/>
                <w:color w:val="auto"/>
              </w:rPr>
              <w:fldChar w:fldCharType="begin"/>
            </w:r>
            <w:r>
              <w:rPr>
                <w:rFonts w:hint="eastAsia" w:hAnsi="宋体"/>
                <w:b/>
                <w:bCs/>
                <w:color w:val="auto"/>
              </w:rPr>
              <w:instrText xml:space="preserve">eq \o\ac(□</w:instrText>
            </w:r>
            <w:r>
              <w:rPr>
                <w:rFonts w:hint="eastAsia" w:hAnsi="宋体"/>
                <w:b/>
                <w:bCs/>
                <w:color w:val="auto"/>
                <w:lang w:eastAsia="zh-CN"/>
              </w:rPr>
              <w:instrText xml:space="preserve">,</w:instrText>
            </w:r>
            <w:r>
              <w:rPr>
                <w:rFonts w:hint="eastAsia" w:hAnsi="宋体"/>
                <w:b/>
                <w:bCs/>
                <w:color w:val="auto"/>
                <w:position w:val="2"/>
                <w:sz w:val="13"/>
                <w:lang w:eastAsia="zh-CN"/>
              </w:rPr>
              <w:instrText xml:space="preserve">√</w:instrText>
            </w:r>
            <w:r>
              <w:rPr>
                <w:rFonts w:hint="eastAsia" w:hAnsi="宋体"/>
                <w:b/>
                <w:bCs/>
                <w:color w:val="auto"/>
              </w:rPr>
              <w:instrText xml:space="preserve">)</w:instrText>
            </w:r>
            <w:r>
              <w:rPr>
                <w:rFonts w:hAnsi="宋体"/>
                <w:b/>
                <w:bCs/>
                <w:color w:val="auto"/>
              </w:rPr>
              <w:fldChar w:fldCharType="end"/>
            </w:r>
            <w:r>
              <w:rPr>
                <w:rFonts w:hint="eastAsia"/>
                <w:b/>
                <w:bCs/>
                <w:color w:val="auto"/>
                <w:kern w:val="0"/>
              </w:rPr>
              <w:t>服务类</w:t>
            </w:r>
            <w:r>
              <w:rPr>
                <w:rFonts w:hint="eastAsia"/>
                <w:color w:val="auto"/>
                <w:kern w:val="0"/>
              </w:rPr>
              <w:t>/</w:t>
            </w:r>
            <w:r>
              <w:rPr>
                <w:rFonts w:hint="eastAsia"/>
                <w:color w:val="auto"/>
                <w:kern w:val="0"/>
                <w:lang w:eastAsia="zh-CN"/>
              </w:rPr>
              <w:t>□</w:t>
            </w:r>
            <w:r>
              <w:rPr>
                <w:rFonts w:hint="eastAsia"/>
                <w:color w:val="auto"/>
                <w:kern w:val="0"/>
              </w:rPr>
              <w:t>工程类）采用差额定率累进法计算出收费基准价格，采购代理收费以（</w:t>
            </w:r>
            <w:r>
              <w:rPr>
                <w:rFonts w:hAnsi="宋体"/>
                <w:b/>
                <w:bCs/>
                <w:color w:val="auto"/>
              </w:rPr>
              <w:fldChar w:fldCharType="begin"/>
            </w:r>
            <w:r>
              <w:rPr>
                <w:rFonts w:hint="eastAsia" w:hAnsi="宋体"/>
                <w:b/>
                <w:bCs/>
                <w:color w:val="auto"/>
              </w:rPr>
              <w:instrText xml:space="preserve">eq \o\ac(□,</w:instrText>
            </w:r>
            <w:r>
              <w:rPr>
                <w:rFonts w:hint="eastAsia" w:hAnsi="宋体"/>
                <w:b/>
                <w:bCs/>
                <w:color w:val="auto"/>
                <w:position w:val="2"/>
                <w:sz w:val="13"/>
              </w:rPr>
              <w:instrText xml:space="preserve">√</w:instrText>
            </w:r>
            <w:r>
              <w:rPr>
                <w:rFonts w:hint="eastAsia" w:hAnsi="宋体"/>
                <w:b/>
                <w:bCs/>
                <w:color w:val="auto"/>
              </w:rPr>
              <w:instrText xml:space="preserve">)</w:instrText>
            </w:r>
            <w:r>
              <w:rPr>
                <w:rFonts w:hAnsi="宋体"/>
                <w:b/>
                <w:bCs/>
                <w:color w:val="auto"/>
              </w:rPr>
              <w:fldChar w:fldCharType="end"/>
            </w:r>
            <w:r>
              <w:rPr>
                <w:rFonts w:hint="eastAsia"/>
                <w:b/>
                <w:bCs/>
                <w:color w:val="auto"/>
                <w:kern w:val="0"/>
              </w:rPr>
              <w:t>收费基准价格</w:t>
            </w:r>
            <w:r>
              <w:rPr>
                <w:rFonts w:hint="eastAsia"/>
                <w:color w:val="auto"/>
                <w:kern w:val="0"/>
              </w:rPr>
              <w:t>/□收费基准价格下浮</w:t>
            </w:r>
            <w:r>
              <w:rPr>
                <w:rFonts w:hint="eastAsia" w:hAnsi="宋体" w:cs="宋体"/>
                <w:color w:val="auto"/>
                <w:u w:val="single"/>
                <w:lang w:val="en-US" w:eastAsia="zh-CN"/>
              </w:rPr>
              <w:t>20</w:t>
            </w:r>
            <w:r>
              <w:rPr>
                <w:rFonts w:hint="eastAsia"/>
                <w:color w:val="auto"/>
                <w:kern w:val="0"/>
              </w:rPr>
              <w:t>%</w:t>
            </w:r>
            <w:r>
              <w:rPr>
                <w:color w:val="auto"/>
                <w:kern w:val="0"/>
              </w:rPr>
              <w:t>/</w:t>
            </w:r>
            <w:r>
              <w:rPr>
                <w:rFonts w:hint="eastAsia"/>
                <w:color w:val="auto"/>
                <w:kern w:val="0"/>
              </w:rPr>
              <w:t>□收费基准价格上浮</w:t>
            </w:r>
            <w:r>
              <w:rPr>
                <w:rFonts w:hint="eastAsia" w:hAnsi="宋体" w:cs="宋体"/>
                <w:color w:val="auto"/>
                <w:u w:val="single"/>
              </w:rPr>
              <w:t>/</w:t>
            </w:r>
            <w:r>
              <w:rPr>
                <w:rFonts w:hint="eastAsia"/>
                <w:color w:val="auto"/>
                <w:kern w:val="0"/>
              </w:rPr>
              <w:t>%）收取。</w:t>
            </w:r>
          </w:p>
          <w:p w14:paraId="0FA74AB6">
            <w:pPr>
              <w:pStyle w:val="18"/>
              <w:snapToGrid w:val="0"/>
              <w:spacing w:line="380" w:lineRule="exact"/>
              <w:ind w:firstLine="400"/>
              <w:rPr>
                <w:rFonts w:hAnsi="宋体"/>
                <w:color w:val="auto"/>
              </w:rPr>
            </w:pPr>
            <w:r>
              <w:rPr>
                <w:rFonts w:hint="eastAsia" w:hAnsi="宋体"/>
                <w:color w:val="auto"/>
              </w:rPr>
              <w:t>代理服务收费标准：</w:t>
            </w:r>
          </w:p>
          <w:tbl>
            <w:tblPr>
              <w:tblStyle w:val="30"/>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0"/>
              <w:gridCol w:w="1684"/>
              <w:gridCol w:w="1555"/>
              <w:gridCol w:w="1569"/>
            </w:tblGrid>
            <w:tr w14:paraId="6B80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Borders>
                    <w:top w:val="single" w:color="auto" w:sz="4" w:space="0"/>
                    <w:left w:val="single" w:color="auto" w:sz="4" w:space="0"/>
                    <w:bottom w:val="single" w:color="auto" w:sz="4" w:space="0"/>
                    <w:right w:val="single" w:color="auto" w:sz="4" w:space="0"/>
                  </w:tcBorders>
                </w:tcPr>
                <w:p w14:paraId="62D286DE">
                  <w:pPr>
                    <w:spacing w:line="360" w:lineRule="exact"/>
                    <w:ind w:firstLine="420"/>
                    <w:rPr>
                      <w:rFonts w:ascii="宋体" w:hAnsi="宋体"/>
                      <w:color w:val="auto"/>
                    </w:rPr>
                  </w:pPr>
                  <w:r>
                    <w:rPr>
                      <w:rFonts w:hint="eastAsia" w:ascii="宋体" w:hAnsi="宋体"/>
                      <w:color w:val="auto"/>
                    </w:rPr>
                    <w:t xml:space="preserve">               费率</w:t>
                  </w:r>
                </w:p>
                <w:p w14:paraId="6B22E4F7">
                  <w:pPr>
                    <w:spacing w:line="360" w:lineRule="exact"/>
                    <w:ind w:firstLine="420"/>
                    <w:rPr>
                      <w:rFonts w:ascii="宋体" w:hAnsi="宋体"/>
                      <w:color w:val="auto"/>
                    </w:rPr>
                  </w:pPr>
                  <w:r>
                    <w:rPr>
                      <w:rFonts w:hint="eastAsia" w:ascii="宋体" w:hAnsi="宋体"/>
                      <w:color w:val="auto"/>
                    </w:rPr>
                    <w:t>中标金额（万元）</w:t>
                  </w:r>
                </w:p>
              </w:tc>
              <w:tc>
                <w:tcPr>
                  <w:tcW w:w="1022" w:type="pct"/>
                  <w:tcBorders>
                    <w:top w:val="single" w:color="auto" w:sz="4" w:space="0"/>
                    <w:left w:val="single" w:color="auto" w:sz="4" w:space="0"/>
                    <w:bottom w:val="single" w:color="auto" w:sz="4" w:space="0"/>
                    <w:right w:val="single" w:color="auto" w:sz="4" w:space="0"/>
                  </w:tcBorders>
                  <w:vAlign w:val="center"/>
                </w:tcPr>
                <w:p w14:paraId="33EE961B">
                  <w:pPr>
                    <w:spacing w:line="360" w:lineRule="exact"/>
                    <w:ind w:firstLine="105" w:firstLineChars="50"/>
                    <w:jc w:val="center"/>
                    <w:rPr>
                      <w:rFonts w:ascii="宋体" w:hAnsi="宋体"/>
                      <w:color w:val="auto"/>
                    </w:rPr>
                  </w:pPr>
                  <w:r>
                    <w:rPr>
                      <w:rFonts w:hint="eastAsia" w:ascii="宋体" w:hAnsi="宋体"/>
                      <w:color w:val="auto"/>
                    </w:rPr>
                    <w:t>货物招标</w:t>
                  </w:r>
                </w:p>
              </w:tc>
              <w:tc>
                <w:tcPr>
                  <w:tcW w:w="944" w:type="pct"/>
                  <w:tcBorders>
                    <w:top w:val="single" w:color="auto" w:sz="4" w:space="0"/>
                    <w:left w:val="single" w:color="auto" w:sz="4" w:space="0"/>
                    <w:bottom w:val="single" w:color="auto" w:sz="4" w:space="0"/>
                    <w:right w:val="single" w:color="auto" w:sz="4" w:space="0"/>
                  </w:tcBorders>
                  <w:vAlign w:val="center"/>
                </w:tcPr>
                <w:p w14:paraId="6C1FB989">
                  <w:pPr>
                    <w:spacing w:line="360" w:lineRule="exact"/>
                    <w:ind w:firstLine="420"/>
                    <w:jc w:val="center"/>
                    <w:rPr>
                      <w:rFonts w:ascii="宋体" w:hAnsi="宋体"/>
                      <w:color w:val="auto"/>
                    </w:rPr>
                  </w:pPr>
                  <w:r>
                    <w:rPr>
                      <w:rFonts w:hint="eastAsia" w:ascii="宋体" w:hAnsi="宋体"/>
                      <w:color w:val="auto"/>
                    </w:rPr>
                    <w:t>服务招标</w:t>
                  </w:r>
                </w:p>
              </w:tc>
              <w:tc>
                <w:tcPr>
                  <w:tcW w:w="953" w:type="pct"/>
                  <w:tcBorders>
                    <w:top w:val="single" w:color="auto" w:sz="4" w:space="0"/>
                    <w:left w:val="single" w:color="auto" w:sz="4" w:space="0"/>
                    <w:bottom w:val="single" w:color="auto" w:sz="4" w:space="0"/>
                    <w:right w:val="single" w:color="auto" w:sz="4" w:space="0"/>
                  </w:tcBorders>
                  <w:vAlign w:val="center"/>
                </w:tcPr>
                <w:p w14:paraId="6861480A">
                  <w:pPr>
                    <w:spacing w:line="360" w:lineRule="exact"/>
                    <w:ind w:firstLine="420"/>
                    <w:jc w:val="center"/>
                    <w:rPr>
                      <w:rFonts w:ascii="宋体" w:hAnsi="宋体"/>
                      <w:color w:val="auto"/>
                    </w:rPr>
                  </w:pPr>
                  <w:r>
                    <w:rPr>
                      <w:rFonts w:hint="eastAsia" w:ascii="宋体" w:hAnsi="宋体"/>
                      <w:color w:val="auto"/>
                    </w:rPr>
                    <w:t>工程招标</w:t>
                  </w:r>
                </w:p>
              </w:tc>
            </w:tr>
            <w:tr w14:paraId="23BF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Borders>
                    <w:top w:val="single" w:color="auto" w:sz="4" w:space="0"/>
                    <w:left w:val="single" w:color="auto" w:sz="4" w:space="0"/>
                    <w:bottom w:val="single" w:color="auto" w:sz="4" w:space="0"/>
                    <w:right w:val="single" w:color="auto" w:sz="4" w:space="0"/>
                  </w:tcBorders>
                </w:tcPr>
                <w:p w14:paraId="43384A17">
                  <w:pPr>
                    <w:spacing w:line="360" w:lineRule="exact"/>
                    <w:ind w:firstLine="420"/>
                    <w:rPr>
                      <w:rFonts w:ascii="宋体" w:hAnsi="宋体"/>
                      <w:color w:val="auto"/>
                    </w:rPr>
                  </w:pPr>
                  <w:r>
                    <w:rPr>
                      <w:rFonts w:hint="eastAsia" w:ascii="宋体" w:hAnsi="宋体"/>
                      <w:color w:val="auto"/>
                    </w:rPr>
                    <w:t>100以下</w:t>
                  </w:r>
                </w:p>
              </w:tc>
              <w:tc>
                <w:tcPr>
                  <w:tcW w:w="1684" w:type="dxa"/>
                  <w:tcBorders>
                    <w:top w:val="single" w:color="auto" w:sz="4" w:space="0"/>
                    <w:left w:val="single" w:color="auto" w:sz="4" w:space="0"/>
                    <w:bottom w:val="single" w:color="auto" w:sz="4" w:space="0"/>
                    <w:right w:val="single" w:color="auto" w:sz="4" w:space="0"/>
                  </w:tcBorders>
                </w:tcPr>
                <w:p w14:paraId="62F664F7">
                  <w:pPr>
                    <w:spacing w:line="360" w:lineRule="exact"/>
                    <w:ind w:firstLine="220" w:firstLineChars="100"/>
                    <w:rPr>
                      <w:rFonts w:ascii="宋体" w:hAnsi="宋体"/>
                      <w:color w:val="auto"/>
                    </w:rPr>
                  </w:pPr>
                  <w:r>
                    <w:rPr>
                      <w:rFonts w:hint="eastAsia" w:ascii="宋体" w:hAnsi="宋体" w:cs="宋体"/>
                      <w:color w:val="auto"/>
                      <w:kern w:val="0"/>
                      <w:sz w:val="22"/>
                    </w:rPr>
                    <w:t>1.5%</w:t>
                  </w:r>
                </w:p>
              </w:tc>
              <w:tc>
                <w:tcPr>
                  <w:tcW w:w="1555" w:type="dxa"/>
                  <w:tcBorders>
                    <w:top w:val="single" w:color="auto" w:sz="4" w:space="0"/>
                    <w:left w:val="single" w:color="auto" w:sz="4" w:space="0"/>
                    <w:bottom w:val="single" w:color="auto" w:sz="4" w:space="0"/>
                    <w:right w:val="single" w:color="auto" w:sz="4" w:space="0"/>
                  </w:tcBorders>
                </w:tcPr>
                <w:p w14:paraId="6818A4C2">
                  <w:pPr>
                    <w:spacing w:line="360" w:lineRule="exact"/>
                    <w:ind w:firstLine="220" w:firstLineChars="100"/>
                    <w:rPr>
                      <w:rFonts w:ascii="宋体" w:hAnsi="宋体"/>
                      <w:color w:val="auto"/>
                    </w:rPr>
                  </w:pPr>
                  <w:r>
                    <w:rPr>
                      <w:rFonts w:hint="eastAsia" w:ascii="宋体" w:hAnsi="宋体" w:cs="宋体"/>
                      <w:color w:val="auto"/>
                      <w:kern w:val="0"/>
                      <w:sz w:val="22"/>
                    </w:rPr>
                    <w:t>1.5%</w:t>
                  </w:r>
                </w:p>
              </w:tc>
              <w:tc>
                <w:tcPr>
                  <w:tcW w:w="1569" w:type="dxa"/>
                  <w:tcBorders>
                    <w:top w:val="single" w:color="auto" w:sz="4" w:space="0"/>
                    <w:left w:val="single" w:color="auto" w:sz="4" w:space="0"/>
                    <w:bottom w:val="single" w:color="auto" w:sz="4" w:space="0"/>
                    <w:right w:val="single" w:color="auto" w:sz="4" w:space="0"/>
                  </w:tcBorders>
                </w:tcPr>
                <w:p w14:paraId="41AC89AB">
                  <w:pPr>
                    <w:spacing w:line="360" w:lineRule="exact"/>
                    <w:ind w:firstLine="220" w:firstLineChars="100"/>
                    <w:rPr>
                      <w:rFonts w:ascii="宋体" w:hAnsi="宋体"/>
                      <w:color w:val="auto"/>
                    </w:rPr>
                  </w:pPr>
                  <w:r>
                    <w:rPr>
                      <w:rFonts w:hint="eastAsia" w:ascii="宋体" w:hAnsi="宋体" w:cs="宋体"/>
                      <w:color w:val="auto"/>
                      <w:kern w:val="0"/>
                      <w:sz w:val="22"/>
                    </w:rPr>
                    <w:t xml:space="preserve">1.0% </w:t>
                  </w:r>
                </w:p>
              </w:tc>
            </w:tr>
            <w:tr w14:paraId="7D59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Borders>
                    <w:top w:val="single" w:color="auto" w:sz="4" w:space="0"/>
                    <w:left w:val="single" w:color="auto" w:sz="4" w:space="0"/>
                    <w:bottom w:val="single" w:color="auto" w:sz="4" w:space="0"/>
                    <w:right w:val="single" w:color="auto" w:sz="4" w:space="0"/>
                  </w:tcBorders>
                </w:tcPr>
                <w:p w14:paraId="68815BEE">
                  <w:pPr>
                    <w:spacing w:line="360" w:lineRule="exact"/>
                    <w:ind w:firstLine="420"/>
                    <w:rPr>
                      <w:rFonts w:ascii="宋体" w:hAnsi="宋体"/>
                      <w:color w:val="auto"/>
                    </w:rPr>
                  </w:pPr>
                  <w:r>
                    <w:rPr>
                      <w:rFonts w:hint="eastAsia" w:ascii="宋体" w:hAnsi="宋体"/>
                      <w:color w:val="auto"/>
                    </w:rPr>
                    <w:t>100～500</w:t>
                  </w:r>
                </w:p>
              </w:tc>
              <w:tc>
                <w:tcPr>
                  <w:tcW w:w="1684" w:type="dxa"/>
                  <w:tcBorders>
                    <w:top w:val="single" w:color="auto" w:sz="4" w:space="0"/>
                    <w:left w:val="single" w:color="auto" w:sz="4" w:space="0"/>
                    <w:bottom w:val="single" w:color="auto" w:sz="4" w:space="0"/>
                    <w:right w:val="single" w:color="auto" w:sz="4" w:space="0"/>
                  </w:tcBorders>
                </w:tcPr>
                <w:p w14:paraId="4954E675">
                  <w:pPr>
                    <w:spacing w:line="360" w:lineRule="exact"/>
                    <w:ind w:firstLine="220" w:firstLineChars="100"/>
                    <w:rPr>
                      <w:rFonts w:ascii="宋体" w:hAnsi="宋体"/>
                      <w:color w:val="auto"/>
                    </w:rPr>
                  </w:pPr>
                  <w:r>
                    <w:rPr>
                      <w:rFonts w:hint="eastAsia" w:ascii="宋体" w:hAnsi="宋体" w:cs="宋体"/>
                      <w:color w:val="auto"/>
                      <w:kern w:val="0"/>
                      <w:sz w:val="22"/>
                    </w:rPr>
                    <w:t>1.1%</w:t>
                  </w:r>
                </w:p>
              </w:tc>
              <w:tc>
                <w:tcPr>
                  <w:tcW w:w="1555" w:type="dxa"/>
                  <w:tcBorders>
                    <w:top w:val="single" w:color="auto" w:sz="4" w:space="0"/>
                    <w:left w:val="single" w:color="auto" w:sz="4" w:space="0"/>
                    <w:bottom w:val="single" w:color="auto" w:sz="4" w:space="0"/>
                    <w:right w:val="single" w:color="auto" w:sz="4" w:space="0"/>
                  </w:tcBorders>
                </w:tcPr>
                <w:p w14:paraId="2C91DD62">
                  <w:pPr>
                    <w:spacing w:line="360" w:lineRule="exact"/>
                    <w:ind w:firstLine="220" w:firstLineChars="100"/>
                    <w:rPr>
                      <w:rFonts w:ascii="宋体" w:hAnsi="宋体"/>
                      <w:color w:val="auto"/>
                    </w:rPr>
                  </w:pPr>
                  <w:r>
                    <w:rPr>
                      <w:rFonts w:hint="eastAsia" w:ascii="宋体" w:hAnsi="宋体" w:cs="宋体"/>
                      <w:color w:val="auto"/>
                      <w:kern w:val="0"/>
                      <w:sz w:val="22"/>
                    </w:rPr>
                    <w:t>0.8%</w:t>
                  </w:r>
                </w:p>
              </w:tc>
              <w:tc>
                <w:tcPr>
                  <w:tcW w:w="1569" w:type="dxa"/>
                  <w:tcBorders>
                    <w:top w:val="single" w:color="auto" w:sz="4" w:space="0"/>
                    <w:left w:val="single" w:color="auto" w:sz="4" w:space="0"/>
                    <w:bottom w:val="single" w:color="auto" w:sz="4" w:space="0"/>
                    <w:right w:val="single" w:color="auto" w:sz="4" w:space="0"/>
                  </w:tcBorders>
                </w:tcPr>
                <w:p w14:paraId="51B09EB2">
                  <w:pPr>
                    <w:spacing w:line="360" w:lineRule="exact"/>
                    <w:ind w:firstLine="220" w:firstLineChars="100"/>
                    <w:rPr>
                      <w:rFonts w:ascii="宋体" w:hAnsi="宋体"/>
                      <w:color w:val="auto"/>
                    </w:rPr>
                  </w:pPr>
                  <w:r>
                    <w:rPr>
                      <w:rFonts w:hint="eastAsia" w:ascii="宋体" w:hAnsi="宋体" w:cs="宋体"/>
                      <w:color w:val="auto"/>
                      <w:kern w:val="0"/>
                      <w:sz w:val="22"/>
                    </w:rPr>
                    <w:t xml:space="preserve">0.7% </w:t>
                  </w:r>
                </w:p>
              </w:tc>
            </w:tr>
            <w:tr w14:paraId="762E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Borders>
                    <w:top w:val="single" w:color="auto" w:sz="4" w:space="0"/>
                    <w:left w:val="single" w:color="auto" w:sz="4" w:space="0"/>
                    <w:bottom w:val="single" w:color="auto" w:sz="4" w:space="0"/>
                    <w:right w:val="single" w:color="auto" w:sz="4" w:space="0"/>
                  </w:tcBorders>
                </w:tcPr>
                <w:p w14:paraId="3157F419">
                  <w:pPr>
                    <w:spacing w:line="360" w:lineRule="exact"/>
                    <w:ind w:firstLine="420"/>
                    <w:rPr>
                      <w:rFonts w:ascii="宋体" w:hAnsi="宋体"/>
                      <w:color w:val="auto"/>
                    </w:rPr>
                  </w:pPr>
                  <w:r>
                    <w:rPr>
                      <w:rFonts w:hint="eastAsia" w:ascii="宋体" w:hAnsi="宋体"/>
                      <w:color w:val="auto"/>
                    </w:rPr>
                    <w:t>500～1000</w:t>
                  </w:r>
                </w:p>
              </w:tc>
              <w:tc>
                <w:tcPr>
                  <w:tcW w:w="1684" w:type="dxa"/>
                  <w:tcBorders>
                    <w:top w:val="single" w:color="auto" w:sz="4" w:space="0"/>
                    <w:left w:val="single" w:color="auto" w:sz="4" w:space="0"/>
                    <w:bottom w:val="single" w:color="auto" w:sz="4" w:space="0"/>
                    <w:right w:val="single" w:color="auto" w:sz="4" w:space="0"/>
                  </w:tcBorders>
                </w:tcPr>
                <w:p w14:paraId="6AA5FBF2">
                  <w:pPr>
                    <w:spacing w:line="360" w:lineRule="exact"/>
                    <w:ind w:firstLine="220" w:firstLineChars="100"/>
                    <w:rPr>
                      <w:rFonts w:ascii="宋体" w:hAnsi="宋体"/>
                      <w:color w:val="auto"/>
                    </w:rPr>
                  </w:pPr>
                  <w:r>
                    <w:rPr>
                      <w:rFonts w:hint="eastAsia" w:ascii="宋体" w:hAnsi="宋体" w:cs="宋体"/>
                      <w:color w:val="auto"/>
                      <w:kern w:val="0"/>
                      <w:sz w:val="22"/>
                    </w:rPr>
                    <w:t>0.8%</w:t>
                  </w:r>
                </w:p>
              </w:tc>
              <w:tc>
                <w:tcPr>
                  <w:tcW w:w="1555" w:type="dxa"/>
                  <w:tcBorders>
                    <w:top w:val="single" w:color="auto" w:sz="4" w:space="0"/>
                    <w:left w:val="single" w:color="auto" w:sz="4" w:space="0"/>
                    <w:bottom w:val="single" w:color="auto" w:sz="4" w:space="0"/>
                    <w:right w:val="single" w:color="auto" w:sz="4" w:space="0"/>
                  </w:tcBorders>
                </w:tcPr>
                <w:p w14:paraId="2205D94B">
                  <w:pPr>
                    <w:spacing w:line="360" w:lineRule="exact"/>
                    <w:ind w:firstLine="220" w:firstLineChars="100"/>
                    <w:rPr>
                      <w:rFonts w:ascii="宋体" w:hAnsi="宋体"/>
                      <w:color w:val="auto"/>
                    </w:rPr>
                  </w:pPr>
                  <w:r>
                    <w:rPr>
                      <w:rFonts w:hint="eastAsia" w:ascii="宋体" w:hAnsi="宋体" w:cs="宋体"/>
                      <w:color w:val="auto"/>
                      <w:kern w:val="0"/>
                      <w:sz w:val="22"/>
                    </w:rPr>
                    <w:t>0.45%</w:t>
                  </w:r>
                </w:p>
              </w:tc>
              <w:tc>
                <w:tcPr>
                  <w:tcW w:w="1569" w:type="dxa"/>
                  <w:tcBorders>
                    <w:top w:val="single" w:color="auto" w:sz="4" w:space="0"/>
                    <w:left w:val="single" w:color="auto" w:sz="4" w:space="0"/>
                    <w:bottom w:val="single" w:color="auto" w:sz="4" w:space="0"/>
                    <w:right w:val="single" w:color="auto" w:sz="4" w:space="0"/>
                  </w:tcBorders>
                </w:tcPr>
                <w:p w14:paraId="763D9943">
                  <w:pPr>
                    <w:spacing w:line="360" w:lineRule="exact"/>
                    <w:ind w:firstLine="220" w:firstLineChars="100"/>
                    <w:rPr>
                      <w:rFonts w:ascii="宋体" w:hAnsi="宋体"/>
                      <w:color w:val="auto"/>
                    </w:rPr>
                  </w:pPr>
                  <w:r>
                    <w:rPr>
                      <w:rFonts w:hint="eastAsia" w:ascii="宋体" w:hAnsi="宋体" w:cs="宋体"/>
                      <w:color w:val="auto"/>
                      <w:kern w:val="0"/>
                      <w:sz w:val="22"/>
                    </w:rPr>
                    <w:t>0.55%</w:t>
                  </w:r>
                </w:p>
              </w:tc>
            </w:tr>
            <w:tr w14:paraId="71B5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Borders>
                    <w:top w:val="single" w:color="auto" w:sz="4" w:space="0"/>
                    <w:left w:val="single" w:color="auto" w:sz="4" w:space="0"/>
                    <w:bottom w:val="single" w:color="auto" w:sz="4" w:space="0"/>
                    <w:right w:val="single" w:color="auto" w:sz="4" w:space="0"/>
                  </w:tcBorders>
                </w:tcPr>
                <w:p w14:paraId="601ACE20">
                  <w:pPr>
                    <w:spacing w:line="360" w:lineRule="exact"/>
                    <w:ind w:firstLine="420"/>
                    <w:rPr>
                      <w:rFonts w:ascii="宋体" w:hAnsi="宋体"/>
                      <w:color w:val="auto"/>
                    </w:rPr>
                  </w:pPr>
                  <w:r>
                    <w:rPr>
                      <w:rFonts w:hint="eastAsia" w:ascii="宋体" w:hAnsi="宋体"/>
                      <w:color w:val="auto"/>
                    </w:rPr>
                    <w:t>1000～5000</w:t>
                  </w:r>
                </w:p>
              </w:tc>
              <w:tc>
                <w:tcPr>
                  <w:tcW w:w="1684" w:type="dxa"/>
                  <w:tcBorders>
                    <w:top w:val="single" w:color="auto" w:sz="4" w:space="0"/>
                    <w:left w:val="single" w:color="auto" w:sz="4" w:space="0"/>
                    <w:bottom w:val="single" w:color="auto" w:sz="4" w:space="0"/>
                    <w:right w:val="single" w:color="auto" w:sz="4" w:space="0"/>
                  </w:tcBorders>
                </w:tcPr>
                <w:p w14:paraId="529E7C99">
                  <w:pPr>
                    <w:spacing w:line="360" w:lineRule="exact"/>
                    <w:ind w:firstLine="220" w:firstLineChars="100"/>
                    <w:rPr>
                      <w:rFonts w:ascii="宋体" w:hAnsi="宋体"/>
                      <w:color w:val="auto"/>
                    </w:rPr>
                  </w:pPr>
                  <w:r>
                    <w:rPr>
                      <w:rFonts w:hint="eastAsia" w:ascii="宋体" w:hAnsi="宋体" w:cs="宋体"/>
                      <w:color w:val="auto"/>
                      <w:kern w:val="0"/>
                      <w:sz w:val="22"/>
                    </w:rPr>
                    <w:t>0.5%</w:t>
                  </w:r>
                </w:p>
              </w:tc>
              <w:tc>
                <w:tcPr>
                  <w:tcW w:w="1555" w:type="dxa"/>
                  <w:tcBorders>
                    <w:top w:val="single" w:color="auto" w:sz="4" w:space="0"/>
                    <w:left w:val="single" w:color="auto" w:sz="4" w:space="0"/>
                    <w:bottom w:val="single" w:color="auto" w:sz="4" w:space="0"/>
                    <w:right w:val="single" w:color="auto" w:sz="4" w:space="0"/>
                  </w:tcBorders>
                </w:tcPr>
                <w:p w14:paraId="1DE44A93">
                  <w:pPr>
                    <w:spacing w:line="360" w:lineRule="exact"/>
                    <w:ind w:firstLine="220" w:firstLineChars="100"/>
                    <w:rPr>
                      <w:rFonts w:ascii="宋体" w:hAnsi="宋体"/>
                      <w:color w:val="auto"/>
                    </w:rPr>
                  </w:pPr>
                  <w:r>
                    <w:rPr>
                      <w:rFonts w:hint="eastAsia" w:ascii="宋体" w:hAnsi="宋体" w:cs="宋体"/>
                      <w:color w:val="auto"/>
                      <w:kern w:val="0"/>
                      <w:sz w:val="22"/>
                    </w:rPr>
                    <w:t>0.25%</w:t>
                  </w:r>
                </w:p>
              </w:tc>
              <w:tc>
                <w:tcPr>
                  <w:tcW w:w="1569" w:type="dxa"/>
                  <w:tcBorders>
                    <w:top w:val="single" w:color="auto" w:sz="4" w:space="0"/>
                    <w:left w:val="single" w:color="auto" w:sz="4" w:space="0"/>
                    <w:bottom w:val="single" w:color="auto" w:sz="4" w:space="0"/>
                    <w:right w:val="single" w:color="auto" w:sz="4" w:space="0"/>
                  </w:tcBorders>
                </w:tcPr>
                <w:p w14:paraId="7F96B09D">
                  <w:pPr>
                    <w:spacing w:line="360" w:lineRule="exact"/>
                    <w:ind w:firstLine="220" w:firstLineChars="100"/>
                    <w:rPr>
                      <w:rFonts w:ascii="宋体" w:hAnsi="宋体"/>
                      <w:color w:val="auto"/>
                    </w:rPr>
                  </w:pPr>
                  <w:r>
                    <w:rPr>
                      <w:rFonts w:hint="eastAsia" w:ascii="宋体" w:hAnsi="宋体" w:cs="宋体"/>
                      <w:color w:val="auto"/>
                      <w:kern w:val="0"/>
                      <w:sz w:val="22"/>
                    </w:rPr>
                    <w:t xml:space="preserve">0.35% </w:t>
                  </w:r>
                </w:p>
              </w:tc>
            </w:tr>
            <w:tr w14:paraId="7CF0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Borders>
                    <w:top w:val="single" w:color="auto" w:sz="4" w:space="0"/>
                    <w:left w:val="single" w:color="auto" w:sz="4" w:space="0"/>
                    <w:bottom w:val="single" w:color="auto" w:sz="4" w:space="0"/>
                    <w:right w:val="single" w:color="auto" w:sz="4" w:space="0"/>
                  </w:tcBorders>
                </w:tcPr>
                <w:p w14:paraId="40A3E7FB">
                  <w:pPr>
                    <w:spacing w:line="360" w:lineRule="exact"/>
                    <w:ind w:firstLine="420"/>
                    <w:rPr>
                      <w:rFonts w:ascii="宋体" w:hAnsi="宋体"/>
                      <w:color w:val="auto"/>
                    </w:rPr>
                  </w:pPr>
                  <w:r>
                    <w:rPr>
                      <w:rFonts w:hint="eastAsia" w:ascii="宋体" w:hAnsi="宋体"/>
                      <w:color w:val="auto"/>
                    </w:rPr>
                    <w:t>5000～10000</w:t>
                  </w:r>
                </w:p>
              </w:tc>
              <w:tc>
                <w:tcPr>
                  <w:tcW w:w="1684" w:type="dxa"/>
                  <w:tcBorders>
                    <w:top w:val="single" w:color="auto" w:sz="4" w:space="0"/>
                    <w:left w:val="single" w:color="auto" w:sz="4" w:space="0"/>
                    <w:bottom w:val="single" w:color="auto" w:sz="4" w:space="0"/>
                    <w:right w:val="single" w:color="auto" w:sz="4" w:space="0"/>
                  </w:tcBorders>
                </w:tcPr>
                <w:p w14:paraId="470909B2">
                  <w:pPr>
                    <w:spacing w:line="360" w:lineRule="exact"/>
                    <w:ind w:firstLine="220" w:firstLineChars="100"/>
                    <w:rPr>
                      <w:rFonts w:ascii="宋体" w:hAnsi="宋体"/>
                      <w:color w:val="auto"/>
                    </w:rPr>
                  </w:pPr>
                  <w:r>
                    <w:rPr>
                      <w:rFonts w:hint="eastAsia" w:ascii="宋体" w:hAnsi="宋体" w:cs="宋体"/>
                      <w:color w:val="auto"/>
                      <w:kern w:val="0"/>
                      <w:sz w:val="22"/>
                    </w:rPr>
                    <w:t>0.25%</w:t>
                  </w:r>
                </w:p>
              </w:tc>
              <w:tc>
                <w:tcPr>
                  <w:tcW w:w="1555" w:type="dxa"/>
                  <w:tcBorders>
                    <w:top w:val="single" w:color="auto" w:sz="4" w:space="0"/>
                    <w:left w:val="single" w:color="auto" w:sz="4" w:space="0"/>
                    <w:bottom w:val="single" w:color="auto" w:sz="4" w:space="0"/>
                    <w:right w:val="single" w:color="auto" w:sz="4" w:space="0"/>
                  </w:tcBorders>
                </w:tcPr>
                <w:p w14:paraId="757BC2C1">
                  <w:pPr>
                    <w:spacing w:line="360" w:lineRule="exact"/>
                    <w:ind w:firstLine="220" w:firstLineChars="100"/>
                    <w:rPr>
                      <w:rFonts w:ascii="宋体" w:hAnsi="宋体"/>
                      <w:color w:val="auto"/>
                    </w:rPr>
                  </w:pPr>
                  <w:r>
                    <w:rPr>
                      <w:rFonts w:hint="eastAsia" w:ascii="宋体" w:hAnsi="宋体" w:cs="宋体"/>
                      <w:color w:val="auto"/>
                      <w:kern w:val="0"/>
                      <w:sz w:val="22"/>
                    </w:rPr>
                    <w:t>0.1%</w:t>
                  </w:r>
                </w:p>
              </w:tc>
              <w:tc>
                <w:tcPr>
                  <w:tcW w:w="1569" w:type="dxa"/>
                  <w:tcBorders>
                    <w:top w:val="single" w:color="auto" w:sz="4" w:space="0"/>
                    <w:left w:val="single" w:color="auto" w:sz="4" w:space="0"/>
                    <w:bottom w:val="single" w:color="auto" w:sz="4" w:space="0"/>
                    <w:right w:val="single" w:color="auto" w:sz="4" w:space="0"/>
                  </w:tcBorders>
                </w:tcPr>
                <w:p w14:paraId="36B30BBF">
                  <w:pPr>
                    <w:spacing w:line="360" w:lineRule="exact"/>
                    <w:ind w:firstLine="220" w:firstLineChars="100"/>
                    <w:rPr>
                      <w:rFonts w:ascii="宋体" w:hAnsi="宋体"/>
                      <w:color w:val="auto"/>
                    </w:rPr>
                  </w:pPr>
                  <w:r>
                    <w:rPr>
                      <w:rFonts w:hint="eastAsia" w:ascii="宋体" w:hAnsi="宋体" w:cs="宋体"/>
                      <w:color w:val="auto"/>
                      <w:kern w:val="0"/>
                      <w:sz w:val="22"/>
                    </w:rPr>
                    <w:t>0.2%</w:t>
                  </w:r>
                </w:p>
              </w:tc>
            </w:tr>
            <w:tr w14:paraId="7E8F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Borders>
                    <w:top w:val="single" w:color="auto" w:sz="4" w:space="0"/>
                    <w:left w:val="single" w:color="auto" w:sz="4" w:space="0"/>
                    <w:bottom w:val="single" w:color="auto" w:sz="4" w:space="0"/>
                    <w:right w:val="single" w:color="auto" w:sz="4" w:space="0"/>
                  </w:tcBorders>
                </w:tcPr>
                <w:p w14:paraId="6216CD98">
                  <w:pPr>
                    <w:spacing w:line="360" w:lineRule="exact"/>
                    <w:ind w:firstLine="420"/>
                    <w:rPr>
                      <w:rFonts w:ascii="宋体" w:hAnsi="宋体"/>
                      <w:color w:val="auto"/>
                    </w:rPr>
                  </w:pPr>
                  <w:r>
                    <w:rPr>
                      <w:rFonts w:hint="eastAsia" w:ascii="宋体" w:hAnsi="宋体"/>
                      <w:color w:val="auto"/>
                    </w:rPr>
                    <w:t>10000～100000</w:t>
                  </w:r>
                </w:p>
              </w:tc>
              <w:tc>
                <w:tcPr>
                  <w:tcW w:w="1684" w:type="dxa"/>
                  <w:tcBorders>
                    <w:top w:val="single" w:color="auto" w:sz="4" w:space="0"/>
                    <w:left w:val="single" w:color="auto" w:sz="4" w:space="0"/>
                    <w:bottom w:val="single" w:color="auto" w:sz="4" w:space="0"/>
                    <w:right w:val="single" w:color="auto" w:sz="4" w:space="0"/>
                  </w:tcBorders>
                </w:tcPr>
                <w:p w14:paraId="1D93BB16">
                  <w:pPr>
                    <w:spacing w:line="360" w:lineRule="exact"/>
                    <w:ind w:firstLine="220" w:firstLineChars="100"/>
                    <w:rPr>
                      <w:rFonts w:ascii="宋体" w:hAnsi="宋体"/>
                      <w:color w:val="auto"/>
                    </w:rPr>
                  </w:pPr>
                  <w:r>
                    <w:rPr>
                      <w:rFonts w:hint="eastAsia" w:ascii="宋体" w:hAnsi="宋体"/>
                      <w:color w:val="auto"/>
                      <w:sz w:val="22"/>
                    </w:rPr>
                    <w:t>0.05%</w:t>
                  </w:r>
                </w:p>
              </w:tc>
              <w:tc>
                <w:tcPr>
                  <w:tcW w:w="1555" w:type="dxa"/>
                  <w:tcBorders>
                    <w:top w:val="single" w:color="auto" w:sz="4" w:space="0"/>
                    <w:left w:val="single" w:color="auto" w:sz="4" w:space="0"/>
                    <w:bottom w:val="single" w:color="auto" w:sz="4" w:space="0"/>
                    <w:right w:val="single" w:color="auto" w:sz="4" w:space="0"/>
                  </w:tcBorders>
                </w:tcPr>
                <w:p w14:paraId="571E195D">
                  <w:pPr>
                    <w:spacing w:line="360" w:lineRule="exact"/>
                    <w:ind w:firstLine="440"/>
                    <w:rPr>
                      <w:rFonts w:ascii="宋体" w:hAnsi="宋体"/>
                      <w:color w:val="auto"/>
                    </w:rPr>
                  </w:pPr>
                  <w:r>
                    <w:rPr>
                      <w:rFonts w:hint="eastAsia" w:ascii="宋体" w:hAnsi="宋体"/>
                      <w:color w:val="auto"/>
                      <w:sz w:val="22"/>
                    </w:rPr>
                    <w:t xml:space="preserve">  0.05%</w:t>
                  </w:r>
                </w:p>
              </w:tc>
              <w:tc>
                <w:tcPr>
                  <w:tcW w:w="1569" w:type="dxa"/>
                  <w:tcBorders>
                    <w:top w:val="single" w:color="auto" w:sz="4" w:space="0"/>
                    <w:left w:val="single" w:color="auto" w:sz="4" w:space="0"/>
                    <w:bottom w:val="single" w:color="auto" w:sz="4" w:space="0"/>
                    <w:right w:val="single" w:color="auto" w:sz="4" w:space="0"/>
                  </w:tcBorders>
                </w:tcPr>
                <w:p w14:paraId="46DD45FC">
                  <w:pPr>
                    <w:spacing w:line="360" w:lineRule="exact"/>
                    <w:ind w:firstLine="440"/>
                    <w:rPr>
                      <w:rFonts w:ascii="宋体" w:hAnsi="宋体"/>
                      <w:color w:val="auto"/>
                    </w:rPr>
                  </w:pPr>
                  <w:r>
                    <w:rPr>
                      <w:rFonts w:hint="eastAsia" w:ascii="宋体" w:hAnsi="宋体"/>
                      <w:color w:val="auto"/>
                      <w:sz w:val="22"/>
                    </w:rPr>
                    <w:t xml:space="preserve">  0.05%</w:t>
                  </w:r>
                </w:p>
              </w:tc>
            </w:tr>
          </w:tbl>
          <w:p w14:paraId="3424FF76">
            <w:pPr>
              <w:pStyle w:val="21"/>
              <w:ind w:firstLine="420"/>
              <w:rPr>
                <w:color w:val="auto"/>
                <w:sz w:val="21"/>
                <w:szCs w:val="21"/>
              </w:rPr>
            </w:pPr>
            <w:r>
              <w:rPr>
                <w:rFonts w:hint="eastAsia" w:ascii="宋体" w:hAnsi="宋体" w:cs="宋体"/>
                <w:color w:val="auto"/>
                <w:sz w:val="21"/>
                <w:szCs w:val="21"/>
              </w:rPr>
              <w:t>注：按本表费率计算的收费为采购代理的收费基准价格，采购代理收费按差额定率累进法计算。</w:t>
            </w:r>
          </w:p>
          <w:p w14:paraId="75895B05">
            <w:pPr>
              <w:ind w:firstLine="0" w:firstLineChars="0"/>
              <w:rPr>
                <w:color w:val="auto"/>
                <w:kern w:val="0"/>
              </w:rPr>
            </w:pPr>
            <w:r>
              <w:rPr>
                <w:rFonts w:hint="eastAsia"/>
                <w:color w:val="auto"/>
                <w:kern w:val="0"/>
              </w:rPr>
              <w:t>3.采购代理费收取银行账户：</w:t>
            </w:r>
          </w:p>
          <w:p w14:paraId="3B7953B9">
            <w:pPr>
              <w:ind w:firstLine="420"/>
              <w:rPr>
                <w:color w:val="auto"/>
                <w:kern w:val="0"/>
              </w:rPr>
            </w:pPr>
            <w:r>
              <w:rPr>
                <w:rFonts w:hint="eastAsia"/>
                <w:color w:val="auto"/>
                <w:kern w:val="0"/>
              </w:rPr>
              <w:t>账户名称：华物盛泰工程咨询管理有限公司</w:t>
            </w:r>
          </w:p>
          <w:p w14:paraId="5D0440E4">
            <w:pPr>
              <w:ind w:firstLine="420"/>
              <w:rPr>
                <w:color w:val="auto"/>
                <w:kern w:val="0"/>
              </w:rPr>
            </w:pPr>
            <w:r>
              <w:rPr>
                <w:rFonts w:hint="eastAsia"/>
                <w:color w:val="auto"/>
                <w:kern w:val="0"/>
              </w:rPr>
              <w:t>开户银行：中国工商银行南宁市津头支行</w:t>
            </w:r>
            <w:r>
              <w:rPr>
                <w:rFonts w:hint="eastAsia"/>
                <w:color w:val="auto"/>
                <w:kern w:val="0"/>
                <w:lang w:eastAsia="zh-CN"/>
              </w:rPr>
              <w:t>（</w:t>
            </w:r>
            <w:r>
              <w:rPr>
                <w:rFonts w:hint="eastAsia"/>
                <w:color w:val="auto"/>
                <w:kern w:val="0"/>
              </w:rPr>
              <w:t xml:space="preserve"> 可选南湖支行</w:t>
            </w:r>
            <w:r>
              <w:rPr>
                <w:rFonts w:hint="eastAsia"/>
                <w:color w:val="auto"/>
                <w:kern w:val="0"/>
                <w:lang w:eastAsia="zh-CN"/>
              </w:rPr>
              <w:t>）</w:t>
            </w:r>
            <w:r>
              <w:rPr>
                <w:rFonts w:hint="eastAsia"/>
                <w:color w:val="auto"/>
                <w:kern w:val="0"/>
              </w:rPr>
              <w:t xml:space="preserve">  </w:t>
            </w:r>
          </w:p>
          <w:p w14:paraId="29FFE7C9">
            <w:pPr>
              <w:ind w:firstLine="420"/>
              <w:rPr>
                <w:rFonts w:hint="eastAsia"/>
                <w:color w:val="auto"/>
                <w:kern w:val="0"/>
              </w:rPr>
            </w:pPr>
            <w:r>
              <w:rPr>
                <w:rFonts w:hint="eastAsia"/>
                <w:color w:val="auto"/>
                <w:kern w:val="0"/>
              </w:rPr>
              <w:t>银行账号：2102 1083 0930 0006 294</w:t>
            </w:r>
          </w:p>
          <w:p w14:paraId="2B09FAC0">
            <w:pPr>
              <w:ind w:firstLine="420"/>
              <w:rPr>
                <w:color w:val="auto"/>
                <w:kern w:val="0"/>
              </w:rPr>
            </w:pPr>
            <w:r>
              <w:rPr>
                <w:rFonts w:hint="eastAsia"/>
                <w:color w:val="auto"/>
                <w:kern w:val="0"/>
              </w:rPr>
              <w:t>开户行行号：102611010834</w:t>
            </w:r>
          </w:p>
        </w:tc>
      </w:tr>
      <w:tr w14:paraId="6CCAF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6FAD5DCD">
            <w:pPr>
              <w:ind w:firstLine="0" w:firstLineChars="0"/>
              <w:jc w:val="center"/>
              <w:rPr>
                <w:color w:val="auto"/>
              </w:rPr>
            </w:pPr>
            <w:r>
              <w:rPr>
                <w:rFonts w:hint="eastAsia"/>
                <w:color w:val="auto"/>
              </w:rPr>
              <w:t>3</w:t>
            </w:r>
            <w:r>
              <w:rPr>
                <w:color w:val="auto"/>
              </w:rPr>
              <w:t>3.1</w:t>
            </w:r>
          </w:p>
        </w:tc>
        <w:tc>
          <w:tcPr>
            <w:tcW w:w="8557" w:type="dxa"/>
            <w:vAlign w:val="center"/>
          </w:tcPr>
          <w:p w14:paraId="6E372581">
            <w:pPr>
              <w:ind w:firstLine="0" w:firstLineChars="0"/>
              <w:rPr>
                <w:color w:val="auto"/>
              </w:rPr>
            </w:pPr>
            <w:r>
              <w:rPr>
                <w:rFonts w:hint="eastAsia" w:hAnsi="宋体"/>
                <w:color w:val="auto"/>
              </w:rPr>
              <w:t>解释：</w:t>
            </w:r>
            <w:r>
              <w:rPr>
                <w:rFonts w:hAnsi="宋体"/>
                <w:color w:val="auto"/>
              </w:rPr>
              <w:t>构成本</w:t>
            </w:r>
            <w:r>
              <w:rPr>
                <w:rFonts w:hint="eastAsia" w:hAnsi="宋体"/>
                <w:color w:val="auto"/>
              </w:rPr>
              <w:t>磋商文件</w:t>
            </w:r>
            <w:r>
              <w:rPr>
                <w:rFonts w:hAnsi="宋体"/>
                <w:color w:val="auto"/>
              </w:rPr>
              <w:t>的各个组成文件应互为解释，互为说明；除</w:t>
            </w:r>
            <w:r>
              <w:rPr>
                <w:rFonts w:hint="eastAsia" w:hAnsi="宋体"/>
                <w:color w:val="auto"/>
              </w:rPr>
              <w:t>磋商文件</w:t>
            </w:r>
            <w:r>
              <w:rPr>
                <w:rFonts w:hAnsi="宋体"/>
                <w:color w:val="auto"/>
              </w:rPr>
              <w:t>中有特别规定外，仅适用于</w:t>
            </w:r>
            <w:r>
              <w:rPr>
                <w:rFonts w:hint="eastAsia" w:hAnsi="宋体"/>
                <w:color w:val="auto"/>
              </w:rPr>
              <w:t>竞标</w:t>
            </w:r>
            <w:r>
              <w:rPr>
                <w:rFonts w:hAnsi="宋体"/>
                <w:color w:val="auto"/>
              </w:rPr>
              <w:t>阶段的规定，按</w:t>
            </w:r>
            <w:r>
              <w:rPr>
                <w:rFonts w:hint="eastAsia" w:hAnsi="宋体"/>
                <w:color w:val="auto"/>
              </w:rPr>
              <w:t>更正公告（澄清公告）</w:t>
            </w:r>
            <w:r>
              <w:rPr>
                <w:rFonts w:hAnsi="宋体"/>
                <w:color w:val="auto"/>
              </w:rPr>
              <w:t>、</w:t>
            </w:r>
            <w:r>
              <w:rPr>
                <w:rFonts w:hint="eastAsia" w:hAnsi="宋体"/>
                <w:color w:val="auto"/>
              </w:rPr>
              <w:t>竞争性磋商</w:t>
            </w:r>
            <w:r>
              <w:rPr>
                <w:rFonts w:hAnsi="宋体"/>
                <w:color w:val="auto"/>
              </w:rPr>
              <w:t>公告、</w:t>
            </w:r>
            <w:r>
              <w:rPr>
                <w:rFonts w:hint="eastAsia" w:hAnsi="宋体"/>
                <w:color w:val="auto"/>
              </w:rPr>
              <w:t>供应商</w:t>
            </w:r>
            <w:r>
              <w:rPr>
                <w:rFonts w:hAnsi="宋体"/>
                <w:color w:val="auto"/>
              </w:rPr>
              <w:t>须知</w:t>
            </w:r>
            <w:r>
              <w:rPr>
                <w:rFonts w:hint="eastAsia" w:hAnsi="宋体"/>
                <w:color w:val="auto"/>
              </w:rPr>
              <w:t>、采购需求</w:t>
            </w:r>
            <w:r>
              <w:rPr>
                <w:rFonts w:hAnsi="宋体"/>
                <w:color w:val="auto"/>
              </w:rPr>
              <w:t>、</w:t>
            </w:r>
            <w:r>
              <w:rPr>
                <w:rFonts w:hint="eastAsia"/>
                <w:color w:val="auto"/>
              </w:rPr>
              <w:t>评审程序、评审方法和评审标准</w:t>
            </w:r>
            <w:r>
              <w:rPr>
                <w:rFonts w:hAnsi="宋体"/>
                <w:color w:val="auto"/>
              </w:rPr>
              <w:t>、</w:t>
            </w:r>
            <w:r>
              <w:rPr>
                <w:rFonts w:hint="eastAsia" w:hAnsi="宋体"/>
                <w:color w:val="auto"/>
              </w:rPr>
              <w:t>响应</w:t>
            </w:r>
            <w:r>
              <w:rPr>
                <w:rFonts w:hAnsi="宋体"/>
                <w:color w:val="auto"/>
              </w:rPr>
              <w:t>文件格式</w:t>
            </w:r>
            <w:r>
              <w:rPr>
                <w:rFonts w:hint="eastAsia" w:hAnsi="宋体"/>
                <w:color w:val="auto"/>
              </w:rPr>
              <w:t>、合同文本</w:t>
            </w:r>
            <w:r>
              <w:rPr>
                <w:rFonts w:hAnsi="宋体"/>
                <w:color w:val="auto"/>
              </w:rPr>
              <w:t>的先后顺序解释；同一组成文件中就同一事项的规定或者约定不一致的，以编排顺序在后者为准；同一组成文件不同版本之间有不一致的，以形成时间在后者为准；</w:t>
            </w:r>
            <w:r>
              <w:rPr>
                <w:rFonts w:hint="eastAsia" w:hAnsi="宋体"/>
                <w:color w:val="auto"/>
              </w:rPr>
              <w:t>更正公告（澄清公告）</w:t>
            </w:r>
            <w:r>
              <w:rPr>
                <w:rFonts w:hAnsi="宋体"/>
                <w:color w:val="auto"/>
              </w:rPr>
              <w:t>与同步更新的</w:t>
            </w:r>
            <w:r>
              <w:rPr>
                <w:rFonts w:hint="eastAsia" w:hAnsi="宋体"/>
                <w:color w:val="auto"/>
              </w:rPr>
              <w:t>磋商文件</w:t>
            </w:r>
            <w:r>
              <w:rPr>
                <w:rFonts w:hAnsi="宋体"/>
                <w:color w:val="auto"/>
              </w:rPr>
              <w:t>不一致时以</w:t>
            </w:r>
            <w:r>
              <w:rPr>
                <w:rFonts w:hint="eastAsia" w:hAnsi="宋体"/>
                <w:color w:val="auto"/>
              </w:rPr>
              <w:t>更正公告（澄清公告）</w:t>
            </w:r>
            <w:r>
              <w:rPr>
                <w:rFonts w:hAnsi="宋体"/>
                <w:color w:val="auto"/>
              </w:rPr>
              <w:t>为准。按本款前述规定仍不能形成结论的，由</w:t>
            </w:r>
            <w:r>
              <w:rPr>
                <w:rFonts w:hint="eastAsia" w:hAnsi="宋体"/>
                <w:color w:val="auto"/>
              </w:rPr>
              <w:t>采购</w:t>
            </w:r>
            <w:r>
              <w:rPr>
                <w:rFonts w:hAnsi="宋体"/>
                <w:color w:val="auto"/>
              </w:rPr>
              <w:t>人</w:t>
            </w:r>
            <w:r>
              <w:rPr>
                <w:rFonts w:hint="eastAsia" w:hAnsi="宋体"/>
                <w:color w:val="auto"/>
              </w:rPr>
              <w:t>或者采购代理机构</w:t>
            </w:r>
            <w:r>
              <w:rPr>
                <w:rFonts w:hAnsi="宋体"/>
                <w:color w:val="auto"/>
              </w:rPr>
              <w:t>负责解释。</w:t>
            </w:r>
          </w:p>
        </w:tc>
      </w:tr>
      <w:tr w14:paraId="14B73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14:paraId="7DFE3EE9">
            <w:pPr>
              <w:ind w:firstLine="0" w:firstLineChars="0"/>
              <w:jc w:val="center"/>
              <w:rPr>
                <w:color w:val="auto"/>
              </w:rPr>
            </w:pPr>
            <w:r>
              <w:rPr>
                <w:rFonts w:hint="eastAsia"/>
                <w:color w:val="auto"/>
              </w:rPr>
              <w:t>3</w:t>
            </w:r>
            <w:r>
              <w:rPr>
                <w:color w:val="auto"/>
              </w:rPr>
              <w:t>3.2</w:t>
            </w:r>
          </w:p>
        </w:tc>
        <w:tc>
          <w:tcPr>
            <w:tcW w:w="8557" w:type="dxa"/>
            <w:vAlign w:val="center"/>
          </w:tcPr>
          <w:p w14:paraId="0971DC55">
            <w:pPr>
              <w:widowControl w:val="0"/>
              <w:snapToGrid w:val="0"/>
              <w:ind w:firstLine="420"/>
              <w:rPr>
                <w:rFonts w:ascii="宋体" w:hAnsi="宋体" w:eastAsia="宋体" w:cs="宋体"/>
                <w:color w:val="auto"/>
                <w:kern w:val="0"/>
              </w:rPr>
            </w:pPr>
            <w:r>
              <w:rPr>
                <w:rFonts w:hint="eastAsia" w:ascii="宋体" w:hAnsi="宋体" w:eastAsia="宋体" w:cs="宋体"/>
                <w:color w:val="auto"/>
                <w:kern w:val="0"/>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6AB9CAF">
            <w:pPr>
              <w:widowControl w:val="0"/>
              <w:snapToGrid w:val="0"/>
              <w:ind w:firstLine="420"/>
              <w:rPr>
                <w:rFonts w:ascii="宋体" w:hAnsi="宋体" w:eastAsia="宋体" w:cs="宋体"/>
                <w:color w:val="auto"/>
                <w:kern w:val="0"/>
              </w:rPr>
            </w:pPr>
            <w:r>
              <w:rPr>
                <w:rFonts w:hint="eastAsia" w:ascii="宋体" w:hAnsi="宋体" w:eastAsia="宋体" w:cs="宋体"/>
                <w:bCs/>
                <w:color w:val="auto"/>
                <w:kern w:val="0"/>
              </w:rPr>
              <w:t>2.本磋商文件所称的“</w:t>
            </w:r>
            <w:r>
              <w:rPr>
                <w:rFonts w:hint="eastAsia" w:ascii="宋体" w:hAnsi="宋体" w:eastAsia="宋体" w:cs="Times New Roman"/>
                <w:color w:val="auto"/>
                <w:kern w:val="0"/>
              </w:rPr>
              <w:t>电子签章</w:t>
            </w:r>
            <w:r>
              <w:rPr>
                <w:rFonts w:hint="eastAsia" w:ascii="宋体" w:hAnsi="宋体" w:eastAsia="宋体" w:cs="Times New Roman"/>
                <w:color w:val="auto"/>
                <w:kern w:val="0"/>
                <w:lang w:eastAsia="zh-CN"/>
              </w:rPr>
              <w:t>”“</w:t>
            </w:r>
            <w:r>
              <w:rPr>
                <w:rFonts w:hint="eastAsia" w:ascii="宋体" w:hAnsi="宋体" w:eastAsia="宋体" w:cs="宋体"/>
                <w:bCs/>
                <w:color w:val="auto"/>
                <w:kern w:val="0"/>
              </w:rPr>
              <w:t>电子签名”</w:t>
            </w:r>
            <w:r>
              <w:rPr>
                <w:rFonts w:hint="eastAsia" w:ascii="宋体" w:hAnsi="宋体" w:eastAsia="宋体" w:cs="Times New Roman"/>
                <w:color w:val="auto"/>
                <w:kern w:val="0"/>
              </w:rPr>
              <w:t>，是指经“</w:t>
            </w:r>
            <w:r>
              <w:rPr>
                <w:rFonts w:hint="eastAsia" w:ascii="宋体" w:hAnsi="宋体" w:eastAsia="宋体" w:cs="Times New Roman"/>
                <w:color w:val="auto"/>
                <w:kern w:val="0"/>
                <w:lang w:eastAsia="zh-CN"/>
              </w:rPr>
              <w:t>广西政府采购云平台</w:t>
            </w:r>
            <w:r>
              <w:rPr>
                <w:rFonts w:hint="eastAsia" w:ascii="宋体" w:hAnsi="宋体" w:eastAsia="宋体" w:cs="Times New Roman"/>
                <w:color w:val="auto"/>
                <w:kern w:val="0"/>
              </w:rPr>
              <w:t>”平台认可的CA认证的电子签名数据为表现形式的印章，可用于签署电子响应文件，电子印章与实物印章具有同等法律效力，不因其采用电子化表现形式而否定其法律效力。</w:t>
            </w:r>
          </w:p>
          <w:p w14:paraId="29366CDA">
            <w:pPr>
              <w:widowControl w:val="0"/>
              <w:snapToGrid w:val="0"/>
              <w:ind w:firstLine="420"/>
              <w:rPr>
                <w:rFonts w:ascii="宋体" w:hAnsi="宋体" w:eastAsia="宋体" w:cs="宋体"/>
                <w:bCs/>
                <w:color w:val="auto"/>
                <w:kern w:val="0"/>
              </w:rPr>
            </w:pPr>
            <w:r>
              <w:rPr>
                <w:rFonts w:ascii="宋体" w:hAnsi="宋体" w:eastAsia="宋体" w:cs="宋体"/>
                <w:color w:val="auto"/>
                <w:kern w:val="0"/>
              </w:rPr>
              <w:t>3</w:t>
            </w:r>
            <w:r>
              <w:rPr>
                <w:rFonts w:hint="eastAsia" w:ascii="宋体" w:hAnsi="宋体" w:eastAsia="宋体" w:cs="宋体"/>
                <w:color w:val="auto"/>
                <w:kern w:val="0"/>
              </w:rPr>
              <w:t>.供应商为其他组织或者自然人时，本磋商文件规定的法定代表人指负责人或者自然人。本磋商文件所称负责人是指参加竞标的其他组织</w:t>
            </w:r>
            <w:r>
              <w:rPr>
                <w:rFonts w:hint="eastAsia" w:ascii="宋体" w:hAnsi="宋体" w:eastAsia="宋体" w:cs="宋体"/>
                <w:bCs/>
                <w:color w:val="auto"/>
                <w:kern w:val="0"/>
              </w:rPr>
              <w:t>营业执照或者执业许可证等证照上的</w:t>
            </w:r>
            <w:r>
              <w:rPr>
                <w:rFonts w:hint="eastAsia" w:ascii="宋体" w:hAnsi="宋体" w:eastAsia="宋体" w:cs="宋体"/>
                <w:color w:val="auto"/>
                <w:kern w:val="0"/>
              </w:rPr>
              <w:t>负责人，本磋商文件所称自然人指参与竞标的自然人本人，</w:t>
            </w:r>
            <w:r>
              <w:rPr>
                <w:rFonts w:hint="eastAsia" w:ascii="宋体" w:hAnsi="宋体" w:eastAsia="宋体" w:cs="宋体"/>
                <w:bCs/>
                <w:color w:val="auto"/>
                <w:kern w:val="0"/>
              </w:rPr>
              <w:t>且应具备独立承担民事责任能力，自然人应当为年满18岁以上成年人（十六周岁以上的未成年人，以自己的劳动收入为主要生活来源的，视为完全民事行为能力人）。</w:t>
            </w:r>
          </w:p>
          <w:p w14:paraId="03E4EB09">
            <w:pPr>
              <w:widowControl w:val="0"/>
              <w:snapToGrid w:val="0"/>
              <w:ind w:firstLine="420"/>
              <w:rPr>
                <w:rFonts w:ascii="宋体" w:hAnsi="宋体" w:eastAsia="宋体" w:cs="宋体"/>
                <w:color w:val="auto"/>
                <w:kern w:val="0"/>
              </w:rPr>
            </w:pPr>
            <w:r>
              <w:rPr>
                <w:rFonts w:ascii="宋体" w:hAnsi="宋体" w:eastAsia="宋体" w:cs="宋体"/>
                <w:color w:val="auto"/>
                <w:kern w:val="0"/>
              </w:rPr>
              <w:t>4.</w:t>
            </w:r>
            <w:r>
              <w:rPr>
                <w:rFonts w:hint="eastAsia" w:ascii="宋体" w:hAnsi="宋体" w:eastAsia="宋体" w:cs="宋体"/>
                <w:color w:val="auto"/>
                <w:kern w:val="0"/>
              </w:rPr>
              <w:t>本磋商文件中描述供应商的“签字”是指供应商的法定代表人或者委托代理人亲自在文件规定签署处亲笔写上个人的名字的行为，私章、签字章、印鉴、影印等其他形式均不能代替亲笔签字。</w:t>
            </w:r>
          </w:p>
          <w:p w14:paraId="6D1F218D">
            <w:pPr>
              <w:ind w:firstLine="420"/>
              <w:rPr>
                <w:color w:val="auto"/>
              </w:rPr>
            </w:pPr>
            <w:r>
              <w:rPr>
                <w:rFonts w:hint="eastAsia" w:ascii="宋体" w:hAnsi="宋体" w:eastAsia="宋体" w:cs="宋体"/>
                <w:color w:val="auto"/>
                <w:szCs w:val="24"/>
              </w:rPr>
              <w:t>5</w:t>
            </w:r>
            <w:r>
              <w:rPr>
                <w:rFonts w:ascii="宋体" w:hAnsi="宋体" w:eastAsia="宋体" w:cs="宋体"/>
                <w:color w:val="auto"/>
                <w:szCs w:val="24"/>
              </w:rPr>
              <w:t>.</w:t>
            </w:r>
            <w:r>
              <w:rPr>
                <w:rFonts w:hint="eastAsia" w:ascii="宋体" w:hAnsi="宋体" w:eastAsia="宋体" w:cs="宋体"/>
                <w:color w:val="auto"/>
                <w:szCs w:val="24"/>
              </w:rPr>
              <w:t>本磋商文件所称的“以上”“以下”“以内”“届满”，包括本数；所称的“不满”“超过”“以外”，不包括本数。</w:t>
            </w:r>
          </w:p>
        </w:tc>
      </w:tr>
    </w:tbl>
    <w:p w14:paraId="7D548C32">
      <w:pPr>
        <w:spacing w:before="260" w:after="260" w:line="415" w:lineRule="auto"/>
        <w:ind w:firstLine="0" w:firstLineChars="0"/>
        <w:rPr>
          <w:color w:val="auto"/>
        </w:rPr>
      </w:pPr>
      <w:r>
        <w:rPr>
          <w:color w:val="auto"/>
        </w:rPr>
        <w:br w:type="page"/>
      </w:r>
    </w:p>
    <w:p w14:paraId="36FDCE4A">
      <w:pPr>
        <w:pStyle w:val="63"/>
        <w:rPr>
          <w:color w:val="auto"/>
        </w:rPr>
      </w:pPr>
      <w:r>
        <w:rPr>
          <w:rFonts w:hint="eastAsia"/>
          <w:color w:val="auto"/>
        </w:rPr>
        <w:t>供应商须知正文</w:t>
      </w:r>
    </w:p>
    <w:p w14:paraId="423B09E4">
      <w:pPr>
        <w:pStyle w:val="67"/>
        <w:rPr>
          <w:color w:val="auto"/>
        </w:rPr>
      </w:pPr>
      <w:r>
        <w:rPr>
          <w:rFonts w:hint="eastAsia"/>
          <w:color w:val="auto"/>
        </w:rPr>
        <w:t>一、总则</w:t>
      </w:r>
    </w:p>
    <w:p w14:paraId="365FF42A">
      <w:pPr>
        <w:pStyle w:val="68"/>
        <w:ind w:firstLine="424"/>
        <w:rPr>
          <w:color w:val="auto"/>
        </w:rPr>
      </w:pPr>
      <w:r>
        <w:rPr>
          <w:rFonts w:hint="eastAsia"/>
          <w:color w:val="auto"/>
        </w:rPr>
        <w:t>1.适用范围</w:t>
      </w:r>
    </w:p>
    <w:p w14:paraId="1E5336D1">
      <w:pPr>
        <w:ind w:firstLine="420"/>
        <w:rPr>
          <w:rFonts w:cs="宋体"/>
          <w:color w:val="auto"/>
        </w:rPr>
      </w:pPr>
      <w:r>
        <w:rPr>
          <w:rFonts w:hint="eastAsia" w:cs="宋体"/>
          <w:color w:val="auto"/>
        </w:rPr>
        <w:t>1.1本项目采购人、采购代理机构、供应商、磋商小组的相关行为均受《中华人民共和国政府采购法</w:t>
      </w:r>
      <w:r>
        <w:rPr>
          <w:rFonts w:hint="eastAsia" w:cs="宋体"/>
          <w:color w:val="auto"/>
          <w:lang w:eastAsia="zh-CN"/>
        </w:rPr>
        <w:t>》《</w:t>
      </w:r>
      <w:r>
        <w:rPr>
          <w:rFonts w:hint="eastAsia" w:cs="宋体"/>
          <w:color w:val="auto"/>
        </w:rPr>
        <w:t>中华人民共和国政府采购法实施条例</w:t>
      </w:r>
      <w:r>
        <w:rPr>
          <w:rFonts w:hint="eastAsia" w:cs="宋体"/>
          <w:color w:val="auto"/>
          <w:lang w:eastAsia="zh-CN"/>
        </w:rPr>
        <w:t>》《</w:t>
      </w:r>
      <w:r>
        <w:rPr>
          <w:rFonts w:hint="eastAsia"/>
          <w:color w:val="auto"/>
        </w:rPr>
        <w:t>政府采购竞争性磋商采购方式管理暂行办法</w:t>
      </w:r>
      <w:r>
        <w:rPr>
          <w:rFonts w:hint="eastAsia"/>
          <w:color w:val="auto"/>
          <w:lang w:eastAsia="zh-CN"/>
        </w:rPr>
        <w:t>》《</w:t>
      </w:r>
      <w:r>
        <w:rPr>
          <w:rFonts w:hint="eastAsia"/>
          <w:color w:val="auto"/>
        </w:rPr>
        <w:t>财政部关于政府采购竞争性磋商采购方式管理暂行办法有关问题的补充通知》</w:t>
      </w:r>
      <w:r>
        <w:rPr>
          <w:rFonts w:hint="eastAsia" w:cs="宋体"/>
          <w:color w:val="auto"/>
        </w:rPr>
        <w:t>及本项目本级和上级财政部门政府采购有关规定的约束和保护。</w:t>
      </w:r>
    </w:p>
    <w:p w14:paraId="3803587D">
      <w:pPr>
        <w:ind w:firstLine="420"/>
        <w:rPr>
          <w:rFonts w:cs="宋体"/>
          <w:color w:val="auto"/>
        </w:rPr>
      </w:pPr>
      <w:r>
        <w:rPr>
          <w:rFonts w:hint="eastAsia" w:cs="宋体"/>
          <w:color w:val="auto"/>
        </w:rPr>
        <w:t>1.2</w:t>
      </w:r>
      <w:r>
        <w:rPr>
          <w:rFonts w:hint="eastAsia" w:cs="宋体"/>
          <w:color w:val="auto"/>
          <w:spacing w:val="-6"/>
        </w:rPr>
        <w:t>本竞争性磋商文件（以下简称磋商文件）适用于本项目的所有采购程序和环节（</w:t>
      </w:r>
      <w:r>
        <w:rPr>
          <w:rFonts w:hint="eastAsia" w:cs="宋体"/>
          <w:color w:val="auto"/>
          <w:spacing w:val="-6"/>
          <w:lang w:eastAsia="zh-CN"/>
        </w:rPr>
        <w:t>法律法规</w:t>
      </w:r>
      <w:r>
        <w:rPr>
          <w:rFonts w:hint="eastAsia" w:cs="宋体"/>
          <w:color w:val="auto"/>
          <w:spacing w:val="-6"/>
        </w:rPr>
        <w:t>另有规定的，从其规定）。</w:t>
      </w:r>
    </w:p>
    <w:p w14:paraId="7F859639">
      <w:pPr>
        <w:pStyle w:val="68"/>
        <w:ind w:firstLine="424"/>
        <w:rPr>
          <w:color w:val="auto"/>
        </w:rPr>
      </w:pPr>
      <w:r>
        <w:rPr>
          <w:rFonts w:hint="eastAsia"/>
          <w:color w:val="auto"/>
        </w:rPr>
        <w:t>2.定义</w:t>
      </w:r>
    </w:p>
    <w:p w14:paraId="77C3228D">
      <w:pPr>
        <w:ind w:firstLine="420"/>
        <w:rPr>
          <w:rFonts w:cs="宋体"/>
          <w:color w:val="auto"/>
        </w:rPr>
      </w:pPr>
      <w:r>
        <w:rPr>
          <w:rFonts w:hint="eastAsia" w:cs="宋体"/>
          <w:color w:val="auto"/>
        </w:rPr>
        <w:t>2.1“采购人”是指依法进行政府采购的国家机关、事业单位、团体组织。</w:t>
      </w:r>
    </w:p>
    <w:p w14:paraId="6D826D8B">
      <w:pPr>
        <w:ind w:firstLine="420"/>
        <w:rPr>
          <w:rFonts w:cs="宋体"/>
          <w:color w:val="auto"/>
          <w:u w:val="single"/>
        </w:rPr>
      </w:pPr>
      <w:r>
        <w:rPr>
          <w:rFonts w:hint="eastAsia" w:cs="宋体"/>
          <w:color w:val="auto"/>
        </w:rPr>
        <w:t>2.2“采购代理机构”是指政府采购集中采购机构和集中采购机构以外的采购代理机构。</w:t>
      </w:r>
    </w:p>
    <w:p w14:paraId="7D4C1F04">
      <w:pPr>
        <w:ind w:firstLine="420"/>
        <w:rPr>
          <w:rFonts w:cs="宋体"/>
          <w:color w:val="auto"/>
        </w:rPr>
      </w:pPr>
      <w:r>
        <w:rPr>
          <w:rFonts w:hint="eastAsia" w:cs="宋体"/>
          <w:color w:val="auto"/>
        </w:rPr>
        <w:t>2.3“供应商”是指向采购人提供货物、工程或者服务的法人、其他组织或者自然人。</w:t>
      </w:r>
    </w:p>
    <w:p w14:paraId="4CC23095">
      <w:pPr>
        <w:ind w:firstLine="420"/>
        <w:rPr>
          <w:rFonts w:ascii="宋体" w:hAnsi="宋体" w:eastAsia="宋体" w:cs="宋体"/>
          <w:color w:val="auto"/>
        </w:rPr>
      </w:pPr>
      <w:r>
        <w:rPr>
          <w:rFonts w:hint="eastAsia"/>
          <w:color w:val="auto"/>
        </w:rPr>
        <w:t>2.4</w:t>
      </w:r>
      <w:r>
        <w:rPr>
          <w:rFonts w:hint="eastAsia" w:ascii="宋体" w:hAnsi="宋体" w:eastAsia="宋体" w:cs="Times New Roman"/>
          <w:color w:val="auto"/>
        </w:rPr>
        <w:t>“服务”是指除货物和工程以外的其他政府采购对象。</w:t>
      </w:r>
    </w:p>
    <w:p w14:paraId="3E9CA23E">
      <w:pPr>
        <w:ind w:firstLine="420"/>
        <w:rPr>
          <w:rFonts w:cs="宋体"/>
          <w:color w:val="auto"/>
        </w:rPr>
      </w:pPr>
      <w:r>
        <w:rPr>
          <w:rFonts w:hint="eastAsia" w:cs="宋体"/>
          <w:color w:val="auto"/>
        </w:rPr>
        <w:t>2.</w:t>
      </w:r>
      <w:r>
        <w:rPr>
          <w:rFonts w:cs="宋体"/>
          <w:color w:val="auto"/>
        </w:rPr>
        <w:t>5</w:t>
      </w:r>
      <w:r>
        <w:rPr>
          <w:rFonts w:hint="eastAsia" w:cs="宋体"/>
          <w:color w:val="auto"/>
        </w:rPr>
        <w:t>“竞标”是指供应商按照本项目竞争性磋商公告或者邀请函规定的方式获取磋商文件、提交响应文件并希望获得标的的行为。</w:t>
      </w:r>
    </w:p>
    <w:p w14:paraId="4670032C">
      <w:pPr>
        <w:ind w:firstLine="420"/>
        <w:rPr>
          <w:rFonts w:cs="宋体"/>
          <w:color w:val="auto"/>
        </w:rPr>
      </w:pPr>
      <w:r>
        <w:rPr>
          <w:rFonts w:hint="eastAsia" w:cs="宋体"/>
          <w:color w:val="auto"/>
        </w:rPr>
        <w:t>2.</w:t>
      </w:r>
      <w:r>
        <w:rPr>
          <w:rFonts w:cs="宋体"/>
          <w:color w:val="auto"/>
        </w:rPr>
        <w:t>6</w:t>
      </w:r>
      <w:r>
        <w:rPr>
          <w:rFonts w:hint="eastAsia" w:cs="宋体"/>
          <w:color w:val="auto"/>
        </w:rPr>
        <w:t>“书面形式”是指合同书、信件和数据电文（包括电报、电传、传真、电子数据交换和电子邮件）等可以有形地表现所载内容的形式。</w:t>
      </w:r>
    </w:p>
    <w:p w14:paraId="266B904E">
      <w:pPr>
        <w:ind w:firstLine="420"/>
        <w:rPr>
          <w:rFonts w:cs="宋体"/>
          <w:color w:val="auto"/>
        </w:rPr>
      </w:pPr>
      <w:r>
        <w:rPr>
          <w:rFonts w:hint="eastAsia" w:cs="宋体"/>
          <w:color w:val="auto"/>
        </w:rPr>
        <w:t>2.</w:t>
      </w:r>
      <w:r>
        <w:rPr>
          <w:rFonts w:cs="宋体"/>
          <w:color w:val="auto"/>
        </w:rPr>
        <w:t>7</w:t>
      </w:r>
      <w:r>
        <w:rPr>
          <w:rFonts w:hint="eastAsia" w:cs="宋体"/>
          <w:color w:val="auto"/>
        </w:rPr>
        <w:t>“响应文件”</w:t>
      </w:r>
      <w:r>
        <w:rPr>
          <w:rFonts w:hint="eastAsia" w:cs="宋体"/>
          <w:color w:val="auto"/>
          <w:spacing w:val="-6"/>
        </w:rPr>
        <w:t>是指：供应商根据本磋商文件要求，编制包含资格证明、报价商务技术等所有内容的文件。</w:t>
      </w:r>
    </w:p>
    <w:p w14:paraId="756B3D5B">
      <w:pPr>
        <w:ind w:firstLine="420"/>
        <w:rPr>
          <w:rFonts w:cs="宋体"/>
          <w:color w:val="auto"/>
        </w:rPr>
      </w:pPr>
      <w:r>
        <w:rPr>
          <w:rFonts w:hint="eastAsia" w:cs="宋体"/>
          <w:color w:val="auto"/>
        </w:rPr>
        <w:t>2.</w:t>
      </w:r>
      <w:r>
        <w:rPr>
          <w:rFonts w:cs="宋体"/>
          <w:color w:val="auto"/>
        </w:rPr>
        <w:t>8</w:t>
      </w:r>
      <w:r>
        <w:rPr>
          <w:rFonts w:hint="eastAsia" w:cs="宋体"/>
          <w:color w:val="auto"/>
        </w:rPr>
        <w:t>“实质性要求”是指磋商文件中已经指明不满足则响应文件按无效响应处理的条款，或者不能负偏离的条款，或者采购需求中带“▲”的条款。</w:t>
      </w:r>
    </w:p>
    <w:p w14:paraId="39BB80D2">
      <w:pPr>
        <w:ind w:firstLine="420"/>
        <w:rPr>
          <w:rFonts w:cs="宋体"/>
          <w:color w:val="auto"/>
        </w:rPr>
      </w:pPr>
      <w:r>
        <w:rPr>
          <w:rFonts w:hint="eastAsia" w:cs="宋体"/>
          <w:color w:val="auto"/>
        </w:rPr>
        <w:t>2.</w:t>
      </w:r>
      <w:r>
        <w:rPr>
          <w:rFonts w:cs="宋体"/>
          <w:color w:val="auto"/>
        </w:rPr>
        <w:t>9</w:t>
      </w:r>
      <w:r>
        <w:rPr>
          <w:rFonts w:hint="eastAsia" w:cs="宋体"/>
          <w:color w:val="auto"/>
        </w:rPr>
        <w:t>“正偏离”，是指响应文件对磋商文件“采购需求”中有关条款作出的响应优于条款要求并有利于采购人的情形。</w:t>
      </w:r>
    </w:p>
    <w:p w14:paraId="3BA106C4">
      <w:pPr>
        <w:ind w:firstLine="420"/>
        <w:rPr>
          <w:rFonts w:cs="宋体"/>
          <w:color w:val="auto"/>
        </w:rPr>
      </w:pPr>
      <w:r>
        <w:rPr>
          <w:rFonts w:cs="宋体"/>
          <w:color w:val="auto"/>
        </w:rPr>
        <w:t>2.</w:t>
      </w:r>
      <w:r>
        <w:rPr>
          <w:rFonts w:hint="eastAsia" w:cs="宋体"/>
          <w:color w:val="auto"/>
        </w:rPr>
        <w:t>1</w:t>
      </w:r>
      <w:r>
        <w:rPr>
          <w:rFonts w:cs="宋体"/>
          <w:color w:val="auto"/>
        </w:rPr>
        <w:t>0</w:t>
      </w:r>
      <w:r>
        <w:rPr>
          <w:rFonts w:hint="eastAsia" w:cs="宋体"/>
          <w:color w:val="auto"/>
        </w:rPr>
        <w:t>“负偏离”，是指响应文件对磋商文件“采购需求”中有关条款作出的响应不满足条款要求，导致采购人要求不能得到满足的情形。</w:t>
      </w:r>
    </w:p>
    <w:p w14:paraId="14311D13">
      <w:pPr>
        <w:ind w:firstLine="420"/>
        <w:rPr>
          <w:rFonts w:cs="宋体"/>
          <w:color w:val="auto"/>
        </w:rPr>
      </w:pPr>
      <w:r>
        <w:rPr>
          <w:rFonts w:hint="eastAsia" w:cs="宋体"/>
          <w:color w:val="auto"/>
        </w:rPr>
        <w:t>2.1</w:t>
      </w:r>
      <w:r>
        <w:rPr>
          <w:rFonts w:cs="宋体"/>
          <w:color w:val="auto"/>
        </w:rPr>
        <w:t>1</w:t>
      </w:r>
      <w:r>
        <w:rPr>
          <w:rFonts w:hint="eastAsia" w:cs="宋体"/>
          <w:color w:val="auto"/>
        </w:rPr>
        <w:t>“允许负偏离的条款”是指采购需求中的不属于“实质性要求”的条款。</w:t>
      </w:r>
    </w:p>
    <w:p w14:paraId="6D41455A">
      <w:pPr>
        <w:ind w:firstLine="420"/>
        <w:rPr>
          <w:rFonts w:cs="宋体"/>
          <w:color w:val="auto"/>
        </w:rPr>
      </w:pPr>
      <w:r>
        <w:rPr>
          <w:rFonts w:hint="eastAsia" w:cs="宋体"/>
          <w:color w:val="auto"/>
        </w:rPr>
        <w:t>2.</w:t>
      </w:r>
      <w:r>
        <w:rPr>
          <w:rFonts w:cs="宋体"/>
          <w:color w:val="auto"/>
        </w:rPr>
        <w:t>12</w:t>
      </w:r>
      <w:r>
        <w:rPr>
          <w:rFonts w:hint="eastAsia" w:cs="宋体"/>
          <w:color w:val="auto"/>
        </w:rPr>
        <w:t>“首次报价”是指供应商提交的首次响应文件中的报价。</w:t>
      </w:r>
    </w:p>
    <w:p w14:paraId="298094E6">
      <w:pPr>
        <w:pStyle w:val="68"/>
        <w:ind w:firstLine="424"/>
        <w:rPr>
          <w:color w:val="auto"/>
        </w:rPr>
      </w:pPr>
      <w:r>
        <w:rPr>
          <w:rFonts w:hint="eastAsia"/>
          <w:color w:val="auto"/>
        </w:rPr>
        <w:t>3.供应商的资格条件</w:t>
      </w:r>
    </w:p>
    <w:p w14:paraId="407F2150">
      <w:pPr>
        <w:ind w:firstLine="420"/>
        <w:rPr>
          <w:rFonts w:cs="宋体"/>
          <w:color w:val="auto"/>
        </w:rPr>
      </w:pPr>
      <w:r>
        <w:rPr>
          <w:rFonts w:hint="eastAsia" w:cs="宋体"/>
          <w:color w:val="auto"/>
        </w:rPr>
        <w:t>供应商的资格条件详见“供应商须知前附表”。</w:t>
      </w:r>
    </w:p>
    <w:p w14:paraId="47E4680C">
      <w:pPr>
        <w:pStyle w:val="68"/>
        <w:ind w:firstLine="424"/>
        <w:rPr>
          <w:color w:val="auto"/>
        </w:rPr>
      </w:pPr>
      <w:r>
        <w:rPr>
          <w:rFonts w:hint="eastAsia"/>
          <w:color w:val="auto"/>
        </w:rPr>
        <w:t>4.竞标费用</w:t>
      </w:r>
    </w:p>
    <w:p w14:paraId="2B36C49D">
      <w:pPr>
        <w:ind w:firstLine="420"/>
        <w:rPr>
          <w:rFonts w:cs="宋体"/>
          <w:color w:val="auto"/>
        </w:rPr>
      </w:pPr>
      <w:r>
        <w:rPr>
          <w:rFonts w:hint="eastAsia" w:cs="宋体"/>
          <w:color w:val="auto"/>
        </w:rPr>
        <w:t>供应商应承担参与本次采购活动有关的所有费用，包括但不限于获取磋商文件、勘查现场、编制和提交响应文件、参加磋商与应答、签订合同等，不论竞标结果如何，均应自行承担。</w:t>
      </w:r>
    </w:p>
    <w:p w14:paraId="315D9DA6">
      <w:pPr>
        <w:pStyle w:val="68"/>
        <w:ind w:firstLine="424"/>
        <w:rPr>
          <w:color w:val="auto"/>
        </w:rPr>
      </w:pPr>
      <w:r>
        <w:rPr>
          <w:rFonts w:hint="eastAsia"/>
          <w:color w:val="auto"/>
        </w:rPr>
        <w:t>5.联合体竞标</w:t>
      </w:r>
    </w:p>
    <w:p w14:paraId="4DC62C89">
      <w:pPr>
        <w:ind w:firstLine="420"/>
        <w:rPr>
          <w:rFonts w:cs="宋体"/>
          <w:color w:val="auto"/>
        </w:rPr>
      </w:pPr>
      <w:r>
        <w:rPr>
          <w:rFonts w:hint="eastAsia" w:cs="宋体"/>
          <w:color w:val="auto"/>
        </w:rPr>
        <w:t>5.1本项目是否接受联合体竞标，详见“供应商须知前附表”。</w:t>
      </w:r>
    </w:p>
    <w:p w14:paraId="2DB0DA28">
      <w:pPr>
        <w:ind w:firstLine="420"/>
        <w:rPr>
          <w:rFonts w:cs="宋体"/>
          <w:color w:val="auto"/>
        </w:rPr>
      </w:pPr>
      <w:r>
        <w:rPr>
          <w:rFonts w:hint="eastAsia" w:cs="宋体"/>
          <w:color w:val="auto"/>
        </w:rPr>
        <w:t>5.2</w:t>
      </w:r>
      <w:r>
        <w:rPr>
          <w:rFonts w:hint="eastAsia"/>
          <w:color w:val="auto"/>
          <w:szCs w:val="24"/>
        </w:rPr>
        <w:t>如接受联合体竞标，</w:t>
      </w:r>
      <w:r>
        <w:rPr>
          <w:rFonts w:hint="eastAsia" w:cs="宋体"/>
          <w:color w:val="auto"/>
        </w:rPr>
        <w:t>联合体竞标要求详见“供应商须知前附表”。</w:t>
      </w:r>
    </w:p>
    <w:p w14:paraId="1B8DAF41">
      <w:pPr>
        <w:ind w:firstLine="420"/>
        <w:rPr>
          <w:rFonts w:cs="宋体"/>
          <w:color w:val="auto"/>
        </w:rPr>
      </w:pPr>
      <w:r>
        <w:rPr>
          <w:rFonts w:hint="eastAsia" w:cs="宋体"/>
          <w:color w:val="auto"/>
        </w:rPr>
        <w:t>5.3</w:t>
      </w:r>
      <w:r>
        <w:rPr>
          <w:rFonts w:hint="eastAsia"/>
          <w:color w:val="auto"/>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14:paraId="21B74A8F">
      <w:pPr>
        <w:pStyle w:val="68"/>
        <w:ind w:firstLine="424"/>
        <w:rPr>
          <w:color w:val="auto"/>
        </w:rPr>
      </w:pPr>
      <w:r>
        <w:rPr>
          <w:rFonts w:hint="eastAsia"/>
          <w:color w:val="auto"/>
        </w:rPr>
        <w:t>6.转包与分包</w:t>
      </w:r>
    </w:p>
    <w:p w14:paraId="5B31B266">
      <w:pPr>
        <w:ind w:firstLine="420"/>
        <w:rPr>
          <w:bCs/>
          <w:color w:val="auto"/>
          <w:lang w:val="zh-CN"/>
        </w:rPr>
      </w:pPr>
      <w:r>
        <w:rPr>
          <w:rFonts w:hint="eastAsia"/>
          <w:bCs/>
          <w:color w:val="auto"/>
          <w:lang w:val="zh-CN"/>
        </w:rPr>
        <w:t>6.1本项目不允许转包。</w:t>
      </w:r>
    </w:p>
    <w:p w14:paraId="1BD19997">
      <w:pPr>
        <w:ind w:firstLine="420"/>
        <w:rPr>
          <w:bCs/>
          <w:color w:val="auto"/>
          <w:lang w:val="zh-CN"/>
        </w:rPr>
      </w:pPr>
      <w:r>
        <w:rPr>
          <w:rFonts w:hint="eastAsia"/>
          <w:bCs/>
          <w:color w:val="auto"/>
          <w:lang w:val="zh-CN"/>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的行政许可。</w:t>
      </w:r>
    </w:p>
    <w:p w14:paraId="63F223D5">
      <w:pPr>
        <w:ind w:firstLine="420"/>
        <w:rPr>
          <w:bCs/>
          <w:color w:val="auto"/>
          <w:lang w:val="zh-CN"/>
        </w:rPr>
      </w:pPr>
      <w:r>
        <w:rPr>
          <w:rFonts w:hint="eastAsia"/>
          <w:bCs/>
          <w:color w:val="auto"/>
          <w:lang w:val="zh-CN"/>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72B7BAF5">
      <w:pPr>
        <w:pStyle w:val="68"/>
        <w:ind w:firstLine="424"/>
        <w:rPr>
          <w:color w:val="auto"/>
        </w:rPr>
      </w:pPr>
      <w:r>
        <w:rPr>
          <w:rFonts w:hint="eastAsia"/>
          <w:color w:val="auto"/>
        </w:rPr>
        <w:t>7.特别说明</w:t>
      </w:r>
    </w:p>
    <w:p w14:paraId="5D086105">
      <w:pPr>
        <w:ind w:firstLine="420"/>
        <w:rPr>
          <w:rFonts w:cs="宋体"/>
          <w:color w:val="auto"/>
        </w:rPr>
      </w:pPr>
      <w:r>
        <w:rPr>
          <w:rFonts w:hint="eastAsia"/>
          <w:color w:val="auto"/>
        </w:rPr>
        <w:t>7.</w:t>
      </w:r>
      <w:r>
        <w:rPr>
          <w:color w:val="auto"/>
        </w:rPr>
        <w:t>1</w:t>
      </w:r>
      <w:r>
        <w:rPr>
          <w:rFonts w:hint="eastAsia"/>
          <w:color w:val="auto"/>
        </w:rPr>
        <w:t xml:space="preserve">如果本磋商文件要求提供供应商或制造商（或承接服务供应商）的资格、信誉、荣誉、业绩与企业认证等材料的，资格、信誉、荣誉、业绩与企业认证等必须为供应商或者制造商（或承接服务供应商）的所拥有或自身获得 </w:t>
      </w:r>
      <w:r>
        <w:rPr>
          <w:rFonts w:hint="eastAsia" w:cs="宋体"/>
          <w:color w:val="auto"/>
        </w:rPr>
        <w:t>。</w:t>
      </w:r>
    </w:p>
    <w:p w14:paraId="32885FEE">
      <w:pPr>
        <w:ind w:firstLine="420"/>
        <w:rPr>
          <w:rFonts w:cs="宋体"/>
          <w:color w:val="auto"/>
        </w:rPr>
      </w:pPr>
      <w:r>
        <w:rPr>
          <w:rFonts w:hint="eastAsia" w:cs="宋体"/>
          <w:color w:val="auto"/>
        </w:rPr>
        <w:t>7.</w:t>
      </w:r>
      <w:r>
        <w:rPr>
          <w:rFonts w:cs="宋体"/>
          <w:color w:val="auto"/>
        </w:rPr>
        <w:t>2</w:t>
      </w:r>
      <w:r>
        <w:rPr>
          <w:rFonts w:hint="eastAsia" w:cs="宋体"/>
          <w:color w:val="auto"/>
        </w:rPr>
        <w:t>供应商应仔细阅读磋商文件的所有内容，按照磋商文件的要求提交响应文件，并对所提供的全部资料的真实性承担法律责任。</w:t>
      </w:r>
    </w:p>
    <w:p w14:paraId="5DEC7E20">
      <w:pPr>
        <w:ind w:firstLine="420"/>
        <w:rPr>
          <w:rFonts w:cs="宋体"/>
          <w:color w:val="auto"/>
        </w:rPr>
      </w:pPr>
      <w:r>
        <w:rPr>
          <w:rFonts w:hint="eastAsia" w:cs="宋体"/>
          <w:color w:val="auto"/>
        </w:rPr>
        <w:t>7.</w:t>
      </w:r>
      <w:r>
        <w:rPr>
          <w:rFonts w:cs="宋体"/>
          <w:color w:val="auto"/>
        </w:rPr>
        <w:t>3</w:t>
      </w:r>
      <w:r>
        <w:rPr>
          <w:rFonts w:hint="eastAsia" w:cs="宋体"/>
          <w:color w:val="auto"/>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57EC9DB">
      <w:pPr>
        <w:ind w:firstLine="420"/>
        <w:rPr>
          <w:rFonts w:cs="宋体"/>
          <w:color w:val="auto"/>
        </w:rPr>
      </w:pPr>
      <w:r>
        <w:rPr>
          <w:rFonts w:hint="eastAsia" w:cs="宋体"/>
          <w:color w:val="auto"/>
        </w:rPr>
        <w:t>7.</w:t>
      </w:r>
      <w:r>
        <w:rPr>
          <w:rFonts w:cs="宋体"/>
          <w:color w:val="auto"/>
        </w:rPr>
        <w:t>4</w:t>
      </w:r>
      <w:r>
        <w:rPr>
          <w:rFonts w:hint="eastAsia" w:cs="宋体"/>
          <w:color w:val="auto"/>
        </w:rPr>
        <w:t>在政府采购活动中，采购人员及相关人员与供应商有下列利害关系之一的，应当回避：</w:t>
      </w:r>
    </w:p>
    <w:p w14:paraId="2915BD8F">
      <w:pPr>
        <w:ind w:firstLine="420"/>
        <w:rPr>
          <w:rFonts w:cs="宋体"/>
          <w:color w:val="auto"/>
        </w:rPr>
      </w:pPr>
      <w:r>
        <w:rPr>
          <w:rFonts w:hint="eastAsia" w:cs="宋体"/>
          <w:color w:val="auto"/>
        </w:rPr>
        <w:t>（1）参加采购活动前3年内与供应商存在劳动关系；</w:t>
      </w:r>
    </w:p>
    <w:p w14:paraId="328E87BC">
      <w:pPr>
        <w:ind w:firstLine="420"/>
        <w:rPr>
          <w:rFonts w:cs="宋体"/>
          <w:color w:val="auto"/>
        </w:rPr>
      </w:pPr>
      <w:r>
        <w:rPr>
          <w:rFonts w:hint="eastAsia" w:cs="宋体"/>
          <w:color w:val="auto"/>
        </w:rPr>
        <w:t>（2）参加采购活动前3年内担任供应商的董事、监事；</w:t>
      </w:r>
    </w:p>
    <w:p w14:paraId="2C8C5B7F">
      <w:pPr>
        <w:ind w:firstLine="420"/>
        <w:rPr>
          <w:rFonts w:cs="宋体"/>
          <w:color w:val="auto"/>
        </w:rPr>
      </w:pPr>
      <w:r>
        <w:rPr>
          <w:rFonts w:hint="eastAsia" w:cs="宋体"/>
          <w:color w:val="auto"/>
        </w:rPr>
        <w:t>（3）参加采购活动前3年内是供应商的控股股东或者实际控制人；</w:t>
      </w:r>
    </w:p>
    <w:p w14:paraId="2F5E3426">
      <w:pPr>
        <w:ind w:firstLine="420"/>
        <w:rPr>
          <w:rFonts w:cs="宋体"/>
          <w:color w:val="auto"/>
        </w:rPr>
      </w:pPr>
      <w:r>
        <w:rPr>
          <w:rFonts w:hint="eastAsia" w:cs="宋体"/>
          <w:color w:val="auto"/>
        </w:rPr>
        <w:t>（4）与供应商的法定代表人或者负责人有夫妻、直系血亲、三代以内旁系血亲或者近姻亲关系；</w:t>
      </w:r>
    </w:p>
    <w:p w14:paraId="15E8155B">
      <w:pPr>
        <w:ind w:firstLine="420"/>
        <w:rPr>
          <w:rFonts w:cs="宋体"/>
          <w:color w:val="auto"/>
        </w:rPr>
      </w:pPr>
      <w:r>
        <w:rPr>
          <w:rFonts w:hint="eastAsia" w:cs="宋体"/>
          <w:color w:val="auto"/>
        </w:rPr>
        <w:t>（5）与供应商有其他可能影响政府采购活动公平、公正进行的关系。</w:t>
      </w:r>
    </w:p>
    <w:p w14:paraId="036189B0">
      <w:pPr>
        <w:ind w:firstLine="420"/>
        <w:rPr>
          <w:rFonts w:cs="宋体"/>
          <w:color w:val="auto"/>
        </w:rPr>
      </w:pPr>
      <w:r>
        <w:rPr>
          <w:rFonts w:hint="eastAsia" w:cs="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F97B215">
      <w:pPr>
        <w:ind w:firstLine="420"/>
        <w:rPr>
          <w:rFonts w:cs="宋体"/>
          <w:color w:val="auto"/>
        </w:rPr>
      </w:pPr>
      <w:r>
        <w:rPr>
          <w:rFonts w:hint="eastAsia" w:cs="宋体"/>
          <w:color w:val="auto"/>
        </w:rPr>
        <w:t>7.</w:t>
      </w:r>
      <w:r>
        <w:rPr>
          <w:rFonts w:cs="宋体"/>
          <w:color w:val="auto"/>
        </w:rPr>
        <w:t>5</w:t>
      </w:r>
      <w:r>
        <w:rPr>
          <w:rFonts w:hint="eastAsia" w:cs="宋体"/>
          <w:color w:val="auto"/>
        </w:rPr>
        <w:t>有下列情形之一的视为供应商相互串通竞标，响应文件将被视为无效：</w:t>
      </w:r>
    </w:p>
    <w:p w14:paraId="633EAFB4">
      <w:pPr>
        <w:ind w:firstLine="420"/>
        <w:rPr>
          <w:rFonts w:cs="宋体"/>
          <w:color w:val="auto"/>
        </w:rPr>
      </w:pPr>
      <w:r>
        <w:rPr>
          <w:rFonts w:hint="eastAsia" w:cs="宋体"/>
          <w:color w:val="auto"/>
        </w:rPr>
        <w:t xml:space="preserve">（1）不同供应商的响应文件由同一单位或者个人编制； </w:t>
      </w:r>
    </w:p>
    <w:p w14:paraId="1D5C7B5F">
      <w:pPr>
        <w:ind w:firstLine="420"/>
        <w:rPr>
          <w:rFonts w:cs="宋体"/>
          <w:color w:val="auto"/>
        </w:rPr>
      </w:pPr>
      <w:r>
        <w:rPr>
          <w:rFonts w:hint="eastAsia" w:cs="宋体"/>
          <w:color w:val="auto"/>
        </w:rPr>
        <w:t>（2）不同供应商委托同一单位或者个人办理竞标事宜；</w:t>
      </w:r>
    </w:p>
    <w:p w14:paraId="3EB53967">
      <w:pPr>
        <w:ind w:firstLine="420"/>
        <w:rPr>
          <w:rFonts w:cs="宋体"/>
          <w:color w:val="auto"/>
        </w:rPr>
      </w:pPr>
      <w:r>
        <w:rPr>
          <w:rFonts w:hint="eastAsia" w:cs="宋体"/>
          <w:color w:val="auto"/>
        </w:rPr>
        <w:t>（3）不同的供应商的响应文件载明的项目管理员为同一个人；</w:t>
      </w:r>
    </w:p>
    <w:p w14:paraId="386FDAA6">
      <w:pPr>
        <w:ind w:firstLine="420"/>
        <w:rPr>
          <w:rFonts w:cs="宋体"/>
          <w:color w:val="auto"/>
        </w:rPr>
      </w:pPr>
      <w:r>
        <w:rPr>
          <w:rFonts w:hint="eastAsia" w:cs="宋体"/>
          <w:color w:val="auto"/>
        </w:rPr>
        <w:t>（4）不同供应商的响应文件异常一致或者报价呈规律性差异；</w:t>
      </w:r>
    </w:p>
    <w:p w14:paraId="21A91158">
      <w:pPr>
        <w:ind w:firstLine="420"/>
        <w:rPr>
          <w:rFonts w:cs="宋体"/>
          <w:color w:val="auto"/>
        </w:rPr>
      </w:pPr>
      <w:r>
        <w:rPr>
          <w:rFonts w:hint="eastAsia" w:cs="宋体"/>
          <w:color w:val="auto"/>
        </w:rPr>
        <w:t>（5）不同供应商的响应文件相互混装；</w:t>
      </w:r>
    </w:p>
    <w:p w14:paraId="0100A6B1">
      <w:pPr>
        <w:ind w:firstLine="420"/>
        <w:rPr>
          <w:rFonts w:cs="宋体"/>
          <w:color w:val="auto"/>
        </w:rPr>
      </w:pPr>
      <w:r>
        <w:rPr>
          <w:rFonts w:hint="eastAsia" w:cs="宋体"/>
          <w:color w:val="auto"/>
        </w:rPr>
        <w:t>（6）不同供应商的磋商保证金从同一单位或者个人账户转出。</w:t>
      </w:r>
      <w:r>
        <w:rPr>
          <w:rFonts w:cs="宋体"/>
          <w:color w:val="auto"/>
        </w:rPr>
        <w:tab/>
      </w:r>
    </w:p>
    <w:p w14:paraId="3F7FD8FB">
      <w:pPr>
        <w:ind w:firstLine="420"/>
        <w:rPr>
          <w:rFonts w:cs="宋体"/>
          <w:color w:val="auto"/>
        </w:rPr>
      </w:pPr>
      <w:r>
        <w:rPr>
          <w:rFonts w:hint="eastAsia" w:cs="宋体"/>
          <w:color w:val="auto"/>
        </w:rPr>
        <w:t>7.</w:t>
      </w:r>
      <w:r>
        <w:rPr>
          <w:rFonts w:cs="宋体"/>
          <w:color w:val="auto"/>
        </w:rPr>
        <w:t>6</w:t>
      </w:r>
      <w:r>
        <w:rPr>
          <w:rFonts w:hint="eastAsia" w:cs="宋体"/>
          <w:color w:val="auto"/>
        </w:rPr>
        <w:t>供应商有下列情形之一的，属于恶意串通行为，将报同级监督管理部门：</w:t>
      </w:r>
    </w:p>
    <w:p w14:paraId="1F7CC59F">
      <w:pPr>
        <w:ind w:firstLine="420"/>
        <w:rPr>
          <w:rFonts w:cs="宋体"/>
          <w:color w:val="auto"/>
        </w:rPr>
      </w:pPr>
      <w:r>
        <w:rPr>
          <w:rFonts w:hint="eastAsia" w:cs="宋体"/>
          <w:color w:val="auto"/>
        </w:rPr>
        <w:t>（1）供应商直接或者间接从采购人或者采购代理机构处获得其他供应商的相关信息并修改其响应文件；</w:t>
      </w:r>
    </w:p>
    <w:p w14:paraId="59DCF160">
      <w:pPr>
        <w:ind w:firstLine="420"/>
        <w:rPr>
          <w:rFonts w:cs="宋体"/>
          <w:color w:val="auto"/>
        </w:rPr>
      </w:pPr>
      <w:r>
        <w:rPr>
          <w:rFonts w:hint="eastAsia" w:cs="宋体"/>
          <w:color w:val="auto"/>
        </w:rPr>
        <w:t>（2）供应商按照采购人或者采购代理机构的授意撤换、修改响应文件；</w:t>
      </w:r>
    </w:p>
    <w:p w14:paraId="0AD709F6">
      <w:pPr>
        <w:ind w:firstLine="420"/>
        <w:rPr>
          <w:rFonts w:cs="宋体"/>
          <w:color w:val="auto"/>
        </w:rPr>
      </w:pPr>
      <w:r>
        <w:rPr>
          <w:rFonts w:hint="eastAsia" w:cs="宋体"/>
          <w:color w:val="auto"/>
        </w:rPr>
        <w:t>（3）供应商之间协商报价、技术方案等响应文件或者响应文件的实质性内容；</w:t>
      </w:r>
    </w:p>
    <w:p w14:paraId="1C0DA34D">
      <w:pPr>
        <w:ind w:firstLine="420"/>
        <w:rPr>
          <w:rFonts w:cs="宋体"/>
          <w:color w:val="auto"/>
        </w:rPr>
      </w:pPr>
      <w:r>
        <w:rPr>
          <w:rFonts w:hint="eastAsia" w:cs="宋体"/>
          <w:color w:val="auto"/>
        </w:rPr>
        <w:t>（4）属于同一集团、协会、商会等组织成员的供应商按照该组织要求协同参加政府采购活动；</w:t>
      </w:r>
    </w:p>
    <w:p w14:paraId="278B5F91">
      <w:pPr>
        <w:ind w:firstLine="420"/>
        <w:rPr>
          <w:rFonts w:cs="宋体"/>
          <w:color w:val="auto"/>
        </w:rPr>
      </w:pPr>
      <w:r>
        <w:rPr>
          <w:rFonts w:hint="eastAsia" w:cs="宋体"/>
          <w:color w:val="auto"/>
        </w:rPr>
        <w:t>（5）供应商之间事先约定一致抬高或者压低报价，或者在政府采购活动中事先约定轮流以高价位或者低价位成交，或者事先约定由某一特定供应商成交，然后再参加竞标；</w:t>
      </w:r>
    </w:p>
    <w:p w14:paraId="0F58690F">
      <w:pPr>
        <w:ind w:firstLine="420"/>
        <w:rPr>
          <w:rFonts w:cs="宋体"/>
          <w:color w:val="auto"/>
        </w:rPr>
      </w:pPr>
      <w:r>
        <w:rPr>
          <w:rFonts w:hint="eastAsia" w:cs="宋体"/>
          <w:color w:val="auto"/>
        </w:rPr>
        <w:t>（6）供应商之间商定部分供应商放弃参加政府采购活动或者放弃成交；</w:t>
      </w:r>
    </w:p>
    <w:p w14:paraId="570C66B4">
      <w:pPr>
        <w:ind w:firstLine="420"/>
        <w:rPr>
          <w:rFonts w:cs="宋体"/>
          <w:color w:val="auto"/>
        </w:rPr>
      </w:pPr>
      <w:r>
        <w:rPr>
          <w:rFonts w:hint="eastAsia" w:cs="宋体"/>
          <w:color w:val="auto"/>
        </w:rPr>
        <w:t>（7）供应商与采购人或者采购代理机构之间、供应商相互之间，为谋求特定供应商成交或者排斥其他供应商的其他串通行为。</w:t>
      </w:r>
    </w:p>
    <w:p w14:paraId="1E4C9B96">
      <w:pPr>
        <w:pStyle w:val="67"/>
        <w:rPr>
          <w:color w:val="auto"/>
        </w:rPr>
      </w:pPr>
      <w:bookmarkStart w:id="7" w:name="_Toc254970534"/>
      <w:bookmarkStart w:id="8" w:name="_Toc254970675"/>
      <w:r>
        <w:rPr>
          <w:rFonts w:hint="eastAsia"/>
          <w:color w:val="auto"/>
        </w:rPr>
        <w:t>二、磋商文件</w:t>
      </w:r>
      <w:bookmarkEnd w:id="7"/>
      <w:bookmarkEnd w:id="8"/>
    </w:p>
    <w:p w14:paraId="49D6F3C1">
      <w:pPr>
        <w:pStyle w:val="68"/>
        <w:ind w:firstLine="424"/>
        <w:rPr>
          <w:color w:val="auto"/>
        </w:rPr>
      </w:pPr>
      <w:r>
        <w:rPr>
          <w:rFonts w:hint="eastAsia"/>
          <w:color w:val="auto"/>
        </w:rPr>
        <w:t>8.磋商文件的构成</w:t>
      </w:r>
    </w:p>
    <w:p w14:paraId="1EDB3E81">
      <w:pPr>
        <w:ind w:firstLine="420"/>
        <w:rPr>
          <w:color w:val="auto"/>
        </w:rPr>
      </w:pPr>
      <w:r>
        <w:rPr>
          <w:rFonts w:hint="eastAsia"/>
          <w:color w:val="auto"/>
        </w:rPr>
        <w:t>（1）竞争性磋商公告；</w:t>
      </w:r>
    </w:p>
    <w:p w14:paraId="0C419BB7">
      <w:pPr>
        <w:ind w:firstLine="420"/>
        <w:rPr>
          <w:color w:val="auto"/>
        </w:rPr>
      </w:pPr>
      <w:r>
        <w:rPr>
          <w:rFonts w:hint="eastAsia"/>
          <w:color w:val="auto"/>
        </w:rPr>
        <w:t>（2）供应商须知；</w:t>
      </w:r>
    </w:p>
    <w:p w14:paraId="7C537127">
      <w:pPr>
        <w:ind w:firstLine="420"/>
        <w:rPr>
          <w:color w:val="auto"/>
        </w:rPr>
      </w:pPr>
      <w:r>
        <w:rPr>
          <w:rFonts w:hint="eastAsia"/>
          <w:color w:val="auto"/>
        </w:rPr>
        <w:t>（3）采购需求；</w:t>
      </w:r>
    </w:p>
    <w:p w14:paraId="64B194B9">
      <w:pPr>
        <w:ind w:firstLine="420"/>
        <w:rPr>
          <w:color w:val="auto"/>
        </w:rPr>
      </w:pPr>
      <w:r>
        <w:rPr>
          <w:rFonts w:hint="eastAsia"/>
          <w:color w:val="auto"/>
        </w:rPr>
        <w:t>（4）评审程序、评审方法和评审标准；</w:t>
      </w:r>
    </w:p>
    <w:p w14:paraId="5300A987">
      <w:pPr>
        <w:ind w:firstLine="420"/>
        <w:rPr>
          <w:color w:val="auto"/>
        </w:rPr>
      </w:pPr>
      <w:r>
        <w:rPr>
          <w:rFonts w:hint="eastAsia"/>
          <w:color w:val="auto"/>
        </w:rPr>
        <w:t>（5）响应文件格式；</w:t>
      </w:r>
    </w:p>
    <w:p w14:paraId="02A62E5B">
      <w:pPr>
        <w:ind w:firstLine="420"/>
        <w:rPr>
          <w:color w:val="auto"/>
        </w:rPr>
      </w:pPr>
      <w:r>
        <w:rPr>
          <w:rFonts w:hint="eastAsia"/>
          <w:color w:val="auto"/>
        </w:rPr>
        <w:t>（6）合同文本。</w:t>
      </w:r>
    </w:p>
    <w:p w14:paraId="49689650">
      <w:pPr>
        <w:pStyle w:val="68"/>
        <w:ind w:firstLine="424"/>
        <w:rPr>
          <w:color w:val="auto"/>
        </w:rPr>
      </w:pPr>
      <w:r>
        <w:rPr>
          <w:rFonts w:hint="eastAsia"/>
          <w:color w:val="auto"/>
        </w:rPr>
        <w:t>9.供应商的询问</w:t>
      </w:r>
    </w:p>
    <w:p w14:paraId="5FD87039">
      <w:pPr>
        <w:ind w:firstLine="420"/>
        <w:rPr>
          <w:color w:val="auto"/>
        </w:rPr>
      </w:pPr>
      <w:r>
        <w:rPr>
          <w:rFonts w:hint="eastAsia"/>
          <w:color w:val="auto"/>
        </w:rPr>
        <w:t>供应商应认真阅读磋商文件的采购需求，如供应商对磋商文件有疑问的，如要求采购人作出澄清或者修改的，供应商尽可能在</w:t>
      </w:r>
      <w:r>
        <w:rPr>
          <w:color w:val="auto"/>
        </w:rPr>
        <w:t>提交首次响应文件截止之日前</w:t>
      </w:r>
      <w:r>
        <w:rPr>
          <w:rFonts w:hint="eastAsia"/>
          <w:color w:val="auto"/>
        </w:rPr>
        <w:t>，以书面形式向</w:t>
      </w:r>
      <w:r>
        <w:rPr>
          <w:color w:val="auto"/>
        </w:rPr>
        <w:t>采购人、采购代理机构</w:t>
      </w:r>
      <w:r>
        <w:rPr>
          <w:rFonts w:hint="eastAsia"/>
          <w:color w:val="auto"/>
        </w:rPr>
        <w:t>提出。</w:t>
      </w:r>
    </w:p>
    <w:p w14:paraId="709A80BC">
      <w:pPr>
        <w:pStyle w:val="68"/>
        <w:ind w:firstLine="424"/>
        <w:rPr>
          <w:color w:val="auto"/>
        </w:rPr>
      </w:pPr>
      <w:r>
        <w:rPr>
          <w:rFonts w:hint="eastAsia"/>
          <w:color w:val="auto"/>
        </w:rPr>
        <w:t>10.磋商文件的澄清和修改</w:t>
      </w:r>
    </w:p>
    <w:p w14:paraId="19611BA2">
      <w:pPr>
        <w:ind w:firstLine="420"/>
        <w:rPr>
          <w:color w:val="auto"/>
        </w:rPr>
      </w:pPr>
      <w:r>
        <w:rPr>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color w:val="auto"/>
        </w:rPr>
        <w:t>获取</w:t>
      </w:r>
      <w:r>
        <w:rPr>
          <w:color w:val="auto"/>
        </w:rPr>
        <w:t>磋商文件的供应商，不足3个工作日的，应当顺延提交首次响应文件截止之日。</w:t>
      </w:r>
    </w:p>
    <w:p w14:paraId="0CDA587E">
      <w:pPr>
        <w:pStyle w:val="67"/>
        <w:rPr>
          <w:color w:val="auto"/>
        </w:rPr>
      </w:pPr>
      <w:r>
        <w:rPr>
          <w:rFonts w:hint="eastAsia"/>
          <w:color w:val="auto"/>
        </w:rPr>
        <w:t>三、响应文件的编制</w:t>
      </w:r>
    </w:p>
    <w:p w14:paraId="61B2779E">
      <w:pPr>
        <w:pStyle w:val="68"/>
        <w:ind w:firstLine="424"/>
        <w:rPr>
          <w:color w:val="auto"/>
        </w:rPr>
      </w:pPr>
      <w:r>
        <w:rPr>
          <w:rFonts w:hint="eastAsia"/>
          <w:color w:val="auto"/>
        </w:rPr>
        <w:t>11.响应文件的编制原则</w:t>
      </w:r>
    </w:p>
    <w:p w14:paraId="183C56BB">
      <w:pPr>
        <w:ind w:firstLine="420"/>
        <w:rPr>
          <w:rFonts w:cs="宋体"/>
          <w:color w:val="auto"/>
        </w:rPr>
      </w:pPr>
      <w:r>
        <w:rPr>
          <w:rFonts w:hint="eastAsia" w:cs="宋体"/>
          <w:color w:val="auto"/>
        </w:rPr>
        <w:t>供应商必须按照磋商文件的要求编制响应文件，并对其提交的响应文件的真实性、合法性承担法律责任。响应文件必须对磋商文件作出实质性响应。</w:t>
      </w:r>
    </w:p>
    <w:p w14:paraId="0E99AA7B">
      <w:pPr>
        <w:pStyle w:val="68"/>
        <w:ind w:firstLine="424"/>
        <w:rPr>
          <w:color w:val="auto"/>
        </w:rPr>
      </w:pPr>
      <w:r>
        <w:rPr>
          <w:rFonts w:hint="eastAsia"/>
          <w:color w:val="auto"/>
        </w:rPr>
        <w:t>12.响应文件的组成</w:t>
      </w:r>
    </w:p>
    <w:p w14:paraId="3DE525A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12.1响应文件由资格证明文件、报价商务技术文件两部分组成。</w:t>
      </w:r>
    </w:p>
    <w:p w14:paraId="47515B12">
      <w:pPr>
        <w:spacing w:line="360" w:lineRule="auto"/>
        <w:ind w:left="840" w:leftChars="200" w:hanging="420" w:hangingChars="200"/>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2.1.1</w:t>
      </w:r>
      <w:r>
        <w:rPr>
          <w:rFonts w:hint="eastAsia" w:ascii="宋体" w:hAnsi="宋体" w:cs="宋体"/>
          <w:color w:val="000000"/>
          <w:szCs w:val="21"/>
        </w:rPr>
        <w:t>资格证明文件：详见须知前附表</w:t>
      </w:r>
    </w:p>
    <w:p w14:paraId="6E01518F">
      <w:pPr>
        <w:spacing w:line="360" w:lineRule="auto"/>
        <w:ind w:left="840" w:leftChars="200" w:hanging="420" w:hangingChars="200"/>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2.1.2</w:t>
      </w:r>
      <w:r>
        <w:rPr>
          <w:rFonts w:hint="eastAsia" w:ascii="宋体" w:hAnsi="宋体" w:cs="宋体"/>
          <w:color w:val="000000"/>
          <w:szCs w:val="21"/>
        </w:rPr>
        <w:t>报价商务技术文件：详见须知前附表</w:t>
      </w:r>
    </w:p>
    <w:p w14:paraId="26923BAA">
      <w:pPr>
        <w:pStyle w:val="68"/>
        <w:ind w:firstLine="424"/>
        <w:rPr>
          <w:color w:val="auto"/>
        </w:rPr>
      </w:pPr>
      <w:r>
        <w:rPr>
          <w:rFonts w:hint="eastAsia"/>
          <w:color w:val="auto"/>
        </w:rPr>
        <w:t>13.计量单位</w:t>
      </w:r>
    </w:p>
    <w:p w14:paraId="7ADF6290">
      <w:pPr>
        <w:ind w:firstLine="420"/>
        <w:rPr>
          <w:rFonts w:cs="宋体"/>
          <w:color w:val="auto"/>
        </w:rPr>
      </w:pPr>
      <w:r>
        <w:rPr>
          <w:rFonts w:hint="eastAsia" w:cs="宋体"/>
          <w:color w:val="auto"/>
        </w:rPr>
        <w:t>磋商文件已有明确规定的，使用磋商文件规定的计量单位；磋商文件没有规定的，应采用中华人民共和国法定计量单位，货币种类为人民币，否则视同未响应。</w:t>
      </w:r>
    </w:p>
    <w:p w14:paraId="08B86D87">
      <w:pPr>
        <w:pStyle w:val="68"/>
        <w:ind w:firstLine="424"/>
        <w:rPr>
          <w:color w:val="auto"/>
        </w:rPr>
      </w:pPr>
      <w:r>
        <w:rPr>
          <w:rFonts w:hint="eastAsia"/>
          <w:color w:val="auto"/>
        </w:rPr>
        <w:t>14.竞标的风险</w:t>
      </w:r>
    </w:p>
    <w:p w14:paraId="796A39FD">
      <w:pPr>
        <w:ind w:firstLine="420"/>
        <w:rPr>
          <w:rFonts w:cs="宋体"/>
          <w:color w:val="auto"/>
        </w:rPr>
      </w:pPr>
      <w:r>
        <w:rPr>
          <w:rFonts w:hint="eastAsia" w:cs="宋体"/>
          <w:color w:val="auto"/>
        </w:rPr>
        <w:t>供应商没有按照磋商文件要求提供全部资料，或者供应商没有对磋商文件在各方面作出实质性响应可能导致其响应无效，是供应商应当考虑的风险。</w:t>
      </w:r>
    </w:p>
    <w:p w14:paraId="24F6CC12">
      <w:pPr>
        <w:pStyle w:val="68"/>
        <w:ind w:firstLine="424"/>
        <w:rPr>
          <w:color w:val="auto"/>
        </w:rPr>
      </w:pPr>
      <w:r>
        <w:rPr>
          <w:rFonts w:hint="eastAsia"/>
          <w:color w:val="auto"/>
        </w:rPr>
        <w:t>15.竞标报价</w:t>
      </w:r>
    </w:p>
    <w:p w14:paraId="1770660E">
      <w:pPr>
        <w:ind w:firstLine="420"/>
        <w:rPr>
          <w:rFonts w:cs="宋体"/>
          <w:color w:val="auto"/>
        </w:rPr>
      </w:pPr>
      <w:r>
        <w:rPr>
          <w:rFonts w:hint="eastAsia" w:cs="宋体"/>
          <w:color w:val="auto"/>
        </w:rPr>
        <w:t>15.1竞标报价应按磋商文件中“</w:t>
      </w:r>
      <w:r>
        <w:rPr>
          <w:rFonts w:hint="eastAsia" w:ascii="宋体" w:hAnsi="宋体" w:eastAsia="宋体" w:cs="宋体"/>
          <w:color w:val="auto"/>
        </w:rPr>
        <w:t>报价函、报价函附录及已标价的工程量清单</w:t>
      </w:r>
      <w:r>
        <w:rPr>
          <w:rFonts w:hint="eastAsia" w:cs="宋体"/>
          <w:color w:val="auto"/>
        </w:rPr>
        <w:t>”格式填写。</w:t>
      </w:r>
    </w:p>
    <w:p w14:paraId="52FDC8FA">
      <w:pPr>
        <w:ind w:firstLine="420"/>
        <w:rPr>
          <w:rFonts w:cs="宋体"/>
          <w:color w:val="auto"/>
        </w:rPr>
      </w:pPr>
      <w:r>
        <w:rPr>
          <w:rFonts w:hint="eastAsia" w:cs="宋体"/>
          <w:color w:val="auto"/>
        </w:rPr>
        <w:t>15.2竞标报价的内容见“供应商须知前附表”。</w:t>
      </w:r>
    </w:p>
    <w:p w14:paraId="73A06173">
      <w:pPr>
        <w:ind w:firstLine="420"/>
        <w:rPr>
          <w:rFonts w:cs="宋体"/>
          <w:color w:val="auto"/>
        </w:rPr>
      </w:pPr>
      <w:r>
        <w:rPr>
          <w:rFonts w:hint="eastAsia" w:cs="宋体"/>
          <w:color w:val="auto"/>
        </w:rPr>
        <w:t>15.3竞标报价要求</w:t>
      </w:r>
    </w:p>
    <w:p w14:paraId="068CD7E8">
      <w:pPr>
        <w:ind w:firstLine="420"/>
        <w:rPr>
          <w:rFonts w:cs="宋体"/>
          <w:color w:val="auto"/>
        </w:rPr>
      </w:pPr>
      <w:r>
        <w:rPr>
          <w:rFonts w:hint="eastAsia" w:cs="宋体"/>
          <w:color w:val="auto"/>
        </w:rPr>
        <w:t>1</w:t>
      </w:r>
      <w:r>
        <w:rPr>
          <w:rFonts w:cs="宋体"/>
          <w:color w:val="auto"/>
        </w:rPr>
        <w:t>5.3.1</w:t>
      </w:r>
      <w:r>
        <w:rPr>
          <w:rFonts w:hint="eastAsia" w:cs="宋体"/>
          <w:color w:val="auto"/>
        </w:rPr>
        <w:t>供应商的竞标报价应符合以下要求，否则响应文件按无效响应处理：</w:t>
      </w:r>
    </w:p>
    <w:p w14:paraId="7C9F1D99">
      <w:pPr>
        <w:ind w:firstLine="420"/>
        <w:rPr>
          <w:rFonts w:cs="宋体"/>
          <w:color w:val="auto"/>
        </w:rPr>
      </w:pPr>
      <w:r>
        <w:rPr>
          <w:rFonts w:hint="eastAsia" w:cs="宋体"/>
          <w:color w:val="auto"/>
        </w:rPr>
        <w:t>（1）供应商必须就“采购需求”中所竞标的全部内容分别作完整唯一总价报价，不得存在漏项报价；</w:t>
      </w:r>
    </w:p>
    <w:p w14:paraId="3FB87510">
      <w:pPr>
        <w:ind w:firstLine="420"/>
        <w:rPr>
          <w:rFonts w:cs="宋体"/>
          <w:color w:val="auto"/>
        </w:rPr>
      </w:pPr>
      <w:r>
        <w:rPr>
          <w:rFonts w:hint="eastAsia" w:cs="宋体"/>
          <w:color w:val="auto"/>
        </w:rPr>
        <w:t>（</w:t>
      </w:r>
      <w:r>
        <w:rPr>
          <w:rFonts w:cs="宋体"/>
          <w:color w:val="auto"/>
        </w:rPr>
        <w:t>2</w:t>
      </w:r>
      <w:r>
        <w:rPr>
          <w:rFonts w:hint="eastAsia" w:cs="宋体"/>
          <w:color w:val="auto"/>
        </w:rPr>
        <w:t>）供应商必须就所竞标的单项内容</w:t>
      </w:r>
      <w:r>
        <w:rPr>
          <w:rFonts w:hint="eastAsia" w:cs="宋体"/>
          <w:color w:val="auto"/>
          <w:lang w:eastAsia="zh-CN"/>
        </w:rPr>
        <w:t>做</w:t>
      </w:r>
      <w:r>
        <w:rPr>
          <w:rFonts w:hint="eastAsia" w:cs="宋体"/>
          <w:color w:val="auto"/>
        </w:rPr>
        <w:t>唯一报价。</w:t>
      </w:r>
    </w:p>
    <w:p w14:paraId="31B79E77">
      <w:pPr>
        <w:ind w:firstLine="420"/>
        <w:rPr>
          <w:rFonts w:cs="宋体"/>
          <w:color w:val="auto"/>
        </w:rPr>
      </w:pPr>
      <w:r>
        <w:rPr>
          <w:rFonts w:hint="eastAsia" w:cs="宋体"/>
          <w:color w:val="auto"/>
        </w:rPr>
        <w:t>15.3.</w:t>
      </w:r>
      <w:r>
        <w:rPr>
          <w:rFonts w:cs="宋体"/>
          <w:color w:val="auto"/>
        </w:rPr>
        <w:t>2</w:t>
      </w:r>
      <w:r>
        <w:rPr>
          <w:rFonts w:hint="eastAsia" w:cs="宋体"/>
          <w:color w:val="auto"/>
        </w:rPr>
        <w:t>竞标报价（包含首次报价、最后报价）超过所竞标规定的采购预算金额或者最高限价的，其响应文件将按无效处理。</w:t>
      </w:r>
    </w:p>
    <w:p w14:paraId="7A4469FF">
      <w:pPr>
        <w:ind w:firstLine="420"/>
        <w:rPr>
          <w:rFonts w:cs="宋体"/>
          <w:color w:val="auto"/>
        </w:rPr>
      </w:pPr>
      <w:r>
        <w:rPr>
          <w:rFonts w:hint="eastAsia" w:cs="宋体"/>
          <w:color w:val="auto"/>
        </w:rPr>
        <w:t>15.3.</w:t>
      </w:r>
      <w:r>
        <w:rPr>
          <w:rFonts w:cs="宋体"/>
          <w:color w:val="auto"/>
        </w:rPr>
        <w:t>3</w:t>
      </w:r>
      <w:bookmarkStart w:id="9" w:name="_Hlk42592874"/>
      <w:r>
        <w:rPr>
          <w:rFonts w:hint="eastAsia" w:cs="宋体"/>
          <w:color w:val="auto"/>
        </w:rPr>
        <w:t>竞标报价（包含首次报价、最后报价）超过采购预算金额或者最高限价的，其响应文件将按无效处理。</w:t>
      </w:r>
    </w:p>
    <w:bookmarkEnd w:id="9"/>
    <w:p w14:paraId="2F983EA2">
      <w:pPr>
        <w:pStyle w:val="68"/>
        <w:ind w:firstLine="424"/>
        <w:rPr>
          <w:color w:val="auto"/>
        </w:rPr>
      </w:pPr>
      <w:r>
        <w:rPr>
          <w:rFonts w:hint="eastAsia"/>
          <w:color w:val="auto"/>
        </w:rPr>
        <w:t>16.竞标有效期</w:t>
      </w:r>
    </w:p>
    <w:p w14:paraId="65965C90">
      <w:pPr>
        <w:ind w:firstLine="420"/>
        <w:rPr>
          <w:rFonts w:cs="宋体"/>
          <w:color w:val="auto"/>
        </w:rPr>
      </w:pPr>
      <w:r>
        <w:rPr>
          <w:rFonts w:hint="eastAsia" w:cs="宋体"/>
          <w:color w:val="auto"/>
        </w:rPr>
        <w:t>16.1竞标有效期是指为保证采购人有足够的时间在提交响应文件后完成评审、确定成交供应商、</w:t>
      </w:r>
      <w:r>
        <w:rPr>
          <w:rFonts w:hint="eastAsia" w:ascii="宋体" w:hAnsi="宋体" w:cs="宋体"/>
          <w:color w:val="auto"/>
        </w:rPr>
        <w:t>合同签订等工作而要求供应商提交的响应文件在一定时间内保持有效的期限。</w:t>
      </w:r>
    </w:p>
    <w:p w14:paraId="04ACC8E7">
      <w:pPr>
        <w:ind w:firstLine="420"/>
        <w:rPr>
          <w:rFonts w:cs="宋体"/>
          <w:color w:val="auto"/>
        </w:rPr>
      </w:pPr>
      <w:r>
        <w:rPr>
          <w:rFonts w:hint="eastAsia" w:cs="宋体"/>
          <w:color w:val="auto"/>
        </w:rPr>
        <w:t>16.2 竞标有效期应由供应商按“供应商须知前附表”规定的期限作出响应。</w:t>
      </w:r>
    </w:p>
    <w:p w14:paraId="417258BC">
      <w:pPr>
        <w:ind w:firstLine="420"/>
        <w:rPr>
          <w:rFonts w:cs="宋体"/>
          <w:color w:val="auto"/>
        </w:rPr>
      </w:pPr>
      <w:r>
        <w:rPr>
          <w:rFonts w:hint="eastAsia" w:cs="宋体"/>
          <w:color w:val="auto"/>
        </w:rPr>
        <w:t>16.3供应商的响应文件在竞标有效期内均保持有效。</w:t>
      </w:r>
    </w:p>
    <w:p w14:paraId="3D1F38BD">
      <w:pPr>
        <w:pStyle w:val="68"/>
        <w:ind w:firstLine="424"/>
        <w:rPr>
          <w:color w:val="auto"/>
        </w:rPr>
      </w:pPr>
      <w:r>
        <w:rPr>
          <w:rFonts w:hint="eastAsia"/>
          <w:color w:val="auto"/>
        </w:rPr>
        <w:t>17.磋商保证金</w:t>
      </w:r>
    </w:p>
    <w:p w14:paraId="1496532E">
      <w:pPr>
        <w:ind w:firstLine="420"/>
        <w:rPr>
          <w:rFonts w:cs="宋体"/>
          <w:color w:val="auto"/>
        </w:rPr>
      </w:pPr>
      <w:r>
        <w:rPr>
          <w:rFonts w:hint="eastAsia" w:cs="宋体"/>
          <w:color w:val="auto"/>
        </w:rPr>
        <w:t>17.1供应商须按“供应商须知前附表”的规定提交磋商保证金。</w:t>
      </w:r>
    </w:p>
    <w:p w14:paraId="0F0CDD2F">
      <w:pPr>
        <w:ind w:firstLine="420"/>
        <w:rPr>
          <w:rFonts w:cs="宋体"/>
          <w:color w:val="auto"/>
        </w:rPr>
      </w:pPr>
      <w:r>
        <w:rPr>
          <w:rFonts w:hint="eastAsia" w:cs="宋体"/>
          <w:color w:val="auto"/>
        </w:rPr>
        <w:t>17.2磋商保证金的退还</w:t>
      </w:r>
    </w:p>
    <w:p w14:paraId="7F7C439D">
      <w:pPr>
        <w:ind w:firstLine="420"/>
        <w:rPr>
          <w:rFonts w:cs="宋体"/>
          <w:color w:val="auto"/>
        </w:rPr>
      </w:pPr>
      <w:r>
        <w:rPr>
          <w:rFonts w:hint="eastAsia" w:cs="宋体"/>
          <w:color w:val="auto"/>
        </w:rPr>
        <w:t>未</w:t>
      </w:r>
      <w:r>
        <w:rPr>
          <w:rFonts w:hint="eastAsia" w:cs="宋体"/>
          <w:color w:val="auto"/>
          <w:spacing w:val="-6"/>
        </w:rPr>
        <w:t>成交供应商的磋商保证金自成交通知书发出之日起4个工作日内退还；</w:t>
      </w:r>
      <w:r>
        <w:rPr>
          <w:rFonts w:hint="eastAsia" w:cs="宋体"/>
          <w:color w:val="auto"/>
        </w:rPr>
        <w:t xml:space="preserve">成交供应商的磋商保证金自签订合同之日起4个工作日内退还。 </w:t>
      </w:r>
    </w:p>
    <w:p w14:paraId="1E6C9AA0">
      <w:pPr>
        <w:ind w:firstLine="420"/>
        <w:rPr>
          <w:rFonts w:cs="宋体"/>
          <w:color w:val="auto"/>
        </w:rPr>
      </w:pPr>
      <w:r>
        <w:rPr>
          <w:rFonts w:hint="eastAsia" w:cs="宋体"/>
          <w:color w:val="auto"/>
        </w:rPr>
        <w:t>17.3磋商保证金不计息。</w:t>
      </w:r>
    </w:p>
    <w:p w14:paraId="203A776F">
      <w:pPr>
        <w:ind w:firstLine="420"/>
        <w:rPr>
          <w:rFonts w:cs="宋体"/>
          <w:color w:val="auto"/>
        </w:rPr>
      </w:pPr>
      <w:r>
        <w:rPr>
          <w:rFonts w:hint="eastAsia" w:cs="宋体"/>
          <w:color w:val="auto"/>
        </w:rPr>
        <w:t xml:space="preserve">17.4供应商有下列情形之一的，磋商保证金将不予退还： </w:t>
      </w:r>
    </w:p>
    <w:p w14:paraId="49EF0AA2">
      <w:pPr>
        <w:ind w:firstLine="420"/>
        <w:rPr>
          <w:rFonts w:cs="宋体"/>
          <w:color w:val="auto"/>
        </w:rPr>
      </w:pPr>
      <w:r>
        <w:rPr>
          <w:rFonts w:hint="eastAsia" w:cs="宋体"/>
          <w:color w:val="auto"/>
        </w:rPr>
        <w:t>（1）供应商在提交响应文件截止时间后撤回响应文件的；</w:t>
      </w:r>
    </w:p>
    <w:p w14:paraId="5F3B3896">
      <w:pPr>
        <w:ind w:firstLine="420"/>
        <w:rPr>
          <w:rFonts w:cs="宋体"/>
          <w:color w:val="auto"/>
        </w:rPr>
      </w:pPr>
      <w:r>
        <w:rPr>
          <w:rFonts w:hint="eastAsia"/>
          <w:color w:val="auto"/>
        </w:rPr>
        <w:t>（2）未按规定提交履约保证金的；</w:t>
      </w:r>
    </w:p>
    <w:p w14:paraId="04DE0872">
      <w:pPr>
        <w:ind w:firstLine="420"/>
        <w:rPr>
          <w:rFonts w:cs="宋体"/>
          <w:color w:val="auto"/>
        </w:rPr>
      </w:pPr>
      <w:r>
        <w:rPr>
          <w:rFonts w:hint="eastAsia" w:cs="宋体"/>
          <w:color w:val="auto"/>
        </w:rPr>
        <w:t>（3）供应商在响应文件中提供虚假材料的；</w:t>
      </w:r>
    </w:p>
    <w:p w14:paraId="773E6AF7">
      <w:pPr>
        <w:ind w:firstLine="420"/>
        <w:rPr>
          <w:rFonts w:cs="宋体"/>
          <w:color w:val="auto"/>
        </w:rPr>
      </w:pPr>
      <w:r>
        <w:rPr>
          <w:rFonts w:hint="eastAsia" w:cs="宋体"/>
          <w:color w:val="auto"/>
        </w:rPr>
        <w:t>（4）除因不可抗力或者磋商文件认可的情形以外，成交供应商不与采购人签订合同的；</w:t>
      </w:r>
    </w:p>
    <w:p w14:paraId="2BC594AD">
      <w:pPr>
        <w:ind w:firstLine="420"/>
        <w:rPr>
          <w:rFonts w:cs="宋体"/>
          <w:color w:val="auto"/>
        </w:rPr>
      </w:pPr>
      <w:r>
        <w:rPr>
          <w:rFonts w:hint="eastAsia" w:cs="宋体"/>
          <w:color w:val="auto"/>
        </w:rPr>
        <w:t>（5）供应商与采购人、其他供应商或者采购代理机构恶意串通的；</w:t>
      </w:r>
    </w:p>
    <w:p w14:paraId="4F4B9CD7">
      <w:pPr>
        <w:ind w:firstLine="420"/>
        <w:rPr>
          <w:rFonts w:cs="宋体"/>
          <w:color w:val="auto"/>
        </w:rPr>
      </w:pPr>
      <w:r>
        <w:rPr>
          <w:rFonts w:hint="eastAsia" w:cs="宋体"/>
          <w:color w:val="auto"/>
        </w:rPr>
        <w:t>（6）法律法规规定的其他情形。</w:t>
      </w:r>
    </w:p>
    <w:p w14:paraId="005C8DDA">
      <w:pPr>
        <w:pStyle w:val="68"/>
        <w:ind w:firstLine="424"/>
        <w:rPr>
          <w:color w:val="auto"/>
        </w:rPr>
      </w:pPr>
      <w:r>
        <w:rPr>
          <w:rFonts w:hint="eastAsia"/>
          <w:color w:val="auto"/>
        </w:rPr>
        <w:t>18.响应文件编制的要求</w:t>
      </w:r>
    </w:p>
    <w:p w14:paraId="02D88C26">
      <w:pPr>
        <w:ind w:firstLine="420"/>
        <w:rPr>
          <w:color w:val="auto"/>
        </w:rPr>
      </w:pPr>
      <w:r>
        <w:rPr>
          <w:rFonts w:hint="eastAsia"/>
          <w:color w:val="auto"/>
        </w:rPr>
        <w:t>18.1供应商应先安装“</w:t>
      </w:r>
      <w:r>
        <w:rPr>
          <w:rFonts w:hint="eastAsia"/>
          <w:color w:val="auto"/>
          <w:lang w:eastAsia="zh-CN"/>
        </w:rPr>
        <w:t>广西政府采购云平台</w:t>
      </w:r>
      <w:r>
        <w:rPr>
          <w:rFonts w:hint="eastAsia"/>
          <w:color w:val="auto"/>
        </w:rPr>
        <w:t>投标客户端”（请自行前往“</w:t>
      </w:r>
      <w:r>
        <w:rPr>
          <w:rFonts w:hint="eastAsia"/>
          <w:color w:val="auto"/>
          <w:lang w:eastAsia="zh-CN"/>
        </w:rPr>
        <w:t>广西政府采购云平台</w:t>
      </w:r>
      <w:r>
        <w:rPr>
          <w:rFonts w:hint="eastAsia"/>
          <w:color w:val="auto"/>
        </w:rPr>
        <w:t>”平台进行下载），并按照本项目磋商文件规定的格式和顺序和“</w:t>
      </w:r>
      <w:r>
        <w:rPr>
          <w:rFonts w:hint="eastAsia"/>
          <w:color w:val="auto"/>
          <w:lang w:eastAsia="zh-CN"/>
        </w:rPr>
        <w:t>广西政府采购云平台</w:t>
      </w:r>
      <w:r>
        <w:rPr>
          <w:rFonts w:hint="eastAsia"/>
          <w:color w:val="auto"/>
        </w:rPr>
        <w:t>”平台的要求编制并加密。响应文件内容不完整、编排混乱导致响应文件被误读、漏读或者查找不到相关内容的，由此引发的后果由供应商承担。</w:t>
      </w:r>
    </w:p>
    <w:p w14:paraId="545801E2">
      <w:pPr>
        <w:ind w:firstLine="420"/>
        <w:rPr>
          <w:color w:val="auto"/>
        </w:rPr>
      </w:pPr>
      <w:r>
        <w:rPr>
          <w:rFonts w:hint="eastAsia"/>
          <w:color w:val="auto"/>
        </w:rPr>
        <w:t>18.2为确保网上操作合法、有效和安全，供应商应当在提交响应文件截止时间前完成在“</w:t>
      </w:r>
      <w:r>
        <w:rPr>
          <w:rFonts w:hint="eastAsia"/>
          <w:color w:val="auto"/>
          <w:lang w:eastAsia="zh-CN"/>
        </w:rPr>
        <w:t>广西政府采购云平台</w:t>
      </w:r>
      <w:r>
        <w:rPr>
          <w:rFonts w:hint="eastAsia"/>
          <w:color w:val="auto"/>
        </w:rPr>
        <w:t>”平台的身份认证，确保在电子竞标过程中能够对相关数据电文进行加密和使用电子签章。</w:t>
      </w:r>
    </w:p>
    <w:p w14:paraId="06375C36">
      <w:pPr>
        <w:ind w:firstLine="420"/>
        <w:rPr>
          <w:b/>
          <w:bCs/>
          <w:color w:val="auto"/>
        </w:rPr>
      </w:pPr>
      <w:r>
        <w:rPr>
          <w:rFonts w:hint="eastAsia"/>
          <w:color w:val="auto"/>
        </w:rPr>
        <w:t>18.3</w:t>
      </w:r>
      <w:r>
        <w:rPr>
          <w:rFonts w:hint="eastAsia"/>
          <w:b/>
          <w:bCs/>
          <w:color w:val="auto"/>
        </w:rPr>
        <w:t>响应文件须由供应商在规定位置签字、盖章（具体以供应商须知前附表或响应文件格式规定为准），否则按无效响应处理。</w:t>
      </w:r>
    </w:p>
    <w:p w14:paraId="3A0F1E5A">
      <w:pPr>
        <w:ind w:firstLine="420"/>
        <w:rPr>
          <w:color w:val="auto"/>
        </w:rPr>
      </w:pPr>
      <w:r>
        <w:rPr>
          <w:rFonts w:hint="eastAsia"/>
          <w:color w:val="auto"/>
        </w:rPr>
        <w:t>18.4</w:t>
      </w:r>
      <w:r>
        <w:rPr>
          <w:rFonts w:hint="eastAsia"/>
          <w:b/>
          <w:bCs/>
          <w:color w:val="auto"/>
        </w:rPr>
        <w:t>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22FE60CD">
      <w:pPr>
        <w:ind w:firstLine="420"/>
        <w:rPr>
          <w:color w:val="auto"/>
        </w:rPr>
      </w:pPr>
      <w:r>
        <w:rPr>
          <w:rFonts w:hint="eastAsia"/>
          <w:color w:val="auto"/>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FBA921E">
      <w:pPr>
        <w:pStyle w:val="68"/>
        <w:ind w:firstLine="424"/>
        <w:rPr>
          <w:color w:val="auto"/>
        </w:rPr>
      </w:pPr>
      <w:r>
        <w:rPr>
          <w:rFonts w:hint="eastAsia"/>
          <w:color w:val="auto"/>
        </w:rPr>
        <w:t>19.电子备份响应文件</w:t>
      </w:r>
    </w:p>
    <w:p w14:paraId="540A3AA3">
      <w:pPr>
        <w:widowControl w:val="0"/>
        <w:ind w:firstLine="420"/>
        <w:jc w:val="both"/>
        <w:rPr>
          <w:rFonts w:ascii="宋体" w:hAnsi="宋体" w:eastAsia="宋体" w:cs="宋体"/>
          <w:color w:val="auto"/>
        </w:rPr>
      </w:pPr>
      <w:r>
        <w:rPr>
          <w:rFonts w:hint="eastAsia" w:ascii="Times New Roman" w:hAnsi="Times New Roman" w:eastAsia="宋体" w:cs="Times New Roman"/>
          <w:color w:val="auto"/>
          <w:szCs w:val="24"/>
        </w:rPr>
        <w:t>电子备份响应文件是指通过“</w:t>
      </w:r>
      <w:r>
        <w:rPr>
          <w:rFonts w:hint="eastAsia" w:ascii="Times New Roman" w:hAnsi="Times New Roman" w:eastAsia="宋体" w:cs="Times New Roman"/>
          <w:color w:val="auto"/>
          <w:szCs w:val="24"/>
          <w:lang w:eastAsia="zh-CN"/>
        </w:rPr>
        <w:t>广西政府采购云平台</w:t>
      </w:r>
      <w:r>
        <w:rPr>
          <w:rFonts w:hint="eastAsia" w:ascii="Times New Roman" w:hAnsi="Times New Roman" w:eastAsia="宋体" w:cs="Times New Roman"/>
          <w:color w:val="auto"/>
          <w:szCs w:val="24"/>
        </w:rPr>
        <w:t>投标客户端”在线编制生成且后缀名为“</w:t>
      </w:r>
      <w:r>
        <w:rPr>
          <w:rFonts w:ascii="Times New Roman" w:hAnsi="Times New Roman" w:eastAsia="宋体" w:cs="Times New Roman"/>
          <w:color w:val="auto"/>
          <w:szCs w:val="24"/>
        </w:rPr>
        <w:t>bfbs</w:t>
      </w:r>
      <w:r>
        <w:rPr>
          <w:rFonts w:hint="eastAsia" w:ascii="Times New Roman" w:hAnsi="Times New Roman" w:eastAsia="宋体" w:cs="Times New Roman"/>
          <w:color w:val="auto"/>
          <w:szCs w:val="24"/>
        </w:rPr>
        <w:t>”的文件，是否接受电子备份响应文件</w:t>
      </w:r>
      <w:r>
        <w:rPr>
          <w:rFonts w:hint="eastAsia" w:ascii="Times New Roman" w:hAnsi="宋体" w:eastAsia="宋体" w:cs="Times New Roman"/>
          <w:bCs/>
          <w:color w:val="auto"/>
        </w:rPr>
        <w:t>详见在“供应商须知前附表”。</w:t>
      </w:r>
    </w:p>
    <w:p w14:paraId="4A3C32E8">
      <w:pPr>
        <w:pStyle w:val="68"/>
        <w:ind w:firstLine="424"/>
        <w:rPr>
          <w:color w:val="auto"/>
        </w:rPr>
      </w:pPr>
      <w:r>
        <w:rPr>
          <w:color w:val="auto"/>
        </w:rPr>
        <w:t>20</w:t>
      </w:r>
      <w:r>
        <w:rPr>
          <w:rFonts w:hint="eastAsia"/>
          <w:color w:val="auto"/>
        </w:rPr>
        <w:t>.响应文件的提交</w:t>
      </w:r>
    </w:p>
    <w:p w14:paraId="6D7347E3">
      <w:pPr>
        <w:ind w:firstLine="420"/>
        <w:rPr>
          <w:rFonts w:cs="宋体"/>
          <w:color w:val="auto"/>
        </w:rPr>
      </w:pPr>
      <w:r>
        <w:rPr>
          <w:rFonts w:cs="宋体"/>
          <w:color w:val="auto"/>
        </w:rPr>
        <w:t>20</w:t>
      </w:r>
      <w:r>
        <w:rPr>
          <w:rFonts w:hint="eastAsia" w:cs="宋体"/>
          <w:color w:val="auto"/>
        </w:rPr>
        <w:t>.1</w:t>
      </w:r>
      <w:r>
        <w:rPr>
          <w:rFonts w:hint="eastAsia" w:hAnsi="宋体"/>
          <w:bCs/>
          <w:color w:val="auto"/>
        </w:rPr>
        <w:t>供应商必须按“供应商须知前附表”规定的</w:t>
      </w:r>
      <w:r>
        <w:rPr>
          <w:rFonts w:hint="eastAsia" w:ascii="宋体" w:hAnsi="宋体" w:cs="宋体"/>
          <w:color w:val="auto"/>
        </w:rPr>
        <w:t>时间</w:t>
      </w:r>
      <w:r>
        <w:rPr>
          <w:rFonts w:hint="eastAsia" w:ascii="宋体" w:hAnsi="宋体"/>
          <w:color w:val="auto"/>
        </w:rPr>
        <w:t>及</w:t>
      </w:r>
      <w:r>
        <w:rPr>
          <w:rFonts w:hint="eastAsia" w:hAnsi="宋体"/>
          <w:bCs/>
          <w:color w:val="auto"/>
        </w:rPr>
        <w:t>地点提交响应文件。电子响应文件应在制作完成后，</w:t>
      </w:r>
      <w:r>
        <w:rPr>
          <w:rFonts w:hAnsi="宋体"/>
          <w:bCs/>
          <w:color w:val="auto"/>
        </w:rPr>
        <w:t>在</w:t>
      </w:r>
      <w:r>
        <w:rPr>
          <w:rFonts w:hint="eastAsia" w:hAnsi="宋体"/>
          <w:bCs/>
          <w:color w:val="auto"/>
        </w:rPr>
        <w:t>提交响应文件截止</w:t>
      </w:r>
      <w:r>
        <w:rPr>
          <w:rFonts w:hAnsi="宋体"/>
          <w:bCs/>
          <w:color w:val="auto"/>
        </w:rPr>
        <w:t>时间前</w:t>
      </w:r>
      <w:r>
        <w:rPr>
          <w:rFonts w:hint="eastAsia" w:hAnsi="宋体"/>
          <w:bCs/>
          <w:color w:val="auto"/>
        </w:rPr>
        <w:t>通过有效数字证书（CA认证锁）进行电子签章、加密，然后通过网络将加密的电子响应文件提交至</w:t>
      </w:r>
      <w:r>
        <w:rPr>
          <w:rFonts w:hint="eastAsia" w:ascii="宋体" w:hAnsi="宋体"/>
          <w:color w:val="auto"/>
        </w:rPr>
        <w:t>“</w:t>
      </w:r>
      <w:r>
        <w:rPr>
          <w:rFonts w:hint="eastAsia" w:ascii="宋体" w:hAnsi="宋体"/>
          <w:color w:val="auto"/>
          <w:lang w:eastAsia="zh-CN"/>
        </w:rPr>
        <w:t>广西政府采购云平台</w:t>
      </w:r>
      <w:r>
        <w:rPr>
          <w:rFonts w:hint="eastAsia" w:ascii="宋体" w:hAnsi="宋体"/>
          <w:color w:val="auto"/>
        </w:rPr>
        <w:t>”平台</w:t>
      </w:r>
      <w:r>
        <w:rPr>
          <w:rFonts w:hint="eastAsia" w:hAnsi="宋体"/>
          <w:bCs/>
          <w:color w:val="auto"/>
        </w:rPr>
        <w:t>。</w:t>
      </w:r>
    </w:p>
    <w:p w14:paraId="139A903D">
      <w:pPr>
        <w:ind w:firstLine="420"/>
        <w:rPr>
          <w:rFonts w:ascii="宋体" w:hAnsi="Calibri" w:eastAsia="宋体" w:cs="Times New Roman"/>
          <w:color w:val="auto"/>
        </w:rPr>
      </w:pPr>
      <w:r>
        <w:rPr>
          <w:rFonts w:ascii="宋体" w:hAnsi="Calibri" w:eastAsia="宋体" w:cs="Times New Roman"/>
          <w:color w:val="auto"/>
        </w:rPr>
        <w:t>20.2</w:t>
      </w:r>
      <w:r>
        <w:rPr>
          <w:rFonts w:hint="eastAsia" w:ascii="宋体" w:hAnsi="宋体"/>
          <w:b/>
          <w:color w:val="auto"/>
        </w:rPr>
        <w:t>未在规定时间内提交或者未按照磋商文件要求加密的电子响应文件，“</w:t>
      </w:r>
      <w:r>
        <w:rPr>
          <w:rFonts w:hint="eastAsia" w:ascii="宋体" w:hAnsi="宋体"/>
          <w:b/>
          <w:color w:val="auto"/>
          <w:lang w:eastAsia="zh-CN"/>
        </w:rPr>
        <w:t>广西政府采购云平台</w:t>
      </w:r>
      <w:r>
        <w:rPr>
          <w:rFonts w:hint="eastAsia" w:ascii="宋体" w:hAnsi="宋体"/>
          <w:b/>
          <w:color w:val="auto"/>
        </w:rPr>
        <w:t>”平台将拒收。</w:t>
      </w:r>
    </w:p>
    <w:p w14:paraId="5DA3AB54">
      <w:pPr>
        <w:pStyle w:val="68"/>
        <w:ind w:firstLine="424"/>
        <w:rPr>
          <w:color w:val="auto"/>
        </w:rPr>
      </w:pPr>
      <w:r>
        <w:rPr>
          <w:rFonts w:hint="eastAsia"/>
          <w:color w:val="auto"/>
        </w:rPr>
        <w:t>2</w:t>
      </w:r>
      <w:r>
        <w:rPr>
          <w:color w:val="auto"/>
        </w:rPr>
        <w:t>1.</w:t>
      </w:r>
      <w:r>
        <w:rPr>
          <w:rFonts w:hint="eastAsia"/>
          <w:color w:val="auto"/>
        </w:rPr>
        <w:t>首次响应文件的补充、修改与撤回</w:t>
      </w:r>
    </w:p>
    <w:p w14:paraId="398B908C">
      <w:pPr>
        <w:ind w:firstLine="420"/>
        <w:rPr>
          <w:color w:val="auto"/>
          <w:lang w:val="zh-CN"/>
        </w:rPr>
      </w:pPr>
      <w:r>
        <w:rPr>
          <w:rFonts w:hint="eastAsia"/>
          <w:color w:val="auto"/>
          <w:lang w:val="zh-CN"/>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平台将予以拒收。（补充、修改或者撤回方式可登录“广西政府采购云平台”平台，进入“服务中心”中查看 “电子投标文件制作与投送教程”）</w:t>
      </w:r>
    </w:p>
    <w:p w14:paraId="7C63C780">
      <w:pPr>
        <w:ind w:firstLine="420"/>
        <w:rPr>
          <w:color w:val="auto"/>
          <w:lang w:val="zh-CN"/>
        </w:rPr>
      </w:pPr>
      <w:r>
        <w:rPr>
          <w:rFonts w:hint="eastAsia"/>
          <w:color w:val="auto"/>
          <w:lang w:val="zh-CN"/>
        </w:rPr>
        <w:t>21.2在提交响应文件截止时间前，除供应商补充、修改或者撤回响应文件外，任何单位和个人不得解密或提取响应文件。</w:t>
      </w:r>
    </w:p>
    <w:p w14:paraId="38068664">
      <w:pPr>
        <w:pStyle w:val="68"/>
        <w:ind w:firstLine="424"/>
        <w:rPr>
          <w:color w:val="auto"/>
        </w:rPr>
      </w:pPr>
      <w:bookmarkStart w:id="10" w:name="_Hlk45702405"/>
      <w:r>
        <w:rPr>
          <w:rFonts w:hint="eastAsia"/>
          <w:color w:val="auto"/>
        </w:rPr>
        <w:t>2</w:t>
      </w:r>
      <w:r>
        <w:rPr>
          <w:color w:val="auto"/>
        </w:rPr>
        <w:t>2</w:t>
      </w:r>
      <w:r>
        <w:rPr>
          <w:rFonts w:hint="eastAsia"/>
          <w:color w:val="auto"/>
        </w:rPr>
        <w:t>.响应文件的退回</w:t>
      </w:r>
    </w:p>
    <w:p w14:paraId="4E1E58FA">
      <w:pPr>
        <w:widowControl w:val="0"/>
        <w:ind w:firstLine="420"/>
        <w:jc w:val="both"/>
        <w:rPr>
          <w:rFonts w:ascii="宋体" w:hAnsi="宋体" w:eastAsia="宋体" w:cs="宋体"/>
          <w:color w:val="auto"/>
        </w:rPr>
      </w:pPr>
      <w:r>
        <w:rPr>
          <w:rFonts w:hint="eastAsia" w:ascii="宋体" w:hAnsi="宋体" w:eastAsia="宋体" w:cs="宋体"/>
          <w:color w:val="auto"/>
        </w:rPr>
        <w:t>采购人和采购代理机构对已提交的响应文件概不退回。</w:t>
      </w:r>
    </w:p>
    <w:p w14:paraId="4CAED266">
      <w:pPr>
        <w:pStyle w:val="68"/>
        <w:ind w:firstLine="424"/>
        <w:rPr>
          <w:color w:val="auto"/>
        </w:rPr>
      </w:pPr>
      <w:r>
        <w:rPr>
          <w:rFonts w:hint="eastAsia"/>
          <w:color w:val="auto"/>
        </w:rPr>
        <w:t>2</w:t>
      </w:r>
      <w:r>
        <w:rPr>
          <w:color w:val="auto"/>
        </w:rPr>
        <w:t>3</w:t>
      </w:r>
      <w:r>
        <w:rPr>
          <w:rFonts w:hint="eastAsia"/>
          <w:color w:val="auto"/>
        </w:rPr>
        <w:t>.截止时间后的撤回</w:t>
      </w:r>
    </w:p>
    <w:p w14:paraId="2F5630D5">
      <w:pPr>
        <w:widowControl w:val="0"/>
        <w:ind w:firstLine="420"/>
        <w:jc w:val="both"/>
        <w:rPr>
          <w:rFonts w:ascii="宋体" w:hAnsi="宋体" w:eastAsia="宋体" w:cs="宋体"/>
          <w:color w:val="auto"/>
        </w:rPr>
      </w:pPr>
      <w:r>
        <w:rPr>
          <w:rFonts w:hint="eastAsia" w:ascii="宋体" w:hAnsi="宋体" w:eastAsia="宋体" w:cs="宋体"/>
          <w:color w:val="auto"/>
        </w:rPr>
        <w:t>供应商在响应文件提交截止时间后向采购人、采购代理机构书面申请撤回响应文件的，将根据本须知正文17.4的规定不予退还其磋商保证金。</w:t>
      </w:r>
    </w:p>
    <w:bookmarkEnd w:id="10"/>
    <w:p w14:paraId="415DF42F">
      <w:pPr>
        <w:pStyle w:val="67"/>
        <w:rPr>
          <w:color w:val="auto"/>
        </w:rPr>
      </w:pPr>
      <w:r>
        <w:rPr>
          <w:rFonts w:hint="eastAsia"/>
          <w:color w:val="auto"/>
        </w:rPr>
        <w:t>四、评审及磋商</w:t>
      </w:r>
    </w:p>
    <w:p w14:paraId="23D05643">
      <w:pPr>
        <w:pStyle w:val="68"/>
        <w:ind w:firstLine="424"/>
        <w:rPr>
          <w:color w:val="auto"/>
        </w:rPr>
      </w:pPr>
      <w:r>
        <w:rPr>
          <w:rFonts w:hint="eastAsia"/>
          <w:color w:val="auto"/>
        </w:rPr>
        <w:t>2</w:t>
      </w:r>
      <w:r>
        <w:rPr>
          <w:color w:val="auto"/>
        </w:rPr>
        <w:t>4</w:t>
      </w:r>
      <w:r>
        <w:rPr>
          <w:rFonts w:hint="eastAsia"/>
          <w:color w:val="auto"/>
        </w:rPr>
        <w:t>.磋商小组成立</w:t>
      </w:r>
    </w:p>
    <w:p w14:paraId="343397F0">
      <w:pPr>
        <w:ind w:firstLine="420"/>
        <w:rPr>
          <w:color w:val="auto"/>
        </w:rPr>
      </w:pPr>
      <w:r>
        <w:rPr>
          <w:rFonts w:hint="eastAsia"/>
          <w:color w:val="auto"/>
        </w:rPr>
        <w:t>2</w:t>
      </w:r>
      <w:r>
        <w:rPr>
          <w:color w:val="auto"/>
        </w:rPr>
        <w:t>4</w:t>
      </w:r>
      <w:r>
        <w:rPr>
          <w:rFonts w:hint="eastAsia"/>
          <w:color w:val="auto"/>
        </w:rPr>
        <w:t>.1</w:t>
      </w:r>
      <w:r>
        <w:rPr>
          <w:rFonts w:hint="eastAsia" w:ascii="宋体" w:hAnsi="宋体" w:cs="宋体"/>
          <w:color w:val="auto"/>
        </w:rPr>
        <w:t>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DC8E48D">
      <w:pPr>
        <w:ind w:firstLine="420"/>
        <w:rPr>
          <w:color w:val="auto"/>
        </w:rPr>
      </w:pPr>
      <w:r>
        <w:rPr>
          <w:rFonts w:hint="eastAsia"/>
          <w:color w:val="auto"/>
        </w:rPr>
        <w:t>2</w:t>
      </w:r>
      <w:r>
        <w:rPr>
          <w:color w:val="auto"/>
        </w:rPr>
        <w:t>4</w:t>
      </w:r>
      <w:r>
        <w:rPr>
          <w:rFonts w:hint="eastAsia"/>
          <w:color w:val="auto"/>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CC17A1E">
      <w:pPr>
        <w:ind w:firstLine="420"/>
        <w:rPr>
          <w:color w:val="auto"/>
        </w:rPr>
      </w:pPr>
      <w:r>
        <w:rPr>
          <w:rFonts w:hint="eastAsia"/>
          <w:color w:val="auto"/>
        </w:rPr>
        <w:t>24.3采购代理机构应当基于“</w:t>
      </w:r>
      <w:r>
        <w:rPr>
          <w:rFonts w:hint="eastAsia"/>
          <w:color w:val="auto"/>
          <w:lang w:eastAsia="zh-CN"/>
        </w:rPr>
        <w:t>广西政府采购云平台</w:t>
      </w:r>
      <w:r>
        <w:rPr>
          <w:rFonts w:hint="eastAsia"/>
          <w:color w:val="auto"/>
        </w:rPr>
        <w:t>”平台抽（选）取评审专家。</w:t>
      </w:r>
    </w:p>
    <w:p w14:paraId="28A719A4">
      <w:pPr>
        <w:pStyle w:val="68"/>
        <w:ind w:firstLine="424"/>
        <w:rPr>
          <w:color w:val="auto"/>
        </w:rPr>
      </w:pPr>
      <w:r>
        <w:rPr>
          <w:color w:val="auto"/>
        </w:rPr>
        <w:t>25.</w:t>
      </w:r>
      <w:r>
        <w:rPr>
          <w:rFonts w:hint="eastAsia"/>
          <w:color w:val="auto"/>
        </w:rPr>
        <w:t>首次响应文件的开启和解密</w:t>
      </w:r>
    </w:p>
    <w:p w14:paraId="4933A00C">
      <w:pPr>
        <w:ind w:firstLine="420"/>
        <w:rPr>
          <w:rFonts w:cs="宋体"/>
          <w:color w:val="auto"/>
        </w:rPr>
      </w:pPr>
      <w:r>
        <w:rPr>
          <w:rFonts w:hint="eastAsia" w:cs="宋体"/>
          <w:color w:val="auto"/>
        </w:rPr>
        <w:t>采购代理机构将在“供应商须知前附表”规定的时间通过电子交易平台组织响应文件开启，供应商的法定代表人或其委托代理人须携带加密时所用的CA锁，按平台提示和磋商文件的规定登录到“</w:t>
      </w:r>
      <w:r>
        <w:rPr>
          <w:rFonts w:hint="eastAsia" w:cs="宋体"/>
          <w:color w:val="auto"/>
          <w:lang w:eastAsia="zh-CN"/>
        </w:rPr>
        <w:t>广西政府采购云平台</w:t>
      </w:r>
      <w:r>
        <w:rPr>
          <w:rFonts w:hint="eastAsia" w:cs="宋体"/>
          <w:color w:val="auto"/>
        </w:rPr>
        <w:t>”平台电子开标大厅签到，采购代理机构依托“</w:t>
      </w:r>
      <w:r>
        <w:rPr>
          <w:rFonts w:hint="eastAsia" w:cs="宋体"/>
          <w:color w:val="auto"/>
          <w:lang w:eastAsia="zh-CN"/>
        </w:rPr>
        <w:t>广西政府采购云平台</w:t>
      </w:r>
      <w:r>
        <w:rPr>
          <w:rFonts w:hint="eastAsia" w:cs="宋体"/>
          <w:color w:val="auto"/>
        </w:rPr>
        <w:t>”平台向各供应商发出电子加密响应文件【开始解密】通知，由供应商按“供应商须知前附表”规定的时间内自行进行响应文件解密。</w:t>
      </w:r>
      <w:r>
        <w:rPr>
          <w:rFonts w:hint="eastAsia" w:cs="宋体"/>
          <w:b/>
          <w:bCs/>
          <w:color w:val="auto"/>
        </w:rPr>
        <w:t>供应商未在规定的时间内解密响应文件或者解密失败（未提供电子备份响应文件）的，供应商的响应文件作无效处理。</w:t>
      </w:r>
    </w:p>
    <w:p w14:paraId="64496F59">
      <w:pPr>
        <w:pStyle w:val="68"/>
        <w:ind w:firstLine="424"/>
        <w:rPr>
          <w:color w:val="auto"/>
        </w:rPr>
      </w:pPr>
      <w:r>
        <w:rPr>
          <w:color w:val="auto"/>
        </w:rPr>
        <w:t>26</w:t>
      </w:r>
      <w:r>
        <w:rPr>
          <w:rFonts w:hint="eastAsia"/>
          <w:color w:val="auto"/>
        </w:rPr>
        <w:t>.评审程序、评审方法和评审标准</w:t>
      </w:r>
    </w:p>
    <w:p w14:paraId="538D6E88">
      <w:pPr>
        <w:ind w:firstLine="420"/>
        <w:rPr>
          <w:rFonts w:cs="宋体"/>
          <w:color w:val="auto"/>
        </w:rPr>
      </w:pPr>
      <w:r>
        <w:rPr>
          <w:rFonts w:hint="eastAsia" w:cs="宋体"/>
          <w:color w:val="auto"/>
        </w:rPr>
        <w:t>2</w:t>
      </w:r>
      <w:r>
        <w:rPr>
          <w:rFonts w:cs="宋体"/>
          <w:color w:val="auto"/>
        </w:rPr>
        <w:t>6</w:t>
      </w:r>
      <w:r>
        <w:rPr>
          <w:rFonts w:hint="eastAsia" w:cs="宋体"/>
          <w:color w:val="auto"/>
        </w:rPr>
        <w:t>.1本项目的评审方法为综合评分法。</w:t>
      </w:r>
    </w:p>
    <w:p w14:paraId="38181F45">
      <w:pPr>
        <w:ind w:firstLine="420"/>
        <w:rPr>
          <w:rFonts w:cs="宋体"/>
          <w:color w:val="auto"/>
        </w:rPr>
      </w:pPr>
      <w:r>
        <w:rPr>
          <w:rFonts w:cs="宋体"/>
          <w:color w:val="auto"/>
        </w:rPr>
        <w:t>26.2</w:t>
      </w:r>
      <w:r>
        <w:rPr>
          <w:rFonts w:hint="eastAsia" w:cs="宋体"/>
          <w:color w:val="auto"/>
        </w:rPr>
        <w:t>磋商小组</w:t>
      </w:r>
      <w:r>
        <w:rPr>
          <w:rFonts w:cs="宋体"/>
          <w:color w:val="auto"/>
        </w:rPr>
        <w:t>按照</w:t>
      </w:r>
      <w:r>
        <w:rPr>
          <w:rFonts w:hint="eastAsia" w:cs="宋体"/>
          <w:color w:val="auto"/>
        </w:rPr>
        <w:t>“第四章 评审程序、评审方法和评审标准”</w:t>
      </w:r>
      <w:r>
        <w:rPr>
          <w:rFonts w:cs="宋体"/>
          <w:color w:val="auto"/>
        </w:rPr>
        <w:t>规定的方法、评审因素、标准和程序对</w:t>
      </w:r>
      <w:r>
        <w:rPr>
          <w:rFonts w:hint="eastAsia" w:cs="宋体"/>
          <w:color w:val="auto"/>
        </w:rPr>
        <w:t>响应</w:t>
      </w:r>
      <w:r>
        <w:rPr>
          <w:rFonts w:cs="宋体"/>
          <w:color w:val="auto"/>
        </w:rPr>
        <w:t>文件进行评审。</w:t>
      </w:r>
    </w:p>
    <w:p w14:paraId="49A64351">
      <w:pPr>
        <w:ind w:firstLine="420"/>
        <w:rPr>
          <w:rFonts w:cs="宋体"/>
          <w:color w:val="auto"/>
        </w:rPr>
      </w:pPr>
      <w:r>
        <w:rPr>
          <w:rFonts w:hint="eastAsia" w:cs="宋体"/>
          <w:color w:val="auto"/>
        </w:rPr>
        <w:t>26.3商务/技术要求允许负偏离的条款数详见“供应商须知前附表”。</w:t>
      </w:r>
    </w:p>
    <w:p w14:paraId="3FBBB9C8">
      <w:pPr>
        <w:ind w:firstLine="420"/>
        <w:rPr>
          <w:rFonts w:cs="宋体"/>
          <w:color w:val="auto"/>
        </w:rPr>
      </w:pPr>
      <w:r>
        <w:rPr>
          <w:rFonts w:hint="eastAsia" w:cs="宋体"/>
          <w:color w:val="auto"/>
        </w:rPr>
        <w:t>26.4磋商小组成员要依法独立评审，并对评审意见承担个人责任。磋商小组成员对需要共同认定的事项存在争议的，按照少数服从多数的原则</w:t>
      </w:r>
      <w:r>
        <w:rPr>
          <w:rFonts w:hint="eastAsia" w:cs="宋体"/>
          <w:color w:val="auto"/>
          <w:lang w:eastAsia="zh-CN"/>
        </w:rPr>
        <w:t>作出</w:t>
      </w:r>
      <w:r>
        <w:rPr>
          <w:rFonts w:hint="eastAsia" w:cs="宋体"/>
          <w:color w:val="auto"/>
        </w:rPr>
        <w:t>结论。持不同意见的磋商小组成员应当在评审报告上签署不同意见并说明理由，否则视为同意。</w:t>
      </w:r>
    </w:p>
    <w:p w14:paraId="0222F1E2">
      <w:pPr>
        <w:ind w:firstLine="420"/>
        <w:rPr>
          <w:rFonts w:cs="宋体"/>
          <w:color w:val="auto"/>
        </w:rPr>
      </w:pPr>
      <w:r>
        <w:rPr>
          <w:rFonts w:hint="eastAsia" w:cs="宋体"/>
          <w:color w:val="auto"/>
        </w:rPr>
        <w:t>26.5电子交易活动的中止。采购过程中出现以下情形，导致电子交易平台无法正常运行，或者无法保证电子交易的公平、公正和安全时，采购机构可中止电子交易活动：</w:t>
      </w:r>
    </w:p>
    <w:p w14:paraId="2547F1F4">
      <w:pPr>
        <w:ind w:firstLine="420"/>
        <w:rPr>
          <w:rFonts w:cs="宋体"/>
          <w:color w:val="auto"/>
        </w:rPr>
      </w:pPr>
      <w:r>
        <w:rPr>
          <w:rFonts w:hint="eastAsia" w:cs="宋体"/>
          <w:color w:val="auto"/>
        </w:rPr>
        <w:t xml:space="preserve">（1）电子交易平台发生故障而无法登录访问的； </w:t>
      </w:r>
    </w:p>
    <w:p w14:paraId="3FB5AAC0">
      <w:pPr>
        <w:ind w:firstLine="420"/>
        <w:rPr>
          <w:rFonts w:cs="宋体"/>
          <w:color w:val="auto"/>
        </w:rPr>
      </w:pPr>
      <w:r>
        <w:rPr>
          <w:rFonts w:hint="eastAsia" w:cs="宋体"/>
          <w:color w:val="auto"/>
        </w:rPr>
        <w:t>（2）电子交易平台应用或数据库出现错误，不能进行正常操作的；</w:t>
      </w:r>
    </w:p>
    <w:p w14:paraId="5B65CEC6">
      <w:pPr>
        <w:ind w:firstLine="420"/>
        <w:rPr>
          <w:rFonts w:cs="宋体"/>
          <w:color w:val="auto"/>
        </w:rPr>
      </w:pPr>
      <w:r>
        <w:rPr>
          <w:rFonts w:hint="eastAsia" w:cs="宋体"/>
          <w:color w:val="auto"/>
        </w:rPr>
        <w:t>（3）电子交易平台发现严重安全漏洞，有潜在泄密危险的；</w:t>
      </w:r>
    </w:p>
    <w:p w14:paraId="1ECA8686">
      <w:pPr>
        <w:ind w:firstLine="420"/>
        <w:rPr>
          <w:rFonts w:cs="宋体"/>
          <w:color w:val="auto"/>
        </w:rPr>
      </w:pPr>
      <w:r>
        <w:rPr>
          <w:rFonts w:hint="eastAsia" w:cs="宋体"/>
          <w:color w:val="auto"/>
        </w:rPr>
        <w:t xml:space="preserve">（4）病毒发作导致不能进行正常操作的； </w:t>
      </w:r>
    </w:p>
    <w:p w14:paraId="7BFBC3EC">
      <w:pPr>
        <w:ind w:firstLine="420"/>
        <w:rPr>
          <w:rFonts w:cs="宋体"/>
          <w:color w:val="auto"/>
        </w:rPr>
      </w:pPr>
      <w:r>
        <w:rPr>
          <w:rFonts w:hint="eastAsia" w:cs="宋体"/>
          <w:color w:val="auto"/>
        </w:rPr>
        <w:t>（5）其他无法保证电子交易的公平、公正和安全的情况。</w:t>
      </w:r>
    </w:p>
    <w:p w14:paraId="110FF31B">
      <w:pPr>
        <w:ind w:firstLine="420"/>
        <w:rPr>
          <w:rFonts w:cs="宋体"/>
          <w:color w:val="auto"/>
        </w:rPr>
      </w:pPr>
      <w:r>
        <w:rPr>
          <w:rFonts w:hint="eastAsia" w:cs="宋体"/>
          <w:color w:val="auto"/>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r>
        <w:rPr>
          <w:rFonts w:hint="eastAsia" w:cs="宋体"/>
          <w:color w:val="auto"/>
          <w:lang w:eastAsia="zh-CN"/>
        </w:rPr>
        <w:t>做出</w:t>
      </w:r>
      <w:r>
        <w:rPr>
          <w:rFonts w:hint="eastAsia" w:cs="宋体"/>
          <w:color w:val="auto"/>
        </w:rPr>
        <w:t>妥善保密处理，并报财政部门备案。</w:t>
      </w:r>
    </w:p>
    <w:p w14:paraId="3AE764BA">
      <w:pPr>
        <w:pStyle w:val="68"/>
        <w:ind w:firstLine="424"/>
        <w:rPr>
          <w:color w:val="auto"/>
        </w:rPr>
      </w:pPr>
      <w:r>
        <w:rPr>
          <w:color w:val="auto"/>
        </w:rPr>
        <w:t>27</w:t>
      </w:r>
      <w:r>
        <w:rPr>
          <w:rFonts w:hint="eastAsia"/>
          <w:color w:val="auto"/>
        </w:rPr>
        <w:t>.确定成交供应商及结果公告</w:t>
      </w:r>
    </w:p>
    <w:p w14:paraId="2589B3C6">
      <w:pPr>
        <w:ind w:firstLine="420"/>
        <w:rPr>
          <w:rFonts w:ascii="宋体" w:hAnsi="宋体" w:eastAsia="宋体" w:cs="宋体"/>
          <w:color w:val="auto"/>
        </w:rPr>
      </w:pPr>
      <w:r>
        <w:rPr>
          <w:rFonts w:cs="宋体"/>
          <w:color w:val="auto"/>
        </w:rPr>
        <w:t>27</w:t>
      </w:r>
      <w:r>
        <w:rPr>
          <w:rFonts w:hint="eastAsia" w:cs="宋体"/>
          <w:color w:val="auto"/>
        </w:rPr>
        <w:t>.1</w:t>
      </w:r>
      <w:r>
        <w:rPr>
          <w:rFonts w:hint="eastAsia" w:ascii="宋体" w:hAnsi="宋体" w:eastAsia="宋体" w:cs="宋体"/>
          <w:color w:val="auto"/>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9808151">
      <w:pPr>
        <w:ind w:firstLine="420"/>
        <w:rPr>
          <w:rFonts w:cs="宋体"/>
          <w:color w:val="auto"/>
        </w:rPr>
      </w:pPr>
      <w:r>
        <w:rPr>
          <w:rFonts w:cs="宋体"/>
          <w:color w:val="auto"/>
        </w:rPr>
        <w:t>27</w:t>
      </w:r>
      <w:r>
        <w:rPr>
          <w:rFonts w:hint="eastAsia" w:cs="宋体"/>
          <w:color w:val="auto"/>
        </w:rPr>
        <w:t>.2</w:t>
      </w:r>
      <w:r>
        <w:rPr>
          <w:rFonts w:hint="eastAsia" w:ascii="宋体" w:hAnsi="宋体" w:cs="宋体"/>
          <w:color w:val="auto"/>
        </w:rPr>
        <w:t>采购代理机构应当在</w:t>
      </w:r>
      <w:r>
        <w:rPr>
          <w:rFonts w:hint="eastAsia" w:ascii="宋体" w:hAnsi="宋体" w:cs="宋体"/>
          <w:color w:val="auto"/>
          <w:kern w:val="0"/>
        </w:rPr>
        <w:t>成交</w:t>
      </w:r>
      <w:r>
        <w:rPr>
          <w:rFonts w:hint="eastAsia" w:ascii="宋体" w:hAnsi="宋体" w:cs="宋体"/>
          <w:color w:val="auto"/>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11" w:name="_Hlk66782294"/>
      <w:r>
        <w:rPr>
          <w:rFonts w:hint="eastAsia" w:ascii="宋体" w:hAnsi="宋体" w:cs="Courier New"/>
          <w:color w:val="auto"/>
        </w:rPr>
        <w:t>成交供应商享受</w:t>
      </w:r>
      <w:r>
        <w:rPr>
          <w:rFonts w:hint="eastAsia" w:ascii="宋体" w:hAnsi="宋体"/>
          <w:color w:val="auto"/>
        </w:rPr>
        <w:t>《政府采购促进中小企业发展管理办法》（财库〔2020〕46号）、《广西壮族自治区财政厅关于进一步发挥政府采购政策功能促进企业发展的通知》（桂财采〔2022〕30号）规定的中小企业扶持</w:t>
      </w:r>
      <w:r>
        <w:rPr>
          <w:rFonts w:hint="eastAsia" w:ascii="宋体" w:hAnsi="宋体" w:cs="Courier New"/>
          <w:color w:val="auto"/>
        </w:rPr>
        <w:t>政策的，采购人、采购代理机构应当随成交结果公开成交供应商的《中小企业声明函》。</w:t>
      </w:r>
      <w:bookmarkEnd w:id="11"/>
    </w:p>
    <w:p w14:paraId="344E4B11">
      <w:pPr>
        <w:widowControl w:val="0"/>
        <w:ind w:firstLine="420"/>
        <w:jc w:val="both"/>
        <w:rPr>
          <w:rFonts w:ascii="宋体" w:hAnsi="宋体" w:eastAsia="宋体" w:cs="Courier New"/>
          <w:color w:val="auto"/>
        </w:rPr>
      </w:pPr>
      <w:r>
        <w:rPr>
          <w:rFonts w:hint="eastAsia" w:ascii="宋体" w:hAnsi="宋体" w:eastAsia="宋体" w:cs="Courier New"/>
          <w:color w:val="auto"/>
        </w:rPr>
        <w:t>2</w:t>
      </w:r>
      <w:r>
        <w:rPr>
          <w:rFonts w:ascii="宋体" w:hAnsi="宋体" w:eastAsia="宋体" w:cs="Courier New"/>
          <w:color w:val="auto"/>
        </w:rPr>
        <w:t>7</w:t>
      </w:r>
      <w:r>
        <w:rPr>
          <w:rFonts w:hint="eastAsia" w:ascii="宋体" w:hAnsi="宋体" w:eastAsia="宋体" w:cs="Courier New"/>
          <w:color w:val="auto"/>
        </w:rPr>
        <w:t>.3出现下列情形之一的，采购人或者采购代理机构应当终止竞争性磋商采购活动，发布项目终止公告并说明原因，重新开展采购活动：</w:t>
      </w:r>
    </w:p>
    <w:p w14:paraId="60EF14C1">
      <w:pPr>
        <w:widowControl w:val="0"/>
        <w:ind w:firstLine="420"/>
        <w:jc w:val="both"/>
        <w:rPr>
          <w:rFonts w:ascii="宋体" w:hAnsi="宋体" w:eastAsia="宋体" w:cs="Courier New"/>
          <w:color w:val="auto"/>
        </w:rPr>
      </w:pPr>
      <w:r>
        <w:rPr>
          <w:rFonts w:hint="eastAsia" w:ascii="宋体" w:hAnsi="宋体" w:eastAsia="宋体" w:cs="Courier New"/>
          <w:color w:val="auto"/>
        </w:rPr>
        <w:t>（1）因情况变化，不再符合规定的竞争性磋商采购方式适用情形的；</w:t>
      </w:r>
    </w:p>
    <w:p w14:paraId="06D3E073">
      <w:pPr>
        <w:widowControl w:val="0"/>
        <w:ind w:firstLine="420"/>
        <w:jc w:val="both"/>
        <w:rPr>
          <w:rFonts w:ascii="宋体" w:hAnsi="宋体" w:eastAsia="宋体" w:cs="Courier New"/>
          <w:color w:val="auto"/>
        </w:rPr>
      </w:pPr>
      <w:r>
        <w:rPr>
          <w:rFonts w:hint="eastAsia" w:ascii="宋体" w:hAnsi="宋体" w:eastAsia="宋体" w:cs="Courier New"/>
          <w:color w:val="auto"/>
        </w:rPr>
        <w:t>（2）出现影响采购公正的违法、违规行为的；</w:t>
      </w:r>
    </w:p>
    <w:p w14:paraId="745EF0A3">
      <w:pPr>
        <w:widowControl w:val="0"/>
        <w:ind w:firstLine="420"/>
        <w:jc w:val="both"/>
        <w:rPr>
          <w:rFonts w:ascii="宋体" w:hAnsi="宋体" w:eastAsia="宋体" w:cs="Courier New"/>
          <w:color w:val="auto"/>
        </w:rPr>
      </w:pPr>
      <w:r>
        <w:rPr>
          <w:rFonts w:hint="eastAsia" w:ascii="宋体" w:hAnsi="宋体" w:eastAsia="宋体" w:cs="Courier New"/>
          <w:color w:val="auto"/>
        </w:rPr>
        <w:t>（3）除“第四章 评审程序、评审方法和评审标准”第4.3条规定的情形外，在采购过程中符合要求的供应商或者报价未超过采购预算的供应商不足3家的。</w:t>
      </w:r>
    </w:p>
    <w:p w14:paraId="334230F4">
      <w:pPr>
        <w:widowControl w:val="0"/>
        <w:ind w:firstLine="420"/>
        <w:jc w:val="both"/>
        <w:rPr>
          <w:rFonts w:ascii="宋体" w:hAnsi="宋体" w:eastAsia="宋体" w:cs="宋体"/>
          <w:color w:val="auto"/>
        </w:rPr>
      </w:pPr>
      <w:r>
        <w:rPr>
          <w:rFonts w:hint="eastAsia" w:ascii="宋体" w:hAnsi="宋体" w:eastAsia="宋体" w:cs="Courier New"/>
          <w:color w:val="auto"/>
        </w:rPr>
        <w:t>2</w:t>
      </w:r>
      <w:r>
        <w:rPr>
          <w:rFonts w:ascii="宋体" w:hAnsi="宋体" w:eastAsia="宋体" w:cs="Courier New"/>
          <w:color w:val="auto"/>
        </w:rPr>
        <w:t>7</w:t>
      </w:r>
      <w:r>
        <w:rPr>
          <w:rFonts w:hint="eastAsia" w:ascii="宋体" w:hAnsi="宋体" w:eastAsia="宋体" w:cs="Courier New"/>
          <w:color w:val="auto"/>
        </w:rPr>
        <w:t>.4在采购活动中因重大变故，采购任务取消的，采购人或者采购代理机构应当终止采购活动，通知所有参加采购活动的供应商，并将项目实施情况和采购任务取消原因报送本级财政部门。</w:t>
      </w:r>
    </w:p>
    <w:p w14:paraId="1BB3AFEB">
      <w:pPr>
        <w:pStyle w:val="68"/>
        <w:ind w:firstLine="424"/>
        <w:rPr>
          <w:color w:val="auto"/>
        </w:rPr>
      </w:pPr>
      <w:r>
        <w:rPr>
          <w:color w:val="auto"/>
        </w:rPr>
        <w:t>28</w:t>
      </w:r>
      <w:r>
        <w:rPr>
          <w:rFonts w:hint="eastAsia"/>
          <w:color w:val="auto"/>
        </w:rPr>
        <w:t>.履约保证金</w:t>
      </w:r>
    </w:p>
    <w:p w14:paraId="589F7096">
      <w:pPr>
        <w:ind w:firstLine="420"/>
        <w:rPr>
          <w:rFonts w:cs="宋体"/>
          <w:color w:val="auto"/>
        </w:rPr>
      </w:pPr>
      <w:r>
        <w:rPr>
          <w:rFonts w:cs="宋体"/>
          <w:color w:val="auto"/>
        </w:rPr>
        <w:t>28</w:t>
      </w:r>
      <w:r>
        <w:rPr>
          <w:rFonts w:hint="eastAsia" w:cs="宋体"/>
          <w:color w:val="auto"/>
        </w:rPr>
        <w:t>.1履约保证金的金额、提交方式、退付的时间和条件详见“供应商须知前附表”。成交供应商未按规定提交履约保证金的，视为拒绝</w:t>
      </w:r>
      <w:r>
        <w:rPr>
          <w:color w:val="auto"/>
          <w:szCs w:val="24"/>
        </w:rPr>
        <w:t>与采购人</w:t>
      </w:r>
      <w:r>
        <w:rPr>
          <w:rFonts w:hint="eastAsia" w:cs="宋体"/>
          <w:color w:val="auto"/>
        </w:rPr>
        <w:t>签订合同。</w:t>
      </w:r>
    </w:p>
    <w:p w14:paraId="020C3B86">
      <w:pPr>
        <w:ind w:firstLine="420"/>
        <w:rPr>
          <w:rFonts w:cs="宋体"/>
          <w:color w:val="auto"/>
        </w:rPr>
      </w:pPr>
      <w:r>
        <w:rPr>
          <w:rFonts w:cs="宋体"/>
          <w:color w:val="auto"/>
        </w:rPr>
        <w:t>28</w:t>
      </w:r>
      <w:r>
        <w:rPr>
          <w:rFonts w:hint="eastAsia" w:cs="宋体"/>
          <w:color w:val="auto"/>
        </w:rPr>
        <w:t>.</w:t>
      </w:r>
      <w:r>
        <w:rPr>
          <w:rFonts w:cs="宋体"/>
          <w:color w:val="auto"/>
        </w:rPr>
        <w:t>2</w:t>
      </w:r>
      <w:r>
        <w:rPr>
          <w:rFonts w:hint="eastAsia" w:cs="宋体"/>
          <w:color w:val="auto"/>
        </w:rPr>
        <w:t>在履约保证金退还日期前，若成交供应商的开户名称、开户银行、</w:t>
      </w:r>
      <w:r>
        <w:rPr>
          <w:rFonts w:hint="eastAsia" w:cs="宋体"/>
          <w:color w:val="auto"/>
          <w:lang w:eastAsia="zh-CN"/>
        </w:rPr>
        <w:t>账号</w:t>
      </w:r>
      <w:r>
        <w:rPr>
          <w:rFonts w:hint="eastAsia" w:cs="宋体"/>
          <w:color w:val="auto"/>
        </w:rPr>
        <w:t>有变动的，请以书面形式通知履约保证金收取单位，否则由此产生的后果由成交供应商自行承担。</w:t>
      </w:r>
    </w:p>
    <w:p w14:paraId="13199A5C">
      <w:pPr>
        <w:pStyle w:val="68"/>
        <w:ind w:firstLine="424"/>
        <w:rPr>
          <w:color w:val="auto"/>
        </w:rPr>
      </w:pPr>
      <w:r>
        <w:rPr>
          <w:color w:val="auto"/>
        </w:rPr>
        <w:t>29</w:t>
      </w:r>
      <w:r>
        <w:rPr>
          <w:rFonts w:hint="eastAsia"/>
          <w:color w:val="auto"/>
        </w:rPr>
        <w:t>.签订合同</w:t>
      </w:r>
    </w:p>
    <w:p w14:paraId="5CF7DC07">
      <w:pPr>
        <w:ind w:firstLine="420"/>
        <w:rPr>
          <w:rFonts w:cs="宋体"/>
          <w:color w:val="auto"/>
        </w:rPr>
      </w:pPr>
      <w:r>
        <w:rPr>
          <w:rFonts w:hint="eastAsia" w:cs="宋体"/>
          <w:color w:val="auto"/>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726CF5AE">
      <w:pPr>
        <w:widowControl w:val="0"/>
        <w:ind w:firstLine="424" w:firstLineChars="202"/>
        <w:jc w:val="both"/>
        <w:rPr>
          <w:rFonts w:ascii="宋体" w:hAnsi="宋体" w:eastAsia="宋体" w:cs="宋体"/>
          <w:color w:val="auto"/>
        </w:rPr>
      </w:pPr>
      <w:r>
        <w:rPr>
          <w:rFonts w:hint="eastAsia" w:ascii="宋体" w:hAnsi="宋体" w:eastAsia="宋体" w:cs="宋体"/>
          <w:color w:val="auto"/>
        </w:rPr>
        <w:t>线下签订纸质合同：供应商领取成交通知书后，按“供应商须知前附表”规定向采购人出示相关证明材料，经采购人核验合格后方可签订合同。</w:t>
      </w:r>
    </w:p>
    <w:p w14:paraId="160925E6">
      <w:pPr>
        <w:ind w:firstLine="420"/>
        <w:rPr>
          <w:rFonts w:cs="宋体"/>
          <w:color w:val="auto"/>
        </w:rPr>
      </w:pPr>
      <w:r>
        <w:rPr>
          <w:rFonts w:hint="eastAsia" w:cs="宋体"/>
          <w:color w:val="auto"/>
        </w:rPr>
        <w:t>29.2签订合同时间：按成交通知书规定的时间与采购人签订合同。</w:t>
      </w:r>
    </w:p>
    <w:p w14:paraId="6C0F1605">
      <w:pPr>
        <w:ind w:firstLine="420"/>
        <w:rPr>
          <w:rFonts w:cs="宋体"/>
          <w:color w:val="auto"/>
        </w:rPr>
      </w:pPr>
      <w:r>
        <w:rPr>
          <w:rFonts w:hint="eastAsia" w:cs="宋体"/>
          <w:color w:val="auto"/>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11D5429">
      <w:pPr>
        <w:ind w:firstLine="420"/>
        <w:rPr>
          <w:rFonts w:cs="宋体"/>
          <w:color w:val="auto"/>
        </w:rPr>
      </w:pPr>
      <w:r>
        <w:rPr>
          <w:rFonts w:hint="eastAsia" w:cs="宋体"/>
          <w:color w:val="auto"/>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8EDCE2E">
      <w:pPr>
        <w:ind w:firstLine="420"/>
        <w:rPr>
          <w:rFonts w:cs="宋体"/>
          <w:color w:val="auto"/>
        </w:rPr>
      </w:pPr>
      <w:r>
        <w:rPr>
          <w:rFonts w:hint="eastAsia" w:cs="宋体"/>
          <w:color w:val="auto"/>
        </w:rPr>
        <w:t>29.5采购人或成交供应商不得单方面向合同另一方提出任何磋商文件没有约定的条件或不合理的要求，作为签订合同的条件；也不得协商另行订立背离磋商文件和合同实质性内容的协议。</w:t>
      </w:r>
    </w:p>
    <w:p w14:paraId="7B31D116">
      <w:pPr>
        <w:ind w:firstLine="420"/>
        <w:rPr>
          <w:rFonts w:cs="宋体"/>
          <w:color w:val="auto"/>
        </w:rPr>
      </w:pPr>
      <w:r>
        <w:rPr>
          <w:rFonts w:hint="eastAsia" w:cs="宋体"/>
          <w:color w:val="auto"/>
        </w:rPr>
        <w:t>29.6如签订合同并生效后，供应商无故拒绝或延期，除按照合同条款处理外，将承担相应的法律责任。</w:t>
      </w:r>
    </w:p>
    <w:p w14:paraId="549B5326">
      <w:pPr>
        <w:ind w:firstLine="420"/>
        <w:rPr>
          <w:rFonts w:cs="宋体"/>
          <w:color w:val="auto"/>
        </w:rPr>
      </w:pPr>
      <w:r>
        <w:rPr>
          <w:rFonts w:hint="eastAsia" w:cs="宋体"/>
          <w:color w:val="auto"/>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5B65EA4">
      <w:pPr>
        <w:pStyle w:val="68"/>
        <w:ind w:firstLine="424"/>
        <w:rPr>
          <w:color w:val="auto"/>
        </w:rPr>
      </w:pPr>
      <w:r>
        <w:rPr>
          <w:color w:val="auto"/>
        </w:rPr>
        <w:t>30</w:t>
      </w:r>
      <w:r>
        <w:rPr>
          <w:rFonts w:hint="eastAsia"/>
          <w:color w:val="auto"/>
        </w:rPr>
        <w:t>.政府采购合同公告</w:t>
      </w:r>
    </w:p>
    <w:p w14:paraId="2A3040E3">
      <w:pPr>
        <w:ind w:firstLine="420"/>
        <w:rPr>
          <w:rFonts w:cs="宋体"/>
          <w:color w:val="auto"/>
        </w:rPr>
      </w:pPr>
      <w:r>
        <w:rPr>
          <w:rFonts w:hint="eastAsia" w:cs="宋体"/>
          <w:color w:val="auto"/>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ED898EF">
      <w:pPr>
        <w:pStyle w:val="68"/>
        <w:ind w:firstLine="424"/>
        <w:rPr>
          <w:color w:val="auto"/>
        </w:rPr>
      </w:pPr>
      <w:r>
        <w:rPr>
          <w:color w:val="auto"/>
        </w:rPr>
        <w:t>31.</w:t>
      </w:r>
      <w:r>
        <w:rPr>
          <w:rFonts w:hint="eastAsia"/>
          <w:color w:val="auto"/>
        </w:rPr>
        <w:t>询问、质疑和投诉</w:t>
      </w:r>
    </w:p>
    <w:p w14:paraId="06677E5E">
      <w:pPr>
        <w:ind w:firstLine="420"/>
        <w:rPr>
          <w:rFonts w:cs="宋体"/>
          <w:color w:val="auto"/>
          <w:szCs w:val="24"/>
        </w:rPr>
      </w:pPr>
      <w:r>
        <w:rPr>
          <w:rFonts w:hint="eastAsia" w:cs="宋体"/>
          <w:color w:val="auto"/>
          <w:szCs w:val="24"/>
        </w:rPr>
        <w:t>3</w:t>
      </w:r>
      <w:r>
        <w:rPr>
          <w:rFonts w:cs="宋体"/>
          <w:color w:val="auto"/>
          <w:szCs w:val="24"/>
        </w:rPr>
        <w:t>1</w:t>
      </w:r>
      <w:r>
        <w:rPr>
          <w:rFonts w:hint="eastAsia" w:cs="宋体"/>
          <w:color w:val="auto"/>
          <w:szCs w:val="24"/>
        </w:rPr>
        <w:t>.1供应商对政府采购活动事项有疑问的，可以向采购人、采购代理机构提出询问，采购人或者采购代理机构应当在3个工作日内对供应商依法提出的询问作出答复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rPr>
        <w:t>，</w:t>
      </w:r>
      <w:r>
        <w:rPr>
          <w:rFonts w:hint="eastAsia" w:ascii="宋体" w:hAnsi="宋体"/>
          <w:color w:val="auto"/>
        </w:rPr>
        <w:t>但答复的内容不得涉及商业秘密。</w:t>
      </w:r>
    </w:p>
    <w:p w14:paraId="4CFA3C66">
      <w:pPr>
        <w:ind w:firstLine="420"/>
        <w:rPr>
          <w:rFonts w:cs="宋体"/>
          <w:color w:val="auto"/>
          <w:szCs w:val="24"/>
        </w:rPr>
      </w:pPr>
      <w:r>
        <w:rPr>
          <w:rFonts w:hint="eastAsia" w:cs="宋体"/>
          <w:color w:val="auto"/>
          <w:szCs w:val="24"/>
        </w:rPr>
        <w:t>3</w:t>
      </w:r>
      <w:r>
        <w:rPr>
          <w:rFonts w:cs="宋体"/>
          <w:color w:val="auto"/>
          <w:szCs w:val="24"/>
        </w:rPr>
        <w:t>1</w:t>
      </w:r>
      <w:r>
        <w:rPr>
          <w:rFonts w:hint="eastAsia" w:cs="宋体"/>
          <w:color w:val="auto"/>
          <w:szCs w:val="24"/>
        </w:rPr>
        <w:t>.2供应商认为磋商文件、采购过程或者成交结果使自己的合法权益受到损害的，应当在知道或者应知其权益受到损害之日起7个工作日内，以书面形式向采购人、采购代理机构提出质疑，</w:t>
      </w:r>
      <w:r>
        <w:rPr>
          <w:rFonts w:cs="Arial"/>
          <w:color w:val="auto"/>
          <w:szCs w:val="24"/>
          <w:shd w:val="clear" w:color="auto" w:fill="FFFFFF"/>
        </w:rPr>
        <w:t>接收质疑函的方式、联系部门、联系电话和通讯地址等信息</w:t>
      </w:r>
      <w:r>
        <w:rPr>
          <w:rFonts w:hint="eastAsia" w:cs="Arial"/>
          <w:color w:val="auto"/>
          <w:szCs w:val="24"/>
          <w:shd w:val="clear" w:color="auto" w:fill="FFFFFF"/>
        </w:rPr>
        <w:t>详见</w:t>
      </w:r>
      <w:r>
        <w:rPr>
          <w:rFonts w:hint="eastAsia" w:cs="宋体"/>
          <w:color w:val="auto"/>
        </w:rPr>
        <w:t>“供应商须知前附表”</w:t>
      </w:r>
      <w:r>
        <w:rPr>
          <w:rFonts w:hint="eastAsia" w:cs="宋体"/>
          <w:color w:val="auto"/>
          <w:szCs w:val="24"/>
        </w:rPr>
        <w:t>。具体质疑起算时间如下：</w:t>
      </w:r>
    </w:p>
    <w:p w14:paraId="3BFD7A0B">
      <w:pPr>
        <w:ind w:firstLine="420"/>
        <w:rPr>
          <w:rFonts w:cs="宋体"/>
          <w:color w:val="auto"/>
          <w:szCs w:val="24"/>
        </w:rPr>
      </w:pPr>
      <w:r>
        <w:rPr>
          <w:rFonts w:hint="eastAsia" w:cs="宋体"/>
          <w:color w:val="auto"/>
          <w:szCs w:val="24"/>
        </w:rPr>
        <w:t>（1）对可以质疑的磋商文件提出质疑的，为收到磋商文件之日或者</w:t>
      </w:r>
      <w:r>
        <w:rPr>
          <w:rFonts w:hint="eastAsia"/>
          <w:color w:val="auto"/>
          <w:szCs w:val="24"/>
        </w:rPr>
        <w:t>竞争性磋商公告期限届满之日</w:t>
      </w:r>
      <w:r>
        <w:rPr>
          <w:rFonts w:hint="eastAsia" w:cs="宋体"/>
          <w:color w:val="auto"/>
          <w:szCs w:val="24"/>
        </w:rPr>
        <w:t>；</w:t>
      </w:r>
    </w:p>
    <w:p w14:paraId="79182281">
      <w:pPr>
        <w:ind w:firstLine="420"/>
        <w:rPr>
          <w:rFonts w:cs="宋体"/>
          <w:color w:val="auto"/>
          <w:szCs w:val="24"/>
        </w:rPr>
      </w:pPr>
      <w:r>
        <w:rPr>
          <w:rFonts w:hint="eastAsia" w:cs="宋体"/>
          <w:color w:val="auto"/>
          <w:szCs w:val="24"/>
        </w:rPr>
        <w:t>（2）对采购过程提出质疑的，为各采购程序环节结束之日；</w:t>
      </w:r>
    </w:p>
    <w:p w14:paraId="30CE38D1">
      <w:pPr>
        <w:ind w:firstLine="420"/>
        <w:rPr>
          <w:rFonts w:cs="宋体"/>
          <w:color w:val="auto"/>
          <w:szCs w:val="24"/>
        </w:rPr>
      </w:pPr>
      <w:r>
        <w:rPr>
          <w:rFonts w:hint="eastAsia" w:cs="宋体"/>
          <w:color w:val="auto"/>
          <w:szCs w:val="24"/>
        </w:rPr>
        <w:t>（3）对成交结果提出质疑的，为成交结果公告期限届满之日。</w:t>
      </w:r>
    </w:p>
    <w:p w14:paraId="2660CF37">
      <w:pPr>
        <w:ind w:firstLine="420"/>
        <w:rPr>
          <w:rFonts w:cs="宋体"/>
          <w:color w:val="auto"/>
          <w:szCs w:val="24"/>
        </w:rPr>
      </w:pPr>
      <w:r>
        <w:rPr>
          <w:rFonts w:hint="eastAsia" w:cs="宋体"/>
          <w:color w:val="auto"/>
          <w:szCs w:val="24"/>
        </w:rPr>
        <w:t>3</w:t>
      </w:r>
      <w:r>
        <w:rPr>
          <w:rFonts w:cs="宋体"/>
          <w:color w:val="auto"/>
          <w:szCs w:val="24"/>
        </w:rPr>
        <w:t>1</w:t>
      </w:r>
      <w:r>
        <w:rPr>
          <w:rFonts w:hint="eastAsia" w:cs="宋体"/>
          <w:color w:val="auto"/>
          <w:szCs w:val="24"/>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4F01EDB">
      <w:pPr>
        <w:ind w:firstLine="420"/>
        <w:rPr>
          <w:rFonts w:cs="宋体"/>
          <w:color w:val="auto"/>
          <w:szCs w:val="24"/>
        </w:rPr>
      </w:pPr>
      <w:r>
        <w:rPr>
          <w:rFonts w:hint="eastAsia" w:cs="宋体"/>
          <w:color w:val="auto"/>
          <w:szCs w:val="24"/>
        </w:rPr>
        <w:t>3</w:t>
      </w:r>
      <w:r>
        <w:rPr>
          <w:rFonts w:cs="宋体"/>
          <w:color w:val="auto"/>
          <w:szCs w:val="24"/>
        </w:rPr>
        <w:t>1</w:t>
      </w:r>
      <w:r>
        <w:rPr>
          <w:rFonts w:hint="eastAsia" w:cs="宋体"/>
          <w:color w:val="auto"/>
          <w:szCs w:val="24"/>
        </w:rPr>
        <w:t>.4 供应商提出质疑应当提交质疑函和必要的证明材料，针对同一采购程序环节的质疑必须在法定质疑期内一次性提出。质疑函应当包括下列内容</w:t>
      </w:r>
      <w:r>
        <w:rPr>
          <w:rFonts w:hint="eastAsia" w:ascii="Times New Roman"/>
          <w:bCs/>
          <w:color w:val="auto"/>
          <w:szCs w:val="24"/>
        </w:rPr>
        <w:t>（质疑函格式后附）</w:t>
      </w:r>
      <w:r>
        <w:rPr>
          <w:rFonts w:hint="eastAsia" w:cs="宋体"/>
          <w:color w:val="auto"/>
          <w:szCs w:val="24"/>
        </w:rPr>
        <w:t>：</w:t>
      </w:r>
    </w:p>
    <w:p w14:paraId="5FB9D811">
      <w:pPr>
        <w:ind w:firstLine="420"/>
        <w:rPr>
          <w:rFonts w:cs="宋体"/>
          <w:color w:val="auto"/>
          <w:szCs w:val="24"/>
        </w:rPr>
      </w:pPr>
      <w:r>
        <w:rPr>
          <w:rFonts w:hint="eastAsia" w:cs="宋体"/>
          <w:color w:val="auto"/>
          <w:szCs w:val="24"/>
        </w:rPr>
        <w:t>（1）供应商的姓名或者名称、地址、邮编、联系人及联系电话；</w:t>
      </w:r>
    </w:p>
    <w:p w14:paraId="1212F257">
      <w:pPr>
        <w:ind w:firstLine="420"/>
        <w:rPr>
          <w:rFonts w:cs="宋体"/>
          <w:color w:val="auto"/>
          <w:szCs w:val="24"/>
        </w:rPr>
      </w:pPr>
      <w:r>
        <w:rPr>
          <w:rFonts w:hint="eastAsia" w:cs="宋体"/>
          <w:color w:val="auto"/>
          <w:szCs w:val="24"/>
        </w:rPr>
        <w:t>（2）质疑项目的名称、编号；</w:t>
      </w:r>
    </w:p>
    <w:p w14:paraId="090620E1">
      <w:pPr>
        <w:ind w:firstLine="420"/>
        <w:rPr>
          <w:rFonts w:cs="宋体"/>
          <w:color w:val="auto"/>
          <w:szCs w:val="24"/>
        </w:rPr>
      </w:pPr>
      <w:r>
        <w:rPr>
          <w:rFonts w:hint="eastAsia" w:cs="宋体"/>
          <w:color w:val="auto"/>
          <w:szCs w:val="24"/>
        </w:rPr>
        <w:t>（3）具体、明确的质疑事项和与质疑事项相关的请求；</w:t>
      </w:r>
    </w:p>
    <w:p w14:paraId="52BD54F2">
      <w:pPr>
        <w:ind w:firstLine="420"/>
        <w:rPr>
          <w:rFonts w:cs="宋体"/>
          <w:color w:val="auto"/>
          <w:szCs w:val="24"/>
        </w:rPr>
      </w:pPr>
      <w:r>
        <w:rPr>
          <w:rFonts w:hint="eastAsia" w:cs="宋体"/>
          <w:color w:val="auto"/>
          <w:szCs w:val="24"/>
        </w:rPr>
        <w:t>（4）事实依据；</w:t>
      </w:r>
    </w:p>
    <w:p w14:paraId="05655B17">
      <w:pPr>
        <w:ind w:firstLine="420"/>
        <w:rPr>
          <w:rFonts w:cs="宋体"/>
          <w:color w:val="auto"/>
          <w:szCs w:val="24"/>
        </w:rPr>
      </w:pPr>
      <w:r>
        <w:rPr>
          <w:rFonts w:hint="eastAsia" w:cs="宋体"/>
          <w:color w:val="auto"/>
          <w:szCs w:val="24"/>
        </w:rPr>
        <w:t>（5）必要的法律依据；</w:t>
      </w:r>
    </w:p>
    <w:p w14:paraId="666F058B">
      <w:pPr>
        <w:ind w:firstLine="420"/>
        <w:rPr>
          <w:rFonts w:cs="宋体"/>
          <w:color w:val="auto"/>
          <w:szCs w:val="24"/>
        </w:rPr>
      </w:pPr>
      <w:r>
        <w:rPr>
          <w:rFonts w:hint="eastAsia" w:cs="宋体"/>
          <w:color w:val="auto"/>
          <w:szCs w:val="24"/>
        </w:rPr>
        <w:t>（6）提出质疑的日期。</w:t>
      </w:r>
    </w:p>
    <w:p w14:paraId="5F6D9C8F">
      <w:pPr>
        <w:ind w:firstLine="420"/>
        <w:rPr>
          <w:rFonts w:cs="宋体"/>
          <w:color w:val="auto"/>
          <w:szCs w:val="24"/>
        </w:rPr>
      </w:pPr>
      <w:r>
        <w:rPr>
          <w:rFonts w:hint="eastAsia" w:cs="宋体"/>
          <w:color w:val="auto"/>
          <w:szCs w:val="24"/>
        </w:rPr>
        <w:t>供应商为自然人的，应当由本人签字；供应商为法人或者其他组织的，应当由法定代表人、主要负责人，或者其委托代理人签字或者盖章，并加盖公章。</w:t>
      </w:r>
    </w:p>
    <w:p w14:paraId="20B62DD4">
      <w:pPr>
        <w:ind w:firstLine="420"/>
        <w:rPr>
          <w:rFonts w:cs="宋体"/>
          <w:color w:val="auto"/>
          <w:szCs w:val="24"/>
        </w:rPr>
      </w:pPr>
      <w:r>
        <w:rPr>
          <w:rFonts w:hint="eastAsia" w:cs="宋体"/>
          <w:color w:val="auto"/>
          <w:szCs w:val="24"/>
        </w:rPr>
        <w:t>3</w:t>
      </w:r>
      <w:r>
        <w:rPr>
          <w:rFonts w:cs="宋体"/>
          <w:color w:val="auto"/>
          <w:szCs w:val="24"/>
        </w:rPr>
        <w:t>1.5</w:t>
      </w:r>
      <w:r>
        <w:rPr>
          <w:rFonts w:hint="eastAsia" w:cs="宋体"/>
          <w:color w:val="auto"/>
          <w:szCs w:val="24"/>
        </w:rPr>
        <w:t>采购人、采购代理机构认为供应商质疑不成立，或者成立但未对成交结果构成影响的，继续开展采购活动；认为供应商质疑成立且影响或者可能影响成交结果的，按照下列情况处理：</w:t>
      </w:r>
    </w:p>
    <w:p w14:paraId="185EA80C">
      <w:pPr>
        <w:ind w:firstLine="420"/>
        <w:rPr>
          <w:rFonts w:cs="宋体"/>
          <w:color w:val="auto"/>
          <w:szCs w:val="24"/>
        </w:rPr>
      </w:pPr>
      <w:r>
        <w:rPr>
          <w:rFonts w:hint="eastAsia" w:cs="宋体"/>
          <w:color w:val="auto"/>
          <w:szCs w:val="24"/>
        </w:rPr>
        <w:t>（一）对采购文件提出的质疑，依法通过澄清或者修改可以继续开展采购活动的，澄清或者修改采购文件后继续开展采购活动；否则应当修改采购文件后重新开展采购活动。</w:t>
      </w:r>
    </w:p>
    <w:p w14:paraId="6F90A5A6">
      <w:pPr>
        <w:ind w:firstLine="420"/>
        <w:rPr>
          <w:rFonts w:cs="宋体"/>
          <w:color w:val="auto"/>
          <w:szCs w:val="24"/>
        </w:rPr>
      </w:pPr>
      <w:r>
        <w:rPr>
          <w:rFonts w:hint="eastAsia" w:cs="宋体"/>
          <w:color w:val="auto"/>
          <w:szCs w:val="24"/>
        </w:rPr>
        <w:t>（二）对采购过程或者成交结果提出的质疑，合格供应商符合法定数量时，可以从合格的成交候选人中另行确定成交供应商的，应当依法另行确定成交供应商；否则应当重新开展采购活动。</w:t>
      </w:r>
    </w:p>
    <w:p w14:paraId="54C99F13">
      <w:pPr>
        <w:ind w:firstLine="420"/>
        <w:rPr>
          <w:rFonts w:cs="宋体"/>
          <w:color w:val="auto"/>
          <w:szCs w:val="24"/>
        </w:rPr>
      </w:pPr>
      <w:r>
        <w:rPr>
          <w:rFonts w:hint="eastAsia" w:cs="宋体"/>
          <w:color w:val="auto"/>
          <w:szCs w:val="24"/>
        </w:rPr>
        <w:t>质疑答复导致成交结果改变的，采购人或者采购代理机构应当将有关情况书面报告本级财政部门。</w:t>
      </w:r>
    </w:p>
    <w:p w14:paraId="3E632A64">
      <w:pPr>
        <w:ind w:firstLine="420"/>
        <w:rPr>
          <w:rFonts w:cs="宋体"/>
          <w:color w:val="auto"/>
        </w:rPr>
      </w:pPr>
      <w:r>
        <w:rPr>
          <w:rFonts w:cs="宋体"/>
          <w:color w:val="auto"/>
          <w:szCs w:val="24"/>
        </w:rPr>
        <w:t>31</w:t>
      </w:r>
      <w:r>
        <w:rPr>
          <w:rFonts w:hint="eastAsia" w:cs="宋体"/>
          <w:color w:val="auto"/>
          <w:szCs w:val="24"/>
        </w:rPr>
        <w:t>.</w:t>
      </w:r>
      <w:r>
        <w:rPr>
          <w:rFonts w:cs="宋体"/>
          <w:color w:val="auto"/>
          <w:szCs w:val="24"/>
        </w:rPr>
        <w:t>6</w:t>
      </w:r>
      <w:r>
        <w:rPr>
          <w:rFonts w:hint="eastAsia" w:cs="宋体"/>
          <w:color w:val="auto"/>
          <w:szCs w:val="24"/>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04329A0">
      <w:pPr>
        <w:pStyle w:val="68"/>
        <w:ind w:firstLine="424"/>
        <w:rPr>
          <w:color w:val="auto"/>
        </w:rPr>
      </w:pPr>
      <w:r>
        <w:rPr>
          <w:color w:val="auto"/>
        </w:rPr>
        <w:t>32</w:t>
      </w:r>
      <w:r>
        <w:rPr>
          <w:rFonts w:hint="eastAsia"/>
          <w:color w:val="auto"/>
        </w:rPr>
        <w:t>.其他内容</w:t>
      </w:r>
    </w:p>
    <w:p w14:paraId="4DE101EE">
      <w:pPr>
        <w:ind w:firstLine="420"/>
        <w:rPr>
          <w:color w:val="auto"/>
        </w:rPr>
      </w:pPr>
      <w:r>
        <w:rPr>
          <w:rFonts w:cs="宋体"/>
          <w:color w:val="auto"/>
        </w:rPr>
        <w:t>32</w:t>
      </w:r>
      <w:r>
        <w:rPr>
          <w:rFonts w:hint="eastAsia" w:cs="宋体"/>
          <w:color w:val="auto"/>
        </w:rPr>
        <w:t>.1代理服务收取标准及缴费账户详见“供应商须知前附表”，供应商为联合体的，可以由联合体中的一方或者多方共同交纳代理服务费。</w:t>
      </w:r>
    </w:p>
    <w:p w14:paraId="6A2EA697">
      <w:pPr>
        <w:ind w:firstLine="420"/>
        <w:rPr>
          <w:color w:val="auto"/>
        </w:rPr>
      </w:pPr>
      <w:r>
        <w:rPr>
          <w:rFonts w:hint="eastAsia"/>
          <w:color w:val="auto"/>
        </w:rPr>
        <w:t>3</w:t>
      </w:r>
      <w:r>
        <w:rPr>
          <w:color w:val="auto"/>
        </w:rPr>
        <w:t>3.需要补充的其他内容</w:t>
      </w:r>
    </w:p>
    <w:p w14:paraId="7B924144">
      <w:pPr>
        <w:ind w:firstLine="420"/>
        <w:rPr>
          <w:rFonts w:cs="宋体"/>
          <w:color w:val="auto"/>
          <w:szCs w:val="24"/>
        </w:rPr>
      </w:pPr>
      <w:r>
        <w:rPr>
          <w:rFonts w:hint="eastAsia" w:cs="宋体"/>
          <w:color w:val="auto"/>
          <w:szCs w:val="24"/>
        </w:rPr>
        <w:t>33.1本磋商文件解释规则详见“供应商须知前附表”。</w:t>
      </w:r>
    </w:p>
    <w:p w14:paraId="4B66E340">
      <w:pPr>
        <w:ind w:firstLine="420"/>
        <w:rPr>
          <w:rFonts w:cs="宋体"/>
          <w:color w:val="auto"/>
          <w:szCs w:val="24"/>
        </w:rPr>
      </w:pPr>
      <w:r>
        <w:rPr>
          <w:rFonts w:hint="eastAsia" w:cs="宋体"/>
          <w:color w:val="auto"/>
          <w:szCs w:val="24"/>
        </w:rPr>
        <w:t>33.2其他事项详见“供应商须知前附表”。</w:t>
      </w:r>
    </w:p>
    <w:p w14:paraId="694E00A3">
      <w:pPr>
        <w:ind w:firstLine="420"/>
        <w:rPr>
          <w:rFonts w:cs="宋体"/>
          <w:color w:val="auto"/>
          <w:szCs w:val="24"/>
        </w:rPr>
      </w:pPr>
      <w:r>
        <w:rPr>
          <w:rFonts w:hint="eastAsia" w:cs="宋体"/>
          <w:color w:val="auto"/>
          <w:szCs w:val="24"/>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97D424E">
      <w:pPr>
        <w:ind w:firstLine="420"/>
        <w:rPr>
          <w:rFonts w:cs="宋体"/>
          <w:color w:val="auto"/>
          <w:szCs w:val="24"/>
        </w:rPr>
      </w:pPr>
      <w:r>
        <w:rPr>
          <w:rFonts w:hint="eastAsia" w:cs="宋体"/>
          <w:color w:val="auto"/>
          <w:szCs w:val="24"/>
        </w:rPr>
        <w:t>（1）在货物采购项目中，货物由中小企业制造，即货物由中小企业生产且使用该中小企业商号或者注册商标，不对其中涉及的工程承建商和服务的承接商作出要求；</w:t>
      </w:r>
    </w:p>
    <w:p w14:paraId="32F81A53">
      <w:pPr>
        <w:ind w:firstLine="420"/>
        <w:rPr>
          <w:rFonts w:cs="宋体"/>
          <w:color w:val="auto"/>
          <w:szCs w:val="24"/>
        </w:rPr>
      </w:pPr>
      <w:r>
        <w:rPr>
          <w:rFonts w:hint="eastAsia" w:cs="宋体"/>
          <w:color w:val="auto"/>
          <w:szCs w:val="24"/>
        </w:rPr>
        <w:t>（2）在工程采购项目中，工程由中小企业承建，即工程施工单位为中小企业，不对其中涉及的货物的制造商和服务的承接商作出要求；</w:t>
      </w:r>
    </w:p>
    <w:p w14:paraId="59F6717E">
      <w:pPr>
        <w:ind w:firstLine="420"/>
        <w:rPr>
          <w:rFonts w:cs="宋体"/>
          <w:color w:val="auto"/>
          <w:szCs w:val="24"/>
        </w:rPr>
      </w:pPr>
      <w:r>
        <w:rPr>
          <w:rFonts w:hint="eastAsia" w:cs="宋体"/>
          <w:color w:val="auto"/>
          <w:szCs w:val="24"/>
        </w:rPr>
        <w:t>（3）在服务采购项目中，服务由中小企业承接，即提供服务的人员为中小企业依照《中华人民共和国劳动</w:t>
      </w:r>
      <w:r>
        <w:rPr>
          <w:rFonts w:hint="eastAsia" w:cs="宋体"/>
          <w:color w:val="auto"/>
          <w:szCs w:val="24"/>
          <w:lang w:val="en-US" w:eastAsia="zh-CN"/>
        </w:rPr>
        <w:t>合同法</w:t>
      </w:r>
      <w:r>
        <w:rPr>
          <w:rFonts w:hint="eastAsia" w:cs="宋体"/>
          <w:color w:val="auto"/>
          <w:szCs w:val="24"/>
        </w:rPr>
        <w:t>》订立劳动合同的从业人员，不对其中涉及的货物的制造商和工程承建商作出要求。</w:t>
      </w:r>
    </w:p>
    <w:p w14:paraId="4F06EBE5">
      <w:pPr>
        <w:ind w:firstLine="420"/>
        <w:rPr>
          <w:rFonts w:cs="宋体"/>
          <w:color w:val="auto"/>
          <w:szCs w:val="24"/>
        </w:rPr>
      </w:pPr>
      <w:r>
        <w:rPr>
          <w:rFonts w:hint="eastAsia" w:cs="宋体"/>
          <w:color w:val="auto"/>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91ECE02">
      <w:pPr>
        <w:ind w:firstLine="420"/>
        <w:rPr>
          <w:color w:val="auto"/>
          <w:kern w:val="0"/>
          <w:lang w:val="zh-CN"/>
        </w:rPr>
      </w:pPr>
      <w:r>
        <w:rPr>
          <w:rFonts w:hint="eastAsia" w:cs="宋体"/>
          <w:color w:val="auto"/>
          <w:szCs w:val="24"/>
        </w:rPr>
        <w:t>依据本磋商文件规定享受扶持政策获得政府采购合同的，小微企业不得将合同分包给大中型企业，中型企业不得将合同分包给大型企业。</w:t>
      </w:r>
    </w:p>
    <w:p w14:paraId="18F300D6">
      <w:pPr>
        <w:spacing w:before="260" w:after="260" w:line="415" w:lineRule="auto"/>
        <w:ind w:firstLine="0" w:firstLineChars="0"/>
        <w:jc w:val="both"/>
        <w:rPr>
          <w:rFonts w:ascii="黑体" w:hAnsi="黑体" w:eastAsia="黑体"/>
          <w:b/>
          <w:bCs/>
          <w:color w:val="auto"/>
          <w:sz w:val="30"/>
          <w:szCs w:val="24"/>
        </w:rPr>
      </w:pPr>
    </w:p>
    <w:p w14:paraId="0F276F8A">
      <w:pPr>
        <w:ind w:firstLine="0" w:firstLineChars="0"/>
        <w:rPr>
          <w:rFonts w:ascii="仿宋" w:hAnsi="仿宋" w:eastAsia="仿宋" w:cs="仿宋"/>
          <w:color w:val="auto"/>
        </w:rPr>
      </w:pPr>
      <w:bookmarkStart w:id="12" w:name="_Toc76480567"/>
    </w:p>
    <w:p w14:paraId="17596C62">
      <w:pPr>
        <w:pStyle w:val="3"/>
        <w:ind w:firstLine="883"/>
        <w:rPr>
          <w:rFonts w:ascii="仿宋" w:hAnsi="仿宋" w:eastAsia="仿宋" w:cs="仿宋"/>
          <w:color w:val="auto"/>
        </w:rPr>
      </w:pPr>
    </w:p>
    <w:p w14:paraId="293F9E9E">
      <w:pPr>
        <w:ind w:firstLine="420"/>
        <w:rPr>
          <w:rFonts w:ascii="仿宋" w:hAnsi="仿宋" w:eastAsia="仿宋" w:cs="仿宋"/>
          <w:color w:val="auto"/>
        </w:rPr>
      </w:pPr>
    </w:p>
    <w:p w14:paraId="70EDCCBE">
      <w:pPr>
        <w:pStyle w:val="3"/>
        <w:ind w:firstLine="883"/>
        <w:rPr>
          <w:rFonts w:ascii="仿宋" w:hAnsi="仿宋" w:eastAsia="仿宋" w:cs="仿宋"/>
          <w:color w:val="auto"/>
        </w:rPr>
      </w:pPr>
    </w:p>
    <w:p w14:paraId="11A24145">
      <w:pPr>
        <w:ind w:firstLine="420"/>
        <w:rPr>
          <w:rFonts w:ascii="仿宋" w:hAnsi="仿宋" w:eastAsia="仿宋" w:cs="仿宋"/>
          <w:color w:val="auto"/>
        </w:rPr>
      </w:pPr>
    </w:p>
    <w:p w14:paraId="78A64947">
      <w:pPr>
        <w:pStyle w:val="49"/>
        <w:rPr>
          <w:rFonts w:ascii="仿宋" w:hAnsi="仿宋" w:eastAsia="仿宋" w:cs="仿宋"/>
          <w:color w:val="auto"/>
        </w:rPr>
      </w:pPr>
      <w:r>
        <w:rPr>
          <w:rFonts w:hint="eastAsia" w:ascii="仿宋" w:hAnsi="仿宋" w:eastAsia="仿宋" w:cs="仿宋"/>
          <w:color w:val="auto"/>
        </w:rPr>
        <w:t>第三章 采购需求</w:t>
      </w:r>
      <w:bookmarkEnd w:id="12"/>
    </w:p>
    <w:p w14:paraId="176396BF">
      <w:pPr>
        <w:widowControl w:val="0"/>
        <w:ind w:firstLine="0" w:firstLineChars="0"/>
        <w:jc w:val="center"/>
        <w:rPr>
          <w:rFonts w:ascii="宋体" w:hAnsi="宋体" w:eastAsia="宋体" w:cs="Times New Roman"/>
          <w:b/>
          <w:color w:val="auto"/>
          <w:sz w:val="36"/>
          <w:szCs w:val="36"/>
        </w:rPr>
      </w:pPr>
      <w:r>
        <w:rPr>
          <w:rFonts w:hint="eastAsia" w:ascii="宋体" w:hAnsi="宋体" w:eastAsia="宋体" w:cs="Times New Roman"/>
          <w:b/>
          <w:color w:val="auto"/>
          <w:sz w:val="36"/>
          <w:szCs w:val="36"/>
        </w:rPr>
        <w:t>采购项目技术规格、参数及要求</w:t>
      </w:r>
    </w:p>
    <w:p w14:paraId="02AC63EA">
      <w:pPr>
        <w:pStyle w:val="60"/>
        <w:rPr>
          <w:color w:val="auto"/>
        </w:rPr>
      </w:pPr>
      <w:r>
        <w:rPr>
          <w:rFonts w:hint="eastAsia"/>
          <w:color w:val="auto"/>
        </w:rPr>
        <w:t>说明：</w:t>
      </w:r>
    </w:p>
    <w:p w14:paraId="5D0290A2">
      <w:pPr>
        <w:widowControl w:val="0"/>
        <w:ind w:firstLine="420"/>
        <w:rPr>
          <w:rFonts w:ascii="宋体" w:hAnsi="宋体" w:eastAsia="宋体" w:cs="宋体"/>
          <w:color w:val="auto"/>
        </w:rPr>
      </w:pPr>
      <w:r>
        <w:rPr>
          <w:rFonts w:hint="eastAsia" w:ascii="宋体" w:hAnsi="宋体" w:eastAsia="宋体" w:cs="Times New Roman"/>
          <w:color w:val="auto"/>
          <w:szCs w:val="24"/>
        </w:rPr>
        <w:t>1</w:t>
      </w:r>
      <w:r>
        <w:rPr>
          <w:rFonts w:hint="eastAsia" w:ascii="Times New Roman" w:hAnsi="Times New Roman" w:eastAsia="宋体" w:cs="Times New Roman"/>
          <w:color w:val="auto"/>
          <w:szCs w:val="24"/>
        </w:rPr>
        <w:t>.为落实政府采购政策需满足的要求</w:t>
      </w:r>
    </w:p>
    <w:p w14:paraId="2DFF3D4E">
      <w:pPr>
        <w:widowControl w:val="0"/>
        <w:ind w:firstLine="420"/>
        <w:rPr>
          <w:rFonts w:ascii="宋体" w:hAnsi="宋体" w:eastAsia="宋体" w:cs="宋体"/>
          <w:color w:val="auto"/>
        </w:rPr>
      </w:pPr>
      <w:r>
        <w:rPr>
          <w:rFonts w:hint="eastAsia" w:ascii="宋体" w:hAnsi="宋体" w:eastAsia="宋体" w:cs="宋体"/>
          <w:color w:val="auto"/>
        </w:rPr>
        <w:t>（1）本竞争性磋商采购文件所称中小企业必须符合《政府采购促进中小企业发展管理办法》（财库〔2020〕46号）的规定。</w:t>
      </w:r>
    </w:p>
    <w:p w14:paraId="6D5E4E0E">
      <w:pPr>
        <w:widowControl w:val="0"/>
        <w:ind w:firstLine="420"/>
        <w:rPr>
          <w:rFonts w:ascii="宋体" w:hAnsi="宋体" w:eastAsia="宋体" w:cs="宋体"/>
          <w:color w:val="auto"/>
        </w:rPr>
      </w:pPr>
      <w:r>
        <w:rPr>
          <w:rFonts w:hint="eastAsia" w:ascii="宋体" w:hAnsi="宋体" w:eastAsia="宋体" w:cs="宋体"/>
          <w:color w:val="auto"/>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63F1FCD0">
      <w:pPr>
        <w:widowControl w:val="0"/>
        <w:ind w:firstLine="420"/>
        <w:rPr>
          <w:rFonts w:ascii="宋体" w:hAnsi="宋体" w:eastAsia="宋体" w:cs="宋体"/>
          <w:color w:val="auto"/>
        </w:rPr>
      </w:pPr>
      <w:r>
        <w:rPr>
          <w:rFonts w:hint="eastAsia" w:ascii="宋体" w:hAnsi="宋体" w:eastAsia="宋体" w:cs="宋体"/>
          <w:color w:val="auto"/>
        </w:rPr>
        <w:t>（3）根据《财政部 发展改革委 生态环境部 市场监管总局关于调整优化节能产品、环境标志产品政府采购执行机制的通知》（财库〔2019〕9号）和《关于印发环境标志产品政府采购品目清单的通知》（财库〔2019〕18号）的规定，如本项目包含的配套货物属于环境标志产品政府采购品目清单内的产品时，应优先采购，具体详见“第四章 评审程序、评审方法和评审标准”。</w:t>
      </w:r>
    </w:p>
    <w:p w14:paraId="4C7741AF">
      <w:pPr>
        <w:widowControl w:val="0"/>
        <w:ind w:firstLine="424" w:firstLineChars="202"/>
        <w:rPr>
          <w:rFonts w:ascii="宋体" w:hAnsi="宋体" w:eastAsia="宋体" w:cs="宋体"/>
          <w:color w:val="auto"/>
        </w:rPr>
      </w:pPr>
      <w:r>
        <w:rPr>
          <w:rFonts w:hint="eastAsia" w:ascii="宋体" w:hAnsi="宋体" w:eastAsia="宋体" w:cs="宋体"/>
          <w:color w:val="auto"/>
        </w:rPr>
        <w:t>2.“实质性要求”是指采购需求中带“▲”的条款或者不能负偏离的条款或者已经指明不满足按响应文件按无效处理的条款。</w:t>
      </w:r>
    </w:p>
    <w:p w14:paraId="26718210">
      <w:pPr>
        <w:widowControl w:val="0"/>
        <w:ind w:firstLine="424" w:firstLineChars="202"/>
        <w:rPr>
          <w:rFonts w:ascii="宋体" w:hAnsi="宋体" w:eastAsia="宋体" w:cs="宋体"/>
          <w:color w:val="auto"/>
        </w:rPr>
      </w:pPr>
      <w:r>
        <w:rPr>
          <w:rFonts w:hint="eastAsia" w:ascii="宋体" w:hAnsi="宋体" w:eastAsia="宋体" w:cs="宋体"/>
          <w:color w:val="auto"/>
        </w:rPr>
        <w:t>3.采购需求中出现的品牌、型号或者生产供应商仅起参考作用，不属于指定品牌、型号或者生产供应商的情形。供应商可参照或者选用其他相当的品牌、型号或者生产供应商替代。</w:t>
      </w:r>
    </w:p>
    <w:p w14:paraId="16CFF6D6">
      <w:pPr>
        <w:widowControl w:val="0"/>
        <w:ind w:firstLine="424" w:firstLineChars="202"/>
        <w:rPr>
          <w:rFonts w:ascii="Times New Roman" w:hAnsi="Times New Roman" w:eastAsia="宋体" w:cs="Times New Roman"/>
          <w:color w:val="auto"/>
          <w:szCs w:val="24"/>
        </w:rPr>
      </w:pPr>
      <w:r>
        <w:rPr>
          <w:rFonts w:hint="eastAsia" w:ascii="宋体" w:hAnsi="宋体" w:eastAsia="宋体" w:cs="宋体"/>
          <w:color w:val="auto"/>
        </w:rPr>
        <w:t>4.供应商应根据自身实际情况如实响应磋商文件</w:t>
      </w:r>
      <w:r>
        <w:rPr>
          <w:rFonts w:hint="eastAsia" w:ascii="宋体" w:hAnsi="宋体" w:eastAsia="宋体" w:cs="Times New Roman"/>
          <w:color w:val="auto"/>
        </w:rPr>
        <w:t>，不得仅将</w:t>
      </w:r>
      <w:r>
        <w:rPr>
          <w:rFonts w:hint="eastAsia" w:ascii="宋体" w:hAnsi="宋体" w:eastAsia="宋体" w:cs="宋体"/>
          <w:color w:val="auto"/>
        </w:rPr>
        <w:t>磋商文件</w:t>
      </w:r>
      <w:r>
        <w:rPr>
          <w:rFonts w:hint="eastAsia" w:ascii="宋体" w:hAnsi="宋体" w:eastAsia="宋体" w:cs="Times New Roman"/>
          <w:color w:val="auto"/>
        </w:rPr>
        <w:t>内容简单复制粘贴作为竞标响应，还应当提供相关证明材料。</w:t>
      </w:r>
      <w:r>
        <w:rPr>
          <w:rFonts w:hint="eastAsia" w:ascii="Times New Roman" w:hAnsi="Times New Roman" w:eastAsia="宋体" w:cs="Times New Roman"/>
          <w:color w:val="auto"/>
          <w:szCs w:val="24"/>
        </w:rPr>
        <w:t>对于重要技术条款或技术参数应当在响应文件中提供技术支持资料，技术支持资料以磋商文件中规定的形式为准，</w:t>
      </w:r>
      <w:r>
        <w:rPr>
          <w:rFonts w:hint="eastAsia" w:ascii="Times New Roman" w:hAnsi="Times New Roman" w:eastAsia="宋体" w:cs="Times New Roman"/>
          <w:b/>
          <w:bCs/>
          <w:color w:val="auto"/>
          <w:szCs w:val="24"/>
        </w:rPr>
        <w:t>否则将视为无效技术支持资料</w:t>
      </w:r>
      <w:r>
        <w:rPr>
          <w:rFonts w:hint="eastAsia" w:ascii="Times New Roman" w:hAnsi="Times New Roman" w:eastAsia="宋体" w:cs="Times New Roman"/>
          <w:color w:val="auto"/>
          <w:szCs w:val="24"/>
        </w:rPr>
        <w:t>。</w:t>
      </w:r>
    </w:p>
    <w:p w14:paraId="10954C22">
      <w:pPr>
        <w:widowControl w:val="0"/>
        <w:ind w:firstLine="424" w:firstLineChars="202"/>
        <w:rPr>
          <w:rFonts w:ascii="宋体" w:hAnsi="宋体" w:eastAsia="宋体" w:cs="Times New Roman"/>
          <w:color w:val="auto"/>
        </w:rPr>
      </w:pPr>
      <w:r>
        <w:rPr>
          <w:rFonts w:hint="eastAsia" w:ascii="宋体" w:hAnsi="宋体" w:eastAsia="宋体" w:cs="宋体"/>
          <w:color w:val="auto"/>
        </w:rPr>
        <w:t>5.</w:t>
      </w:r>
      <w:r>
        <w:rPr>
          <w:rFonts w:hint="eastAsia" w:ascii="Times New Roman" w:hAnsi="Times New Roman" w:eastAsia="宋体" w:cs="Times New Roman"/>
          <w:color w:val="auto"/>
          <w:szCs w:val="24"/>
        </w:rPr>
        <w:t>供应商必须自行为其竞标产品侵犯他人的知识产权或者专利成果的行为承担相应法律责任。</w:t>
      </w:r>
    </w:p>
    <w:p w14:paraId="5179028B">
      <w:pPr>
        <w:widowControl w:val="0"/>
        <w:ind w:firstLine="426" w:firstLineChars="202"/>
        <w:rPr>
          <w:rFonts w:ascii="宋体" w:hAnsi="宋体" w:eastAsia="宋体" w:cs="Times New Roman"/>
          <w:b/>
          <w:bCs/>
          <w:color w:val="auto"/>
        </w:rPr>
      </w:pPr>
      <w:r>
        <w:rPr>
          <w:rFonts w:hint="eastAsia" w:ascii="宋体" w:hAnsi="宋体" w:eastAsia="宋体" w:cs="Times New Roman"/>
          <w:b/>
          <w:bCs/>
          <w:color w:val="auto"/>
        </w:rPr>
        <w:t>6</w:t>
      </w:r>
      <w:r>
        <w:rPr>
          <w:rFonts w:ascii="宋体" w:hAnsi="宋体" w:eastAsia="宋体" w:cs="Times New Roman"/>
          <w:b/>
          <w:bCs/>
          <w:color w:val="auto"/>
        </w:rPr>
        <w:t>.</w:t>
      </w:r>
      <w:r>
        <w:rPr>
          <w:rFonts w:hint="eastAsia" w:ascii="宋体" w:hAnsi="宋体" w:eastAsia="宋体" w:cs="Times New Roman"/>
          <w:b/>
          <w:bCs/>
          <w:color w:val="auto"/>
        </w:rPr>
        <w:t>本项目为工程类项目，不设核心产品。</w:t>
      </w:r>
    </w:p>
    <w:p w14:paraId="00DD41B4">
      <w:pPr>
        <w:keepNext w:val="0"/>
        <w:keepLines w:val="0"/>
        <w:pageBreakBefore w:val="0"/>
        <w:widowControl w:val="0"/>
        <w:kinsoku/>
        <w:wordWrap/>
        <w:overflowPunct/>
        <w:topLinePunct w:val="0"/>
        <w:autoSpaceDE/>
        <w:autoSpaceDN/>
        <w:bidi w:val="0"/>
        <w:spacing w:line="360" w:lineRule="auto"/>
        <w:ind w:firstLine="426" w:firstLineChars="202"/>
        <w:textAlignment w:val="auto"/>
        <w:rPr>
          <w:b/>
          <w:bCs/>
          <w:color w:val="auto"/>
          <w:shd w:val="clear" w:color="auto" w:fill="FFFFFF"/>
        </w:rPr>
      </w:pPr>
      <w:r>
        <w:rPr>
          <w:rFonts w:hint="eastAsia" w:ascii="宋体" w:hAnsi="宋体" w:eastAsia="宋体" w:cs="Times New Roman"/>
          <w:b/>
          <w:bCs/>
          <w:color w:val="auto"/>
        </w:rPr>
        <w:t>7</w:t>
      </w:r>
      <w:r>
        <w:rPr>
          <w:rFonts w:ascii="宋体" w:hAnsi="宋体" w:eastAsia="宋体" w:cs="Times New Roman"/>
          <w:b/>
          <w:bCs/>
          <w:color w:val="auto"/>
        </w:rPr>
        <w:t>.</w:t>
      </w:r>
      <w:r>
        <w:rPr>
          <w:rFonts w:hint="eastAsia" w:cs="Arial" w:hAnsiTheme="minorEastAsia"/>
          <w:b/>
          <w:bCs/>
          <w:color w:val="auto"/>
        </w:rPr>
        <w:t>本项目标的</w:t>
      </w:r>
      <w:r>
        <w:rPr>
          <w:rFonts w:hint="eastAsia" w:cs="Arial" w:hAnsiTheme="minorEastAsia"/>
          <w:b/>
          <w:bCs/>
          <w:color w:val="auto"/>
          <w:lang w:eastAsia="zh-CN"/>
        </w:rPr>
        <w:t>广西轻工技师学院驻校教官队管理服务采购</w:t>
      </w:r>
      <w:r>
        <w:rPr>
          <w:rFonts w:hint="eastAsia" w:cs="Arial" w:hAnsiTheme="minorEastAsia"/>
          <w:b/>
          <w:bCs/>
          <w:color w:val="auto"/>
        </w:rPr>
        <w:t>所属行业：租赁和商务服务业</w:t>
      </w:r>
      <w:r>
        <w:rPr>
          <w:rFonts w:hint="eastAsia"/>
          <w:b/>
          <w:bCs/>
          <w:color w:val="auto"/>
          <w:shd w:val="clear" w:color="auto" w:fill="FFFFFF"/>
        </w:rPr>
        <w:t>。</w:t>
      </w:r>
    </w:p>
    <w:p w14:paraId="215DB5B8">
      <w:pPr>
        <w:keepNext w:val="0"/>
        <w:keepLines w:val="0"/>
        <w:pageBreakBefore w:val="0"/>
        <w:kinsoku/>
        <w:wordWrap/>
        <w:overflowPunct/>
        <w:topLinePunct w:val="0"/>
        <w:autoSpaceDE/>
        <w:autoSpaceDN/>
        <w:bidi w:val="0"/>
        <w:spacing w:line="360" w:lineRule="auto"/>
        <w:ind w:firstLine="422"/>
        <w:textAlignment w:val="auto"/>
        <w:rPr>
          <w:b/>
          <w:bCs/>
          <w:color w:val="auto"/>
          <w:shd w:val="clear" w:color="auto" w:fill="FFFFFF"/>
        </w:rPr>
      </w:pPr>
      <w:r>
        <w:rPr>
          <w:rFonts w:hint="eastAsia"/>
          <w:b/>
          <w:bCs/>
          <w:color w:val="auto"/>
          <w:shd w:val="clear" w:color="auto" w:fill="FFFFFF"/>
        </w:rPr>
        <w:br w:type="page"/>
      </w:r>
    </w:p>
    <w:tbl>
      <w:tblPr>
        <w:tblStyle w:val="30"/>
        <w:tblW w:w="10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45"/>
        <w:gridCol w:w="763"/>
        <w:gridCol w:w="645"/>
        <w:gridCol w:w="6300"/>
        <w:gridCol w:w="1110"/>
        <w:gridCol w:w="394"/>
      </w:tblGrid>
      <w:tr w14:paraId="5CED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41" w:type="dxa"/>
            <w:gridSpan w:val="7"/>
            <w:tcBorders>
              <w:top w:val="single" w:color="auto" w:sz="4" w:space="0"/>
              <w:left w:val="single" w:color="auto" w:sz="4" w:space="0"/>
              <w:bottom w:val="single" w:color="auto" w:sz="4" w:space="0"/>
              <w:right w:val="single" w:color="auto" w:sz="4" w:space="0"/>
            </w:tcBorders>
            <w:noWrap w:val="0"/>
            <w:vAlign w:val="center"/>
          </w:tcPr>
          <w:p w14:paraId="2D60F112">
            <w:pPr>
              <w:keepNext w:val="0"/>
              <w:keepLines w:val="0"/>
              <w:pageBreakBefore w:val="0"/>
              <w:kinsoku/>
              <w:wordWrap/>
              <w:overflowPunct/>
              <w:topLinePunct w:val="0"/>
              <w:autoSpaceDE/>
              <w:autoSpaceDN/>
              <w:bidi w:val="0"/>
              <w:spacing w:line="360" w:lineRule="auto"/>
              <w:jc w:val="left"/>
              <w:textAlignment w:val="auto"/>
              <w:rPr>
                <w:rFonts w:ascii="宋体" w:hAnsi="宋体" w:cs="宋体"/>
                <w:sz w:val="32"/>
                <w:szCs w:val="32"/>
              </w:rPr>
            </w:pPr>
            <w:r>
              <w:rPr>
                <w:rFonts w:hint="eastAsia" w:ascii="宋体" w:hAnsi="宋体" w:cs="宋体"/>
                <w:szCs w:val="21"/>
              </w:rPr>
              <w:t>分标：/</w:t>
            </w:r>
          </w:p>
        </w:tc>
      </w:tr>
      <w:tr w14:paraId="463E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restart"/>
            <w:tcBorders>
              <w:top w:val="single" w:color="auto" w:sz="4" w:space="0"/>
            </w:tcBorders>
            <w:noWrap w:val="0"/>
            <w:vAlign w:val="center"/>
          </w:tcPr>
          <w:p w14:paraId="120A15C0">
            <w:pPr>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cs="宋体"/>
                <w:szCs w:val="21"/>
              </w:rPr>
            </w:pPr>
            <w:r>
              <w:rPr>
                <w:rFonts w:hint="eastAsia" w:ascii="宋体" w:hAnsi="宋体" w:cs="宋体"/>
                <w:szCs w:val="21"/>
              </w:rPr>
              <w:t>需求一览表</w:t>
            </w:r>
          </w:p>
        </w:tc>
        <w:tc>
          <w:tcPr>
            <w:tcW w:w="645" w:type="dxa"/>
            <w:tcBorders>
              <w:top w:val="single" w:color="auto" w:sz="4" w:space="0"/>
            </w:tcBorders>
            <w:noWrap w:val="0"/>
            <w:vAlign w:val="center"/>
          </w:tcPr>
          <w:p w14:paraId="73C8957E">
            <w:pPr>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cs="宋体"/>
                <w:szCs w:val="21"/>
              </w:rPr>
            </w:pPr>
            <w:r>
              <w:rPr>
                <w:rFonts w:hint="eastAsia" w:ascii="宋体" w:hAnsi="宋体" w:cs="宋体"/>
                <w:szCs w:val="21"/>
              </w:rPr>
              <w:t>序号</w:t>
            </w:r>
          </w:p>
        </w:tc>
        <w:tc>
          <w:tcPr>
            <w:tcW w:w="763" w:type="dxa"/>
            <w:tcBorders>
              <w:top w:val="single" w:color="auto" w:sz="4" w:space="0"/>
            </w:tcBorders>
            <w:noWrap w:val="0"/>
            <w:vAlign w:val="center"/>
          </w:tcPr>
          <w:p w14:paraId="049D5084">
            <w:pPr>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cs="宋体"/>
                <w:szCs w:val="21"/>
              </w:rPr>
            </w:pPr>
            <w:r>
              <w:rPr>
                <w:rFonts w:hint="eastAsia" w:ascii="宋体" w:hAnsi="宋体" w:cs="宋体"/>
                <w:szCs w:val="21"/>
              </w:rPr>
              <w:t>标的的名称</w:t>
            </w:r>
          </w:p>
        </w:tc>
        <w:tc>
          <w:tcPr>
            <w:tcW w:w="645" w:type="dxa"/>
            <w:tcBorders>
              <w:top w:val="single" w:color="auto" w:sz="4" w:space="0"/>
            </w:tcBorders>
            <w:noWrap w:val="0"/>
            <w:vAlign w:val="center"/>
          </w:tcPr>
          <w:p w14:paraId="3BFB7EC6">
            <w:pPr>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cs="宋体"/>
                <w:szCs w:val="21"/>
              </w:rPr>
            </w:pPr>
            <w:r>
              <w:rPr>
                <w:rFonts w:hint="eastAsia" w:ascii="宋体" w:hAnsi="宋体" w:cs="宋体"/>
                <w:szCs w:val="21"/>
              </w:rPr>
              <w:t>数量及单位</w:t>
            </w:r>
          </w:p>
          <w:p w14:paraId="78A3F3C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Cs w:val="21"/>
              </w:rPr>
            </w:pPr>
          </w:p>
        </w:tc>
        <w:tc>
          <w:tcPr>
            <w:tcW w:w="6300" w:type="dxa"/>
            <w:tcBorders>
              <w:top w:val="single" w:color="auto" w:sz="4" w:space="0"/>
            </w:tcBorders>
            <w:noWrap w:val="0"/>
            <w:vAlign w:val="center"/>
          </w:tcPr>
          <w:p w14:paraId="646411D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Cs w:val="21"/>
              </w:rPr>
            </w:pPr>
            <w:r>
              <w:rPr>
                <w:rFonts w:hint="eastAsia" w:ascii="宋体" w:hAnsi="宋体" w:cs="宋体"/>
                <w:szCs w:val="21"/>
              </w:rPr>
              <w:t>服务参数</w:t>
            </w:r>
          </w:p>
        </w:tc>
        <w:tc>
          <w:tcPr>
            <w:tcW w:w="1110" w:type="dxa"/>
            <w:tcBorders>
              <w:top w:val="single" w:color="auto" w:sz="4" w:space="0"/>
            </w:tcBorders>
            <w:noWrap w:val="0"/>
            <w:vAlign w:val="center"/>
          </w:tcPr>
          <w:p w14:paraId="65630A1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Cs w:val="21"/>
              </w:rPr>
            </w:pPr>
          </w:p>
          <w:p w14:paraId="2B070790">
            <w:pPr>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cs="宋体"/>
                <w:szCs w:val="21"/>
              </w:rPr>
            </w:pPr>
            <w:r>
              <w:rPr>
                <w:rFonts w:hint="eastAsia" w:ascii="宋体" w:hAnsi="宋体" w:cs="宋体"/>
              </w:rPr>
              <w:t>分项预算合计（元）</w:t>
            </w:r>
          </w:p>
        </w:tc>
        <w:tc>
          <w:tcPr>
            <w:tcW w:w="394" w:type="dxa"/>
            <w:tcBorders>
              <w:top w:val="single" w:color="auto" w:sz="4" w:space="0"/>
            </w:tcBorders>
            <w:noWrap w:val="0"/>
            <w:vAlign w:val="center"/>
          </w:tcPr>
          <w:p w14:paraId="02100FB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Cs w:val="21"/>
              </w:rPr>
            </w:pPr>
          </w:p>
        </w:tc>
      </w:tr>
      <w:tr w14:paraId="51CA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84" w:type="dxa"/>
            <w:vMerge w:val="continue"/>
            <w:noWrap w:val="0"/>
            <w:vAlign w:val="center"/>
          </w:tcPr>
          <w:p w14:paraId="6188E02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Cs w:val="21"/>
              </w:rPr>
            </w:pPr>
          </w:p>
        </w:tc>
        <w:tc>
          <w:tcPr>
            <w:tcW w:w="645" w:type="dxa"/>
            <w:noWrap w:val="0"/>
            <w:vAlign w:val="center"/>
          </w:tcPr>
          <w:p w14:paraId="584CF78C">
            <w:pPr>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cs="宋体"/>
                <w:szCs w:val="21"/>
              </w:rPr>
            </w:pPr>
            <w:r>
              <w:rPr>
                <w:rFonts w:hint="eastAsia" w:ascii="宋体" w:hAnsi="宋体" w:cs="宋体"/>
                <w:szCs w:val="21"/>
              </w:rPr>
              <w:t>1</w:t>
            </w:r>
          </w:p>
        </w:tc>
        <w:tc>
          <w:tcPr>
            <w:tcW w:w="763" w:type="dxa"/>
            <w:noWrap w:val="0"/>
            <w:vAlign w:val="center"/>
          </w:tcPr>
          <w:p w14:paraId="3C0649A3">
            <w:pPr>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cs="宋体" w:eastAsiaTheme="minorEastAsia"/>
                <w:szCs w:val="21"/>
                <w:lang w:eastAsia="zh-CN"/>
              </w:rPr>
            </w:pPr>
            <w:r>
              <w:rPr>
                <w:rFonts w:hint="eastAsia" w:ascii="宋体" w:hAnsi="宋体" w:cs="宋体"/>
                <w:szCs w:val="21"/>
                <w:lang w:eastAsia="zh-CN"/>
              </w:rPr>
              <w:t>广西轻工技师学院驻校教官队管理服务采购</w:t>
            </w:r>
          </w:p>
        </w:tc>
        <w:tc>
          <w:tcPr>
            <w:tcW w:w="645" w:type="dxa"/>
            <w:noWrap w:val="0"/>
            <w:vAlign w:val="center"/>
          </w:tcPr>
          <w:p w14:paraId="19B00703">
            <w:pPr>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ascii="宋体" w:hAnsi="宋体" w:cs="宋体"/>
                <w:szCs w:val="21"/>
              </w:rPr>
            </w:pPr>
            <w:r>
              <w:rPr>
                <w:rFonts w:hint="eastAsia" w:ascii="宋体" w:hAnsi="宋体" w:cs="宋体"/>
                <w:szCs w:val="21"/>
              </w:rPr>
              <w:t>1项</w:t>
            </w:r>
          </w:p>
        </w:tc>
        <w:tc>
          <w:tcPr>
            <w:tcW w:w="6300" w:type="dxa"/>
            <w:noWrap w:val="0"/>
            <w:vAlign w:val="center"/>
          </w:tcPr>
          <w:p w14:paraId="450DCF7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一、项目概况</w:t>
            </w:r>
          </w:p>
          <w:p w14:paraId="34E5BF05">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广西轻工技师学院有石柱岭校区、五象校区共</w:t>
            </w:r>
            <w:r>
              <w:rPr>
                <w:rFonts w:hint="eastAsia" w:ascii="宋体" w:hAnsi="宋体" w:cs="宋体"/>
                <w:szCs w:val="21"/>
                <w:lang w:val="en-US" w:eastAsia="zh-CN"/>
              </w:rPr>
              <w:t>2</w:t>
            </w:r>
            <w:r>
              <w:rPr>
                <w:rFonts w:hint="eastAsia" w:ascii="宋体" w:hAnsi="宋体" w:cs="宋体"/>
                <w:szCs w:val="21"/>
              </w:rPr>
              <w:t>个校区，占地总面积近70亩。建筑面积4万多平方米，固定资产总值2亿元，在校生</w:t>
            </w:r>
            <w:r>
              <w:rPr>
                <w:rFonts w:hint="eastAsia" w:ascii="宋体" w:hAnsi="宋体" w:cs="宋体"/>
                <w:szCs w:val="21"/>
                <w:lang w:val="en-US" w:eastAsia="zh-CN"/>
              </w:rPr>
              <w:t>25</w:t>
            </w:r>
            <w:r>
              <w:rPr>
                <w:rFonts w:hint="eastAsia" w:ascii="宋体" w:hAnsi="宋体" w:cs="宋体"/>
                <w:szCs w:val="21"/>
              </w:rPr>
              <w:t>00多人。建有教学楼、实验大楼、实</w:t>
            </w:r>
            <w:r>
              <w:rPr>
                <w:rFonts w:hint="eastAsia" w:ascii="宋体" w:hAnsi="宋体" w:cs="宋体"/>
                <w:szCs w:val="21"/>
                <w:lang w:val="en-US" w:eastAsia="zh-CN"/>
              </w:rPr>
              <w:t>训</w:t>
            </w:r>
            <w:r>
              <w:rPr>
                <w:rFonts w:hint="eastAsia" w:ascii="宋体" w:hAnsi="宋体" w:cs="宋体"/>
                <w:szCs w:val="21"/>
              </w:rPr>
              <w:t>大楼、办公大楼、图书馆、多功能礼堂及学生公寓等教学、生活设施。学院学生管理机构健全，设有学生工作和保卫科。学生工作和保卫科全面负责学院安全保卫和学生教育管理工作。</w:t>
            </w:r>
          </w:p>
          <w:p w14:paraId="2A8CAED0">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二、项目服务内容及要求</w:t>
            </w:r>
          </w:p>
          <w:p w14:paraId="69944718">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（一）基本要求：</w:t>
            </w:r>
          </w:p>
          <w:p w14:paraId="4CEB7A4A">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Cs w:val="21"/>
              </w:rPr>
            </w:pPr>
            <w:r>
              <w:rPr>
                <w:rFonts w:hint="eastAsia" w:ascii="宋体" w:hAnsi="宋体" w:cs="宋体"/>
                <w:szCs w:val="21"/>
              </w:rPr>
              <w:t>1.服务范围：广</w:t>
            </w:r>
            <w:r>
              <w:rPr>
                <w:rFonts w:hint="eastAsia" w:ascii="宋体" w:hAnsi="宋体" w:cs="宋体"/>
                <w:color w:val="auto"/>
                <w:szCs w:val="21"/>
              </w:rPr>
              <w:t>西轻工技师学院</w:t>
            </w:r>
            <w:r>
              <w:rPr>
                <w:rFonts w:hint="eastAsia" w:ascii="宋体" w:hAnsi="宋体" w:cs="宋体"/>
                <w:color w:val="auto"/>
                <w:szCs w:val="21"/>
                <w:lang w:val="en-US" w:eastAsia="zh-CN"/>
              </w:rPr>
              <w:t>2</w:t>
            </w:r>
            <w:r>
              <w:rPr>
                <w:rFonts w:hint="eastAsia" w:ascii="宋体" w:hAnsi="宋体" w:cs="宋体"/>
                <w:color w:val="auto"/>
                <w:szCs w:val="21"/>
              </w:rPr>
              <w:t>个校区</w:t>
            </w:r>
            <w:r>
              <w:rPr>
                <w:rFonts w:hint="eastAsia" w:ascii="宋体" w:hAnsi="宋体" w:cs="宋体"/>
                <w:color w:val="auto"/>
                <w:szCs w:val="21"/>
                <w:lang w:eastAsia="zh-CN"/>
              </w:rPr>
              <w:t>（</w:t>
            </w:r>
            <w:r>
              <w:rPr>
                <w:rFonts w:hint="eastAsia" w:ascii="宋体" w:hAnsi="宋体" w:cs="宋体"/>
                <w:color w:val="auto"/>
                <w:szCs w:val="21"/>
                <w:lang w:val="en-US" w:eastAsia="zh-CN"/>
              </w:rPr>
              <w:t>石柱岭校区、五象校区</w:t>
            </w:r>
            <w:r>
              <w:rPr>
                <w:rFonts w:hint="eastAsia" w:ascii="宋体" w:hAnsi="宋体" w:cs="宋体"/>
                <w:color w:val="auto"/>
                <w:szCs w:val="21"/>
                <w:lang w:eastAsia="zh-CN"/>
              </w:rPr>
              <w:t>）</w:t>
            </w:r>
            <w:r>
              <w:rPr>
                <w:rFonts w:hint="eastAsia" w:ascii="宋体" w:hAnsi="宋体" w:cs="宋体"/>
                <w:color w:val="auto"/>
                <w:szCs w:val="21"/>
              </w:rPr>
              <w:t>校园及周边的安全保卫管理、学生宿舍区管理、学生管理服务、各种学生集会组织及纪律管理、新生军训等。</w:t>
            </w:r>
          </w:p>
          <w:p w14:paraId="5792C4C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Cs w:val="21"/>
              </w:rPr>
            </w:pPr>
            <w:r>
              <w:rPr>
                <w:rFonts w:hint="eastAsia" w:ascii="宋体" w:hAnsi="宋体" w:cs="宋体"/>
                <w:color w:val="auto"/>
                <w:szCs w:val="21"/>
              </w:rPr>
              <w:t>2.服务时间：</w:t>
            </w:r>
            <w:r>
              <w:rPr>
                <w:rFonts w:hint="eastAsia" w:ascii="宋体" w:hAnsi="宋体" w:cs="宋体"/>
                <w:color w:val="auto"/>
                <w:szCs w:val="21"/>
                <w:highlight w:val="none"/>
              </w:rPr>
              <w:t>自合同签订之日起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color w:val="auto"/>
                <w:szCs w:val="21"/>
                <w:lang w:eastAsia="zh-CN"/>
              </w:rPr>
              <w:t>，</w:t>
            </w:r>
            <w:r>
              <w:rPr>
                <w:rFonts w:hint="eastAsia"/>
                <w:color w:val="auto"/>
                <w:szCs w:val="21"/>
              </w:rPr>
              <w:t>服务期满后，双方自动解除合同关系，双方互不承担对方损失。采购人可根据成交供应商服务期内服务质量情况，考虑是否与成交供应商按本项目合同服务质量及每年成交服务费续签一年服务，成交供应商可以自由选择接受或拒绝。</w:t>
            </w:r>
          </w:p>
          <w:p w14:paraId="7E47EC4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Cs w:val="21"/>
              </w:rPr>
            </w:pPr>
            <w:r>
              <w:rPr>
                <w:rFonts w:hint="eastAsia" w:ascii="宋体" w:hAnsi="宋体" w:cs="宋体"/>
                <w:color w:val="auto"/>
                <w:szCs w:val="21"/>
              </w:rPr>
              <w:t>（二）服务项目需求</w:t>
            </w:r>
          </w:p>
          <w:p w14:paraId="360A86AF">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Cs w:val="21"/>
              </w:rPr>
            </w:pPr>
            <w:r>
              <w:rPr>
                <w:rFonts w:hint="eastAsia" w:ascii="宋体" w:hAnsi="宋体" w:cs="宋体"/>
                <w:color w:val="auto"/>
                <w:szCs w:val="21"/>
              </w:rPr>
              <w:t>1.本项目人员配置要求</w:t>
            </w:r>
            <w:r>
              <w:rPr>
                <w:rFonts w:hint="eastAsia" w:ascii="宋体" w:hAnsi="宋体" w:cs="宋体"/>
                <w:color w:val="auto"/>
                <w:szCs w:val="21"/>
                <w:lang w:val="en-US" w:eastAsia="zh-CN"/>
              </w:rPr>
              <w:t>暂定27</w:t>
            </w:r>
            <w:r>
              <w:rPr>
                <w:rFonts w:hint="eastAsia" w:ascii="宋体" w:hAnsi="宋体" w:cs="宋体"/>
                <w:color w:val="auto"/>
                <w:szCs w:val="21"/>
              </w:rPr>
              <w:t>人(具体人数根据甲方工作需要进行确定)，</w:t>
            </w:r>
            <w:r>
              <w:rPr>
                <w:rFonts w:hint="eastAsia" w:ascii="宋体" w:hAnsi="宋体" w:cs="宋体"/>
                <w:color w:val="auto"/>
                <w:szCs w:val="21"/>
                <w:lang w:val="en-US" w:eastAsia="zh-CN"/>
              </w:rPr>
              <w:t>其中：</w:t>
            </w:r>
            <w:r>
              <w:rPr>
                <w:rFonts w:hint="eastAsia" w:ascii="宋体" w:hAnsi="宋体" w:cs="宋体"/>
                <w:color w:val="auto"/>
                <w:szCs w:val="21"/>
              </w:rPr>
              <w:t>队长1名、副队长</w:t>
            </w:r>
            <w:r>
              <w:rPr>
                <w:rFonts w:hint="eastAsia" w:ascii="宋体" w:hAnsi="宋体" w:cs="宋体"/>
                <w:color w:val="auto"/>
                <w:szCs w:val="21"/>
                <w:lang w:val="en-US" w:eastAsia="zh-CN"/>
              </w:rPr>
              <w:t>1</w:t>
            </w:r>
            <w:r>
              <w:rPr>
                <w:rFonts w:hint="eastAsia" w:ascii="宋体" w:hAnsi="宋体" w:cs="宋体"/>
                <w:color w:val="auto"/>
                <w:szCs w:val="21"/>
              </w:rPr>
              <w:t>名、班长</w:t>
            </w:r>
            <w:r>
              <w:rPr>
                <w:rFonts w:hint="eastAsia" w:ascii="宋体" w:hAnsi="宋体" w:cs="宋体"/>
                <w:color w:val="auto"/>
                <w:szCs w:val="21"/>
                <w:lang w:val="en-US" w:eastAsia="zh-CN"/>
              </w:rPr>
              <w:t>3</w:t>
            </w:r>
            <w:r>
              <w:rPr>
                <w:rFonts w:hint="eastAsia" w:ascii="宋体" w:hAnsi="宋体" w:cs="宋体"/>
                <w:color w:val="auto"/>
                <w:szCs w:val="21"/>
              </w:rPr>
              <w:t>名，普通教官</w:t>
            </w:r>
            <w:r>
              <w:rPr>
                <w:rFonts w:hint="eastAsia" w:ascii="宋体" w:hAnsi="宋体" w:cs="宋体"/>
                <w:color w:val="auto"/>
                <w:szCs w:val="21"/>
                <w:lang w:val="en-US" w:eastAsia="zh-CN"/>
              </w:rPr>
              <w:t>22</w:t>
            </w:r>
            <w:r>
              <w:rPr>
                <w:rFonts w:hint="eastAsia" w:ascii="宋体" w:hAnsi="宋体" w:cs="宋体"/>
                <w:color w:val="auto"/>
                <w:szCs w:val="21"/>
              </w:rPr>
              <w:t>人。具体安排：</w:t>
            </w:r>
          </w:p>
          <w:p w14:paraId="5FC39D90">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Cs w:val="21"/>
              </w:rPr>
            </w:pPr>
            <w:r>
              <w:rPr>
                <w:rFonts w:hint="eastAsia" w:ascii="宋体" w:hAnsi="宋体" w:cs="宋体"/>
                <w:color w:val="auto"/>
                <w:szCs w:val="21"/>
              </w:rPr>
              <w:t>石柱岭校区（</w:t>
            </w:r>
            <w:r>
              <w:rPr>
                <w:rFonts w:hint="eastAsia" w:ascii="宋体" w:hAnsi="宋体" w:cs="宋体"/>
                <w:color w:val="auto"/>
                <w:szCs w:val="21"/>
                <w:lang w:val="en-US" w:eastAsia="zh-CN"/>
              </w:rPr>
              <w:t>16</w:t>
            </w:r>
            <w:r>
              <w:rPr>
                <w:rFonts w:hint="eastAsia" w:ascii="宋体" w:hAnsi="宋体" w:cs="宋体"/>
                <w:color w:val="auto"/>
                <w:szCs w:val="21"/>
              </w:rPr>
              <w:t>人）：队长1名为专职人员，班长</w:t>
            </w:r>
            <w:r>
              <w:rPr>
                <w:rFonts w:hint="eastAsia" w:ascii="宋体" w:hAnsi="宋体" w:cs="宋体"/>
                <w:color w:val="auto"/>
                <w:szCs w:val="21"/>
                <w:lang w:val="en-US" w:eastAsia="zh-CN"/>
              </w:rPr>
              <w:t>2</w:t>
            </w:r>
            <w:r>
              <w:rPr>
                <w:rFonts w:hint="eastAsia" w:ascii="宋体" w:hAnsi="宋体" w:cs="宋体"/>
                <w:color w:val="auto"/>
                <w:szCs w:val="21"/>
              </w:rPr>
              <w:t>名（列入岗位人员安排），普通教官</w:t>
            </w:r>
            <w:r>
              <w:rPr>
                <w:rFonts w:hint="eastAsia" w:ascii="宋体" w:hAnsi="宋体" w:cs="宋体"/>
                <w:color w:val="auto"/>
                <w:szCs w:val="21"/>
                <w:lang w:val="en-US" w:eastAsia="zh-CN"/>
              </w:rPr>
              <w:t>13</w:t>
            </w:r>
            <w:r>
              <w:rPr>
                <w:rFonts w:hint="eastAsia" w:ascii="宋体" w:hAnsi="宋体" w:cs="宋体"/>
                <w:color w:val="auto"/>
                <w:szCs w:val="21"/>
              </w:rPr>
              <w:t>名（含女教官</w:t>
            </w:r>
            <w:r>
              <w:rPr>
                <w:rFonts w:hint="eastAsia" w:ascii="宋体" w:hAnsi="宋体" w:cs="宋体"/>
                <w:color w:val="auto"/>
                <w:szCs w:val="21"/>
                <w:lang w:val="en-US" w:eastAsia="zh-CN"/>
              </w:rPr>
              <w:t>3</w:t>
            </w:r>
            <w:r>
              <w:rPr>
                <w:rFonts w:hint="eastAsia" w:ascii="宋体" w:hAnsi="宋体" w:cs="宋体"/>
                <w:color w:val="auto"/>
                <w:szCs w:val="21"/>
              </w:rPr>
              <w:t>名）。</w:t>
            </w:r>
          </w:p>
          <w:p w14:paraId="1170561A">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Cs w:val="21"/>
              </w:rPr>
            </w:pPr>
            <w:r>
              <w:rPr>
                <w:rFonts w:hint="eastAsia" w:ascii="宋体" w:hAnsi="宋体" w:cs="宋体"/>
                <w:color w:val="auto"/>
                <w:szCs w:val="21"/>
              </w:rPr>
              <w:t>五象校区（</w:t>
            </w:r>
            <w:r>
              <w:rPr>
                <w:rFonts w:hint="eastAsia" w:ascii="宋体" w:hAnsi="宋体" w:cs="宋体"/>
                <w:color w:val="auto"/>
                <w:szCs w:val="21"/>
                <w:lang w:val="en-US" w:eastAsia="zh-CN"/>
              </w:rPr>
              <w:t>11</w:t>
            </w:r>
            <w:r>
              <w:rPr>
                <w:rFonts w:hint="eastAsia" w:ascii="宋体" w:hAnsi="宋体" w:cs="宋体"/>
                <w:color w:val="auto"/>
                <w:szCs w:val="21"/>
              </w:rPr>
              <w:t>人）：副队长1名为专职人员，班长1名（列入岗位人员安排），普通教官</w:t>
            </w:r>
            <w:r>
              <w:rPr>
                <w:rFonts w:hint="eastAsia" w:ascii="宋体" w:hAnsi="宋体" w:cs="宋体"/>
                <w:color w:val="auto"/>
                <w:szCs w:val="21"/>
                <w:lang w:val="en-US" w:eastAsia="zh-CN"/>
              </w:rPr>
              <w:t>9</w:t>
            </w:r>
            <w:r>
              <w:rPr>
                <w:rFonts w:hint="eastAsia" w:ascii="宋体" w:hAnsi="宋体" w:cs="宋体"/>
                <w:color w:val="auto"/>
                <w:szCs w:val="21"/>
              </w:rPr>
              <w:t>名（含女教官2名）。</w:t>
            </w:r>
          </w:p>
          <w:p w14:paraId="36B7297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color w:val="auto"/>
                <w:szCs w:val="21"/>
              </w:rPr>
              <w:t>2.供应商负责配置人员及服务管理费、工资、社保费、福利待遇、节假日、加班人员意外伤亡赔偿抚恤金，工作服装等，必须的保险费用和各项税费（以上内容均须符合国家最新标准要求</w:t>
            </w:r>
            <w:r>
              <w:rPr>
                <w:rFonts w:hint="eastAsia" w:ascii="宋体" w:hAnsi="宋体" w:cs="宋体"/>
                <w:szCs w:val="21"/>
              </w:rPr>
              <w:t>）。</w:t>
            </w:r>
          </w:p>
          <w:p w14:paraId="5AA1406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3.在服务期间，采购人根据学生人数变更有需求增加或减少派驻人员，双方可按照本次合同签订补充协议增加或减少派驻人员数量，服务费相应增加或减少，增加的服务费最多增加本项目合同总金额的10%。</w:t>
            </w:r>
          </w:p>
          <w:p w14:paraId="643E3E6C">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（三）项目管理的内容及职责</w:t>
            </w:r>
          </w:p>
          <w:p w14:paraId="15E93C30">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1.管理内容（详见附件1）</w:t>
            </w:r>
          </w:p>
          <w:p w14:paraId="131FADF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Cs w:val="21"/>
              </w:rPr>
            </w:pPr>
            <w:r>
              <w:rPr>
                <w:rFonts w:hint="eastAsia" w:ascii="宋体" w:hAnsi="宋体" w:cs="宋体"/>
                <w:szCs w:val="21"/>
              </w:rPr>
              <w:t>（1）校园安全保卫管理：包括</w:t>
            </w:r>
            <w:r>
              <w:rPr>
                <w:rFonts w:hint="eastAsia" w:ascii="宋体" w:hAnsi="宋体" w:cs="宋体"/>
                <w:szCs w:val="21"/>
                <w:lang w:val="en-US" w:eastAsia="zh-CN"/>
              </w:rPr>
              <w:t>2</w:t>
            </w:r>
            <w:r>
              <w:rPr>
                <w:rFonts w:hint="eastAsia" w:ascii="宋体" w:hAnsi="宋体" w:cs="宋体"/>
                <w:szCs w:val="21"/>
              </w:rPr>
              <w:t>个校区大门值班（</w:t>
            </w:r>
            <w:r>
              <w:rPr>
                <w:rFonts w:hint="eastAsia" w:ascii="宋体" w:hAnsi="宋体" w:cs="宋体"/>
                <w:bCs/>
                <w:szCs w:val="21"/>
              </w:rPr>
              <w:t>石柱岭校区北门</w:t>
            </w:r>
            <w:r>
              <w:rPr>
                <w:rFonts w:hint="eastAsia" w:ascii="宋体" w:hAnsi="宋体" w:cs="宋体"/>
                <w:bCs/>
                <w:szCs w:val="21"/>
                <w:lang w:val="en-US" w:eastAsia="zh-CN"/>
              </w:rPr>
              <w:t>和</w:t>
            </w:r>
            <w:r>
              <w:rPr>
                <w:rFonts w:hint="eastAsia" w:ascii="宋体" w:hAnsi="宋体" w:cs="宋体"/>
                <w:bCs/>
                <w:szCs w:val="21"/>
              </w:rPr>
              <w:t>五象校区大门</w:t>
            </w:r>
            <w:r>
              <w:rPr>
                <w:rFonts w:hint="eastAsia" w:ascii="宋体" w:hAnsi="宋体" w:cs="宋体"/>
                <w:bCs/>
                <w:szCs w:val="21"/>
                <w:lang w:val="en-US" w:eastAsia="zh-CN"/>
              </w:rPr>
              <w:t>均</w:t>
            </w:r>
            <w:r>
              <w:rPr>
                <w:rFonts w:hint="eastAsia" w:ascii="宋体" w:hAnsi="宋体" w:cs="宋体"/>
                <w:bCs/>
                <w:szCs w:val="21"/>
              </w:rPr>
              <w:t>24小时</w:t>
            </w:r>
            <w:r>
              <w:rPr>
                <w:rFonts w:hint="eastAsia" w:ascii="宋体" w:hAnsi="宋体" w:cs="宋体"/>
                <w:bCs/>
                <w:szCs w:val="21"/>
                <w:lang w:val="en-US" w:eastAsia="zh-CN"/>
              </w:rPr>
              <w:t>单人单岗</w:t>
            </w:r>
            <w:r>
              <w:rPr>
                <w:rFonts w:hint="eastAsia" w:ascii="宋体" w:hAnsi="宋体" w:cs="宋体"/>
                <w:bCs/>
                <w:szCs w:val="21"/>
              </w:rPr>
              <w:t>值班</w:t>
            </w:r>
            <w:r>
              <w:rPr>
                <w:rFonts w:hint="eastAsia" w:ascii="宋体" w:hAnsi="宋体" w:cs="宋体"/>
                <w:bCs/>
                <w:szCs w:val="21"/>
                <w:lang w:eastAsia="zh-CN"/>
              </w:rPr>
              <w:t>，</w:t>
            </w:r>
            <w:r>
              <w:rPr>
                <w:rFonts w:hint="eastAsia" w:ascii="宋体" w:hAnsi="宋体" w:cs="宋体"/>
                <w:bCs/>
                <w:szCs w:val="21"/>
                <w:lang w:val="en-US" w:eastAsia="zh-CN"/>
              </w:rPr>
              <w:t>上下班及学生放假等重要时段双人双岗值班</w:t>
            </w:r>
            <w:r>
              <w:rPr>
                <w:rFonts w:hint="eastAsia" w:ascii="宋体" w:hAnsi="宋体" w:cs="宋体"/>
                <w:bCs/>
                <w:szCs w:val="21"/>
              </w:rPr>
              <w:t>。</w:t>
            </w:r>
            <w:r>
              <w:rPr>
                <w:rFonts w:hint="eastAsia" w:ascii="宋体" w:hAnsi="宋体" w:cs="宋体"/>
                <w:szCs w:val="21"/>
              </w:rPr>
              <w:t>消防监控室</w:t>
            </w:r>
            <w:r>
              <w:rPr>
                <w:rFonts w:hint="eastAsia" w:ascii="宋体" w:hAnsi="宋体" w:cs="宋体"/>
                <w:szCs w:val="21"/>
                <w:lang w:val="en-US" w:eastAsia="zh-CN"/>
              </w:rPr>
              <w:t>管理</w:t>
            </w:r>
            <w:r>
              <w:rPr>
                <w:rFonts w:hint="eastAsia" w:ascii="宋体" w:hAnsi="宋体" w:cs="宋体"/>
                <w:szCs w:val="21"/>
              </w:rPr>
              <w:t>、校园及周边治安秩序巡逻检查、校园消防安全检查、校园交通车辆秩序管理、违禁物品清查等；</w:t>
            </w:r>
          </w:p>
          <w:p w14:paraId="0A74933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（2）学生宿舍区管理：包括学生宿舍区作息纪律、卫生的检查管理、手机管控和教育，校园公共区域、宿舍卫生检查、评比、公布；</w:t>
            </w:r>
          </w:p>
          <w:p w14:paraId="6CA539B3">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（3）晚自习纪律管理：做好在校学生晚自习纪律管理工作，及时处理突发事件；</w:t>
            </w:r>
          </w:p>
          <w:p w14:paraId="1A7330A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（4）集会纪律管理：包括升旗、各类学生大会、晚会等大型活动的整队和纪律管理；</w:t>
            </w:r>
          </w:p>
          <w:p w14:paraId="6413973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（5）学生德育教育：学生行为规范检查和日常违纪的教育管理、重大突发事件处置、处理，对违纪学生的批评教育；</w:t>
            </w:r>
          </w:p>
          <w:p w14:paraId="308B240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（6）实施学生每天晨训及两周一期的纪律教育强化班的训练活动。</w:t>
            </w:r>
          </w:p>
          <w:p w14:paraId="600DC001">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（7）校园动态巡查管理：负责校园巡逻，课间与休息时间要重点对教室、宿舍、实训室进行巡查，对学生违纪现象进行及时纠正，对学生宿舍进行管制品、违规使用水电进行检查。</w:t>
            </w:r>
          </w:p>
          <w:p w14:paraId="725B834B">
            <w:pPr>
              <w:keepNext w:val="0"/>
              <w:keepLines w:val="0"/>
              <w:pageBreakBefore w:val="0"/>
              <w:widowControl/>
              <w:kinsoku/>
              <w:wordWrap/>
              <w:overflowPunct/>
              <w:topLinePunct w:val="0"/>
              <w:autoSpaceDE/>
              <w:autoSpaceDN/>
              <w:bidi w:val="0"/>
              <w:spacing w:line="360" w:lineRule="auto"/>
              <w:textAlignment w:val="auto"/>
              <w:rPr>
                <w:rFonts w:hint="eastAsia" w:ascii="宋体" w:hAnsi="宋体"/>
                <w:color w:val="000000"/>
                <w:kern w:val="0"/>
                <w:szCs w:val="21"/>
              </w:rPr>
            </w:pPr>
            <w:r>
              <w:rPr>
                <w:rFonts w:hint="eastAsia" w:ascii="宋体" w:hAnsi="宋体"/>
                <w:color w:val="000000"/>
                <w:kern w:val="0"/>
                <w:szCs w:val="21"/>
                <w:lang w:eastAsia="zh-CN"/>
              </w:rPr>
              <w:t>（</w:t>
            </w:r>
            <w:r>
              <w:rPr>
                <w:rFonts w:hint="eastAsia" w:ascii="宋体" w:hAnsi="宋体"/>
                <w:color w:val="000000"/>
                <w:kern w:val="0"/>
                <w:szCs w:val="21"/>
                <w:lang w:val="en-US" w:eastAsia="zh-CN"/>
              </w:rPr>
              <w:t>8</w:t>
            </w:r>
            <w:r>
              <w:rPr>
                <w:rFonts w:hint="eastAsia" w:ascii="宋体" w:hAnsi="宋体"/>
                <w:color w:val="000000"/>
                <w:kern w:val="0"/>
                <w:szCs w:val="21"/>
                <w:lang w:eastAsia="zh-CN"/>
              </w:rPr>
              <w:t>）</w:t>
            </w:r>
            <w:r>
              <w:rPr>
                <w:rFonts w:hint="eastAsia" w:ascii="宋体" w:hAnsi="宋体"/>
                <w:color w:val="000000"/>
                <w:kern w:val="0"/>
                <w:szCs w:val="21"/>
                <w:lang w:val="en-US" w:eastAsia="zh-CN"/>
              </w:rPr>
              <w:t>协助做好</w:t>
            </w:r>
            <w:r>
              <w:rPr>
                <w:rFonts w:hint="eastAsia" w:ascii="宋体" w:hAnsi="宋体"/>
                <w:color w:val="000000"/>
                <w:kern w:val="0"/>
                <w:szCs w:val="21"/>
              </w:rPr>
              <w:t>劳动周班级进行校园卫生整治</w:t>
            </w:r>
          </w:p>
          <w:p w14:paraId="608CE339">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color w:val="000000"/>
                <w:kern w:val="0"/>
                <w:szCs w:val="21"/>
              </w:rPr>
            </w:pPr>
            <w:r>
              <w:rPr>
                <w:rFonts w:hint="eastAsia" w:ascii="宋体" w:hAnsi="宋体"/>
                <w:color w:val="000000"/>
                <w:kern w:val="0"/>
                <w:szCs w:val="21"/>
              </w:rPr>
              <w:t>由教官队派遣教官作为劳动课指导老师，</w:t>
            </w:r>
            <w:r>
              <w:rPr>
                <w:rFonts w:hint="eastAsia" w:ascii="宋体" w:hAnsi="宋体"/>
                <w:color w:val="000000"/>
                <w:kern w:val="0"/>
                <w:szCs w:val="21"/>
                <w:lang w:val="en-US" w:eastAsia="zh-CN"/>
              </w:rPr>
              <w:t>协助学保科</w:t>
            </w:r>
            <w:r>
              <w:rPr>
                <w:rFonts w:hint="eastAsia" w:ascii="宋体" w:hAnsi="宋体"/>
                <w:color w:val="000000"/>
                <w:kern w:val="0"/>
                <w:szCs w:val="21"/>
              </w:rPr>
              <w:t>组织担负劳动周任务的班级完成以校园卫生整治为主的劳动任务，具体工作开展方式结合学校实际情况执行。</w:t>
            </w:r>
          </w:p>
          <w:p w14:paraId="101A9825">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olor w:val="000000"/>
                <w:kern w:val="0"/>
                <w:szCs w:val="21"/>
                <w:lang w:eastAsia="zh-CN"/>
              </w:rPr>
              <w:t>（</w:t>
            </w:r>
            <w:r>
              <w:rPr>
                <w:rFonts w:hint="eastAsia" w:ascii="宋体" w:hAnsi="宋体"/>
                <w:color w:val="000000"/>
                <w:kern w:val="0"/>
                <w:szCs w:val="21"/>
                <w:lang w:val="en-US" w:eastAsia="zh-CN"/>
              </w:rPr>
              <w:t>9</w:t>
            </w:r>
            <w:r>
              <w:rPr>
                <w:rFonts w:hint="eastAsia" w:ascii="宋体" w:hAnsi="宋体"/>
                <w:color w:val="000000"/>
                <w:kern w:val="0"/>
                <w:szCs w:val="21"/>
                <w:lang w:eastAsia="zh-CN"/>
              </w:rPr>
              <w:t>）</w:t>
            </w:r>
            <w:r>
              <w:rPr>
                <w:rFonts w:hint="eastAsia" w:ascii="宋体" w:hAnsi="宋体" w:cs="宋体"/>
                <w:color w:val="000000"/>
                <w:szCs w:val="21"/>
              </w:rPr>
              <w:t>学</w:t>
            </w:r>
            <w:r>
              <w:rPr>
                <w:rFonts w:hint="eastAsia" w:ascii="宋体" w:hAnsi="宋体" w:cs="宋体"/>
                <w:szCs w:val="21"/>
              </w:rPr>
              <w:t>生军训工作（</w:t>
            </w:r>
            <w:r>
              <w:rPr>
                <w:rFonts w:hint="eastAsia" w:ascii="宋体" w:hAnsi="宋体" w:cs="宋体"/>
                <w:szCs w:val="21"/>
                <w:lang w:val="en-US" w:eastAsia="zh-CN"/>
              </w:rPr>
              <w:t>学校</w:t>
            </w:r>
            <w:r>
              <w:rPr>
                <w:rFonts w:hint="eastAsia" w:ascii="宋体" w:hAnsi="宋体" w:eastAsia="宋体" w:cs="宋体"/>
                <w:sz w:val="21"/>
                <w:szCs w:val="21"/>
              </w:rPr>
              <w:t>新生军训任务视情况交由</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负责施训，如江南区武装部有规定，则按江南区武装部政策实施，价格另行协商）</w:t>
            </w:r>
            <w:r>
              <w:rPr>
                <w:rFonts w:hint="eastAsia" w:ascii="宋体" w:hAnsi="宋体" w:cs="宋体"/>
                <w:szCs w:val="21"/>
              </w:rPr>
              <w:t>。</w:t>
            </w:r>
          </w:p>
          <w:p w14:paraId="220DEC09">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olor w:val="000000"/>
                <w:kern w:val="0"/>
                <w:szCs w:val="21"/>
                <w:lang w:eastAsia="zh-CN"/>
              </w:rPr>
            </w:pPr>
          </w:p>
          <w:p w14:paraId="67E1837C">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2.人员素质要求</w:t>
            </w:r>
          </w:p>
          <w:p w14:paraId="25547E9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（1）从业人员应知法、懂法、守法、依法办事，必须严格遵守从业规范，模范遵守校园安全管理规定；</w:t>
            </w:r>
          </w:p>
          <w:p w14:paraId="5F6B5E2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（2）驻校队伍主管应具有较高的政治思想素养和业务水平，有较强的组织协调能力，受过专门的业务培训，具备高中毕业以上学历；</w:t>
            </w:r>
          </w:p>
          <w:p w14:paraId="41E02D71">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（3）教官个人素质条件：派驻</w:t>
            </w:r>
            <w:r>
              <w:rPr>
                <w:rFonts w:hint="eastAsia" w:ascii="宋体" w:hAnsi="宋体" w:cs="宋体"/>
                <w:szCs w:val="21"/>
                <w:lang w:val="en-US" w:eastAsia="zh-CN"/>
              </w:rPr>
              <w:t>的</w:t>
            </w:r>
            <w:r>
              <w:rPr>
                <w:rFonts w:hint="eastAsia" w:ascii="宋体" w:hAnsi="宋体" w:cs="宋体"/>
                <w:szCs w:val="21"/>
              </w:rPr>
              <w:t>教官</w:t>
            </w:r>
            <w:r>
              <w:rPr>
                <w:rFonts w:hint="eastAsia" w:ascii="宋体" w:hAnsi="宋体" w:cs="宋体"/>
                <w:szCs w:val="21"/>
                <w:lang w:val="en-US" w:eastAsia="zh-CN"/>
              </w:rPr>
              <w:t>6</w:t>
            </w:r>
            <w:r>
              <w:rPr>
                <w:rFonts w:hint="eastAsia" w:ascii="宋体" w:hAnsi="宋体" w:cs="宋体"/>
                <w:szCs w:val="21"/>
              </w:rPr>
              <w:t>0%以上是退役军人或警校毕业生（有退役军人证或警校毕业证），高中以上学历，年龄20—40周岁，男性身高</w:t>
            </w:r>
            <w:r>
              <w:rPr>
                <w:rFonts w:hint="eastAsia" w:ascii="宋体" w:hAnsi="宋体" w:cs="宋体"/>
                <w:szCs w:val="21"/>
                <w:lang w:val="en-US" w:eastAsia="zh-CN"/>
              </w:rPr>
              <w:t>8</w:t>
            </w:r>
            <w:r>
              <w:rPr>
                <w:rFonts w:hint="eastAsia" w:ascii="宋体" w:hAnsi="宋体" w:cs="宋体"/>
                <w:szCs w:val="21"/>
              </w:rPr>
              <w:t>0%不低于168cm以上，女性身高158cm以上；</w:t>
            </w:r>
          </w:p>
          <w:p w14:paraId="5FB542EF">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（4）教官队伍要配合学校做好学生的安全教育、救护和心理辅导工作；</w:t>
            </w:r>
          </w:p>
          <w:p w14:paraId="0F20158F">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 xml:space="preserve">（5）所聘用的人员有吃苦耐劳的精神和高度的责任感，受过专门的岗前培训，熟知学校的管理规定，严格履行岗位职责，善于发现各类问题，具备一定的管理经验和处理突发事件能力。 </w:t>
            </w:r>
          </w:p>
          <w:p w14:paraId="1601ADF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3.质量目标要求</w:t>
            </w:r>
          </w:p>
          <w:p w14:paraId="6B731301">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（1）依托行业标准，根据采购人管理规定与服务要求，制定切实可行的校园安保服务整体方案和应急预案，以及学生宿舍管理方案和军训工作方案，突发事件反应迅速，预案处置有力；</w:t>
            </w:r>
          </w:p>
          <w:p w14:paraId="1794491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（2）依法办事，文明值勤，严格管理，保障学校财产和师生人身不受侵害，维护正常的教学、科研、生活秩序；</w:t>
            </w:r>
          </w:p>
          <w:p w14:paraId="7A4D7E8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（3）全年无责任事故和责任案件发生，师生有安全感、亲和感。</w:t>
            </w:r>
          </w:p>
          <w:p w14:paraId="28E30FD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4.服务要求</w:t>
            </w:r>
          </w:p>
          <w:p w14:paraId="1435004F">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（1）树立“服务第一，师生至上”的思想，切实维护学校与师生的人身和财产安全；</w:t>
            </w:r>
          </w:p>
          <w:p w14:paraId="2D6C0EC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（2）管理坚持原则、缜密严谨；服务以人为本、主动热情；处理问题高度警惕、有理有节；</w:t>
            </w:r>
          </w:p>
          <w:p w14:paraId="33A36A6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（3）上岗人员着装统一，仪表整洁，业务操作规范，礼貌待人，保持岗位卫生整洁；</w:t>
            </w:r>
          </w:p>
          <w:p w14:paraId="3CBBACD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（4）依法办事，文明执勤，不与师生发生争吵，杜绝管理服务人员与师生发生冲突，禁止管理服务人员出手伤及师生人身安全，做到打不还手、骂不还口。</w:t>
            </w:r>
          </w:p>
          <w:p w14:paraId="64547B6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5.队伍建设与管理要求</w:t>
            </w:r>
          </w:p>
          <w:p w14:paraId="62B941B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（1）根据行业服务标准与学校规定要求，在学校学生工作和保卫科指导下，独立运作，落实校园安全保卫和学生工作整体方案，并结合校园变化实际在实践中不断完善；</w:t>
            </w:r>
          </w:p>
          <w:p w14:paraId="797AA4A6">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（2）成交供应商负责提供进驻管理服务人员值勤所需的服装、标志牌等，负责安排其人员的食宿；</w:t>
            </w:r>
          </w:p>
          <w:p w14:paraId="2E16EFB3">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（3）</w:t>
            </w:r>
            <w:r>
              <w:rPr>
                <w:rFonts w:hint="eastAsia"/>
              </w:rPr>
              <w:t>成交供应商</w:t>
            </w:r>
            <w:r>
              <w:rPr>
                <w:rFonts w:hint="eastAsia" w:ascii="宋体" w:hAnsi="宋体" w:cs="宋体"/>
                <w:szCs w:val="21"/>
              </w:rPr>
              <w:t>组织、安排人员工作时，应符合国家相关法规，维护工作人员的正当权益；工作人员在履行工作职责时，本人致伤、致残、致亡的，或者导致成交供应商财产、人身损害的，采购人不承担任何责任，由成交供应商承担相应责任，并负责妥善处理善后工作；因成交供应商原因造成的劳资纠纷，由成交供应商承担全部责任。</w:t>
            </w:r>
          </w:p>
          <w:p w14:paraId="78A2EF9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（4）从学校安全实际出发，经常性开展在岗人员业务培训和紧急预案演练；</w:t>
            </w:r>
          </w:p>
          <w:p w14:paraId="686F910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（5）内部管理机制健全，队伍日常管理规范；</w:t>
            </w:r>
          </w:p>
          <w:p w14:paraId="4252DEC5">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（6）必须采取切实有效措施保持队伍稳定，严格控制非违纪人员轮换岗比例，合同期限内轮换岗人数不得超过合同编制的20%，并在</w:t>
            </w:r>
            <w:r>
              <w:rPr>
                <w:rFonts w:hint="eastAsia"/>
              </w:rPr>
              <w:t>响应文件</w:t>
            </w:r>
            <w:r>
              <w:rPr>
                <w:rFonts w:hint="eastAsia" w:ascii="宋体" w:hAnsi="宋体" w:cs="宋体"/>
                <w:szCs w:val="21"/>
              </w:rPr>
              <w:t>中作出承诺；主要管理人员更换，应提前一个月以书面形式通知学生工作和保卫科，其他队员更换要提前三天告知学生工作和保卫科并取得采购人同意，确保服务质量不因人员变动而受影响；</w:t>
            </w:r>
          </w:p>
          <w:p w14:paraId="1857F656">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（7）队员应聘、录用、离职等管理档案规范，手续齐全，相应资料必须报学生工作和保卫科备案，禁止离职人员进入校园；</w:t>
            </w:r>
          </w:p>
          <w:p w14:paraId="69F4BC8C">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（8）要加强对队员业务的管理，严格遵守法纪校规，严禁队员与在校学生谈恋爱、男女行为过密、与师生员工发生交易行为等，确保在校园内无违规事件发生；</w:t>
            </w:r>
          </w:p>
          <w:p w14:paraId="6FFFB57C">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9）驻校分管负责人每天必须向学生工作和保卫科相关主管人员口头或书面汇报工作，每星期向学校学生工作和保卫科书面汇报一次所承担的安保工作和宿舍区管理工作开展情况及信息反馈，重大情况须第一时间报告；</w:t>
            </w:r>
          </w:p>
          <w:p w14:paraId="7DFF651C">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（10）做好详细的执勤记录，原始台</w:t>
            </w:r>
            <w:r>
              <w:rPr>
                <w:rFonts w:hint="eastAsia" w:ascii="宋体" w:hAnsi="宋体" w:cs="宋体"/>
                <w:szCs w:val="21"/>
                <w:lang w:val="en-US" w:eastAsia="zh-CN"/>
              </w:rPr>
              <w:t>账</w:t>
            </w:r>
            <w:r>
              <w:rPr>
                <w:rFonts w:hint="eastAsia" w:ascii="宋体" w:hAnsi="宋体" w:cs="宋体"/>
                <w:szCs w:val="21"/>
              </w:rPr>
              <w:t>保存完好，以备核查；</w:t>
            </w:r>
          </w:p>
          <w:p w14:paraId="49AB6928">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（11）与学校其他安保力量和学生管理部门协作联动。</w:t>
            </w:r>
          </w:p>
          <w:p w14:paraId="525E135A">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6.履行岗位工作职责要求（包括但不仅限于以下要求）</w:t>
            </w:r>
          </w:p>
          <w:p w14:paraId="010760F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1）成交供应商负责落实采购人的安全保卫及学生宿舍区管理的各项规章制度；参与学校学生教育活动，如学生集会、一日一排、军事日、应急疏散演练、违禁物品清查等活动；配合学校对学生进行国防、军事、纪律、法制、安全、反恐、爱国卫生等教育活动；负责组织新生军训；校园公共区域、宿舍卫生检查、评比、公布。</w:t>
            </w:r>
          </w:p>
          <w:p w14:paraId="416BDD1C">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（2）</w:t>
            </w:r>
            <w:r>
              <w:rPr>
                <w:rFonts w:hint="eastAsia"/>
              </w:rPr>
              <w:t>成交供应商派驻的教官</w:t>
            </w:r>
            <w:r>
              <w:rPr>
                <w:rFonts w:hint="eastAsia" w:ascii="宋体" w:hAnsi="宋体" w:cs="宋体"/>
                <w:szCs w:val="21"/>
              </w:rPr>
              <w:t>,按照采购人岗位工作安排,对工作岗位范围内的区域做好全面安全防范工作，落实防火、防盗、防枪、防暴、防毒、防破坏等安全防范措施，按学校应急预案程序和要求,及时妥善处理校园范围内出现突发事件（含自然灾害和刑事、治安案件等），协助采购人有关部门侦查各类治安、刑事案件。</w:t>
            </w:r>
          </w:p>
          <w:p w14:paraId="184482A1">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3）成交供应商各项管理工作必须认真负责，必须符合教育原则，遵守教育的政策法规，坚持正面教育与严格管理相结合、严格要求与尊重爱护相结合的原则，不能以罚代管、以罚代教。要经常性地灵活性地对学生开展思想教育工作并做好谈心记录。在工作中遇到解决不了的问题，报告采购人协商解决。</w:t>
            </w:r>
          </w:p>
          <w:p w14:paraId="76D2EEFC">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（4）</w:t>
            </w:r>
            <w:r>
              <w:rPr>
                <w:rFonts w:hint="eastAsia" w:ascii="宋体" w:hAnsi="宋体" w:cs="宋体"/>
                <w:color w:val="auto"/>
                <w:szCs w:val="21"/>
              </w:rPr>
              <w:t>成交供应商派驻教官按采购人要求</w:t>
            </w:r>
            <w:r>
              <w:rPr>
                <w:rFonts w:hint="eastAsia" w:ascii="宋体" w:hAnsi="宋体" w:cs="宋体"/>
                <w:color w:val="auto"/>
                <w:szCs w:val="21"/>
                <w:lang w:val="en-US" w:eastAsia="zh-CN"/>
              </w:rPr>
              <w:t>校大门</w:t>
            </w:r>
            <w:r>
              <w:rPr>
                <w:rFonts w:hint="eastAsia" w:ascii="宋体" w:hAnsi="宋体" w:cs="宋体"/>
                <w:color w:val="auto"/>
                <w:szCs w:val="21"/>
              </w:rPr>
              <w:t>每天24小时均有人上班值岗（在岗具体的人数根据不同时段进行安排）</w:t>
            </w:r>
            <w:r>
              <w:rPr>
                <w:rFonts w:hint="eastAsia" w:ascii="宋体" w:hAnsi="宋体" w:cs="宋体"/>
                <w:color w:val="auto"/>
                <w:szCs w:val="21"/>
                <w:lang w:eastAsia="zh-CN"/>
              </w:rPr>
              <w:t>，</w:t>
            </w:r>
            <w:r>
              <w:rPr>
                <w:rFonts w:hint="eastAsia" w:ascii="宋体" w:hAnsi="宋体" w:cs="宋体"/>
                <w:color w:val="auto"/>
                <w:szCs w:val="21"/>
                <w:lang w:val="en-US" w:eastAsia="zh-CN"/>
              </w:rPr>
              <w:t>其余按规定时间值班值守进行管理</w:t>
            </w:r>
            <w:r>
              <w:rPr>
                <w:rFonts w:hint="eastAsia" w:ascii="宋体" w:hAnsi="宋体" w:cs="宋体"/>
                <w:color w:val="auto"/>
                <w:szCs w:val="21"/>
              </w:rPr>
              <w:t>，</w:t>
            </w:r>
            <w:r>
              <w:rPr>
                <w:rFonts w:hint="eastAsia" w:ascii="宋体" w:hAnsi="宋体" w:cs="宋体"/>
                <w:szCs w:val="21"/>
              </w:rPr>
              <w:t>认真做好上班工作记录，向采购人主管部门做好周、月的工作情况汇报（遇突发事件要及时报告）。</w:t>
            </w:r>
          </w:p>
          <w:p w14:paraId="586F5B0E">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（5）成交供应商要积极参与校园文化建设，积极开展各种有益于学生身心成长的文化活动，要加强与学生文化交流。</w:t>
            </w:r>
          </w:p>
          <w:p w14:paraId="662CA145">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szCs w:val="21"/>
              </w:rPr>
            </w:pPr>
            <w:r>
              <w:rPr>
                <w:rFonts w:hint="eastAsia" w:ascii="宋体" w:hAnsi="宋体" w:cs="宋体"/>
                <w:szCs w:val="21"/>
              </w:rPr>
              <w:t>（6）在学校放假期间，根据采购人假期工作需要，无条件完成好学校安排的工作任务。</w:t>
            </w:r>
          </w:p>
        </w:tc>
        <w:tc>
          <w:tcPr>
            <w:tcW w:w="1110" w:type="dxa"/>
            <w:noWrap w:val="0"/>
            <w:vAlign w:val="center"/>
          </w:tcPr>
          <w:p w14:paraId="0305D3E3">
            <w:pPr>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default" w:ascii="宋体" w:hAnsi="宋体" w:eastAsia="宋体" w:cs="宋体"/>
                <w:szCs w:val="21"/>
                <w:lang w:val="en-US" w:eastAsia="zh-CN"/>
              </w:rPr>
            </w:pPr>
            <w:r>
              <w:rPr>
                <w:rFonts w:hint="eastAsia" w:ascii="宋体" w:hAnsi="宋体" w:cs="宋体"/>
                <w:szCs w:val="21"/>
                <w:lang w:val="en-US" w:eastAsia="zh-CN"/>
              </w:rPr>
              <w:t>1506600</w:t>
            </w:r>
          </w:p>
        </w:tc>
        <w:tc>
          <w:tcPr>
            <w:tcW w:w="394" w:type="dxa"/>
            <w:noWrap w:val="0"/>
            <w:vAlign w:val="center"/>
          </w:tcPr>
          <w:p w14:paraId="20A086FD">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szCs w:val="21"/>
              </w:rPr>
            </w:pPr>
          </w:p>
        </w:tc>
      </w:tr>
      <w:tr w14:paraId="2F53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noWrap w:val="0"/>
            <w:vAlign w:val="center"/>
          </w:tcPr>
          <w:p w14:paraId="3BDA0341">
            <w:pPr>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cs="宋体"/>
              </w:rPr>
            </w:pPr>
            <w:r>
              <w:rPr>
                <w:rFonts w:hint="eastAsia" w:ascii="宋体" w:hAnsi="宋体" w:cs="宋体"/>
              </w:rPr>
              <w:t>商务条款</w:t>
            </w:r>
          </w:p>
        </w:tc>
        <w:tc>
          <w:tcPr>
            <w:tcW w:w="9857" w:type="dxa"/>
            <w:gridSpan w:val="6"/>
            <w:noWrap w:val="0"/>
            <w:vAlign w:val="top"/>
          </w:tcPr>
          <w:p w14:paraId="153EBA2A">
            <w:pPr>
              <w:keepNext w:val="0"/>
              <w:keepLines w:val="0"/>
              <w:pageBreakBefore w:val="0"/>
              <w:widowControl/>
              <w:numPr>
                <w:ilvl w:val="-1"/>
                <w:numId w:val="0"/>
              </w:numPr>
              <w:kinsoku/>
              <w:wordWrap/>
              <w:overflowPunct/>
              <w:topLinePunct w:val="0"/>
              <w:autoSpaceDE/>
              <w:autoSpaceDN/>
              <w:bidi w:val="0"/>
              <w:spacing w:after="240" w:line="360" w:lineRule="auto"/>
              <w:ind w:firstLine="0" w:firstLineChars="0"/>
              <w:jc w:val="left"/>
              <w:textAlignment w:val="auto"/>
              <w:rPr>
                <w:rFonts w:hint="eastAsia" w:ascii="宋体" w:hAnsi="宋体" w:cs="宋体"/>
              </w:rPr>
            </w:pPr>
            <w:r>
              <w:rPr>
                <w:rFonts w:hint="eastAsia" w:ascii="宋体" w:hAnsi="宋体" w:cs="宋体"/>
                <w:color w:val="000000"/>
                <w:kern w:val="0"/>
                <w:sz w:val="22"/>
                <w:szCs w:val="22"/>
                <w:lang w:val="en-US" w:eastAsia="zh-CN" w:bidi="ar"/>
              </w:rPr>
              <w:t>一、</w:t>
            </w:r>
            <w:r>
              <w:rPr>
                <w:rFonts w:ascii="宋体" w:hAnsi="宋体" w:cs="宋体"/>
                <w:color w:val="000000"/>
                <w:kern w:val="0"/>
                <w:sz w:val="22"/>
                <w:szCs w:val="22"/>
                <w:lang w:bidi="ar"/>
              </w:rPr>
              <w:t>合同签订期：自</w:t>
            </w:r>
            <w:r>
              <w:rPr>
                <w:rFonts w:hint="eastAsia" w:ascii="宋体" w:hAnsi="宋体" w:cs="宋体"/>
                <w:color w:val="000000"/>
                <w:kern w:val="0"/>
                <w:sz w:val="22"/>
                <w:szCs w:val="22"/>
                <w:lang w:bidi="ar"/>
              </w:rPr>
              <w:t>成交</w:t>
            </w:r>
            <w:r>
              <w:rPr>
                <w:rFonts w:ascii="宋体" w:hAnsi="宋体" w:cs="宋体"/>
                <w:color w:val="000000"/>
                <w:kern w:val="0"/>
                <w:sz w:val="22"/>
                <w:szCs w:val="22"/>
                <w:lang w:bidi="ar"/>
              </w:rPr>
              <w:t xml:space="preserve">通知书发出之日起 </w:t>
            </w:r>
            <w:r>
              <w:rPr>
                <w:rFonts w:hint="eastAsia" w:ascii="宋体" w:hAnsi="宋体" w:cs="宋体"/>
                <w:color w:val="000000"/>
                <w:kern w:val="0"/>
                <w:sz w:val="22"/>
                <w:szCs w:val="22"/>
                <w:lang w:val="en-US" w:eastAsia="zh-CN" w:bidi="ar"/>
              </w:rPr>
              <w:t>10</w:t>
            </w:r>
            <w:r>
              <w:rPr>
                <w:rFonts w:ascii="宋体" w:hAnsi="宋体" w:cs="宋体"/>
                <w:color w:val="000000"/>
                <w:kern w:val="0"/>
                <w:sz w:val="22"/>
                <w:szCs w:val="22"/>
                <w:lang w:bidi="ar"/>
              </w:rPr>
              <w:t xml:space="preserve"> </w:t>
            </w:r>
            <w:r>
              <w:rPr>
                <w:rFonts w:hint="eastAsia"/>
              </w:rPr>
              <w:t>个自然</w:t>
            </w:r>
            <w:r>
              <w:rPr>
                <w:rFonts w:hint="eastAsia" w:ascii="宋体" w:hAnsi="宋体" w:cs="宋体"/>
              </w:rPr>
              <w:t>日内。</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二、</w:t>
            </w:r>
            <w:r>
              <w:rPr>
                <w:rFonts w:hint="eastAsia" w:ascii="宋体" w:hAnsi="宋体" w:cs="宋体"/>
                <w:color w:val="000000"/>
                <w:kern w:val="0"/>
                <w:sz w:val="22"/>
                <w:szCs w:val="22"/>
                <w:lang w:bidi="ar"/>
              </w:rPr>
              <w:t>服务期</w:t>
            </w:r>
            <w:r>
              <w:rPr>
                <w:rFonts w:ascii="宋体" w:hAnsi="宋体" w:cs="宋体"/>
                <w:color w:val="000000"/>
                <w:kern w:val="0"/>
                <w:sz w:val="22"/>
                <w:szCs w:val="22"/>
                <w:lang w:bidi="ar"/>
              </w:rPr>
              <w:t>限：</w:t>
            </w:r>
            <w:r>
              <w:rPr>
                <w:rFonts w:hint="eastAsia" w:ascii="宋体" w:hAnsi="宋体" w:cs="宋体"/>
                <w:color w:val="000000"/>
                <w:szCs w:val="21"/>
                <w:highlight w:val="none"/>
              </w:rPr>
              <w:t>自合同签订之日起</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年</w:t>
            </w:r>
            <w:r>
              <w:rPr>
                <w:rFonts w:hint="eastAsia"/>
                <w:color w:val="auto"/>
                <w:szCs w:val="21"/>
                <w:lang w:eastAsia="zh-CN"/>
              </w:rPr>
              <w:t>，</w:t>
            </w:r>
            <w:r>
              <w:rPr>
                <w:rFonts w:hint="eastAsia"/>
                <w:szCs w:val="21"/>
              </w:rPr>
              <w:t>服务期满后，双方自动解除合同关系，双方互不承担对方损失。采购人可根据成交供应商服务期内服务质量情况，考虑是否与成交供应商按本项目合同服务质量及每年成交服务费</w:t>
            </w:r>
            <w:r>
              <w:rPr>
                <w:rFonts w:hint="eastAsia"/>
                <w:szCs w:val="21"/>
                <w:lang w:val="en-US" w:eastAsia="zh-CN"/>
              </w:rPr>
              <w:t>再</w:t>
            </w:r>
            <w:r>
              <w:rPr>
                <w:rFonts w:hint="eastAsia"/>
                <w:szCs w:val="21"/>
              </w:rPr>
              <w:t>续签服务，成交供应商可以自由选择接受或拒绝。</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 xml:space="preserve">三、 提交服务成果地点： </w:t>
            </w:r>
            <w:r>
              <w:rPr>
                <w:rFonts w:hint="eastAsia" w:ascii="宋体" w:hAnsi="宋体" w:cs="宋体"/>
                <w:color w:val="000000"/>
                <w:kern w:val="0"/>
                <w:sz w:val="22"/>
                <w:szCs w:val="22"/>
                <w:lang w:bidi="ar"/>
              </w:rPr>
              <w:t>广西南宁市</w:t>
            </w:r>
            <w:r>
              <w:rPr>
                <w:rFonts w:ascii="宋体" w:hAnsi="宋体" w:cs="宋体"/>
                <w:color w:val="000000"/>
                <w:kern w:val="0"/>
                <w:sz w:val="22"/>
                <w:szCs w:val="22"/>
                <w:lang w:bidi="ar"/>
              </w:rPr>
              <w:t>采购人指定地点</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 xml:space="preserve">                                      </w:t>
            </w:r>
            <w:r>
              <w:rPr>
                <w:rFonts w:ascii="宋体" w:hAnsi="宋体" w:cs="宋体"/>
                <w:color w:val="000000"/>
                <w:kern w:val="0"/>
                <w:sz w:val="22"/>
                <w:szCs w:val="22"/>
                <w:lang w:bidi="ar"/>
              </w:rPr>
              <w:t>四、 报价要求：</w:t>
            </w:r>
            <w:r>
              <w:rPr>
                <w:rFonts w:ascii="宋体" w:hAnsi="宋体" w:cs="宋体"/>
                <w:color w:val="000000"/>
                <w:kern w:val="0"/>
                <w:sz w:val="22"/>
                <w:szCs w:val="22"/>
                <w:lang w:bidi="ar"/>
              </w:rPr>
              <w:br w:type="textWrapping"/>
            </w:r>
            <w:r>
              <w:rPr>
                <w:rFonts w:ascii="宋体" w:hAnsi="宋体" w:cs="宋体"/>
                <w:color w:val="000000"/>
                <w:kern w:val="0"/>
                <w:sz w:val="22"/>
                <w:szCs w:val="22"/>
                <w:lang w:bidi="ar"/>
              </w:rPr>
              <w:t>本项目报价：包含但不限于人员的工资、相关的福利待遇和社会保险金、就餐费、高温补贴、法定节假日和公休假加班费以及国家规定的所有相关费用、管理费（包含人员意外伤害保险差额补偿等风险管理费）、人员服装费、人员各种培训费、</w:t>
            </w:r>
            <w:r>
              <w:rPr>
                <w:rFonts w:hint="eastAsia" w:ascii="宋体" w:hAnsi="宋体" w:cs="宋体"/>
                <w:color w:val="000000"/>
                <w:kern w:val="0"/>
                <w:sz w:val="22"/>
                <w:szCs w:val="22"/>
                <w:lang w:bidi="ar"/>
              </w:rPr>
              <w:t>成交供应商</w:t>
            </w:r>
            <w:r>
              <w:rPr>
                <w:rFonts w:ascii="宋体" w:hAnsi="宋体" w:cs="宋体"/>
                <w:color w:val="000000"/>
                <w:kern w:val="0"/>
                <w:sz w:val="22"/>
                <w:szCs w:val="22"/>
                <w:lang w:bidi="ar"/>
              </w:rPr>
              <w:t>合理利润及其他所有成本费用的总和。</w:t>
            </w:r>
            <w:r>
              <w:rPr>
                <w:rFonts w:hint="eastAsia" w:ascii="宋体" w:hAnsi="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t>五、付款方式：1、本服务项目无预付</w:t>
            </w:r>
            <w:r>
              <w:rPr>
                <w:rFonts w:hint="eastAsia" w:ascii="宋体" w:hAnsi="宋体" w:eastAsia="宋体" w:cs="宋体"/>
                <w:color w:val="000000"/>
                <w:kern w:val="0"/>
                <w:sz w:val="22"/>
                <w:szCs w:val="22"/>
                <w:lang w:val="en-US" w:eastAsia="zh-CN" w:bidi="ar"/>
              </w:rPr>
              <w:t>款</w:t>
            </w:r>
            <w:r>
              <w:rPr>
                <w:rFonts w:hint="eastAsia" w:ascii="宋体" w:hAnsi="宋体" w:eastAsia="宋体" w:cs="宋体"/>
                <w:color w:val="000000"/>
                <w:kern w:val="0"/>
                <w:sz w:val="22"/>
                <w:szCs w:val="22"/>
                <w:lang w:bidi="ar"/>
              </w:rPr>
              <w:t>；2、合同款</w:t>
            </w:r>
            <w:r>
              <w:rPr>
                <w:rFonts w:hint="eastAsia" w:ascii="宋体" w:hAnsi="宋体" w:eastAsia="宋体" w:cs="宋体"/>
                <w:sz w:val="22"/>
                <w:szCs w:val="22"/>
              </w:rPr>
              <w:t>按月</w:t>
            </w:r>
            <w:r>
              <w:rPr>
                <w:rFonts w:hint="eastAsia" w:ascii="宋体" w:hAnsi="宋体" w:eastAsia="宋体" w:cs="宋体"/>
                <w:color w:val="auto"/>
                <w:sz w:val="22"/>
                <w:szCs w:val="22"/>
              </w:rPr>
              <w:t>支付，</w:t>
            </w:r>
            <w:r>
              <w:rPr>
                <w:rFonts w:hint="eastAsia" w:ascii="宋体" w:hAnsi="宋体" w:eastAsia="宋体" w:cs="宋体"/>
                <w:b/>
                <w:bCs/>
                <w:color w:val="auto"/>
                <w:sz w:val="22"/>
                <w:szCs w:val="22"/>
                <w:lang w:val="en-US" w:eastAsia="zh-CN"/>
              </w:rPr>
              <w:t>每月支付金额以实际配置人员数量计算为准。</w:t>
            </w:r>
            <w:r>
              <w:rPr>
                <w:rFonts w:hint="eastAsia" w:ascii="宋体" w:hAnsi="宋体" w:eastAsia="宋体" w:cs="宋体"/>
                <w:bCs/>
                <w:color w:val="auto"/>
                <w:sz w:val="22"/>
                <w:szCs w:val="22"/>
              </w:rPr>
              <w:t>由</w:t>
            </w:r>
            <w:r>
              <w:rPr>
                <w:rFonts w:hint="eastAsia" w:ascii="宋体" w:hAnsi="宋体" w:eastAsia="宋体" w:cs="宋体"/>
                <w:bCs/>
                <w:color w:val="auto"/>
                <w:sz w:val="22"/>
                <w:szCs w:val="22"/>
                <w:lang w:val="en-US" w:eastAsia="zh-CN"/>
              </w:rPr>
              <w:t>学校</w:t>
            </w:r>
            <w:r>
              <w:rPr>
                <w:rFonts w:hint="eastAsia" w:ascii="宋体" w:hAnsi="宋体" w:eastAsia="宋体" w:cs="宋体"/>
                <w:bCs/>
                <w:color w:val="auto"/>
                <w:sz w:val="22"/>
                <w:szCs w:val="22"/>
              </w:rPr>
              <w:t>收到</w:t>
            </w:r>
            <w:r>
              <w:rPr>
                <w:rFonts w:hint="eastAsia" w:ascii="宋体" w:hAnsi="宋体" w:eastAsia="宋体" w:cs="宋体"/>
                <w:color w:val="auto"/>
                <w:sz w:val="22"/>
                <w:szCs w:val="22"/>
              </w:rPr>
              <w:t>成交供应商开具的合法正规的、内容为学生管理服务费的增值税普通发票及付款报告后</w:t>
            </w:r>
            <w:r>
              <w:rPr>
                <w:rFonts w:hint="eastAsia" w:ascii="宋体" w:hAnsi="宋体" w:eastAsia="宋体" w:cs="宋体"/>
                <w:bCs/>
                <w:color w:val="auto"/>
                <w:sz w:val="22"/>
                <w:szCs w:val="22"/>
              </w:rPr>
              <w:t>于第二个月的15日前以转账方式支付到</w:t>
            </w:r>
            <w:r>
              <w:rPr>
                <w:rFonts w:hint="eastAsia" w:ascii="宋体" w:hAnsi="宋体" w:eastAsia="宋体" w:cs="宋体"/>
                <w:color w:val="auto"/>
                <w:sz w:val="22"/>
                <w:szCs w:val="22"/>
              </w:rPr>
              <w:t>成交供应商指定的对公银行账户。</w:t>
            </w:r>
          </w:p>
        </w:tc>
      </w:tr>
    </w:tbl>
    <w:p w14:paraId="7A4ACA16">
      <w:pPr>
        <w:ind w:firstLine="0"/>
        <w:rPr>
          <w:color w:val="auto"/>
        </w:rPr>
      </w:pPr>
      <w:r>
        <w:rPr>
          <w:color w:val="auto"/>
        </w:rPr>
        <w:br w:type="page"/>
      </w:r>
    </w:p>
    <w:p w14:paraId="6B85591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bCs/>
          <w:sz w:val="28"/>
          <w:szCs w:val="28"/>
        </w:rPr>
      </w:pPr>
      <w:r>
        <w:rPr>
          <w:rFonts w:hint="eastAsia" w:ascii="宋体" w:hAnsi="宋体"/>
          <w:b/>
          <w:bCs/>
          <w:sz w:val="28"/>
          <w:szCs w:val="28"/>
        </w:rPr>
        <w:t xml:space="preserve">附件1：             </w:t>
      </w:r>
    </w:p>
    <w:p w14:paraId="487866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28"/>
          <w:szCs w:val="28"/>
        </w:rPr>
      </w:pPr>
      <w:r>
        <w:rPr>
          <w:rFonts w:hint="eastAsia" w:ascii="宋体" w:hAnsi="宋体"/>
          <w:b/>
          <w:bCs/>
          <w:sz w:val="28"/>
          <w:szCs w:val="28"/>
        </w:rPr>
        <w:t>教官工作职责</w:t>
      </w:r>
    </w:p>
    <w:p w14:paraId="3106282E">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p>
    <w:p w14:paraId="33A0295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一、宿舍管理</w:t>
      </w:r>
    </w:p>
    <w:p w14:paraId="30FF333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在学生宿舍集中区安排1个岗位（岗亭），落实24小时值班制度，对宿舍区实施实时监管，其余宿舍在工作时段进行检查监控。教官住在学生宿舍楼，有效应对宿舍区突发事件。教官队负责管理好学生的“两休”工作，积极帮助和教育学生提高宿舍内务标准和卫生质量，做好宿舍的安全保卫工作，让学生养成一个讲卫生守纪律的好习惯。督促学生在早上、下午及晚自习按时离开宿舍去教室上课时，对无故滞留宿舍不去上课的学生集中进行教育。</w:t>
      </w:r>
    </w:p>
    <w:p w14:paraId="474A4B4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0000"/>
          <w:kern w:val="0"/>
          <w:szCs w:val="21"/>
        </w:rPr>
      </w:pPr>
      <w:r>
        <w:rPr>
          <w:rFonts w:hint="eastAsia" w:ascii="宋体" w:hAnsi="宋体"/>
          <w:color w:val="000000"/>
          <w:kern w:val="0"/>
          <w:szCs w:val="21"/>
        </w:rPr>
        <w:t>具体时间表（各工作内容随学校实际作息制度及现有硬件实施不同自动调整）：</w:t>
      </w:r>
    </w:p>
    <w:p w14:paraId="77D2F8F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1.早上督促</w:t>
      </w:r>
      <w:r>
        <w:rPr>
          <w:rFonts w:hint="eastAsia" w:ascii="宋体" w:hAnsi="宋体" w:cs="宋体"/>
          <w:color w:val="000000"/>
          <w:spacing w:val="7"/>
          <w:szCs w:val="21"/>
          <w:shd w:val="clear" w:color="auto" w:fill="FFFFFF"/>
        </w:rPr>
        <w:t>学生起床、整理内务卫生</w:t>
      </w:r>
    </w:p>
    <w:p w14:paraId="24ADCCAC">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kern w:val="0"/>
          <w:szCs w:val="21"/>
        </w:rPr>
        <w:t>06：</w:t>
      </w:r>
      <w:r>
        <w:rPr>
          <w:rFonts w:hint="eastAsia" w:ascii="宋体" w:hAnsi="宋体" w:cs="宋体"/>
          <w:color w:val="000000"/>
          <w:kern w:val="0"/>
          <w:szCs w:val="21"/>
          <w:lang w:val="en-US" w:eastAsia="zh-CN"/>
        </w:rPr>
        <w:t>2</w:t>
      </w:r>
      <w:r>
        <w:rPr>
          <w:rFonts w:hint="eastAsia" w:ascii="宋体" w:hAnsi="宋体" w:cs="宋体"/>
          <w:color w:val="000000"/>
          <w:kern w:val="0"/>
          <w:szCs w:val="21"/>
        </w:rPr>
        <w:t>0  起床、开门</w:t>
      </w:r>
    </w:p>
    <w:p w14:paraId="04D29FDA">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宋体" w:hAnsi="宋体" w:cs="宋体"/>
          <w:color w:val="000000"/>
          <w:szCs w:val="21"/>
        </w:rPr>
      </w:pPr>
      <w:r>
        <w:rPr>
          <w:rFonts w:hint="eastAsia" w:ascii="宋体" w:hAnsi="宋体" w:cs="宋体"/>
          <w:color w:val="000000"/>
          <w:szCs w:val="21"/>
        </w:rPr>
        <w:t>6:30教官吹哨督促学生起床，整理内务，搞好卫生。</w:t>
      </w:r>
    </w:p>
    <w:p w14:paraId="4888C53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2.早上宿舍、饭堂、超市清场</w:t>
      </w:r>
    </w:p>
    <w:p w14:paraId="5426315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kern w:val="0"/>
          <w:szCs w:val="21"/>
        </w:rPr>
      </w:pPr>
      <w:r>
        <w:rPr>
          <w:rFonts w:hint="eastAsia" w:ascii="宋体" w:hAnsi="宋体" w:cs="宋体"/>
          <w:color w:val="000000"/>
          <w:szCs w:val="21"/>
        </w:rPr>
        <w:t>7:00教官督促学生离开宿舍、清场宿舍，7:30锁门；7:30教官督促学生离开饭堂、超市，7:40清场完毕。</w:t>
      </w:r>
      <w:r>
        <w:rPr>
          <w:rFonts w:hint="eastAsia" w:ascii="宋体" w:hAnsi="宋体" w:cs="宋体"/>
          <w:color w:val="000000"/>
          <w:kern w:val="0"/>
          <w:szCs w:val="21"/>
        </w:rPr>
        <w:t>对应去上课却滞留在宿舍的学生进行教育管理后督促其去教室上课。</w:t>
      </w:r>
    </w:p>
    <w:p w14:paraId="063FC62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3.早上路口纪律检查</w:t>
      </w:r>
    </w:p>
    <w:p w14:paraId="614D24F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7:35教官与学管员在路口检查学生的纪律（检查仪容仪表、是否穿拖鞋、是否按规定佩戴校牌、是否携带吃的东西上教室、是否迟到等），对违纪学生进行提醒、批评教育，迟到学生集中球场教育，做好登记。</w:t>
      </w:r>
    </w:p>
    <w:p w14:paraId="23B0C89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4.组织升国旗</w:t>
      </w:r>
    </w:p>
    <w:p w14:paraId="79D0C11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星期一7:30全体教官与学管员组织全体学生在球场升国旗，升旗仪式后学保科领导点评上周学生安全、纪律、卫生情况，教官队长强调有关事项；学管员考勤班主任到位情况。</w:t>
      </w:r>
    </w:p>
    <w:p w14:paraId="6FB12B4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5.早读检查</w:t>
      </w:r>
    </w:p>
    <w:p w14:paraId="1988E6A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kern w:val="0"/>
          <w:szCs w:val="21"/>
        </w:rPr>
      </w:pPr>
      <w:r>
        <w:rPr>
          <w:rFonts w:hint="eastAsia" w:ascii="宋体" w:hAnsi="宋体" w:cs="宋体"/>
          <w:color w:val="000000"/>
          <w:szCs w:val="21"/>
        </w:rPr>
        <w:t>星期二至星期五7:30教官按系部组织学生集中操场早读；学管员考勤班主任到位情况；教室早读由班主任组织，学管员做好检查（班主任是否到位、学生人数、有无声音、是否响亮）。</w:t>
      </w:r>
    </w:p>
    <w:p w14:paraId="7C53038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6.早上宿舍纪律、卫生检查</w:t>
      </w:r>
    </w:p>
    <w:p w14:paraId="4957232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8:00教官检查宿舍卫生、记录、通报卫生情况，对滞留宿舍学生进行登记、集中批评教育，宿舍管理员及时做好与系部和班主任的通报，追踪落实整改。</w:t>
      </w:r>
    </w:p>
    <w:p w14:paraId="7560BE0C">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7.傍晚宿舍卫生、纪律巡查</w:t>
      </w:r>
    </w:p>
    <w:p w14:paraId="2ABC2EA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7</w:t>
      </w:r>
      <w:r>
        <w:rPr>
          <w:rFonts w:hint="eastAsia" w:ascii="宋体" w:hAnsi="宋体" w:cs="宋体"/>
          <w:color w:val="000000"/>
          <w:szCs w:val="21"/>
        </w:rPr>
        <w:t>:</w:t>
      </w:r>
      <w:r>
        <w:rPr>
          <w:rFonts w:hint="eastAsia" w:ascii="宋体" w:hAnsi="宋体" w:cs="宋体"/>
          <w:color w:val="000000"/>
          <w:szCs w:val="21"/>
          <w:lang w:val="en-US" w:eastAsia="zh-CN"/>
        </w:rPr>
        <w:t>0</w:t>
      </w:r>
      <w:r>
        <w:rPr>
          <w:rFonts w:hint="eastAsia" w:ascii="宋体" w:hAnsi="宋体" w:cs="宋体"/>
          <w:color w:val="000000"/>
          <w:szCs w:val="21"/>
        </w:rPr>
        <w:t>0</w:t>
      </w:r>
      <w:r>
        <w:rPr>
          <w:rFonts w:hint="eastAsia" w:ascii="宋体" w:hAnsi="宋体" w:cs="宋体"/>
          <w:color w:val="000000"/>
          <w:szCs w:val="21"/>
          <w:lang w:val="en-US" w:eastAsia="zh-CN"/>
        </w:rPr>
        <w:t>与学生工作和保卫科做好工作交接</w:t>
      </w:r>
      <w:r>
        <w:rPr>
          <w:rFonts w:hint="eastAsia" w:ascii="宋体" w:hAnsi="宋体" w:cs="宋体"/>
          <w:color w:val="000000"/>
          <w:szCs w:val="21"/>
          <w:lang w:eastAsia="zh-CN"/>
        </w:rPr>
        <w:t>，</w:t>
      </w:r>
      <w:r>
        <w:rPr>
          <w:rFonts w:hint="eastAsia" w:ascii="宋体" w:hAnsi="宋体" w:cs="宋体"/>
          <w:color w:val="000000"/>
          <w:szCs w:val="21"/>
        </w:rPr>
        <w:t>1</w:t>
      </w:r>
      <w:r>
        <w:rPr>
          <w:rFonts w:hint="eastAsia" w:ascii="宋体" w:hAnsi="宋体" w:cs="宋体"/>
          <w:color w:val="000000"/>
          <w:szCs w:val="21"/>
          <w:lang w:val="en-US" w:eastAsia="zh-CN"/>
        </w:rPr>
        <w:t>7</w:t>
      </w:r>
      <w:r>
        <w:rPr>
          <w:rFonts w:hint="eastAsia" w:ascii="宋体" w:hAnsi="宋体" w:cs="宋体"/>
          <w:color w:val="000000"/>
          <w:szCs w:val="21"/>
        </w:rPr>
        <w:t>:00—19:00教官巡查宿舍学生纪律、卫生，对卫生差的宿舍督促整改，对学生抽烟或其他违纪行为及时制止、批评教育并登记，视情节上报处理。</w:t>
      </w:r>
    </w:p>
    <w:p w14:paraId="5DCC3AA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.晚上宿舍、饭堂、超市清场</w:t>
      </w:r>
    </w:p>
    <w:p w14:paraId="68FA6E4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19:10教官督促学生离开宿舍、清场宿舍，19:30锁门；19:20教官督促学生离开饭堂、超市，19:30清场完毕。</w:t>
      </w:r>
    </w:p>
    <w:p w14:paraId="2E3FDB0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hAnsi="宋体" w:cs="宋体"/>
          <w:color w:val="000000"/>
          <w:spacing w:val="7"/>
          <w:szCs w:val="21"/>
          <w:shd w:val="clear" w:color="auto" w:fill="FFFFFF"/>
        </w:rPr>
        <w:t>晚自习纪律巡查</w:t>
      </w:r>
    </w:p>
    <w:p w14:paraId="197096C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19:30-21:00教官、保卫干事巡查教室，维护晚自习纪律，同时对教学区、各卫生间、饭堂、小超市等进行巡查，对逃课、特别是抽烟的学生进行登记、集中批评教育，</w:t>
      </w:r>
      <w:r>
        <w:rPr>
          <w:rFonts w:hint="eastAsia" w:ascii="宋体" w:hAnsi="宋体" w:cs="宋体"/>
          <w:color w:val="000000"/>
          <w:spacing w:val="7"/>
          <w:szCs w:val="21"/>
          <w:shd w:val="clear" w:color="auto" w:fill="FFFFFF"/>
        </w:rPr>
        <w:t>并及时通报班主任追踪落实整改。</w:t>
      </w:r>
      <w:r>
        <w:rPr>
          <w:rFonts w:hint="eastAsia" w:ascii="宋体" w:hAnsi="宋体" w:cs="宋体"/>
          <w:color w:val="000000"/>
          <w:szCs w:val="21"/>
        </w:rPr>
        <w:t>保卫干事</w:t>
      </w:r>
      <w:r>
        <w:rPr>
          <w:rFonts w:hint="eastAsia" w:ascii="宋体" w:hAnsi="宋体" w:cs="宋体"/>
          <w:color w:val="000000"/>
          <w:spacing w:val="7"/>
          <w:szCs w:val="21"/>
          <w:shd w:val="clear" w:color="auto" w:fill="FFFFFF"/>
        </w:rPr>
        <w:t>对存在问题的学生进行批评教育。</w:t>
      </w:r>
    </w:p>
    <w:p w14:paraId="2FB3FCE8">
      <w:pPr>
        <w:keepNext w:val="0"/>
        <w:keepLines w:val="0"/>
        <w:pageBreakBefore w:val="0"/>
        <w:kinsoku/>
        <w:wordWrap/>
        <w:overflowPunct/>
        <w:topLinePunct w:val="0"/>
        <w:autoSpaceDE/>
        <w:autoSpaceDN/>
        <w:bidi w:val="0"/>
        <w:adjustRightInd/>
        <w:snapToGrid/>
        <w:spacing w:line="400" w:lineRule="exact"/>
        <w:ind w:firstLine="448" w:firstLineChars="200"/>
        <w:textAlignment w:val="auto"/>
        <w:rPr>
          <w:rFonts w:hint="eastAsia" w:ascii="宋体" w:hAnsi="宋体" w:cs="宋体"/>
          <w:color w:val="000000"/>
          <w:szCs w:val="21"/>
        </w:rPr>
      </w:pPr>
      <w:r>
        <w:rPr>
          <w:rFonts w:hint="eastAsia" w:ascii="宋体" w:hAnsi="宋体" w:cs="宋体"/>
          <w:color w:val="000000"/>
          <w:spacing w:val="7"/>
          <w:szCs w:val="21"/>
          <w:shd w:val="clear" w:color="auto" w:fill="FFFFFF"/>
        </w:rPr>
        <w:t>1</w:t>
      </w:r>
      <w:r>
        <w:rPr>
          <w:rFonts w:hint="eastAsia" w:ascii="宋体" w:hAnsi="宋体" w:cs="宋体"/>
          <w:color w:val="000000"/>
          <w:spacing w:val="7"/>
          <w:szCs w:val="21"/>
          <w:shd w:val="clear" w:color="auto" w:fill="FFFFFF"/>
          <w:lang w:val="en-US" w:eastAsia="zh-CN"/>
        </w:rPr>
        <w:t>0</w:t>
      </w:r>
      <w:r>
        <w:rPr>
          <w:rFonts w:hint="eastAsia" w:ascii="宋体" w:hAnsi="宋体" w:cs="宋体"/>
          <w:color w:val="000000"/>
          <w:spacing w:val="7"/>
          <w:szCs w:val="21"/>
          <w:shd w:val="clear" w:color="auto" w:fill="FFFFFF"/>
        </w:rPr>
        <w:t>.下晚自习后宿舍卫生纪律巡查</w:t>
      </w:r>
    </w:p>
    <w:p w14:paraId="4A54765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21:00宿舍开门，21:00—22:00负责教官巡查宿舍学生纪律、卫生，对卫生差的宿舍督促整改，对学生抽烟或其他违纪行为及时制止、批评教育并登记，视情节上报处理。</w:t>
      </w:r>
    </w:p>
    <w:p w14:paraId="3576B6A5">
      <w:pPr>
        <w:keepNext w:val="0"/>
        <w:keepLines w:val="0"/>
        <w:pageBreakBefore w:val="0"/>
        <w:kinsoku/>
        <w:wordWrap/>
        <w:overflowPunct/>
        <w:topLinePunct w:val="0"/>
        <w:autoSpaceDE/>
        <w:autoSpaceDN/>
        <w:bidi w:val="0"/>
        <w:adjustRightInd/>
        <w:snapToGrid/>
        <w:spacing w:line="400" w:lineRule="exact"/>
        <w:ind w:firstLine="448" w:firstLineChars="200"/>
        <w:textAlignment w:val="auto"/>
        <w:rPr>
          <w:rFonts w:hint="eastAsia" w:ascii="宋体" w:hAnsi="宋体" w:cs="宋体"/>
          <w:color w:val="000000"/>
          <w:szCs w:val="21"/>
        </w:rPr>
      </w:pPr>
      <w:r>
        <w:rPr>
          <w:rFonts w:hint="eastAsia" w:ascii="宋体" w:hAnsi="宋体" w:cs="宋体"/>
          <w:color w:val="000000"/>
          <w:spacing w:val="7"/>
          <w:szCs w:val="21"/>
          <w:shd w:val="clear" w:color="auto" w:fill="FFFFFF"/>
        </w:rPr>
        <w:t>1</w:t>
      </w:r>
      <w:r>
        <w:rPr>
          <w:rFonts w:hint="eastAsia" w:ascii="宋体" w:hAnsi="宋体" w:cs="宋体"/>
          <w:color w:val="000000"/>
          <w:spacing w:val="7"/>
          <w:szCs w:val="21"/>
          <w:shd w:val="clear" w:color="auto" w:fill="FFFFFF"/>
          <w:lang w:val="en-US" w:eastAsia="zh-CN"/>
        </w:rPr>
        <w:t>1</w:t>
      </w:r>
      <w:r>
        <w:rPr>
          <w:rFonts w:hint="eastAsia" w:ascii="宋体" w:hAnsi="宋体" w:cs="宋体"/>
          <w:color w:val="000000"/>
          <w:spacing w:val="7"/>
          <w:szCs w:val="21"/>
          <w:shd w:val="clear" w:color="auto" w:fill="FFFFFF"/>
        </w:rPr>
        <w:t>.晚就寝检查</w:t>
      </w:r>
    </w:p>
    <w:p w14:paraId="3624F24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pacing w:val="7"/>
          <w:szCs w:val="21"/>
          <w:shd w:val="clear" w:color="auto" w:fill="FFFFFF"/>
        </w:rPr>
      </w:pPr>
      <w:r>
        <w:rPr>
          <w:rFonts w:hint="eastAsia" w:ascii="宋体" w:hAnsi="宋体" w:cs="宋体"/>
          <w:color w:val="000000"/>
          <w:szCs w:val="21"/>
        </w:rPr>
        <w:t>星期一至星期四、星期日22:30（星期五、星期六为23:00）</w:t>
      </w:r>
    </w:p>
    <w:p w14:paraId="54A67DA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pacing w:val="7"/>
          <w:szCs w:val="21"/>
          <w:shd w:val="clear" w:color="auto" w:fill="FFFFFF"/>
        </w:rPr>
      </w:pPr>
      <w:r>
        <w:rPr>
          <w:rFonts w:hint="eastAsia" w:ascii="宋体" w:hAnsi="宋体" w:cs="宋体"/>
          <w:color w:val="000000"/>
          <w:szCs w:val="21"/>
        </w:rPr>
        <w:t>宿舍锁门教官进行查房点名，保卫干事会同教官</w:t>
      </w:r>
      <w:r>
        <w:rPr>
          <w:rFonts w:hint="eastAsia" w:ascii="宋体" w:hAnsi="宋体" w:cs="宋体"/>
          <w:color w:val="000000"/>
          <w:spacing w:val="7"/>
          <w:szCs w:val="21"/>
          <w:shd w:val="clear" w:color="auto" w:fill="FFFFFF"/>
        </w:rPr>
        <w:t>对违纪的学生进行批评教育</w:t>
      </w:r>
      <w:r>
        <w:rPr>
          <w:rFonts w:hint="eastAsia" w:ascii="宋体" w:hAnsi="宋体" w:cs="宋体"/>
          <w:color w:val="000000"/>
          <w:szCs w:val="21"/>
        </w:rPr>
        <w:t>并登记，视情节上报处理</w:t>
      </w:r>
      <w:r>
        <w:rPr>
          <w:rFonts w:hint="eastAsia" w:ascii="宋体" w:hAnsi="宋体" w:cs="宋体"/>
          <w:color w:val="000000"/>
          <w:spacing w:val="7"/>
          <w:szCs w:val="21"/>
          <w:shd w:val="clear" w:color="auto" w:fill="FFFFFF"/>
        </w:rPr>
        <w:t>。</w:t>
      </w:r>
    </w:p>
    <w:p w14:paraId="2E3B021C">
      <w:pPr>
        <w:keepNext w:val="0"/>
        <w:keepLines w:val="0"/>
        <w:pageBreakBefore w:val="0"/>
        <w:kinsoku/>
        <w:wordWrap/>
        <w:overflowPunct/>
        <w:topLinePunct w:val="0"/>
        <w:autoSpaceDE/>
        <w:autoSpaceDN/>
        <w:bidi w:val="0"/>
        <w:adjustRightInd/>
        <w:snapToGrid/>
        <w:spacing w:line="400" w:lineRule="exact"/>
        <w:ind w:firstLine="448" w:firstLineChars="200"/>
        <w:textAlignment w:val="auto"/>
        <w:rPr>
          <w:rFonts w:hint="eastAsia" w:ascii="宋体" w:hAnsi="宋体" w:cs="宋体"/>
          <w:color w:val="000000"/>
          <w:spacing w:val="7"/>
          <w:szCs w:val="21"/>
          <w:shd w:val="clear" w:color="auto" w:fill="FFFFFF"/>
        </w:rPr>
      </w:pPr>
      <w:r>
        <w:rPr>
          <w:rFonts w:hint="eastAsia" w:ascii="宋体" w:hAnsi="宋体" w:cs="宋体"/>
          <w:color w:val="000000"/>
          <w:spacing w:val="7"/>
          <w:szCs w:val="21"/>
          <w:shd w:val="clear" w:color="auto" w:fill="FFFFFF"/>
          <w:lang w:val="en-US" w:eastAsia="zh-CN"/>
        </w:rPr>
        <w:t>12</w:t>
      </w:r>
      <w:r>
        <w:rPr>
          <w:rFonts w:hint="eastAsia" w:ascii="宋体" w:hAnsi="宋体" w:cs="宋体"/>
          <w:color w:val="000000"/>
          <w:spacing w:val="7"/>
          <w:szCs w:val="21"/>
          <w:shd w:val="clear" w:color="auto" w:fill="FFFFFF"/>
        </w:rPr>
        <w:t>.夜间巡查</w:t>
      </w:r>
    </w:p>
    <w:p w14:paraId="784E7A1F">
      <w:pPr>
        <w:keepNext w:val="0"/>
        <w:keepLines w:val="0"/>
        <w:pageBreakBefore w:val="0"/>
        <w:kinsoku/>
        <w:wordWrap/>
        <w:overflowPunct/>
        <w:topLinePunct w:val="0"/>
        <w:autoSpaceDE/>
        <w:autoSpaceDN/>
        <w:bidi w:val="0"/>
        <w:adjustRightInd/>
        <w:snapToGrid/>
        <w:spacing w:line="400" w:lineRule="exact"/>
        <w:ind w:firstLine="448" w:firstLineChars="200"/>
        <w:textAlignment w:val="auto"/>
        <w:rPr>
          <w:rFonts w:hint="eastAsia" w:ascii="宋体" w:hAnsi="宋体" w:cs="宋体"/>
          <w:color w:val="000000"/>
          <w:spacing w:val="7"/>
          <w:szCs w:val="21"/>
          <w:shd w:val="clear" w:color="auto" w:fill="FFFFFF"/>
        </w:rPr>
      </w:pPr>
      <w:r>
        <w:rPr>
          <w:rFonts w:hint="eastAsia" w:ascii="宋体" w:hAnsi="宋体" w:cs="宋体"/>
          <w:color w:val="000000"/>
          <w:spacing w:val="7"/>
          <w:szCs w:val="21"/>
          <w:shd w:val="clear" w:color="auto" w:fill="FFFFFF"/>
        </w:rPr>
        <w:t>晚就寝熄灯后，教官每1-2个小时左右</w:t>
      </w:r>
      <w:r>
        <w:rPr>
          <w:rFonts w:hint="eastAsia" w:ascii="宋体" w:hAnsi="宋体" w:cs="宋体"/>
          <w:color w:val="000000"/>
          <w:szCs w:val="21"/>
        </w:rPr>
        <w:t>定期巡查学生宿舍，校园，重点对</w:t>
      </w:r>
      <w:r>
        <w:rPr>
          <w:rFonts w:hint="eastAsia" w:ascii="宋体" w:hAnsi="宋体" w:cs="宋体"/>
          <w:color w:val="000000"/>
          <w:spacing w:val="7"/>
          <w:szCs w:val="21"/>
          <w:shd w:val="clear" w:color="auto" w:fill="FFFFFF"/>
        </w:rPr>
        <w:t>继续</w:t>
      </w:r>
      <w:r>
        <w:rPr>
          <w:rFonts w:hint="eastAsia" w:ascii="宋体" w:hAnsi="宋体" w:cs="宋体"/>
          <w:color w:val="000000"/>
          <w:szCs w:val="21"/>
        </w:rPr>
        <w:t>玩手机和吵闹的学生进行制止、批评教育并登记，视情节上报处理</w:t>
      </w:r>
      <w:r>
        <w:rPr>
          <w:rFonts w:hint="eastAsia" w:ascii="宋体" w:hAnsi="宋体" w:cs="宋体"/>
          <w:color w:val="000000"/>
          <w:spacing w:val="7"/>
          <w:szCs w:val="21"/>
          <w:shd w:val="clear" w:color="auto" w:fill="FFFFFF"/>
        </w:rPr>
        <w:t>。</w:t>
      </w:r>
    </w:p>
    <w:p w14:paraId="55CB977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lang w:val="en-US" w:eastAsia="zh-CN"/>
        </w:rPr>
        <w:t>13</w:t>
      </w:r>
      <w:r>
        <w:rPr>
          <w:rFonts w:hint="eastAsia" w:ascii="宋体" w:hAnsi="宋体" w:cs="宋体"/>
          <w:color w:val="000000"/>
          <w:szCs w:val="21"/>
        </w:rPr>
        <w:t xml:space="preserve">.纪律卫生周汇报 </w:t>
      </w:r>
    </w:p>
    <w:p w14:paraId="7C6658B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0000"/>
          <w:kern w:val="0"/>
          <w:szCs w:val="21"/>
        </w:rPr>
      </w:pPr>
      <w:r>
        <w:rPr>
          <w:rFonts w:hint="eastAsia" w:ascii="宋体" w:hAnsi="宋体" w:cs="宋体"/>
          <w:color w:val="000000"/>
          <w:szCs w:val="21"/>
        </w:rPr>
        <w:t>星期五1</w:t>
      </w:r>
      <w:r>
        <w:rPr>
          <w:rFonts w:hint="eastAsia" w:ascii="宋体" w:hAnsi="宋体" w:cs="宋体"/>
          <w:color w:val="000000"/>
          <w:szCs w:val="21"/>
          <w:lang w:val="en-US" w:eastAsia="zh-CN"/>
        </w:rPr>
        <w:t>7</w:t>
      </w:r>
      <w:r>
        <w:rPr>
          <w:rFonts w:hint="eastAsia" w:ascii="宋体" w:hAnsi="宋体" w:cs="宋体"/>
          <w:color w:val="000000"/>
          <w:szCs w:val="21"/>
        </w:rPr>
        <w:t>：0</w:t>
      </w:r>
      <w:r>
        <w:rPr>
          <w:rFonts w:hint="eastAsia" w:ascii="宋体" w:hAnsi="宋体" w:cs="宋体"/>
          <w:color w:val="000000"/>
          <w:szCs w:val="21"/>
          <w:lang w:val="en-US" w:eastAsia="zh-CN"/>
        </w:rPr>
        <w:t>0</w:t>
      </w:r>
      <w:r>
        <w:rPr>
          <w:rFonts w:hint="eastAsia" w:ascii="宋体" w:hAnsi="宋体" w:cs="宋体"/>
          <w:color w:val="000000"/>
          <w:szCs w:val="21"/>
        </w:rPr>
        <w:t>教官将本周学生纪律卫生及其他事项报告学保科。</w:t>
      </w:r>
    </w:p>
    <w:p w14:paraId="41ED67F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二、周一早上升旗集会 、各种集会、学生大型活动的管理</w:t>
      </w:r>
    </w:p>
    <w:p w14:paraId="410090DC">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1.每周一早上7：40，由教官队派遣教官组织学生进行升旗活动，规范学生行为规范。</w:t>
      </w:r>
    </w:p>
    <w:p w14:paraId="1505A3A2">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2.参与学校学生教育活动，如学生集会、一日一排、军事日、应急疏散演练、违禁物品清查等活动；配合学校对学生进行国防、军事、纪律、法制、安全、反恐、爱国卫生等教育活动。负责学校大型活动会场纪律的监管和学生安全的管理。</w:t>
      </w:r>
    </w:p>
    <w:p w14:paraId="7CA929F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0000"/>
          <w:kern w:val="0"/>
          <w:szCs w:val="21"/>
        </w:rPr>
      </w:pPr>
      <w:r>
        <w:rPr>
          <w:rFonts w:hint="eastAsia" w:ascii="宋体" w:hAnsi="宋体"/>
          <w:color w:val="000000"/>
          <w:kern w:val="0"/>
          <w:szCs w:val="21"/>
        </w:rPr>
        <w:t>三、</w:t>
      </w:r>
      <w:r>
        <w:rPr>
          <w:rFonts w:hint="eastAsia" w:ascii="宋体" w:hAnsi="宋体"/>
          <w:color w:val="000000"/>
          <w:kern w:val="0"/>
          <w:szCs w:val="21"/>
          <w:lang w:val="en-US" w:eastAsia="zh-CN"/>
        </w:rPr>
        <w:t>协助</w:t>
      </w:r>
      <w:r>
        <w:rPr>
          <w:rFonts w:hint="eastAsia" w:ascii="宋体" w:hAnsi="宋体"/>
          <w:color w:val="000000"/>
          <w:kern w:val="0"/>
          <w:szCs w:val="21"/>
        </w:rPr>
        <w:t>带劳动周班级进行校园卫生整治</w:t>
      </w:r>
    </w:p>
    <w:p w14:paraId="062E7ECF">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kern w:val="0"/>
          <w:szCs w:val="21"/>
        </w:rPr>
      </w:pPr>
      <w:r>
        <w:rPr>
          <w:rFonts w:hint="eastAsia" w:ascii="宋体" w:hAnsi="宋体"/>
          <w:color w:val="000000"/>
          <w:kern w:val="0"/>
          <w:szCs w:val="21"/>
        </w:rPr>
        <w:t>由教官队派遣1名教官作为劳动课指导老师，</w:t>
      </w:r>
      <w:r>
        <w:rPr>
          <w:rFonts w:hint="eastAsia" w:ascii="宋体" w:hAnsi="宋体"/>
          <w:color w:val="000000"/>
          <w:kern w:val="0"/>
          <w:szCs w:val="21"/>
          <w:lang w:val="en-US" w:eastAsia="zh-CN"/>
        </w:rPr>
        <w:t>协助学保科</w:t>
      </w:r>
      <w:r>
        <w:rPr>
          <w:rFonts w:hint="eastAsia" w:ascii="宋体" w:hAnsi="宋体"/>
          <w:color w:val="000000"/>
          <w:kern w:val="0"/>
          <w:szCs w:val="21"/>
        </w:rPr>
        <w:t>组织担负劳动周任务的班级完成以校园卫生整治为主的劳动任务，具体工作开展方式结合学校实际情况执行。</w:t>
      </w:r>
      <w:r>
        <w:rPr>
          <w:rFonts w:hint="eastAsia" w:ascii="宋体" w:hAnsi="宋体" w:cs="宋体"/>
          <w:color w:val="000000"/>
          <w:szCs w:val="21"/>
        </w:rPr>
        <w:t>教官每天上午和下午按上课时间集中学生安排劳动和考勤，缺勤和未完成劳动任务的由学管员通知班主任配合教育，周五下午由教官按每个学生的劳动表现评定劳动等级成绩（具体见评定表）。</w:t>
      </w:r>
    </w:p>
    <w:p w14:paraId="620101A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四、学生晚自习纪律检查及学习环境检查</w:t>
      </w:r>
    </w:p>
    <w:p w14:paraId="642F6A12">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1.由教官队负责派遣教官对学生晚自习秩序进行</w:t>
      </w:r>
      <w:r>
        <w:rPr>
          <w:rFonts w:hint="eastAsia" w:ascii="宋体" w:hAnsi="宋体"/>
          <w:kern w:val="0"/>
          <w:szCs w:val="21"/>
          <w:lang w:val="en-US" w:eastAsia="zh-CN"/>
        </w:rPr>
        <w:t>巡</w:t>
      </w:r>
      <w:r>
        <w:rPr>
          <w:rFonts w:hint="eastAsia" w:ascii="宋体" w:hAnsi="宋体"/>
          <w:kern w:val="0"/>
          <w:szCs w:val="21"/>
        </w:rPr>
        <w:t>查，督促学生遵守晚自习纪律，对违反纪律不到教室上晚自习、大声喧哗扰乱晚自习秩序等行为进行教育整改。</w:t>
      </w:r>
    </w:p>
    <w:p w14:paraId="6A84DE1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2.晚上10:20教官负责对教学楼各教室及实训楼进行巡逻检查，督促学生离开教室，并对未按要求关教室灯、风扇、门的班级进行登记及现场处理，每周把统计表交学生工作和保卫科。</w:t>
      </w:r>
    </w:p>
    <w:p w14:paraId="15AC124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五、学校综合治理工作</w:t>
      </w:r>
    </w:p>
    <w:p w14:paraId="375375F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1.负责学校大门人员与车辆的进出管理及校内车辆停放管理，维护大门管理区域内公共秩序，维护学校内公共场所的安全与公共秩序，维护学校消防设施，协助配合公安机关及学校处理校内的一切与治安有关的事件，协助学校做好校园内大型活动的秩序维持。</w:t>
      </w:r>
    </w:p>
    <w:p w14:paraId="7C61B9B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2.每月四次不定期的宿舍管制品检查，要求每次检查不少于15个学生宿舍，每次检查要求有记录、台账及拍照，对发现的违禁品统计上交，对违规学生按违纪情况交保卫科或学生工作和保卫科处理。并配合学校进行全校性管制品收缴工作。</w:t>
      </w:r>
    </w:p>
    <w:p w14:paraId="365540B2">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3.每周对全校消防设备进行检查，每次检查要求有记录和台账。对发现人为损坏消防器材情况需当日上报保卫科，并配合对人为损坏情况进行调查，对损坏的消防器材进行更换。对过期和非人为损坏的消防器材，当日要将损坏器材拿到保卫科进行更换。</w:t>
      </w:r>
    </w:p>
    <w:p w14:paraId="5193178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4.严格管理学生在宿舍违规私拉电现象，每日要进行巡查，对违纪学生要有记录并通过学生工作和保卫科</w:t>
      </w:r>
      <w:r>
        <w:rPr>
          <w:rFonts w:hint="eastAsia" w:ascii="宋体" w:hAnsi="宋体"/>
          <w:kern w:val="0"/>
          <w:szCs w:val="21"/>
          <w:lang w:val="en-US" w:eastAsia="zh-CN"/>
        </w:rPr>
        <w:t>会同</w:t>
      </w:r>
      <w:r>
        <w:rPr>
          <w:rFonts w:hint="eastAsia" w:ascii="宋体" w:hAnsi="宋体"/>
          <w:kern w:val="0"/>
          <w:szCs w:val="21"/>
        </w:rPr>
        <w:t>总务科</w:t>
      </w:r>
      <w:r>
        <w:rPr>
          <w:rFonts w:hint="eastAsia" w:ascii="宋体" w:hAnsi="宋体"/>
          <w:kern w:val="0"/>
          <w:szCs w:val="21"/>
          <w:lang w:val="en-US" w:eastAsia="zh-CN"/>
        </w:rPr>
        <w:t>按学校有关规定进行处</w:t>
      </w:r>
      <w:r>
        <w:rPr>
          <w:rFonts w:hint="eastAsia" w:ascii="宋体" w:hAnsi="宋体"/>
          <w:kern w:val="0"/>
          <w:szCs w:val="21"/>
        </w:rPr>
        <w:t>罚。</w:t>
      </w:r>
    </w:p>
    <w:p w14:paraId="64DA127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5.学生宿舍区域周一至周四11:30——14:30,16:10——19:30,21:00——00：00，学生宿舍必须安排人员巡查。周五16:10——21:00，安排人员值守，21:00——00:00安排人员宿舍巡查。周六、周日24小时要安排人值班，每小时要巡查一次宿舍。发现学生违纪行为要及时进行处理，避免突发事件发生。</w:t>
      </w:r>
    </w:p>
    <w:p w14:paraId="57EC47C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6.加强学生宿舍区域学生翻爬围墙监控，严禁学生从围墙外购买食品、香烟。</w:t>
      </w:r>
    </w:p>
    <w:p w14:paraId="5B5A17A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7.夜间宿舍熄灯后，对仍然在学校闲逛或打球等的学生进行劝离。</w:t>
      </w:r>
    </w:p>
    <w:p w14:paraId="4F3E63D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8.配合学校做好护校队相关的技能训练和检查指导工作。</w:t>
      </w:r>
    </w:p>
    <w:p w14:paraId="73DC7DC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9.配备值班电话和值班对讲机，对任何时间段发生的突发事件和群体性事件，配合</w:t>
      </w:r>
      <w:r>
        <w:rPr>
          <w:rFonts w:hint="eastAsia" w:ascii="宋体" w:hAnsi="宋体"/>
          <w:kern w:val="0"/>
          <w:szCs w:val="21"/>
          <w:lang w:val="en-US" w:eastAsia="zh-CN"/>
        </w:rPr>
        <w:t>学生工作和</w:t>
      </w:r>
      <w:r>
        <w:rPr>
          <w:rFonts w:hint="eastAsia" w:ascii="宋体" w:hAnsi="宋体"/>
          <w:kern w:val="0"/>
          <w:szCs w:val="21"/>
        </w:rPr>
        <w:t>保卫科及时处理。对校园内发现的违法行为，要全力配合保卫科进行处置。</w:t>
      </w:r>
    </w:p>
    <w:p w14:paraId="1CAE7FA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10.配合</w:t>
      </w:r>
      <w:r>
        <w:rPr>
          <w:rFonts w:hint="eastAsia" w:ascii="宋体" w:hAnsi="宋体"/>
          <w:kern w:val="0"/>
          <w:szCs w:val="21"/>
          <w:lang w:val="en-US" w:eastAsia="zh-CN"/>
        </w:rPr>
        <w:t>学生工作和</w:t>
      </w:r>
      <w:r>
        <w:rPr>
          <w:rFonts w:hint="eastAsia" w:ascii="宋体" w:hAnsi="宋体"/>
          <w:kern w:val="0"/>
          <w:szCs w:val="21"/>
        </w:rPr>
        <w:t>保卫科进行消防、应急疏散、防恐防暴等相关教育和演练工作。</w:t>
      </w:r>
    </w:p>
    <w:p w14:paraId="35E6634B">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11.完成学生宿舍区域的防火防盗任务，完成寒暑假和各类长假期间的校园安全工作。</w:t>
      </w:r>
    </w:p>
    <w:p w14:paraId="7C4BC48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六、校园安全保卫工作</w:t>
      </w:r>
    </w:p>
    <w:p w14:paraId="1AE07E4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1.门岗及校内岗亭值班与管理：实施校门与校园内岗亭的值班制度，与宿舍管理内岗联动，做好校园区域夜间巡视工作，维护校园安全秩序。</w:t>
      </w:r>
    </w:p>
    <w:p w14:paraId="0F2F0192">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2.学校大门人员与车辆的进出管理及校内车辆停放管理，维护大门管理区域内公共秩序。</w:t>
      </w:r>
    </w:p>
    <w:p w14:paraId="7C5E8FB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3.校园动态巡查管理：负责校园巡逻，课间与休息时间要重点对教室、宿舍、实训室进行巡查，对学生违纪现象进行及时纠正，对学生宿舍进行管制品、违规使用水电进行检查。</w:t>
      </w:r>
    </w:p>
    <w:p w14:paraId="2E94F61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4.校园消防设施管理：每周对全校消防设备进行检查；配合学校进行消防、应急疏散、防恐防暴等相关教育和演练工作。</w:t>
      </w:r>
    </w:p>
    <w:p w14:paraId="4A09CDCE">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5.校园安全防范管理：对任何时段发生的突发事件和群体性事件，第一时间发现并有效控制，配合保卫科及时处理。做好校园内大型活动的秩序维持。</w:t>
      </w:r>
    </w:p>
    <w:p w14:paraId="2D467A5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七、其他工作</w:t>
      </w:r>
    </w:p>
    <w:p w14:paraId="68F5C8F8">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1.春学期期末，根据学校招生计划，提前做好新生宿舍安排工作，配合总务部门做好新生宿舍清洁工作。做好学生宿舍日常调整工作。</w:t>
      </w:r>
    </w:p>
    <w:p w14:paraId="2346B33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2.</w:t>
      </w:r>
      <w:r>
        <w:rPr>
          <w:rFonts w:hint="eastAsia" w:ascii="宋体" w:hAnsi="宋体"/>
          <w:kern w:val="0"/>
          <w:szCs w:val="21"/>
          <w:lang w:val="en-US" w:eastAsia="zh-CN"/>
        </w:rPr>
        <w:t>每</w:t>
      </w:r>
      <w:r>
        <w:rPr>
          <w:rFonts w:hint="eastAsia" w:ascii="宋体" w:hAnsi="宋体"/>
          <w:kern w:val="0"/>
          <w:szCs w:val="21"/>
        </w:rPr>
        <w:t>学期负责对带班辅导员进行体能训练，定期对学生会、团委学生干部业务培训。</w:t>
      </w:r>
    </w:p>
    <w:p w14:paraId="68BA9F6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3.做好节假日教官值班安排、校园环境卫生学生劳动的安排、节假日学生宿舍查房工作。在我校放假期间，根据学校假期工作需要，无条件完成好学校安排的工作任务。</w:t>
      </w:r>
    </w:p>
    <w:p w14:paraId="5D95745F">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4.每个月不少于2次组织违纪学生进行军训或者开办纪律培训班。</w:t>
      </w:r>
    </w:p>
    <w:p w14:paraId="5507EF3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5.每学期协助学生工作和保卫科开展“素质提升”和“养成良好行为习惯”主题教育活动。</w:t>
      </w:r>
    </w:p>
    <w:p w14:paraId="103BF4C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6、协助学生工作和保卫科完成各项卫生评比工作，主要工作内容是宿舍卫生、教室卫生、校园环境卫生的整治。</w:t>
      </w:r>
    </w:p>
    <w:p w14:paraId="5D334CFE">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7.收发、管理报刊、杂志、信件等，并按时派发到各科室。</w:t>
      </w:r>
    </w:p>
    <w:p w14:paraId="2ECF2F7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lang w:val="en-US" w:eastAsia="zh-CN"/>
        </w:rPr>
        <w:t>8</w:t>
      </w:r>
      <w:r>
        <w:rPr>
          <w:rFonts w:hint="eastAsia" w:ascii="宋体" w:hAnsi="宋体"/>
          <w:kern w:val="0"/>
          <w:szCs w:val="21"/>
        </w:rPr>
        <w:t>.配合学校总务科，做好学生宿舍各项维修的报修工作。配合总务科对损坏公物事件进行调查和处理工作。配合总务科做好宿舍卫生间疏通验收工作。</w:t>
      </w:r>
    </w:p>
    <w:p w14:paraId="52DF462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lang w:val="en-US" w:eastAsia="zh-CN"/>
        </w:rPr>
        <w:t>9</w:t>
      </w:r>
      <w:r>
        <w:rPr>
          <w:rFonts w:hint="eastAsia" w:ascii="宋体" w:hAnsi="宋体"/>
          <w:kern w:val="0"/>
          <w:szCs w:val="21"/>
        </w:rPr>
        <w:t>.完成学校赋予的其它工作任务。</w:t>
      </w:r>
    </w:p>
    <w:p w14:paraId="0BCC2502">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rPr>
        <w:t>八、新生军训（军训费用另</w:t>
      </w:r>
      <w:r>
        <w:rPr>
          <w:rFonts w:hint="eastAsia" w:ascii="宋体" w:hAnsi="宋体"/>
          <w:kern w:val="0"/>
          <w:szCs w:val="21"/>
          <w:lang w:val="en-US" w:eastAsia="zh-CN"/>
        </w:rPr>
        <w:t>外签订</w:t>
      </w:r>
      <w:r>
        <w:rPr>
          <w:rFonts w:hint="eastAsia" w:ascii="宋体" w:hAnsi="宋体"/>
          <w:kern w:val="0"/>
          <w:szCs w:val="21"/>
        </w:rPr>
        <w:t>协议）</w:t>
      </w:r>
    </w:p>
    <w:p w14:paraId="3C3EC8AC">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cs="宋体"/>
          <w:szCs w:val="21"/>
          <w:lang w:val="en-US" w:eastAsia="zh-CN"/>
        </w:rPr>
        <w:t>学校</w:t>
      </w:r>
      <w:r>
        <w:rPr>
          <w:rFonts w:hint="eastAsia" w:ascii="宋体" w:hAnsi="宋体" w:eastAsia="宋体" w:cs="宋体"/>
          <w:sz w:val="21"/>
          <w:szCs w:val="21"/>
        </w:rPr>
        <w:t>新生军训任务视情况交由</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负责施训，如江南区武装部有规定，则按江南区武装部政策实施，价格另行协商</w:t>
      </w:r>
      <w:r>
        <w:rPr>
          <w:rFonts w:hint="eastAsia" w:ascii="宋体" w:hAnsi="宋体" w:cs="宋体"/>
          <w:szCs w:val="21"/>
        </w:rPr>
        <w:t>。</w:t>
      </w:r>
      <w:r>
        <w:rPr>
          <w:rFonts w:hint="eastAsia" w:ascii="宋体" w:hAnsi="宋体"/>
          <w:kern w:val="0"/>
          <w:szCs w:val="21"/>
        </w:rPr>
        <w:t>军训内容要按照上级有关规定，结合学校的实际情况安排，包括国防知识、消防知识、队形队列、学生宿舍内务、紧急疏散演练等。</w:t>
      </w:r>
    </w:p>
    <w:p w14:paraId="74E9792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Cs w:val="21"/>
        </w:rPr>
      </w:pPr>
    </w:p>
    <w:p w14:paraId="3CDB248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3FC811D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7F2558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36FEEC3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02B026F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439818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6139FFB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2EAD4E1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352CEAE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54DE0F4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0CBDF71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778470F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562F98A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2C13308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15E833F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73B3162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3B08183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p>
    <w:p w14:paraId="48E83F5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Courier New"/>
          <w:b/>
          <w:sz w:val="28"/>
          <w:szCs w:val="28"/>
        </w:rPr>
      </w:pPr>
      <w:r>
        <w:rPr>
          <w:rFonts w:hint="eastAsia" w:ascii="宋体" w:hAnsi="宋体" w:cs="Courier New"/>
          <w:b/>
          <w:sz w:val="28"/>
          <w:szCs w:val="28"/>
        </w:rPr>
        <w:br w:type="page"/>
      </w:r>
    </w:p>
    <w:p w14:paraId="5037285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Courier New"/>
          <w:b/>
          <w:sz w:val="28"/>
          <w:szCs w:val="28"/>
        </w:rPr>
      </w:pPr>
      <w:r>
        <w:rPr>
          <w:rFonts w:hint="eastAsia" w:ascii="宋体" w:hAnsi="宋体" w:cs="Courier New"/>
          <w:b/>
          <w:sz w:val="28"/>
          <w:szCs w:val="28"/>
        </w:rPr>
        <w:t>附件2：</w:t>
      </w:r>
    </w:p>
    <w:p w14:paraId="644CE5E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驻校教官队奖罚条例实施细则</w:t>
      </w:r>
    </w:p>
    <w:p w14:paraId="3A36324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为激励驻校教官队做好学生管理和校园安全保卫工作，维护学校良好的育人环境，提升学生教育管理成效，甲、乙双方在签订《合同书》及《</w:t>
      </w:r>
      <w:r>
        <w:rPr>
          <w:rFonts w:hint="eastAsia" w:ascii="宋体" w:hAnsi="宋体" w:eastAsia="宋体" w:cs="宋体"/>
          <w:bCs/>
          <w:color w:val="auto"/>
          <w:sz w:val="21"/>
          <w:szCs w:val="21"/>
        </w:rPr>
        <w:t>校园准军事化管理</w:t>
      </w:r>
      <w:r>
        <w:rPr>
          <w:rFonts w:hint="eastAsia" w:ascii="宋体" w:hAnsi="宋体" w:eastAsia="宋体" w:cs="宋体"/>
          <w:color w:val="auto"/>
          <w:sz w:val="21"/>
          <w:szCs w:val="21"/>
        </w:rPr>
        <w:t>补充协议》</w:t>
      </w:r>
      <w:r>
        <w:rPr>
          <w:rFonts w:hint="eastAsia" w:ascii="宋体" w:hAnsi="宋体" w:eastAsia="宋体" w:cs="宋体"/>
          <w:bCs/>
          <w:color w:val="auto"/>
          <w:sz w:val="21"/>
          <w:szCs w:val="21"/>
        </w:rPr>
        <w:t>（简称：协议）</w:t>
      </w:r>
      <w:r>
        <w:rPr>
          <w:rFonts w:hint="eastAsia" w:ascii="宋体" w:hAnsi="宋体" w:eastAsia="宋体" w:cs="宋体"/>
          <w:color w:val="auto"/>
          <w:sz w:val="21"/>
          <w:szCs w:val="21"/>
        </w:rPr>
        <w:t>的基础上，经双方协商签订本条例。</w:t>
      </w:r>
    </w:p>
    <w:p w14:paraId="64509B9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一、奖励细则</w:t>
      </w:r>
    </w:p>
    <w:p w14:paraId="30F790C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（一）未发生责任治安案件、刑事案件，每学期给予教官队一次性奖励1000元。</w:t>
      </w:r>
    </w:p>
    <w:p w14:paraId="3FD2F9A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发生责任消防案件，每学期给予教官队一次性奖励500元。</w:t>
      </w:r>
    </w:p>
    <w:p w14:paraId="5B0A644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（三）学生调查满意度达80%以上，每学期给予教官队一次性奖励500元。</w:t>
      </w:r>
    </w:p>
    <w:p w14:paraId="0D52F1C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（四）学生文明礼貌，校园清洁卫生，</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0%及以上学生宿舍内务卫生达良好以上，每学期给予教官队一次性奖励500元。</w:t>
      </w:r>
    </w:p>
    <w:p w14:paraId="1BA371EB">
      <w:pPr>
        <w:keepNext w:val="0"/>
        <w:keepLines w:val="0"/>
        <w:pageBreakBefore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（五）按教官队总人数30%的比例对工作业绩优秀的教官给予奖励，每学期每人奖励300元。</w:t>
      </w:r>
    </w:p>
    <w:p w14:paraId="45DA00D5">
      <w:pPr>
        <w:keepNext w:val="0"/>
        <w:keepLines w:val="0"/>
        <w:pageBreakBefore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（六）在非责任突发事件中做出突出贡献的教官酌情给予奖励。</w:t>
      </w:r>
    </w:p>
    <w:p w14:paraId="39460AA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二、惩罚细则</w:t>
      </w:r>
    </w:p>
    <w:p w14:paraId="01F7F81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（一）教官队员的个人素质和条件应符合</w:t>
      </w:r>
      <w:r>
        <w:rPr>
          <w:rFonts w:hint="eastAsia" w:ascii="宋体" w:hAnsi="宋体" w:eastAsia="宋体" w:cs="宋体"/>
          <w:bCs/>
          <w:color w:val="auto"/>
          <w:sz w:val="21"/>
          <w:szCs w:val="21"/>
        </w:rPr>
        <w:t>协议</w:t>
      </w:r>
      <w:r>
        <w:rPr>
          <w:rFonts w:hint="eastAsia" w:ascii="宋体" w:hAnsi="宋体" w:eastAsia="宋体" w:cs="宋体"/>
          <w:color w:val="auto"/>
          <w:sz w:val="21"/>
          <w:szCs w:val="21"/>
        </w:rPr>
        <w:t>要求，否则每发现一人次罚款50元；如不符合要求的人数超过教官队总人数的</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0%时，</w:t>
      </w:r>
      <w:r>
        <w:rPr>
          <w:rFonts w:hint="eastAsia" w:ascii="宋体" w:hAnsi="宋体" w:eastAsia="宋体" w:cs="宋体"/>
          <w:bCs/>
          <w:color w:val="auto"/>
          <w:sz w:val="21"/>
          <w:szCs w:val="21"/>
        </w:rPr>
        <w:t>甲方</w:t>
      </w:r>
      <w:r>
        <w:rPr>
          <w:rFonts w:hint="eastAsia" w:ascii="宋体" w:hAnsi="宋体" w:eastAsia="宋体" w:cs="宋体"/>
          <w:color w:val="auto"/>
          <w:sz w:val="21"/>
          <w:szCs w:val="21"/>
        </w:rPr>
        <w:t>有权单方面终止合同。每名教官入校时须向</w:t>
      </w:r>
      <w:r>
        <w:rPr>
          <w:rFonts w:hint="eastAsia" w:ascii="宋体" w:hAnsi="宋体" w:eastAsia="宋体" w:cs="宋体"/>
          <w:bCs/>
          <w:color w:val="auto"/>
          <w:sz w:val="21"/>
          <w:szCs w:val="21"/>
        </w:rPr>
        <w:t>甲方</w:t>
      </w:r>
      <w:r>
        <w:rPr>
          <w:rFonts w:hint="eastAsia" w:ascii="宋体" w:hAnsi="宋体" w:eastAsia="宋体" w:cs="宋体"/>
          <w:color w:val="auto"/>
          <w:sz w:val="21"/>
          <w:szCs w:val="21"/>
        </w:rPr>
        <w:t>提供证明其身份的材料原件及复印件（审原件留复印件）。</w:t>
      </w:r>
    </w:p>
    <w:p w14:paraId="1B64946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（二）乙方应保持教官队伍的稳定性。教官队中</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名骨干教官在合同期内不出现失误且未经甲方同意不能更换；每一个学期教官调整不能超过10人次，否则每人次罚款100元（甲方要求更换的教官除外）。</w:t>
      </w:r>
    </w:p>
    <w:p w14:paraId="6AA3312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（三）学院门岗管理</w:t>
      </w:r>
    </w:p>
    <w:p w14:paraId="1C971894">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1.在校园封闭管理期间，教官私自放行学生外出每人次罚款5元；如私自放行的学生在校外发生安全事故或违法事件，给学生</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甲方造成</w:t>
      </w:r>
      <w:r>
        <w:rPr>
          <w:rFonts w:hint="eastAsia" w:ascii="宋体" w:hAnsi="宋体" w:eastAsia="宋体" w:cs="宋体"/>
          <w:color w:val="auto"/>
          <w:sz w:val="21"/>
          <w:szCs w:val="21"/>
          <w:lang w:val="en-US" w:eastAsia="zh-CN"/>
        </w:rPr>
        <w:t>经济</w:t>
      </w:r>
      <w:r>
        <w:rPr>
          <w:rFonts w:hint="eastAsia" w:ascii="宋体" w:hAnsi="宋体" w:eastAsia="宋体" w:cs="宋体"/>
          <w:color w:val="auto"/>
          <w:sz w:val="21"/>
          <w:szCs w:val="21"/>
        </w:rPr>
        <w:t>损失的，</w:t>
      </w:r>
      <w:r>
        <w:rPr>
          <w:rFonts w:hint="eastAsia" w:ascii="宋体" w:hAnsi="宋体" w:eastAsia="宋体" w:cs="宋体"/>
          <w:color w:val="auto"/>
          <w:sz w:val="21"/>
          <w:szCs w:val="21"/>
          <w:lang w:val="en-US" w:eastAsia="zh-CN"/>
        </w:rPr>
        <w:t>按损失的10%以上给予处罚，并按损失的50%以上给予赔偿</w:t>
      </w:r>
      <w:r>
        <w:rPr>
          <w:rFonts w:hint="eastAsia" w:ascii="宋体" w:hAnsi="宋体" w:eastAsia="宋体" w:cs="宋体"/>
          <w:color w:val="auto"/>
          <w:sz w:val="21"/>
          <w:szCs w:val="21"/>
        </w:rPr>
        <w:t>。</w:t>
      </w:r>
    </w:p>
    <w:p w14:paraId="2E475B3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2.对外来车辆、人员不进行登记的每人（车）次罚款20元；登记信息不全（如有入校记录无离校记录等）每人（车）次罚款10元</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因把关不严引发安全事故的视情节</w:t>
      </w:r>
      <w:r>
        <w:rPr>
          <w:rFonts w:hint="eastAsia" w:ascii="宋体" w:hAnsi="宋体" w:eastAsia="宋体" w:cs="宋体"/>
          <w:color w:val="auto"/>
          <w:sz w:val="21"/>
          <w:szCs w:val="21"/>
          <w:lang w:val="en-US" w:eastAsia="zh-CN"/>
        </w:rPr>
        <w:t>按3倍以上或按经济损失的10%以上</w:t>
      </w:r>
      <w:r>
        <w:rPr>
          <w:rFonts w:hint="eastAsia" w:ascii="宋体" w:hAnsi="宋体" w:eastAsia="宋体" w:cs="宋体"/>
          <w:color w:val="auto"/>
          <w:sz w:val="21"/>
          <w:szCs w:val="21"/>
        </w:rPr>
        <w:t>加重处罚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并按损失的50%以上给予赔偿</w:t>
      </w:r>
      <w:r>
        <w:rPr>
          <w:rFonts w:hint="eastAsia" w:ascii="宋体" w:hAnsi="宋体" w:eastAsia="宋体" w:cs="宋体"/>
          <w:color w:val="auto"/>
          <w:sz w:val="21"/>
          <w:szCs w:val="21"/>
        </w:rPr>
        <w:t>。</w:t>
      </w:r>
    </w:p>
    <w:p w14:paraId="1D27837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3.对邮局、物流公司送达的报纸、信件、杂志、包裹等要妥善保管、及时发送。</w:t>
      </w:r>
    </w:p>
    <w:p w14:paraId="5F007A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rPr>
        <w:t>4.除特殊情况外，校大门前黄色网格线内禁止机动车停放，</w:t>
      </w:r>
      <w:r>
        <w:rPr>
          <w:rFonts w:hint="eastAsia" w:ascii="宋体" w:hAnsi="宋体" w:eastAsia="宋体" w:cs="宋体"/>
          <w:color w:val="auto"/>
          <w:sz w:val="21"/>
          <w:szCs w:val="21"/>
          <w:highlight w:val="none"/>
        </w:rPr>
        <w:t>每发现停放一辆次罚款50元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乙方未发现或未制止</w:t>
      </w:r>
      <w:r>
        <w:rPr>
          <w:rFonts w:hint="eastAsia" w:ascii="宋体" w:hAnsi="宋体" w:eastAsia="宋体" w:cs="宋体"/>
          <w:color w:val="auto"/>
          <w:sz w:val="21"/>
          <w:szCs w:val="21"/>
          <w:lang w:val="en-US" w:eastAsia="zh-CN"/>
        </w:rPr>
        <w:t>除外）。</w:t>
      </w:r>
    </w:p>
    <w:p w14:paraId="4576E0B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（四）夜巡岗位管理</w:t>
      </w:r>
    </w:p>
    <w:p w14:paraId="25D4EF1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dstrike/>
          <w:color w:val="auto"/>
          <w:sz w:val="21"/>
          <w:szCs w:val="21"/>
        </w:rPr>
      </w:pPr>
      <w:r>
        <w:rPr>
          <w:rFonts w:hint="eastAsia" w:ascii="宋体" w:hAnsi="宋体" w:eastAsia="宋体" w:cs="宋体"/>
          <w:color w:val="auto"/>
          <w:sz w:val="21"/>
          <w:szCs w:val="21"/>
        </w:rPr>
        <w:t>1.因夜间巡查不到位，造成甲方财产损失的，</w:t>
      </w:r>
      <w:r>
        <w:rPr>
          <w:rFonts w:hint="eastAsia" w:ascii="宋体" w:hAnsi="宋体" w:eastAsia="宋体" w:cs="宋体"/>
          <w:color w:val="auto"/>
          <w:sz w:val="21"/>
          <w:szCs w:val="21"/>
          <w:lang w:val="en-US" w:eastAsia="zh-CN"/>
        </w:rPr>
        <w:t>按损失的10%以上给予处罚，并按损失的50%以上给予赔偿(经相关机关认定)。</w:t>
      </w:r>
    </w:p>
    <w:p w14:paraId="5A8E007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2.夜巡值班人员至少每半小时全院巡查一遍，不按时巡逻的每发现一次罚款30元，缺岗的每次罚款60元。</w:t>
      </w:r>
    </w:p>
    <w:p w14:paraId="2A2B11D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（五）学生宿舍岗位管理</w:t>
      </w:r>
    </w:p>
    <w:p w14:paraId="2D29E0C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1.未按时开关宿舍电闸每次罚款50元。</w:t>
      </w:r>
    </w:p>
    <w:p w14:paraId="4D9DF77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2.内务卫生检查、整改不力，宿舍脏、乱、差，达不到学生手册中《学生宿舍管理规定》要求的，要及时通知班主任要求学生回宿舍进行整改。如未通知班主任，学生也未整改的每间房罚款10元。</w:t>
      </w:r>
    </w:p>
    <w:p w14:paraId="0D3BDC3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3.教官因管理不到位被学生投诉，经调查属实的每起罚款20元。</w:t>
      </w:r>
    </w:p>
    <w:p w14:paraId="120CBA8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4.学生私拉电线、乱接电源时间超过1小时未发现或纠正的，每起罚款20元。</w:t>
      </w:r>
    </w:p>
    <w:p w14:paraId="3CFE07C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5.学生在宿舍酗酒、猜码制止不力，每起罚款10元。</w:t>
      </w:r>
    </w:p>
    <w:p w14:paraId="252FE61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6.对未按时离开宿舍的学生要进行批评教育并做好登记，否则每人次罚款5元。</w:t>
      </w:r>
    </w:p>
    <w:p w14:paraId="4ABD384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7.每天晚上应按规定检查学生就寝人数，对晚归、夜不归宿的学生做好记录并报告主管部门，每缺一次罚款50元。</w:t>
      </w:r>
    </w:p>
    <w:p w14:paraId="7540E42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8.每天按规定检查评比宿舍内务卫生，每缺一次罚款50元。</w:t>
      </w:r>
    </w:p>
    <w:p w14:paraId="3FF40A1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9.因宿舍门、窗被撬造成学生财物失窃的，每起罚款50～100元</w:t>
      </w:r>
      <w:r>
        <w:rPr>
          <w:rFonts w:hint="eastAsia" w:ascii="宋体" w:hAnsi="宋体" w:eastAsia="宋体" w:cs="宋体"/>
          <w:color w:val="auto"/>
          <w:sz w:val="21"/>
          <w:szCs w:val="21"/>
          <w:lang w:val="en-US" w:eastAsia="zh-CN"/>
        </w:rPr>
        <w:t>或按经济损失的10%以上给予处罚，并按损失的50%以上给予赔偿(经相关机关认定)</w:t>
      </w:r>
      <w:r>
        <w:rPr>
          <w:rFonts w:hint="eastAsia" w:ascii="宋体" w:hAnsi="宋体" w:eastAsia="宋体" w:cs="宋体"/>
          <w:color w:val="auto"/>
          <w:sz w:val="21"/>
          <w:szCs w:val="21"/>
        </w:rPr>
        <w:t>。</w:t>
      </w:r>
    </w:p>
    <w:p w14:paraId="075FEB7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（六）校园发生安全事件（如打架、斗殴、火灾等）5分钟内值班人员不到达现场控制，导致严重后果的，每次罚款200～500元</w:t>
      </w:r>
      <w:r>
        <w:rPr>
          <w:rFonts w:hint="eastAsia" w:ascii="宋体" w:hAnsi="宋体" w:eastAsia="宋体" w:cs="宋体"/>
          <w:color w:val="auto"/>
          <w:sz w:val="21"/>
          <w:szCs w:val="21"/>
          <w:lang w:val="en-US" w:eastAsia="zh-CN"/>
        </w:rPr>
        <w:t>或按经济损失的10%以上给予处罚，并按损失的50%以上给予赔偿</w:t>
      </w:r>
      <w:r>
        <w:rPr>
          <w:rFonts w:hint="eastAsia" w:ascii="宋体" w:hAnsi="宋体" w:eastAsia="宋体" w:cs="宋体"/>
          <w:color w:val="auto"/>
          <w:sz w:val="21"/>
          <w:szCs w:val="21"/>
        </w:rPr>
        <w:t>。</w:t>
      </w:r>
    </w:p>
    <w:p w14:paraId="785A7FE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（七）乙方未按</w:t>
      </w:r>
      <w:r>
        <w:rPr>
          <w:rFonts w:hint="eastAsia" w:ascii="宋体" w:hAnsi="宋体" w:eastAsia="宋体" w:cs="宋体"/>
          <w:bCs/>
          <w:color w:val="auto"/>
          <w:sz w:val="21"/>
          <w:szCs w:val="21"/>
        </w:rPr>
        <w:t>协议规定人数</w:t>
      </w:r>
      <w:r>
        <w:rPr>
          <w:rFonts w:hint="eastAsia" w:ascii="宋体" w:hAnsi="宋体" w:eastAsia="宋体" w:cs="宋体"/>
          <w:color w:val="auto"/>
          <w:sz w:val="21"/>
          <w:szCs w:val="21"/>
        </w:rPr>
        <w:t>足额配置各岗位人员，每发现空缺一人次罚款200元。如一次检查发现空缺超过三人时，甲方有权单方面终止合同（特殊情况如有人请假需同事之间换班、顶岗的除外，但请假2天及以上需报主管部门备查，5天及以上报告分管院领导）。</w:t>
      </w:r>
    </w:p>
    <w:p w14:paraId="7DEF879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（八）车辆管理不到位，院内汽车、摩托车、电动车乱停乱放，每发现一车次罚款5元。</w:t>
      </w:r>
    </w:p>
    <w:p w14:paraId="2773ADD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（九）校园秩序与学生晚自习检查。每天按要求对校园秩序、晚自习纪律进行检查并做好记录，督促学生整改，纠正学生违纪行为，每缺一次罚款50元。</w:t>
      </w:r>
    </w:p>
    <w:p w14:paraId="2C59D12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（十）不服从主管部门的工作安排或不能按要求完成的，每次罚款10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100元。</w:t>
      </w:r>
    </w:p>
    <w:p w14:paraId="222C733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（十一）、教官队每周常规训练一次，缺一次罚款100元。</w:t>
      </w:r>
    </w:p>
    <w:p w14:paraId="6EE578F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（十二）、</w:t>
      </w:r>
      <w:r>
        <w:rPr>
          <w:rFonts w:hint="eastAsia" w:ascii="宋体" w:hAnsi="宋体" w:eastAsia="宋体" w:cs="宋体"/>
          <w:bCs/>
          <w:color w:val="auto"/>
          <w:sz w:val="21"/>
          <w:szCs w:val="21"/>
        </w:rPr>
        <w:t>甲方</w:t>
      </w:r>
      <w:r>
        <w:rPr>
          <w:rFonts w:hint="eastAsia" w:ascii="宋体" w:hAnsi="宋体" w:eastAsia="宋体" w:cs="宋体"/>
          <w:color w:val="auto"/>
          <w:sz w:val="21"/>
          <w:szCs w:val="21"/>
        </w:rPr>
        <w:t>每月对教官队进行绩效考核，完不成以下指标的，每指标罚款50元：</w:t>
      </w:r>
    </w:p>
    <w:p w14:paraId="7A7C048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1.宿舍内务卫生60%及以上评比为良好。</w:t>
      </w:r>
    </w:p>
    <w:p w14:paraId="5342C82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2.上课期间（含晚自习）无学生擅自在宿舍、道路、球场、礼堂、饭堂等场所滞留现象。</w:t>
      </w:r>
    </w:p>
    <w:p w14:paraId="59C9D8B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3.校园内无三人及以上的打架斗殴、喝酒、赌博、起哄闹事等群体事件。</w:t>
      </w:r>
    </w:p>
    <w:p w14:paraId="69F5982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4.学生夜不归宿率不超过0.5%。</w:t>
      </w:r>
    </w:p>
    <w:p w14:paraId="046F383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5.校园内不发生重大财产、人身安全责任事故。</w:t>
      </w:r>
    </w:p>
    <w:p w14:paraId="6A46D89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6.学生宿舍无抽烟、吸毒情况。</w:t>
      </w:r>
    </w:p>
    <w:p w14:paraId="78F20DF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7.学生进出宿舍区校牌佩戴率高于98%，无穿拖鞋离开宿舍到教室上课现象。</w:t>
      </w:r>
    </w:p>
    <w:p w14:paraId="7CBFF3F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8.校园无推销等闲杂人员进入，无学生擅自进、出校门现象。</w:t>
      </w:r>
    </w:p>
    <w:p w14:paraId="423713C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9.校园风气正，学生文明礼貌好。</w:t>
      </w:r>
    </w:p>
    <w:p w14:paraId="49FDB00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10.学生讲卫生，不乱扔垃圾，校园卫生环境干净整洁。</w:t>
      </w:r>
    </w:p>
    <w:p w14:paraId="2DB4EDE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（十三）、在疫情防控期间，教官未严格按照防控有关要求和规定履行职责，甲方按每人次</w:t>
      </w:r>
      <w:r>
        <w:rPr>
          <w:rFonts w:hint="eastAsia" w:ascii="宋体" w:hAnsi="宋体" w:eastAsia="宋体" w:cs="宋体"/>
          <w:color w:val="auto"/>
          <w:sz w:val="21"/>
          <w:szCs w:val="21"/>
        </w:rPr>
        <w:t>罚款50～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00元</w:t>
      </w:r>
      <w:r>
        <w:rPr>
          <w:rFonts w:hint="eastAsia" w:ascii="宋体" w:hAnsi="宋体" w:eastAsia="宋体" w:cs="宋体"/>
          <w:color w:val="auto"/>
          <w:sz w:val="21"/>
          <w:szCs w:val="21"/>
          <w:lang w:val="en-US" w:eastAsia="zh-CN"/>
        </w:rPr>
        <w:t>对</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予以处罚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造成不良后果的视情节给予3倍以上加重处罚。</w:t>
      </w:r>
    </w:p>
    <w:p w14:paraId="36449D7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十四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因</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管理失误导致</w:t>
      </w:r>
      <w:r>
        <w:rPr>
          <w:rFonts w:hint="eastAsia" w:ascii="宋体" w:hAnsi="宋体" w:eastAsia="宋体" w:cs="宋体"/>
          <w:color w:val="auto"/>
          <w:sz w:val="21"/>
          <w:szCs w:val="21"/>
        </w:rPr>
        <w:t>校园内发生重大安全责任事故</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按经济损失的10%以上对</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予以处罚，并且</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按损失的50%以上赔偿</w:t>
      </w: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，同时，甲方有权单方面终止合同</w:t>
      </w:r>
      <w:r>
        <w:rPr>
          <w:rFonts w:hint="eastAsia" w:ascii="宋体" w:hAnsi="宋体" w:eastAsia="宋体" w:cs="宋体"/>
          <w:color w:val="auto"/>
          <w:sz w:val="21"/>
          <w:szCs w:val="21"/>
        </w:rPr>
        <w:t>。</w:t>
      </w:r>
    </w:p>
    <w:p w14:paraId="506F0CE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三、本条例在实际执行中如遇未尽事项，可参照同类条款执行或双方协商。</w:t>
      </w:r>
    </w:p>
    <w:p w14:paraId="0D21AB6F">
      <w:pPr>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四、本条例的奖罚金额按学期统计、结算</w:t>
      </w:r>
      <w:r>
        <w:rPr>
          <w:rFonts w:hint="eastAsia" w:ascii="宋体" w:hAnsi="宋体" w:eastAsia="宋体" w:cs="宋体"/>
          <w:bCs/>
          <w:color w:val="auto"/>
          <w:sz w:val="21"/>
          <w:szCs w:val="21"/>
        </w:rPr>
        <w:t>。</w:t>
      </w:r>
    </w:p>
    <w:p w14:paraId="641FCBCF">
      <w:pPr>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rPr>
      </w:pPr>
      <w:r>
        <w:rPr>
          <w:rFonts w:hint="eastAsia" w:ascii="宋体" w:hAnsi="宋体" w:eastAsia="宋体" w:cs="宋体"/>
          <w:sz w:val="21"/>
          <w:szCs w:val="21"/>
        </w:rPr>
        <w:t>五、本条例为双方签订的</w:t>
      </w:r>
      <w:r>
        <w:rPr>
          <w:rFonts w:hint="eastAsia" w:ascii="宋体" w:hAnsi="宋体" w:eastAsia="宋体" w:cs="宋体"/>
          <w:bCs/>
          <w:sz w:val="21"/>
          <w:szCs w:val="21"/>
        </w:rPr>
        <w:t>协议附</w:t>
      </w:r>
      <w:r>
        <w:rPr>
          <w:rFonts w:hint="eastAsia" w:ascii="宋体" w:hAnsi="宋体" w:eastAsia="宋体" w:cs="宋体"/>
          <w:sz w:val="21"/>
          <w:szCs w:val="21"/>
        </w:rPr>
        <w:t>件，经双方签字后生效。</w:t>
      </w:r>
    </w:p>
    <w:p w14:paraId="3781DADD">
      <w:pPr>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rPr>
      </w:pPr>
      <w:r>
        <w:rPr>
          <w:rFonts w:hint="eastAsia" w:ascii="宋体" w:hAnsi="宋体" w:eastAsia="宋体" w:cs="宋体"/>
          <w:sz w:val="21"/>
          <w:szCs w:val="21"/>
        </w:rPr>
        <w:t>六、本条例一式四份，甲方三份乙方一份，具同等法律效力。</w:t>
      </w:r>
    </w:p>
    <w:p w14:paraId="2086FAB2">
      <w:pPr>
        <w:pStyle w:val="18"/>
        <w:spacing w:line="480" w:lineRule="auto"/>
      </w:pPr>
    </w:p>
    <w:p w14:paraId="54AF00C0"/>
    <w:p w14:paraId="460AB4FA"/>
    <w:p w14:paraId="3F8FE078"/>
    <w:p w14:paraId="765B20BA">
      <w:pPr>
        <w:ind w:firstLine="420"/>
        <w:rPr>
          <w:color w:val="auto"/>
        </w:rPr>
      </w:pPr>
      <w:r>
        <w:rPr>
          <w:color w:val="auto"/>
        </w:rPr>
        <w:br w:type="page"/>
      </w:r>
    </w:p>
    <w:p w14:paraId="289E732F">
      <w:pPr>
        <w:pStyle w:val="106"/>
        <w:rPr>
          <w:color w:val="auto"/>
        </w:rPr>
      </w:pPr>
    </w:p>
    <w:p w14:paraId="6A64FAD5">
      <w:pPr>
        <w:pStyle w:val="67"/>
        <w:spacing w:after="100"/>
        <w:jc w:val="left"/>
        <w:rPr>
          <w:rFonts w:ascii="宋体" w:hAnsi="宋体" w:eastAsia="宋体" w:cs="宋体"/>
          <w:color w:val="auto"/>
        </w:rPr>
      </w:pPr>
      <w:r>
        <w:rPr>
          <w:rFonts w:hint="eastAsia" w:ascii="宋体" w:hAnsi="宋体" w:eastAsia="宋体" w:cs="宋体"/>
          <w:color w:val="auto"/>
        </w:rPr>
        <w:t>附件：</w:t>
      </w:r>
    </w:p>
    <w:p w14:paraId="78D1FBA9">
      <w:pPr>
        <w:spacing w:line="240" w:lineRule="auto"/>
        <w:ind w:firstLine="0" w:firstLineChars="0"/>
        <w:jc w:val="center"/>
        <w:rPr>
          <w:rFonts w:ascii="宋体" w:hAnsi="宋体" w:eastAsia="宋体" w:cs="宋体"/>
          <w:b/>
          <w:bCs/>
          <w:color w:val="auto"/>
          <w:sz w:val="28"/>
          <w:szCs w:val="28"/>
        </w:rPr>
      </w:pPr>
      <w:r>
        <w:rPr>
          <w:rFonts w:hint="eastAsia" w:ascii="宋体" w:hAnsi="宋体" w:eastAsia="宋体" w:cs="宋体"/>
          <w:b/>
          <w:bCs/>
          <w:color w:val="auto"/>
          <w:sz w:val="28"/>
          <w:szCs w:val="28"/>
        </w:rPr>
        <w:t>中小微企业划型标准</w:t>
      </w:r>
    </w:p>
    <w:tbl>
      <w:tblPr>
        <w:tblStyle w:val="30"/>
        <w:tblW w:w="9476" w:type="dxa"/>
        <w:tblInd w:w="250" w:type="dxa"/>
        <w:tblLayout w:type="fixed"/>
        <w:tblCellMar>
          <w:top w:w="0" w:type="dxa"/>
          <w:left w:w="108" w:type="dxa"/>
          <w:bottom w:w="0" w:type="dxa"/>
          <w:right w:w="108" w:type="dxa"/>
        </w:tblCellMar>
      </w:tblPr>
      <w:tblGrid>
        <w:gridCol w:w="2021"/>
        <w:gridCol w:w="1643"/>
        <w:gridCol w:w="1083"/>
        <w:gridCol w:w="1923"/>
        <w:gridCol w:w="1710"/>
        <w:gridCol w:w="1096"/>
      </w:tblGrid>
      <w:tr w14:paraId="00E2F02E">
        <w:tblPrEx>
          <w:tblCellMar>
            <w:top w:w="0" w:type="dxa"/>
            <w:left w:w="108" w:type="dxa"/>
            <w:bottom w:w="0" w:type="dxa"/>
            <w:right w:w="108" w:type="dxa"/>
          </w:tblCellMar>
        </w:tblPrEx>
        <w:trPr>
          <w:trHeight w:val="142" w:hRule="atLeast"/>
        </w:trPr>
        <w:tc>
          <w:tcPr>
            <w:tcW w:w="2021" w:type="dxa"/>
            <w:tcBorders>
              <w:top w:val="single" w:color="auto" w:sz="4" w:space="0"/>
              <w:left w:val="single" w:color="auto" w:sz="4" w:space="0"/>
              <w:bottom w:val="single" w:color="auto" w:sz="4" w:space="0"/>
              <w:right w:val="single" w:color="auto" w:sz="4" w:space="0"/>
            </w:tcBorders>
            <w:vAlign w:val="center"/>
          </w:tcPr>
          <w:p w14:paraId="5FA55A1C">
            <w:pPr>
              <w:ind w:firstLine="0" w:firstLineChars="0"/>
              <w:jc w:val="center"/>
              <w:rPr>
                <w:rFonts w:ascii="仿宋_GB2312" w:hAnsi="仿宋" w:eastAsia="仿宋_GB2312" w:cs="宋体"/>
                <w:b/>
                <w:color w:val="auto"/>
                <w:sz w:val="18"/>
                <w:szCs w:val="18"/>
              </w:rPr>
            </w:pPr>
            <w:r>
              <w:rPr>
                <w:rFonts w:hint="eastAsia" w:ascii="仿宋_GB2312" w:hAnsi="仿宋" w:eastAsia="仿宋_GB2312" w:cs="宋体"/>
                <w:b/>
                <w:color w:val="auto"/>
                <w:sz w:val="18"/>
                <w:szCs w:val="18"/>
              </w:rPr>
              <w:t>行业名称</w:t>
            </w:r>
          </w:p>
        </w:tc>
        <w:tc>
          <w:tcPr>
            <w:tcW w:w="1643" w:type="dxa"/>
            <w:tcBorders>
              <w:top w:val="single" w:color="auto" w:sz="4" w:space="0"/>
              <w:left w:val="nil"/>
              <w:bottom w:val="single" w:color="auto" w:sz="4" w:space="0"/>
              <w:right w:val="single" w:color="auto" w:sz="4" w:space="0"/>
            </w:tcBorders>
            <w:vAlign w:val="center"/>
          </w:tcPr>
          <w:p w14:paraId="27A2B452">
            <w:pPr>
              <w:ind w:firstLine="0" w:firstLineChars="0"/>
              <w:jc w:val="center"/>
              <w:rPr>
                <w:rFonts w:ascii="仿宋_GB2312" w:hAnsi="仿宋" w:eastAsia="仿宋_GB2312" w:cs="宋体"/>
                <w:b/>
                <w:color w:val="auto"/>
                <w:sz w:val="18"/>
                <w:szCs w:val="18"/>
              </w:rPr>
            </w:pPr>
            <w:r>
              <w:rPr>
                <w:rFonts w:hint="eastAsia" w:ascii="仿宋_GB2312" w:hAnsi="仿宋" w:eastAsia="仿宋_GB2312" w:cs="宋体"/>
                <w:b/>
                <w:color w:val="auto"/>
                <w:sz w:val="18"/>
                <w:szCs w:val="18"/>
              </w:rPr>
              <w:t>指标名称</w:t>
            </w:r>
          </w:p>
        </w:tc>
        <w:tc>
          <w:tcPr>
            <w:tcW w:w="1083" w:type="dxa"/>
            <w:tcBorders>
              <w:top w:val="single" w:color="auto" w:sz="4" w:space="0"/>
              <w:left w:val="nil"/>
              <w:bottom w:val="single" w:color="auto" w:sz="4" w:space="0"/>
              <w:right w:val="single" w:color="auto" w:sz="4" w:space="0"/>
            </w:tcBorders>
            <w:vAlign w:val="center"/>
          </w:tcPr>
          <w:p w14:paraId="659609B7">
            <w:pPr>
              <w:ind w:firstLine="0" w:firstLineChars="0"/>
              <w:jc w:val="center"/>
              <w:rPr>
                <w:rFonts w:ascii="仿宋_GB2312" w:hAnsi="仿宋" w:eastAsia="仿宋_GB2312" w:cs="宋体"/>
                <w:b/>
                <w:color w:val="auto"/>
                <w:sz w:val="18"/>
                <w:szCs w:val="18"/>
              </w:rPr>
            </w:pPr>
            <w:r>
              <w:rPr>
                <w:rFonts w:hint="eastAsia" w:ascii="仿宋_GB2312" w:hAnsi="仿宋" w:eastAsia="仿宋_GB2312" w:cs="宋体"/>
                <w:b/>
                <w:color w:val="auto"/>
                <w:sz w:val="18"/>
                <w:szCs w:val="18"/>
              </w:rPr>
              <w:t>计量单位</w:t>
            </w:r>
          </w:p>
        </w:tc>
        <w:tc>
          <w:tcPr>
            <w:tcW w:w="1923" w:type="dxa"/>
            <w:tcBorders>
              <w:top w:val="single" w:color="auto" w:sz="4" w:space="0"/>
              <w:left w:val="nil"/>
              <w:bottom w:val="single" w:color="auto" w:sz="4" w:space="0"/>
              <w:right w:val="single" w:color="auto" w:sz="4" w:space="0"/>
            </w:tcBorders>
            <w:vAlign w:val="center"/>
          </w:tcPr>
          <w:p w14:paraId="41D72933">
            <w:pPr>
              <w:ind w:firstLine="0" w:firstLineChars="0"/>
              <w:jc w:val="center"/>
              <w:rPr>
                <w:rFonts w:ascii="仿宋_GB2312" w:hAnsi="仿宋" w:eastAsia="仿宋_GB2312" w:cs="宋体"/>
                <w:b/>
                <w:color w:val="auto"/>
                <w:sz w:val="18"/>
                <w:szCs w:val="18"/>
              </w:rPr>
            </w:pPr>
            <w:r>
              <w:rPr>
                <w:rFonts w:hint="eastAsia" w:ascii="仿宋_GB2312" w:hAnsi="仿宋" w:eastAsia="仿宋_GB2312" w:cs="宋体"/>
                <w:b/>
                <w:color w:val="auto"/>
                <w:sz w:val="18"/>
                <w:szCs w:val="18"/>
              </w:rPr>
              <w:t>中型</w:t>
            </w:r>
          </w:p>
        </w:tc>
        <w:tc>
          <w:tcPr>
            <w:tcW w:w="1710" w:type="dxa"/>
            <w:tcBorders>
              <w:top w:val="single" w:color="auto" w:sz="4" w:space="0"/>
              <w:left w:val="nil"/>
              <w:bottom w:val="single" w:color="auto" w:sz="4" w:space="0"/>
              <w:right w:val="single" w:color="auto" w:sz="4" w:space="0"/>
            </w:tcBorders>
            <w:vAlign w:val="center"/>
          </w:tcPr>
          <w:p w14:paraId="53B0B3B0">
            <w:pPr>
              <w:ind w:firstLine="0" w:firstLineChars="0"/>
              <w:jc w:val="center"/>
              <w:rPr>
                <w:rFonts w:ascii="仿宋_GB2312" w:hAnsi="仿宋" w:eastAsia="仿宋_GB2312" w:cs="宋体"/>
                <w:b/>
                <w:color w:val="auto"/>
                <w:sz w:val="18"/>
                <w:szCs w:val="18"/>
              </w:rPr>
            </w:pPr>
            <w:r>
              <w:rPr>
                <w:rFonts w:hint="eastAsia" w:ascii="仿宋_GB2312" w:hAnsi="仿宋" w:eastAsia="仿宋_GB2312" w:cs="宋体"/>
                <w:b/>
                <w:color w:val="auto"/>
                <w:sz w:val="18"/>
                <w:szCs w:val="18"/>
              </w:rPr>
              <w:t>小型</w:t>
            </w:r>
          </w:p>
        </w:tc>
        <w:tc>
          <w:tcPr>
            <w:tcW w:w="1096" w:type="dxa"/>
            <w:tcBorders>
              <w:top w:val="single" w:color="auto" w:sz="4" w:space="0"/>
              <w:left w:val="nil"/>
              <w:bottom w:val="single" w:color="auto" w:sz="4" w:space="0"/>
              <w:right w:val="single" w:color="auto" w:sz="4" w:space="0"/>
            </w:tcBorders>
            <w:vAlign w:val="center"/>
          </w:tcPr>
          <w:p w14:paraId="3A16B198">
            <w:pPr>
              <w:ind w:firstLine="0" w:firstLineChars="0"/>
              <w:jc w:val="center"/>
              <w:rPr>
                <w:rFonts w:ascii="仿宋_GB2312" w:hAnsi="仿宋" w:eastAsia="仿宋_GB2312" w:cs="宋体"/>
                <w:b/>
                <w:color w:val="auto"/>
                <w:sz w:val="18"/>
                <w:szCs w:val="18"/>
              </w:rPr>
            </w:pPr>
            <w:r>
              <w:rPr>
                <w:rFonts w:hint="eastAsia" w:ascii="仿宋_GB2312" w:hAnsi="仿宋" w:eastAsia="仿宋_GB2312" w:cs="宋体"/>
                <w:b/>
                <w:color w:val="auto"/>
                <w:sz w:val="18"/>
                <w:szCs w:val="18"/>
              </w:rPr>
              <w:t>微型</w:t>
            </w:r>
          </w:p>
        </w:tc>
      </w:tr>
      <w:tr w14:paraId="75B82DAF">
        <w:tblPrEx>
          <w:tblCellMar>
            <w:top w:w="0" w:type="dxa"/>
            <w:left w:w="108" w:type="dxa"/>
            <w:bottom w:w="0" w:type="dxa"/>
            <w:right w:w="108" w:type="dxa"/>
          </w:tblCellMar>
        </w:tblPrEx>
        <w:trPr>
          <w:trHeight w:val="323" w:hRule="atLeast"/>
        </w:trPr>
        <w:tc>
          <w:tcPr>
            <w:tcW w:w="2021" w:type="dxa"/>
            <w:tcBorders>
              <w:top w:val="nil"/>
              <w:left w:val="single" w:color="auto" w:sz="4" w:space="0"/>
              <w:bottom w:val="single" w:color="auto" w:sz="4" w:space="0"/>
              <w:right w:val="single" w:color="auto" w:sz="4" w:space="0"/>
            </w:tcBorders>
            <w:vAlign w:val="center"/>
          </w:tcPr>
          <w:p w14:paraId="225255D6">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农、林、牧、渔</w:t>
            </w:r>
          </w:p>
        </w:tc>
        <w:tc>
          <w:tcPr>
            <w:tcW w:w="1643" w:type="dxa"/>
            <w:tcBorders>
              <w:top w:val="nil"/>
              <w:left w:val="nil"/>
              <w:bottom w:val="single" w:color="auto" w:sz="4" w:space="0"/>
              <w:right w:val="single" w:color="auto" w:sz="4" w:space="0"/>
            </w:tcBorders>
            <w:vAlign w:val="center"/>
          </w:tcPr>
          <w:p w14:paraId="508CFEAC">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2B637F9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1D2F045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500≤Y＜20000</w:t>
            </w:r>
          </w:p>
        </w:tc>
        <w:tc>
          <w:tcPr>
            <w:tcW w:w="1710" w:type="dxa"/>
            <w:tcBorders>
              <w:top w:val="nil"/>
              <w:left w:val="nil"/>
              <w:bottom w:val="single" w:color="auto" w:sz="4" w:space="0"/>
              <w:right w:val="single" w:color="auto" w:sz="4" w:space="0"/>
            </w:tcBorders>
            <w:vAlign w:val="center"/>
          </w:tcPr>
          <w:p w14:paraId="37EDD09E">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50≤Y＜500</w:t>
            </w:r>
          </w:p>
        </w:tc>
        <w:tc>
          <w:tcPr>
            <w:tcW w:w="1096" w:type="dxa"/>
            <w:tcBorders>
              <w:top w:val="nil"/>
              <w:left w:val="nil"/>
              <w:bottom w:val="single" w:color="auto" w:sz="4" w:space="0"/>
              <w:right w:val="single" w:color="auto" w:sz="4" w:space="0"/>
            </w:tcBorders>
            <w:vAlign w:val="center"/>
          </w:tcPr>
          <w:p w14:paraId="66389505">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Y＜50</w:t>
            </w:r>
          </w:p>
        </w:tc>
      </w:tr>
      <w:tr w14:paraId="445CB722">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38111293">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工业</w:t>
            </w:r>
          </w:p>
        </w:tc>
        <w:tc>
          <w:tcPr>
            <w:tcW w:w="1643" w:type="dxa"/>
            <w:tcBorders>
              <w:top w:val="nil"/>
              <w:left w:val="nil"/>
              <w:bottom w:val="single" w:color="auto" w:sz="4" w:space="0"/>
              <w:right w:val="single" w:color="auto" w:sz="4" w:space="0"/>
            </w:tcBorders>
            <w:vAlign w:val="center"/>
          </w:tcPr>
          <w:p w14:paraId="05C9448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181F113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724336F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300≤X＜1000</w:t>
            </w:r>
          </w:p>
        </w:tc>
        <w:tc>
          <w:tcPr>
            <w:tcW w:w="1710" w:type="dxa"/>
            <w:tcBorders>
              <w:top w:val="nil"/>
              <w:left w:val="nil"/>
              <w:bottom w:val="single" w:color="auto" w:sz="4" w:space="0"/>
              <w:right w:val="single" w:color="auto" w:sz="4" w:space="0"/>
            </w:tcBorders>
            <w:vAlign w:val="center"/>
          </w:tcPr>
          <w:p w14:paraId="2108E657">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20≤X＜300</w:t>
            </w:r>
          </w:p>
        </w:tc>
        <w:tc>
          <w:tcPr>
            <w:tcW w:w="1096" w:type="dxa"/>
            <w:tcBorders>
              <w:top w:val="nil"/>
              <w:left w:val="nil"/>
              <w:bottom w:val="single" w:color="auto" w:sz="4" w:space="0"/>
              <w:right w:val="single" w:color="auto" w:sz="4" w:space="0"/>
            </w:tcBorders>
            <w:vAlign w:val="center"/>
          </w:tcPr>
          <w:p w14:paraId="44249EA9">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X＜20</w:t>
            </w:r>
          </w:p>
        </w:tc>
      </w:tr>
      <w:tr w14:paraId="7673825C">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18544558">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7B5A05A3">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10B52E76">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1E3C435F">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2000≤Y＜40000</w:t>
            </w:r>
          </w:p>
        </w:tc>
        <w:tc>
          <w:tcPr>
            <w:tcW w:w="1710" w:type="dxa"/>
            <w:tcBorders>
              <w:top w:val="nil"/>
              <w:left w:val="nil"/>
              <w:bottom w:val="single" w:color="auto" w:sz="4" w:space="0"/>
              <w:right w:val="single" w:color="auto" w:sz="4" w:space="0"/>
            </w:tcBorders>
            <w:vAlign w:val="center"/>
          </w:tcPr>
          <w:p w14:paraId="1D6C6374">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300≤Y＜2000</w:t>
            </w:r>
          </w:p>
        </w:tc>
        <w:tc>
          <w:tcPr>
            <w:tcW w:w="1096" w:type="dxa"/>
            <w:tcBorders>
              <w:top w:val="nil"/>
              <w:left w:val="nil"/>
              <w:bottom w:val="single" w:color="auto" w:sz="4" w:space="0"/>
              <w:right w:val="single" w:color="auto" w:sz="4" w:space="0"/>
            </w:tcBorders>
            <w:vAlign w:val="center"/>
          </w:tcPr>
          <w:p w14:paraId="46BB0BF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Y＜300</w:t>
            </w:r>
          </w:p>
        </w:tc>
      </w:tr>
      <w:tr w14:paraId="1077A311">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457ADF6B">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建筑业</w:t>
            </w:r>
          </w:p>
        </w:tc>
        <w:tc>
          <w:tcPr>
            <w:tcW w:w="1643" w:type="dxa"/>
            <w:tcBorders>
              <w:top w:val="nil"/>
              <w:left w:val="nil"/>
              <w:bottom w:val="single" w:color="auto" w:sz="4" w:space="0"/>
              <w:right w:val="single" w:color="auto" w:sz="4" w:space="0"/>
            </w:tcBorders>
            <w:vAlign w:val="center"/>
          </w:tcPr>
          <w:p w14:paraId="622366C3">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7175071C">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6056FD16">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6000≤Y＜80000</w:t>
            </w:r>
          </w:p>
        </w:tc>
        <w:tc>
          <w:tcPr>
            <w:tcW w:w="1710" w:type="dxa"/>
            <w:tcBorders>
              <w:top w:val="nil"/>
              <w:left w:val="nil"/>
              <w:bottom w:val="single" w:color="auto" w:sz="4" w:space="0"/>
              <w:right w:val="single" w:color="auto" w:sz="4" w:space="0"/>
            </w:tcBorders>
            <w:vAlign w:val="center"/>
          </w:tcPr>
          <w:p w14:paraId="2797484E">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300≤Y＜6000</w:t>
            </w:r>
          </w:p>
        </w:tc>
        <w:tc>
          <w:tcPr>
            <w:tcW w:w="1096" w:type="dxa"/>
            <w:tcBorders>
              <w:top w:val="nil"/>
              <w:left w:val="nil"/>
              <w:bottom w:val="single" w:color="auto" w:sz="4" w:space="0"/>
              <w:right w:val="single" w:color="auto" w:sz="4" w:space="0"/>
            </w:tcBorders>
            <w:vAlign w:val="center"/>
          </w:tcPr>
          <w:p w14:paraId="65A9299F">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Y＜300</w:t>
            </w:r>
          </w:p>
        </w:tc>
      </w:tr>
      <w:tr w14:paraId="6F4DA9A1">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4B148C70">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04B4DAF1">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资产总额（Z）</w:t>
            </w:r>
          </w:p>
        </w:tc>
        <w:tc>
          <w:tcPr>
            <w:tcW w:w="1083" w:type="dxa"/>
            <w:tcBorders>
              <w:top w:val="nil"/>
              <w:left w:val="nil"/>
              <w:bottom w:val="single" w:color="auto" w:sz="4" w:space="0"/>
              <w:right w:val="single" w:color="auto" w:sz="4" w:space="0"/>
            </w:tcBorders>
            <w:vAlign w:val="center"/>
          </w:tcPr>
          <w:p w14:paraId="06AFF120">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5078B88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5000≤Z＜80000</w:t>
            </w:r>
          </w:p>
        </w:tc>
        <w:tc>
          <w:tcPr>
            <w:tcW w:w="1710" w:type="dxa"/>
            <w:tcBorders>
              <w:top w:val="nil"/>
              <w:left w:val="nil"/>
              <w:bottom w:val="single" w:color="auto" w:sz="4" w:space="0"/>
              <w:right w:val="single" w:color="auto" w:sz="4" w:space="0"/>
            </w:tcBorders>
            <w:vAlign w:val="center"/>
          </w:tcPr>
          <w:p w14:paraId="1133213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300≤Z＜5000</w:t>
            </w:r>
          </w:p>
        </w:tc>
        <w:tc>
          <w:tcPr>
            <w:tcW w:w="1096" w:type="dxa"/>
            <w:tcBorders>
              <w:top w:val="nil"/>
              <w:left w:val="nil"/>
              <w:bottom w:val="single" w:color="auto" w:sz="4" w:space="0"/>
              <w:right w:val="single" w:color="auto" w:sz="4" w:space="0"/>
            </w:tcBorders>
            <w:vAlign w:val="center"/>
          </w:tcPr>
          <w:p w14:paraId="35DDB53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Z＜300</w:t>
            </w:r>
          </w:p>
        </w:tc>
      </w:tr>
      <w:tr w14:paraId="5D7699FA">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696D1A98">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批发业</w:t>
            </w:r>
          </w:p>
        </w:tc>
        <w:tc>
          <w:tcPr>
            <w:tcW w:w="1643" w:type="dxa"/>
            <w:tcBorders>
              <w:top w:val="nil"/>
              <w:left w:val="nil"/>
              <w:bottom w:val="single" w:color="auto" w:sz="4" w:space="0"/>
              <w:right w:val="single" w:color="auto" w:sz="4" w:space="0"/>
            </w:tcBorders>
            <w:vAlign w:val="center"/>
          </w:tcPr>
          <w:p w14:paraId="12FAE8C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5897FD8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3BDB3835">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20≤X＜200</w:t>
            </w:r>
          </w:p>
        </w:tc>
        <w:tc>
          <w:tcPr>
            <w:tcW w:w="1710" w:type="dxa"/>
            <w:tcBorders>
              <w:top w:val="nil"/>
              <w:left w:val="nil"/>
              <w:bottom w:val="single" w:color="auto" w:sz="4" w:space="0"/>
              <w:right w:val="single" w:color="auto" w:sz="4" w:space="0"/>
            </w:tcBorders>
            <w:vAlign w:val="center"/>
          </w:tcPr>
          <w:p w14:paraId="6D9A2CE4">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5≤X＜20</w:t>
            </w:r>
          </w:p>
        </w:tc>
        <w:tc>
          <w:tcPr>
            <w:tcW w:w="1096" w:type="dxa"/>
            <w:tcBorders>
              <w:top w:val="nil"/>
              <w:left w:val="nil"/>
              <w:bottom w:val="single" w:color="auto" w:sz="4" w:space="0"/>
              <w:right w:val="single" w:color="auto" w:sz="4" w:space="0"/>
            </w:tcBorders>
            <w:vAlign w:val="center"/>
          </w:tcPr>
          <w:p w14:paraId="29B9384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X＜5</w:t>
            </w:r>
          </w:p>
        </w:tc>
      </w:tr>
      <w:tr w14:paraId="35FF0DAA">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1D1212DC">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1352812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05B0DEBF">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76A9D6FE">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5000≤Y＜40000</w:t>
            </w:r>
          </w:p>
        </w:tc>
        <w:tc>
          <w:tcPr>
            <w:tcW w:w="1710" w:type="dxa"/>
            <w:tcBorders>
              <w:top w:val="nil"/>
              <w:left w:val="nil"/>
              <w:bottom w:val="single" w:color="auto" w:sz="4" w:space="0"/>
              <w:right w:val="single" w:color="auto" w:sz="4" w:space="0"/>
            </w:tcBorders>
            <w:vAlign w:val="center"/>
          </w:tcPr>
          <w:p w14:paraId="0E48DFE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1000≤Y＜5000</w:t>
            </w:r>
          </w:p>
        </w:tc>
        <w:tc>
          <w:tcPr>
            <w:tcW w:w="1096" w:type="dxa"/>
            <w:tcBorders>
              <w:top w:val="nil"/>
              <w:left w:val="nil"/>
              <w:bottom w:val="single" w:color="auto" w:sz="4" w:space="0"/>
              <w:right w:val="single" w:color="auto" w:sz="4" w:space="0"/>
            </w:tcBorders>
            <w:vAlign w:val="center"/>
          </w:tcPr>
          <w:p w14:paraId="3D4ABFC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Y＜1000</w:t>
            </w:r>
          </w:p>
        </w:tc>
      </w:tr>
      <w:tr w14:paraId="41E8BAA7">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09C8AE8D">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零售业</w:t>
            </w:r>
          </w:p>
        </w:tc>
        <w:tc>
          <w:tcPr>
            <w:tcW w:w="1643" w:type="dxa"/>
            <w:tcBorders>
              <w:top w:val="nil"/>
              <w:left w:val="nil"/>
              <w:bottom w:val="single" w:color="auto" w:sz="4" w:space="0"/>
              <w:right w:val="single" w:color="auto" w:sz="4" w:space="0"/>
            </w:tcBorders>
            <w:vAlign w:val="center"/>
          </w:tcPr>
          <w:p w14:paraId="7818D113">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56890BE9">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30E748F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50≤X＜300</w:t>
            </w:r>
          </w:p>
        </w:tc>
        <w:tc>
          <w:tcPr>
            <w:tcW w:w="1710" w:type="dxa"/>
            <w:tcBorders>
              <w:top w:val="nil"/>
              <w:left w:val="nil"/>
              <w:bottom w:val="single" w:color="auto" w:sz="4" w:space="0"/>
              <w:right w:val="single" w:color="auto" w:sz="4" w:space="0"/>
            </w:tcBorders>
            <w:vAlign w:val="center"/>
          </w:tcPr>
          <w:p w14:paraId="2531F243">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10≤X＜50</w:t>
            </w:r>
          </w:p>
        </w:tc>
        <w:tc>
          <w:tcPr>
            <w:tcW w:w="1096" w:type="dxa"/>
            <w:tcBorders>
              <w:top w:val="nil"/>
              <w:left w:val="nil"/>
              <w:bottom w:val="single" w:color="auto" w:sz="4" w:space="0"/>
              <w:right w:val="single" w:color="auto" w:sz="4" w:space="0"/>
            </w:tcBorders>
            <w:vAlign w:val="center"/>
          </w:tcPr>
          <w:p w14:paraId="6AE8F171">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X＜10</w:t>
            </w:r>
          </w:p>
        </w:tc>
      </w:tr>
      <w:tr w14:paraId="6A1B4A17">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5342D0F7">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157F5BB3">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3EC2C459">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499B77D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500≤Y＜20000</w:t>
            </w:r>
          </w:p>
        </w:tc>
        <w:tc>
          <w:tcPr>
            <w:tcW w:w="1710" w:type="dxa"/>
            <w:tcBorders>
              <w:top w:val="nil"/>
              <w:left w:val="nil"/>
              <w:bottom w:val="single" w:color="auto" w:sz="4" w:space="0"/>
              <w:right w:val="single" w:color="auto" w:sz="4" w:space="0"/>
            </w:tcBorders>
            <w:vAlign w:val="center"/>
          </w:tcPr>
          <w:p w14:paraId="68DFB347">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100≤Y＜500</w:t>
            </w:r>
          </w:p>
        </w:tc>
        <w:tc>
          <w:tcPr>
            <w:tcW w:w="1096" w:type="dxa"/>
            <w:tcBorders>
              <w:top w:val="nil"/>
              <w:left w:val="nil"/>
              <w:bottom w:val="single" w:color="auto" w:sz="4" w:space="0"/>
              <w:right w:val="single" w:color="auto" w:sz="4" w:space="0"/>
            </w:tcBorders>
            <w:vAlign w:val="center"/>
          </w:tcPr>
          <w:p w14:paraId="61F387A7">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Y＜100</w:t>
            </w:r>
          </w:p>
        </w:tc>
      </w:tr>
      <w:tr w14:paraId="31175CE7">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13E5EE9E">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交通运输业</w:t>
            </w:r>
          </w:p>
        </w:tc>
        <w:tc>
          <w:tcPr>
            <w:tcW w:w="1643" w:type="dxa"/>
            <w:tcBorders>
              <w:top w:val="nil"/>
              <w:left w:val="nil"/>
              <w:bottom w:val="single" w:color="auto" w:sz="4" w:space="0"/>
              <w:right w:val="single" w:color="auto" w:sz="4" w:space="0"/>
            </w:tcBorders>
            <w:vAlign w:val="center"/>
          </w:tcPr>
          <w:p w14:paraId="5FCA8C7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0FC63719">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5660D609">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300≤X＜1000</w:t>
            </w:r>
          </w:p>
        </w:tc>
        <w:tc>
          <w:tcPr>
            <w:tcW w:w="1710" w:type="dxa"/>
            <w:tcBorders>
              <w:top w:val="nil"/>
              <w:left w:val="nil"/>
              <w:bottom w:val="single" w:color="auto" w:sz="4" w:space="0"/>
              <w:right w:val="single" w:color="auto" w:sz="4" w:space="0"/>
            </w:tcBorders>
            <w:vAlign w:val="center"/>
          </w:tcPr>
          <w:p w14:paraId="7CC4F96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20≤X＜300</w:t>
            </w:r>
          </w:p>
        </w:tc>
        <w:tc>
          <w:tcPr>
            <w:tcW w:w="1096" w:type="dxa"/>
            <w:tcBorders>
              <w:top w:val="nil"/>
              <w:left w:val="nil"/>
              <w:bottom w:val="single" w:color="auto" w:sz="4" w:space="0"/>
              <w:right w:val="single" w:color="auto" w:sz="4" w:space="0"/>
            </w:tcBorders>
            <w:vAlign w:val="center"/>
          </w:tcPr>
          <w:p w14:paraId="5C5E38F9">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X＜20</w:t>
            </w:r>
          </w:p>
        </w:tc>
      </w:tr>
      <w:tr w14:paraId="03FC39E4">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243FEB12">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6A38A95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08BB5B7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33A37F1F">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3000≤Y＜30000</w:t>
            </w:r>
          </w:p>
        </w:tc>
        <w:tc>
          <w:tcPr>
            <w:tcW w:w="1710" w:type="dxa"/>
            <w:tcBorders>
              <w:top w:val="nil"/>
              <w:left w:val="nil"/>
              <w:bottom w:val="single" w:color="auto" w:sz="4" w:space="0"/>
              <w:right w:val="single" w:color="auto" w:sz="4" w:space="0"/>
            </w:tcBorders>
            <w:vAlign w:val="center"/>
          </w:tcPr>
          <w:p w14:paraId="2E807B0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200≤Y＜3000</w:t>
            </w:r>
          </w:p>
        </w:tc>
        <w:tc>
          <w:tcPr>
            <w:tcW w:w="1096" w:type="dxa"/>
            <w:tcBorders>
              <w:top w:val="nil"/>
              <w:left w:val="nil"/>
              <w:bottom w:val="single" w:color="auto" w:sz="4" w:space="0"/>
              <w:right w:val="single" w:color="auto" w:sz="4" w:space="0"/>
            </w:tcBorders>
            <w:vAlign w:val="center"/>
          </w:tcPr>
          <w:p w14:paraId="320BD82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Y＜200</w:t>
            </w:r>
          </w:p>
        </w:tc>
      </w:tr>
      <w:tr w14:paraId="56D581E9">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1368A320">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仓储业</w:t>
            </w:r>
          </w:p>
        </w:tc>
        <w:tc>
          <w:tcPr>
            <w:tcW w:w="1643" w:type="dxa"/>
            <w:tcBorders>
              <w:top w:val="nil"/>
              <w:left w:val="nil"/>
              <w:bottom w:val="single" w:color="auto" w:sz="4" w:space="0"/>
              <w:right w:val="single" w:color="auto" w:sz="4" w:space="0"/>
            </w:tcBorders>
            <w:vAlign w:val="center"/>
          </w:tcPr>
          <w:p w14:paraId="6DF4DD2F">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66CEC0B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651B7E1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100≤X＜200</w:t>
            </w:r>
          </w:p>
        </w:tc>
        <w:tc>
          <w:tcPr>
            <w:tcW w:w="1710" w:type="dxa"/>
            <w:tcBorders>
              <w:top w:val="nil"/>
              <w:left w:val="nil"/>
              <w:bottom w:val="single" w:color="auto" w:sz="4" w:space="0"/>
              <w:right w:val="single" w:color="auto" w:sz="4" w:space="0"/>
            </w:tcBorders>
            <w:vAlign w:val="center"/>
          </w:tcPr>
          <w:p w14:paraId="6022370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20≤X＜100</w:t>
            </w:r>
          </w:p>
        </w:tc>
        <w:tc>
          <w:tcPr>
            <w:tcW w:w="1096" w:type="dxa"/>
            <w:tcBorders>
              <w:top w:val="nil"/>
              <w:left w:val="nil"/>
              <w:bottom w:val="single" w:color="auto" w:sz="4" w:space="0"/>
              <w:right w:val="single" w:color="auto" w:sz="4" w:space="0"/>
            </w:tcBorders>
            <w:vAlign w:val="center"/>
          </w:tcPr>
          <w:p w14:paraId="10B29CB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X＜20</w:t>
            </w:r>
          </w:p>
        </w:tc>
      </w:tr>
      <w:tr w14:paraId="1D5CDCEE">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7E823945">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5E4D338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0F6131B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31D16F2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1000≤Y＜30000</w:t>
            </w:r>
          </w:p>
        </w:tc>
        <w:tc>
          <w:tcPr>
            <w:tcW w:w="1710" w:type="dxa"/>
            <w:tcBorders>
              <w:top w:val="nil"/>
              <w:left w:val="nil"/>
              <w:bottom w:val="single" w:color="auto" w:sz="4" w:space="0"/>
              <w:right w:val="single" w:color="auto" w:sz="4" w:space="0"/>
            </w:tcBorders>
            <w:vAlign w:val="center"/>
          </w:tcPr>
          <w:p w14:paraId="33199133">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100≤Y＜1000</w:t>
            </w:r>
          </w:p>
        </w:tc>
        <w:tc>
          <w:tcPr>
            <w:tcW w:w="1096" w:type="dxa"/>
            <w:tcBorders>
              <w:top w:val="nil"/>
              <w:left w:val="nil"/>
              <w:bottom w:val="single" w:color="auto" w:sz="4" w:space="0"/>
              <w:right w:val="single" w:color="auto" w:sz="4" w:space="0"/>
            </w:tcBorders>
            <w:vAlign w:val="center"/>
          </w:tcPr>
          <w:p w14:paraId="7459E5E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Y＜100</w:t>
            </w:r>
          </w:p>
        </w:tc>
      </w:tr>
      <w:tr w14:paraId="1CCC2B4A">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3191D401">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邮政业</w:t>
            </w:r>
          </w:p>
        </w:tc>
        <w:tc>
          <w:tcPr>
            <w:tcW w:w="1643" w:type="dxa"/>
            <w:tcBorders>
              <w:top w:val="nil"/>
              <w:left w:val="nil"/>
              <w:bottom w:val="single" w:color="auto" w:sz="4" w:space="0"/>
              <w:right w:val="single" w:color="auto" w:sz="4" w:space="0"/>
            </w:tcBorders>
            <w:vAlign w:val="center"/>
          </w:tcPr>
          <w:p w14:paraId="04B3086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42F44D00">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14A57D0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300≤X＜1000</w:t>
            </w:r>
          </w:p>
        </w:tc>
        <w:tc>
          <w:tcPr>
            <w:tcW w:w="1710" w:type="dxa"/>
            <w:tcBorders>
              <w:top w:val="nil"/>
              <w:left w:val="nil"/>
              <w:bottom w:val="single" w:color="auto" w:sz="4" w:space="0"/>
              <w:right w:val="single" w:color="auto" w:sz="4" w:space="0"/>
            </w:tcBorders>
            <w:vAlign w:val="center"/>
          </w:tcPr>
          <w:p w14:paraId="5E3954B9">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20≤X＜300</w:t>
            </w:r>
          </w:p>
        </w:tc>
        <w:tc>
          <w:tcPr>
            <w:tcW w:w="1096" w:type="dxa"/>
            <w:tcBorders>
              <w:top w:val="nil"/>
              <w:left w:val="nil"/>
              <w:bottom w:val="single" w:color="auto" w:sz="4" w:space="0"/>
              <w:right w:val="single" w:color="auto" w:sz="4" w:space="0"/>
            </w:tcBorders>
            <w:vAlign w:val="center"/>
          </w:tcPr>
          <w:p w14:paraId="69B4794F">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X＜20</w:t>
            </w:r>
          </w:p>
        </w:tc>
      </w:tr>
      <w:tr w14:paraId="3273936A">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6BB09C20">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5B99845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2836D683">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3ABDEAD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2000≤Y＜30000</w:t>
            </w:r>
          </w:p>
        </w:tc>
        <w:tc>
          <w:tcPr>
            <w:tcW w:w="1710" w:type="dxa"/>
            <w:tcBorders>
              <w:top w:val="nil"/>
              <w:left w:val="nil"/>
              <w:bottom w:val="single" w:color="auto" w:sz="4" w:space="0"/>
              <w:right w:val="single" w:color="auto" w:sz="4" w:space="0"/>
            </w:tcBorders>
            <w:vAlign w:val="center"/>
          </w:tcPr>
          <w:p w14:paraId="47DC4D0F">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100≤Y＜2000</w:t>
            </w:r>
          </w:p>
        </w:tc>
        <w:tc>
          <w:tcPr>
            <w:tcW w:w="1096" w:type="dxa"/>
            <w:tcBorders>
              <w:top w:val="nil"/>
              <w:left w:val="nil"/>
              <w:bottom w:val="single" w:color="auto" w:sz="4" w:space="0"/>
              <w:right w:val="single" w:color="auto" w:sz="4" w:space="0"/>
            </w:tcBorders>
            <w:vAlign w:val="center"/>
          </w:tcPr>
          <w:p w14:paraId="668F9C2E">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Y＜100</w:t>
            </w:r>
          </w:p>
        </w:tc>
      </w:tr>
      <w:tr w14:paraId="48183085">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728BDE20">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住宿业</w:t>
            </w:r>
          </w:p>
        </w:tc>
        <w:tc>
          <w:tcPr>
            <w:tcW w:w="1643" w:type="dxa"/>
            <w:tcBorders>
              <w:top w:val="nil"/>
              <w:left w:val="nil"/>
              <w:bottom w:val="single" w:color="auto" w:sz="4" w:space="0"/>
              <w:right w:val="single" w:color="auto" w:sz="4" w:space="0"/>
            </w:tcBorders>
            <w:vAlign w:val="center"/>
          </w:tcPr>
          <w:p w14:paraId="76BF6DB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4940BE4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754FC7C1">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100≤X＜300</w:t>
            </w:r>
          </w:p>
        </w:tc>
        <w:tc>
          <w:tcPr>
            <w:tcW w:w="1710" w:type="dxa"/>
            <w:tcBorders>
              <w:top w:val="nil"/>
              <w:left w:val="nil"/>
              <w:bottom w:val="single" w:color="auto" w:sz="4" w:space="0"/>
              <w:right w:val="single" w:color="auto" w:sz="4" w:space="0"/>
            </w:tcBorders>
            <w:vAlign w:val="center"/>
          </w:tcPr>
          <w:p w14:paraId="3D4F3D2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10≤X＜100</w:t>
            </w:r>
          </w:p>
        </w:tc>
        <w:tc>
          <w:tcPr>
            <w:tcW w:w="1096" w:type="dxa"/>
            <w:tcBorders>
              <w:top w:val="nil"/>
              <w:left w:val="nil"/>
              <w:bottom w:val="single" w:color="auto" w:sz="4" w:space="0"/>
              <w:right w:val="single" w:color="auto" w:sz="4" w:space="0"/>
            </w:tcBorders>
            <w:vAlign w:val="center"/>
          </w:tcPr>
          <w:p w14:paraId="26A414D0">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X＜10</w:t>
            </w:r>
          </w:p>
        </w:tc>
      </w:tr>
      <w:tr w14:paraId="72D5E5E9">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521D5F26">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68737A5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76566F2C">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2267F42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2000≤Y＜10000</w:t>
            </w:r>
          </w:p>
        </w:tc>
        <w:tc>
          <w:tcPr>
            <w:tcW w:w="1710" w:type="dxa"/>
            <w:tcBorders>
              <w:top w:val="nil"/>
              <w:left w:val="nil"/>
              <w:bottom w:val="single" w:color="auto" w:sz="4" w:space="0"/>
              <w:right w:val="single" w:color="auto" w:sz="4" w:space="0"/>
            </w:tcBorders>
            <w:vAlign w:val="center"/>
          </w:tcPr>
          <w:p w14:paraId="4846E650">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100≤Y＜2000</w:t>
            </w:r>
          </w:p>
        </w:tc>
        <w:tc>
          <w:tcPr>
            <w:tcW w:w="1096" w:type="dxa"/>
            <w:tcBorders>
              <w:top w:val="nil"/>
              <w:left w:val="nil"/>
              <w:bottom w:val="single" w:color="auto" w:sz="4" w:space="0"/>
              <w:right w:val="single" w:color="auto" w:sz="4" w:space="0"/>
            </w:tcBorders>
            <w:vAlign w:val="center"/>
          </w:tcPr>
          <w:p w14:paraId="5720188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Y＜100</w:t>
            </w:r>
          </w:p>
        </w:tc>
      </w:tr>
      <w:tr w14:paraId="34EE7C2D">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3A7C0200">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餐饮业</w:t>
            </w:r>
          </w:p>
        </w:tc>
        <w:tc>
          <w:tcPr>
            <w:tcW w:w="1643" w:type="dxa"/>
            <w:tcBorders>
              <w:top w:val="nil"/>
              <w:left w:val="nil"/>
              <w:bottom w:val="single" w:color="auto" w:sz="4" w:space="0"/>
              <w:right w:val="single" w:color="auto" w:sz="4" w:space="0"/>
            </w:tcBorders>
            <w:vAlign w:val="center"/>
          </w:tcPr>
          <w:p w14:paraId="67FED8EE">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42B389C9">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04E13876">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100≤X＜300</w:t>
            </w:r>
          </w:p>
        </w:tc>
        <w:tc>
          <w:tcPr>
            <w:tcW w:w="1710" w:type="dxa"/>
            <w:tcBorders>
              <w:top w:val="nil"/>
              <w:left w:val="nil"/>
              <w:bottom w:val="single" w:color="auto" w:sz="4" w:space="0"/>
              <w:right w:val="single" w:color="auto" w:sz="4" w:space="0"/>
            </w:tcBorders>
            <w:vAlign w:val="center"/>
          </w:tcPr>
          <w:p w14:paraId="4C42744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10≤X＜100</w:t>
            </w:r>
          </w:p>
        </w:tc>
        <w:tc>
          <w:tcPr>
            <w:tcW w:w="1096" w:type="dxa"/>
            <w:tcBorders>
              <w:top w:val="nil"/>
              <w:left w:val="nil"/>
              <w:bottom w:val="single" w:color="auto" w:sz="4" w:space="0"/>
              <w:right w:val="single" w:color="auto" w:sz="4" w:space="0"/>
            </w:tcBorders>
            <w:vAlign w:val="center"/>
          </w:tcPr>
          <w:p w14:paraId="0B470C26">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X＜10</w:t>
            </w:r>
          </w:p>
        </w:tc>
      </w:tr>
      <w:tr w14:paraId="7A383A14">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22768973">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41430940">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2CA46B95">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050D9CF5">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2000≤Y＜10000</w:t>
            </w:r>
          </w:p>
        </w:tc>
        <w:tc>
          <w:tcPr>
            <w:tcW w:w="1710" w:type="dxa"/>
            <w:tcBorders>
              <w:top w:val="nil"/>
              <w:left w:val="nil"/>
              <w:bottom w:val="single" w:color="auto" w:sz="4" w:space="0"/>
              <w:right w:val="single" w:color="auto" w:sz="4" w:space="0"/>
            </w:tcBorders>
            <w:vAlign w:val="center"/>
          </w:tcPr>
          <w:p w14:paraId="2CE4D97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100≤Y＜2000</w:t>
            </w:r>
          </w:p>
        </w:tc>
        <w:tc>
          <w:tcPr>
            <w:tcW w:w="1096" w:type="dxa"/>
            <w:tcBorders>
              <w:top w:val="nil"/>
              <w:left w:val="nil"/>
              <w:bottom w:val="single" w:color="auto" w:sz="4" w:space="0"/>
              <w:right w:val="single" w:color="auto" w:sz="4" w:space="0"/>
            </w:tcBorders>
            <w:vAlign w:val="center"/>
          </w:tcPr>
          <w:p w14:paraId="6BC185B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Y＜100</w:t>
            </w:r>
          </w:p>
        </w:tc>
      </w:tr>
      <w:tr w14:paraId="0BB8EC61">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4E40395B">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信息传输业</w:t>
            </w:r>
          </w:p>
        </w:tc>
        <w:tc>
          <w:tcPr>
            <w:tcW w:w="1643" w:type="dxa"/>
            <w:tcBorders>
              <w:top w:val="nil"/>
              <w:left w:val="nil"/>
              <w:bottom w:val="single" w:color="auto" w:sz="4" w:space="0"/>
              <w:right w:val="single" w:color="auto" w:sz="4" w:space="0"/>
            </w:tcBorders>
            <w:vAlign w:val="center"/>
          </w:tcPr>
          <w:p w14:paraId="059698A6">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1E40E72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638965B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100≤X＜2000</w:t>
            </w:r>
          </w:p>
        </w:tc>
        <w:tc>
          <w:tcPr>
            <w:tcW w:w="1710" w:type="dxa"/>
            <w:tcBorders>
              <w:top w:val="nil"/>
              <w:left w:val="nil"/>
              <w:bottom w:val="single" w:color="auto" w:sz="4" w:space="0"/>
              <w:right w:val="single" w:color="auto" w:sz="4" w:space="0"/>
            </w:tcBorders>
            <w:vAlign w:val="center"/>
          </w:tcPr>
          <w:p w14:paraId="76457586">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10≤X＜100</w:t>
            </w:r>
          </w:p>
        </w:tc>
        <w:tc>
          <w:tcPr>
            <w:tcW w:w="1096" w:type="dxa"/>
            <w:tcBorders>
              <w:top w:val="nil"/>
              <w:left w:val="nil"/>
              <w:bottom w:val="single" w:color="auto" w:sz="4" w:space="0"/>
              <w:right w:val="single" w:color="auto" w:sz="4" w:space="0"/>
            </w:tcBorders>
            <w:vAlign w:val="center"/>
          </w:tcPr>
          <w:p w14:paraId="6E2141D5">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X＜10</w:t>
            </w:r>
          </w:p>
        </w:tc>
      </w:tr>
      <w:tr w14:paraId="069E2FF6">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5E9FA770">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73F1E773">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5E96B5AF">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70A4EA0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1000≤Y＜100000</w:t>
            </w:r>
          </w:p>
        </w:tc>
        <w:tc>
          <w:tcPr>
            <w:tcW w:w="1710" w:type="dxa"/>
            <w:tcBorders>
              <w:top w:val="nil"/>
              <w:left w:val="nil"/>
              <w:bottom w:val="single" w:color="auto" w:sz="4" w:space="0"/>
              <w:right w:val="single" w:color="auto" w:sz="4" w:space="0"/>
            </w:tcBorders>
            <w:vAlign w:val="center"/>
          </w:tcPr>
          <w:p w14:paraId="1503A79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100≤Y＜1000</w:t>
            </w:r>
          </w:p>
        </w:tc>
        <w:tc>
          <w:tcPr>
            <w:tcW w:w="1096" w:type="dxa"/>
            <w:tcBorders>
              <w:top w:val="nil"/>
              <w:left w:val="nil"/>
              <w:bottom w:val="single" w:color="auto" w:sz="4" w:space="0"/>
              <w:right w:val="single" w:color="auto" w:sz="4" w:space="0"/>
            </w:tcBorders>
            <w:vAlign w:val="center"/>
          </w:tcPr>
          <w:p w14:paraId="7D67A9B5">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Y＜100</w:t>
            </w:r>
          </w:p>
        </w:tc>
      </w:tr>
      <w:tr w14:paraId="44DCC1CE">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0844635B">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软件和信息技术服务业</w:t>
            </w:r>
          </w:p>
        </w:tc>
        <w:tc>
          <w:tcPr>
            <w:tcW w:w="1643" w:type="dxa"/>
            <w:tcBorders>
              <w:top w:val="nil"/>
              <w:left w:val="nil"/>
              <w:bottom w:val="single" w:color="auto" w:sz="4" w:space="0"/>
              <w:right w:val="single" w:color="auto" w:sz="4" w:space="0"/>
            </w:tcBorders>
            <w:vAlign w:val="center"/>
          </w:tcPr>
          <w:p w14:paraId="7E43714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4159A98E">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0D18CBB4">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100≤X＜300</w:t>
            </w:r>
          </w:p>
        </w:tc>
        <w:tc>
          <w:tcPr>
            <w:tcW w:w="1710" w:type="dxa"/>
            <w:tcBorders>
              <w:top w:val="nil"/>
              <w:left w:val="nil"/>
              <w:bottom w:val="single" w:color="auto" w:sz="4" w:space="0"/>
              <w:right w:val="single" w:color="auto" w:sz="4" w:space="0"/>
            </w:tcBorders>
            <w:vAlign w:val="center"/>
          </w:tcPr>
          <w:p w14:paraId="561FD7C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10≤X＜100</w:t>
            </w:r>
          </w:p>
        </w:tc>
        <w:tc>
          <w:tcPr>
            <w:tcW w:w="1096" w:type="dxa"/>
            <w:tcBorders>
              <w:top w:val="nil"/>
              <w:left w:val="nil"/>
              <w:bottom w:val="single" w:color="auto" w:sz="4" w:space="0"/>
              <w:right w:val="single" w:color="auto" w:sz="4" w:space="0"/>
            </w:tcBorders>
            <w:vAlign w:val="center"/>
          </w:tcPr>
          <w:p w14:paraId="729D7E0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X＜10</w:t>
            </w:r>
          </w:p>
        </w:tc>
      </w:tr>
      <w:tr w14:paraId="78C3BB5F">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7FDCEC42">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4FC601B1">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026DA426">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56BF1C53">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1000≤Y＜10000</w:t>
            </w:r>
          </w:p>
        </w:tc>
        <w:tc>
          <w:tcPr>
            <w:tcW w:w="1710" w:type="dxa"/>
            <w:tcBorders>
              <w:top w:val="nil"/>
              <w:left w:val="nil"/>
              <w:bottom w:val="single" w:color="auto" w:sz="4" w:space="0"/>
              <w:right w:val="single" w:color="auto" w:sz="4" w:space="0"/>
            </w:tcBorders>
            <w:vAlign w:val="center"/>
          </w:tcPr>
          <w:p w14:paraId="0FA1072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50≤Y＜1000</w:t>
            </w:r>
          </w:p>
        </w:tc>
        <w:tc>
          <w:tcPr>
            <w:tcW w:w="1096" w:type="dxa"/>
            <w:tcBorders>
              <w:top w:val="nil"/>
              <w:left w:val="nil"/>
              <w:bottom w:val="single" w:color="auto" w:sz="4" w:space="0"/>
              <w:right w:val="single" w:color="auto" w:sz="4" w:space="0"/>
            </w:tcBorders>
            <w:vAlign w:val="center"/>
          </w:tcPr>
          <w:p w14:paraId="00257F6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Y＜50</w:t>
            </w:r>
          </w:p>
        </w:tc>
      </w:tr>
      <w:tr w14:paraId="278056BB">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2D22CCA9">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房地产开发经营</w:t>
            </w:r>
          </w:p>
        </w:tc>
        <w:tc>
          <w:tcPr>
            <w:tcW w:w="1643" w:type="dxa"/>
            <w:tcBorders>
              <w:top w:val="nil"/>
              <w:left w:val="nil"/>
              <w:bottom w:val="single" w:color="auto" w:sz="4" w:space="0"/>
              <w:right w:val="single" w:color="auto" w:sz="4" w:space="0"/>
            </w:tcBorders>
            <w:vAlign w:val="center"/>
          </w:tcPr>
          <w:p w14:paraId="66C83A7C">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49B74BA4">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546A420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1000≤Y＜200000</w:t>
            </w:r>
          </w:p>
        </w:tc>
        <w:tc>
          <w:tcPr>
            <w:tcW w:w="1710" w:type="dxa"/>
            <w:tcBorders>
              <w:top w:val="nil"/>
              <w:left w:val="nil"/>
              <w:bottom w:val="single" w:color="auto" w:sz="4" w:space="0"/>
              <w:right w:val="single" w:color="auto" w:sz="4" w:space="0"/>
            </w:tcBorders>
            <w:vAlign w:val="center"/>
          </w:tcPr>
          <w:p w14:paraId="5B418EA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100≤X＜1000</w:t>
            </w:r>
          </w:p>
        </w:tc>
        <w:tc>
          <w:tcPr>
            <w:tcW w:w="1096" w:type="dxa"/>
            <w:tcBorders>
              <w:top w:val="nil"/>
              <w:left w:val="nil"/>
              <w:bottom w:val="single" w:color="auto" w:sz="4" w:space="0"/>
              <w:right w:val="single" w:color="auto" w:sz="4" w:space="0"/>
            </w:tcBorders>
            <w:vAlign w:val="center"/>
          </w:tcPr>
          <w:p w14:paraId="2F5F09C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X＜100</w:t>
            </w:r>
          </w:p>
        </w:tc>
      </w:tr>
      <w:tr w14:paraId="0339C0D0">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475DA424">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1120AEE4">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资产总额（Z）</w:t>
            </w:r>
          </w:p>
        </w:tc>
        <w:tc>
          <w:tcPr>
            <w:tcW w:w="1083" w:type="dxa"/>
            <w:tcBorders>
              <w:top w:val="nil"/>
              <w:left w:val="nil"/>
              <w:bottom w:val="single" w:color="auto" w:sz="4" w:space="0"/>
              <w:right w:val="single" w:color="auto" w:sz="4" w:space="0"/>
            </w:tcBorders>
            <w:vAlign w:val="center"/>
          </w:tcPr>
          <w:p w14:paraId="50A93C24">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7722CAB3">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5000≤Z＜10000</w:t>
            </w:r>
          </w:p>
        </w:tc>
        <w:tc>
          <w:tcPr>
            <w:tcW w:w="1710" w:type="dxa"/>
            <w:tcBorders>
              <w:top w:val="nil"/>
              <w:left w:val="nil"/>
              <w:bottom w:val="single" w:color="auto" w:sz="4" w:space="0"/>
              <w:right w:val="single" w:color="auto" w:sz="4" w:space="0"/>
            </w:tcBorders>
            <w:vAlign w:val="center"/>
          </w:tcPr>
          <w:p w14:paraId="104AF76E">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2000≤Y＜5000</w:t>
            </w:r>
          </w:p>
        </w:tc>
        <w:tc>
          <w:tcPr>
            <w:tcW w:w="1096" w:type="dxa"/>
            <w:tcBorders>
              <w:top w:val="nil"/>
              <w:left w:val="nil"/>
              <w:bottom w:val="single" w:color="auto" w:sz="4" w:space="0"/>
              <w:right w:val="single" w:color="auto" w:sz="4" w:space="0"/>
            </w:tcBorders>
            <w:vAlign w:val="center"/>
          </w:tcPr>
          <w:p w14:paraId="3570CE20">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Y＜2000</w:t>
            </w:r>
          </w:p>
        </w:tc>
      </w:tr>
      <w:tr w14:paraId="58E24B40">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01CC8E27">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物业管理</w:t>
            </w:r>
          </w:p>
        </w:tc>
        <w:tc>
          <w:tcPr>
            <w:tcW w:w="1643" w:type="dxa"/>
            <w:tcBorders>
              <w:top w:val="nil"/>
              <w:left w:val="nil"/>
              <w:bottom w:val="single" w:color="auto" w:sz="4" w:space="0"/>
              <w:right w:val="single" w:color="auto" w:sz="4" w:space="0"/>
            </w:tcBorders>
            <w:vAlign w:val="center"/>
          </w:tcPr>
          <w:p w14:paraId="130EAE91">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5DD4FD1C">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790E5AD9">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300≤X＜1000</w:t>
            </w:r>
          </w:p>
        </w:tc>
        <w:tc>
          <w:tcPr>
            <w:tcW w:w="1710" w:type="dxa"/>
            <w:tcBorders>
              <w:top w:val="nil"/>
              <w:left w:val="nil"/>
              <w:bottom w:val="single" w:color="auto" w:sz="4" w:space="0"/>
              <w:right w:val="single" w:color="auto" w:sz="4" w:space="0"/>
            </w:tcBorders>
            <w:vAlign w:val="center"/>
          </w:tcPr>
          <w:p w14:paraId="4DD96CB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100≤X＜300</w:t>
            </w:r>
          </w:p>
        </w:tc>
        <w:tc>
          <w:tcPr>
            <w:tcW w:w="1096" w:type="dxa"/>
            <w:tcBorders>
              <w:top w:val="nil"/>
              <w:left w:val="nil"/>
              <w:bottom w:val="single" w:color="auto" w:sz="4" w:space="0"/>
              <w:right w:val="single" w:color="auto" w:sz="4" w:space="0"/>
            </w:tcBorders>
            <w:vAlign w:val="center"/>
          </w:tcPr>
          <w:p w14:paraId="4EBA5DC6">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X＜100</w:t>
            </w:r>
          </w:p>
        </w:tc>
      </w:tr>
      <w:tr w14:paraId="07B78A95">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5A9C1BE1">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62DEF7A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营业收入（Y）</w:t>
            </w:r>
          </w:p>
        </w:tc>
        <w:tc>
          <w:tcPr>
            <w:tcW w:w="1083" w:type="dxa"/>
            <w:tcBorders>
              <w:top w:val="nil"/>
              <w:left w:val="nil"/>
              <w:bottom w:val="single" w:color="auto" w:sz="4" w:space="0"/>
              <w:right w:val="single" w:color="auto" w:sz="4" w:space="0"/>
            </w:tcBorders>
            <w:vAlign w:val="center"/>
          </w:tcPr>
          <w:p w14:paraId="4532260E">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3069D38F">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1000≤Y＜5000</w:t>
            </w:r>
          </w:p>
        </w:tc>
        <w:tc>
          <w:tcPr>
            <w:tcW w:w="1710" w:type="dxa"/>
            <w:tcBorders>
              <w:top w:val="nil"/>
              <w:left w:val="nil"/>
              <w:bottom w:val="single" w:color="auto" w:sz="4" w:space="0"/>
              <w:right w:val="single" w:color="auto" w:sz="4" w:space="0"/>
            </w:tcBorders>
            <w:vAlign w:val="center"/>
          </w:tcPr>
          <w:p w14:paraId="76047584">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500≤Y＜1000</w:t>
            </w:r>
          </w:p>
        </w:tc>
        <w:tc>
          <w:tcPr>
            <w:tcW w:w="1096" w:type="dxa"/>
            <w:tcBorders>
              <w:top w:val="nil"/>
              <w:left w:val="nil"/>
              <w:bottom w:val="single" w:color="auto" w:sz="4" w:space="0"/>
              <w:right w:val="single" w:color="auto" w:sz="4" w:space="0"/>
            </w:tcBorders>
            <w:vAlign w:val="center"/>
          </w:tcPr>
          <w:p w14:paraId="5D59AEE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Y＜500</w:t>
            </w:r>
          </w:p>
        </w:tc>
      </w:tr>
      <w:tr w14:paraId="28590F82">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vAlign w:val="center"/>
          </w:tcPr>
          <w:p w14:paraId="4B25AB23">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租赁和商务服务业</w:t>
            </w:r>
          </w:p>
        </w:tc>
        <w:tc>
          <w:tcPr>
            <w:tcW w:w="1643" w:type="dxa"/>
            <w:tcBorders>
              <w:top w:val="nil"/>
              <w:left w:val="nil"/>
              <w:bottom w:val="single" w:color="auto" w:sz="4" w:space="0"/>
              <w:right w:val="single" w:color="auto" w:sz="4" w:space="0"/>
            </w:tcBorders>
            <w:vAlign w:val="center"/>
          </w:tcPr>
          <w:p w14:paraId="058BB6D0">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73625B72">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194F35CC">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100≤X＜300</w:t>
            </w:r>
          </w:p>
        </w:tc>
        <w:tc>
          <w:tcPr>
            <w:tcW w:w="1710" w:type="dxa"/>
            <w:tcBorders>
              <w:top w:val="nil"/>
              <w:left w:val="nil"/>
              <w:bottom w:val="single" w:color="auto" w:sz="4" w:space="0"/>
              <w:right w:val="single" w:color="auto" w:sz="4" w:space="0"/>
            </w:tcBorders>
            <w:vAlign w:val="center"/>
          </w:tcPr>
          <w:p w14:paraId="657C6FF7">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10≤X＜100</w:t>
            </w:r>
          </w:p>
        </w:tc>
        <w:tc>
          <w:tcPr>
            <w:tcW w:w="1096" w:type="dxa"/>
            <w:tcBorders>
              <w:top w:val="nil"/>
              <w:left w:val="nil"/>
              <w:bottom w:val="single" w:color="auto" w:sz="4" w:space="0"/>
              <w:right w:val="single" w:color="auto" w:sz="4" w:space="0"/>
            </w:tcBorders>
            <w:vAlign w:val="center"/>
          </w:tcPr>
          <w:p w14:paraId="6434984B">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X＜10</w:t>
            </w:r>
          </w:p>
        </w:tc>
      </w:tr>
      <w:tr w14:paraId="0B4BB8FF">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vAlign w:val="center"/>
          </w:tcPr>
          <w:p w14:paraId="2D9371F7">
            <w:pPr>
              <w:ind w:firstLine="0" w:firstLineChars="0"/>
              <w:jc w:val="center"/>
              <w:rPr>
                <w:rFonts w:ascii="仿宋_GB2312" w:hAnsi="仿宋" w:eastAsia="仿宋_GB2312" w:cs="宋体"/>
                <w:b/>
                <w:bCs/>
                <w:color w:val="auto"/>
                <w:sz w:val="18"/>
                <w:szCs w:val="18"/>
              </w:rPr>
            </w:pPr>
          </w:p>
        </w:tc>
        <w:tc>
          <w:tcPr>
            <w:tcW w:w="1643" w:type="dxa"/>
            <w:tcBorders>
              <w:top w:val="nil"/>
              <w:left w:val="nil"/>
              <w:bottom w:val="single" w:color="auto" w:sz="4" w:space="0"/>
              <w:right w:val="single" w:color="auto" w:sz="4" w:space="0"/>
            </w:tcBorders>
            <w:vAlign w:val="center"/>
          </w:tcPr>
          <w:p w14:paraId="57F23C8E">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资产总额（Z）</w:t>
            </w:r>
          </w:p>
        </w:tc>
        <w:tc>
          <w:tcPr>
            <w:tcW w:w="1083" w:type="dxa"/>
            <w:tcBorders>
              <w:top w:val="nil"/>
              <w:left w:val="nil"/>
              <w:bottom w:val="single" w:color="auto" w:sz="4" w:space="0"/>
              <w:right w:val="single" w:color="auto" w:sz="4" w:space="0"/>
            </w:tcBorders>
            <w:vAlign w:val="center"/>
          </w:tcPr>
          <w:p w14:paraId="47C54161">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万元</w:t>
            </w:r>
          </w:p>
        </w:tc>
        <w:tc>
          <w:tcPr>
            <w:tcW w:w="1923" w:type="dxa"/>
            <w:tcBorders>
              <w:top w:val="nil"/>
              <w:left w:val="nil"/>
              <w:bottom w:val="single" w:color="auto" w:sz="4" w:space="0"/>
              <w:right w:val="single" w:color="auto" w:sz="4" w:space="0"/>
            </w:tcBorders>
            <w:vAlign w:val="center"/>
          </w:tcPr>
          <w:p w14:paraId="4A6D0E37">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8000≤Z＜120000</w:t>
            </w:r>
          </w:p>
        </w:tc>
        <w:tc>
          <w:tcPr>
            <w:tcW w:w="1710" w:type="dxa"/>
            <w:tcBorders>
              <w:top w:val="nil"/>
              <w:left w:val="nil"/>
              <w:bottom w:val="single" w:color="auto" w:sz="4" w:space="0"/>
              <w:right w:val="single" w:color="auto" w:sz="4" w:space="0"/>
            </w:tcBorders>
            <w:vAlign w:val="center"/>
          </w:tcPr>
          <w:p w14:paraId="638511A5">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100≤Z＜8000</w:t>
            </w:r>
          </w:p>
        </w:tc>
        <w:tc>
          <w:tcPr>
            <w:tcW w:w="1096" w:type="dxa"/>
            <w:tcBorders>
              <w:top w:val="nil"/>
              <w:left w:val="nil"/>
              <w:bottom w:val="single" w:color="auto" w:sz="4" w:space="0"/>
              <w:right w:val="single" w:color="auto" w:sz="4" w:space="0"/>
            </w:tcBorders>
            <w:vAlign w:val="center"/>
          </w:tcPr>
          <w:p w14:paraId="654677B5">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Y＜100</w:t>
            </w:r>
          </w:p>
        </w:tc>
      </w:tr>
      <w:tr w14:paraId="44AFB282">
        <w:tblPrEx>
          <w:tblCellMar>
            <w:top w:w="0" w:type="dxa"/>
            <w:left w:w="108" w:type="dxa"/>
            <w:bottom w:w="0" w:type="dxa"/>
            <w:right w:w="108" w:type="dxa"/>
          </w:tblCellMar>
        </w:tblPrEx>
        <w:trPr>
          <w:trHeight w:val="362" w:hRule="atLeast"/>
        </w:trPr>
        <w:tc>
          <w:tcPr>
            <w:tcW w:w="2021" w:type="dxa"/>
            <w:tcBorders>
              <w:top w:val="nil"/>
              <w:left w:val="single" w:color="auto" w:sz="4" w:space="0"/>
              <w:bottom w:val="single" w:color="auto" w:sz="4" w:space="0"/>
              <w:right w:val="single" w:color="auto" w:sz="4" w:space="0"/>
            </w:tcBorders>
            <w:vAlign w:val="center"/>
          </w:tcPr>
          <w:p w14:paraId="335B3F2F">
            <w:pPr>
              <w:ind w:firstLine="0" w:firstLineChars="0"/>
              <w:jc w:val="center"/>
              <w:rPr>
                <w:rFonts w:ascii="仿宋_GB2312" w:hAnsi="仿宋" w:eastAsia="仿宋_GB2312" w:cs="宋体"/>
                <w:b/>
                <w:bCs/>
                <w:color w:val="auto"/>
                <w:sz w:val="18"/>
                <w:szCs w:val="18"/>
              </w:rPr>
            </w:pPr>
            <w:r>
              <w:rPr>
                <w:rFonts w:hint="eastAsia" w:ascii="仿宋_GB2312" w:hAnsi="仿宋" w:eastAsia="仿宋_GB2312" w:cs="宋体"/>
                <w:b/>
                <w:bCs/>
                <w:color w:val="auto"/>
                <w:sz w:val="18"/>
                <w:szCs w:val="18"/>
              </w:rPr>
              <w:t>其他未列明行业</w:t>
            </w:r>
          </w:p>
        </w:tc>
        <w:tc>
          <w:tcPr>
            <w:tcW w:w="1643" w:type="dxa"/>
            <w:tcBorders>
              <w:top w:val="nil"/>
              <w:left w:val="nil"/>
              <w:bottom w:val="single" w:color="auto" w:sz="4" w:space="0"/>
              <w:right w:val="single" w:color="auto" w:sz="4" w:space="0"/>
            </w:tcBorders>
            <w:vAlign w:val="center"/>
          </w:tcPr>
          <w:p w14:paraId="2F9B373D">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从业人员（X）</w:t>
            </w:r>
          </w:p>
        </w:tc>
        <w:tc>
          <w:tcPr>
            <w:tcW w:w="1083" w:type="dxa"/>
            <w:tcBorders>
              <w:top w:val="nil"/>
              <w:left w:val="nil"/>
              <w:bottom w:val="single" w:color="auto" w:sz="4" w:space="0"/>
              <w:right w:val="single" w:color="auto" w:sz="4" w:space="0"/>
            </w:tcBorders>
            <w:vAlign w:val="center"/>
          </w:tcPr>
          <w:p w14:paraId="19D054A0">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人</w:t>
            </w:r>
          </w:p>
        </w:tc>
        <w:tc>
          <w:tcPr>
            <w:tcW w:w="1923" w:type="dxa"/>
            <w:tcBorders>
              <w:top w:val="nil"/>
              <w:left w:val="nil"/>
              <w:bottom w:val="single" w:color="auto" w:sz="4" w:space="0"/>
              <w:right w:val="single" w:color="auto" w:sz="4" w:space="0"/>
            </w:tcBorders>
            <w:vAlign w:val="center"/>
          </w:tcPr>
          <w:p w14:paraId="4FF2280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100≤X＜300</w:t>
            </w:r>
          </w:p>
        </w:tc>
        <w:tc>
          <w:tcPr>
            <w:tcW w:w="1710" w:type="dxa"/>
            <w:tcBorders>
              <w:top w:val="nil"/>
              <w:left w:val="nil"/>
              <w:bottom w:val="single" w:color="auto" w:sz="4" w:space="0"/>
              <w:right w:val="single" w:color="auto" w:sz="4" w:space="0"/>
            </w:tcBorders>
            <w:vAlign w:val="center"/>
          </w:tcPr>
          <w:p w14:paraId="434017D8">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10≤X＜100</w:t>
            </w:r>
          </w:p>
        </w:tc>
        <w:tc>
          <w:tcPr>
            <w:tcW w:w="1096" w:type="dxa"/>
            <w:tcBorders>
              <w:top w:val="nil"/>
              <w:left w:val="nil"/>
              <w:bottom w:val="single" w:color="auto" w:sz="4" w:space="0"/>
              <w:right w:val="single" w:color="auto" w:sz="4" w:space="0"/>
            </w:tcBorders>
            <w:vAlign w:val="center"/>
          </w:tcPr>
          <w:p w14:paraId="3DB6FD5A">
            <w:pPr>
              <w:ind w:firstLine="0" w:firstLineChars="0"/>
              <w:jc w:val="center"/>
              <w:rPr>
                <w:rFonts w:ascii="仿宋_GB2312" w:hAnsi="仿宋" w:eastAsia="仿宋_GB2312" w:cs="宋体"/>
                <w:color w:val="auto"/>
                <w:sz w:val="18"/>
                <w:szCs w:val="18"/>
              </w:rPr>
            </w:pPr>
            <w:r>
              <w:rPr>
                <w:rFonts w:hint="eastAsia" w:ascii="仿宋_GB2312" w:hAnsi="仿宋" w:eastAsia="仿宋_GB2312" w:cs="宋体"/>
                <w:color w:val="auto"/>
                <w:sz w:val="18"/>
                <w:szCs w:val="18"/>
              </w:rPr>
              <w:t>X＜10</w:t>
            </w:r>
          </w:p>
        </w:tc>
      </w:tr>
    </w:tbl>
    <w:p w14:paraId="509D057B">
      <w:pPr>
        <w:spacing w:line="428" w:lineRule="exact"/>
        <w:ind w:left="119" w:firstLine="420"/>
        <w:rPr>
          <w:rFonts w:ascii="Arial Unicode MS" w:hAnsi="Arial Unicode MS" w:eastAsia="Arial Unicode MS" w:cs="Arial Unicode MS"/>
          <w:color w:val="auto"/>
          <w:sz w:val="32"/>
          <w:szCs w:val="32"/>
        </w:rPr>
      </w:pPr>
      <w:r>
        <w:rPr>
          <w:rFonts w:hint="eastAsia" w:ascii="仿宋_GB2312" w:hAnsi="仿宋" w:eastAsia="仿宋_GB2312"/>
          <w:color w:val="auto"/>
        </w:rPr>
        <w:t>说明：上述标准参照《关于印发中小企业划型标准规定的通知》（工信部联企业[2011]300号），大型、中型和小型企业须同时满足所列指标的下限，否则下划一档；微型企业</w:t>
      </w:r>
      <w:r>
        <w:rPr>
          <w:rFonts w:hint="eastAsia" w:ascii="仿宋_GB2312" w:hAnsi="仿宋" w:eastAsia="仿宋_GB2312"/>
          <w:color w:val="auto"/>
          <w:lang w:eastAsia="zh-CN"/>
        </w:rPr>
        <w:t>只需</w:t>
      </w:r>
      <w:r>
        <w:rPr>
          <w:rFonts w:hint="eastAsia" w:ascii="仿宋_GB2312" w:hAnsi="仿宋" w:eastAsia="仿宋_GB2312"/>
          <w:color w:val="auto"/>
        </w:rPr>
        <w:t>满足所列指标中的一项即可。</w:t>
      </w:r>
    </w:p>
    <w:p w14:paraId="5DA64DF0">
      <w:pPr>
        <w:pStyle w:val="68"/>
        <w:ind w:firstLine="0" w:firstLineChars="0"/>
        <w:jc w:val="center"/>
        <w:rPr>
          <w:rFonts w:ascii="宋体" w:hAnsi="宋体" w:eastAsia="宋体" w:cs="宋体"/>
          <w:color w:val="auto"/>
          <w:sz w:val="30"/>
          <w:szCs w:val="30"/>
        </w:rPr>
      </w:pPr>
      <w:r>
        <w:rPr>
          <w:rFonts w:hint="eastAsia" w:ascii="宋体" w:hAnsi="宋体" w:eastAsia="宋体" w:cs="宋体"/>
          <w:color w:val="auto"/>
          <w:sz w:val="30"/>
          <w:szCs w:val="30"/>
        </w:rPr>
        <w:t>节能产品政府采购品目清单</w:t>
      </w:r>
    </w:p>
    <w:tbl>
      <w:tblPr>
        <w:tblStyle w:val="30"/>
        <w:tblW w:w="9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608"/>
        <w:gridCol w:w="1550"/>
        <w:gridCol w:w="1705"/>
        <w:gridCol w:w="2054"/>
        <w:gridCol w:w="3392"/>
      </w:tblGrid>
      <w:tr w14:paraId="32AD3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shd w:val="clear" w:color="auto" w:fill="auto"/>
            <w:vAlign w:val="center"/>
          </w:tcPr>
          <w:p w14:paraId="029F19AD">
            <w:pPr>
              <w:autoSpaceDE w:val="0"/>
              <w:autoSpaceDN w:val="0"/>
              <w:ind w:firstLine="0" w:firstLineChars="0"/>
              <w:jc w:val="center"/>
              <w:rPr>
                <w:rFonts w:ascii="宋体" w:hAnsi="宋体" w:eastAsia="宋体"/>
                <w:b/>
                <w:bCs/>
                <w:color w:val="auto"/>
              </w:rPr>
            </w:pPr>
            <w:bookmarkStart w:id="13" w:name="_Hlk72765337"/>
            <w:r>
              <w:rPr>
                <w:rFonts w:ascii="宋体" w:hAnsi="宋体" w:eastAsia="宋体"/>
                <w:b/>
                <w:bCs/>
                <w:color w:val="auto"/>
              </w:rPr>
              <w:t>品目序号</w:t>
            </w:r>
          </w:p>
        </w:tc>
        <w:tc>
          <w:tcPr>
            <w:tcW w:w="5309" w:type="dxa"/>
            <w:gridSpan w:val="3"/>
            <w:shd w:val="clear" w:color="auto" w:fill="auto"/>
            <w:vAlign w:val="center"/>
          </w:tcPr>
          <w:p w14:paraId="2253C680">
            <w:pPr>
              <w:autoSpaceDE w:val="0"/>
              <w:autoSpaceDN w:val="0"/>
              <w:ind w:firstLine="0" w:firstLineChars="0"/>
              <w:jc w:val="center"/>
              <w:rPr>
                <w:rFonts w:ascii="宋体" w:hAnsi="宋体" w:eastAsia="宋体"/>
                <w:b/>
                <w:bCs/>
                <w:color w:val="auto"/>
              </w:rPr>
            </w:pPr>
            <w:r>
              <w:rPr>
                <w:rFonts w:ascii="宋体" w:hAnsi="宋体" w:eastAsia="宋体"/>
                <w:b/>
                <w:bCs/>
                <w:color w:val="auto"/>
              </w:rPr>
              <w:t>名称</w:t>
            </w:r>
          </w:p>
        </w:tc>
        <w:tc>
          <w:tcPr>
            <w:tcW w:w="3392" w:type="dxa"/>
            <w:shd w:val="clear" w:color="auto" w:fill="auto"/>
            <w:vAlign w:val="center"/>
          </w:tcPr>
          <w:p w14:paraId="3013A6FB">
            <w:pPr>
              <w:autoSpaceDE w:val="0"/>
              <w:autoSpaceDN w:val="0"/>
              <w:ind w:firstLine="0" w:firstLineChars="0"/>
              <w:jc w:val="center"/>
              <w:rPr>
                <w:rFonts w:ascii="宋体" w:hAnsi="宋体" w:eastAsia="宋体"/>
                <w:b/>
                <w:bCs/>
                <w:color w:val="auto"/>
              </w:rPr>
            </w:pPr>
            <w:r>
              <w:rPr>
                <w:rFonts w:ascii="宋体" w:hAnsi="宋体" w:eastAsia="宋体"/>
                <w:b/>
                <w:bCs/>
                <w:color w:val="auto"/>
              </w:rPr>
              <w:t>依据的标准</w:t>
            </w:r>
          </w:p>
        </w:tc>
      </w:tr>
      <w:tr w14:paraId="0B4D5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vMerge w:val="restart"/>
            <w:shd w:val="clear" w:color="auto" w:fill="auto"/>
            <w:vAlign w:val="center"/>
          </w:tcPr>
          <w:p w14:paraId="2E151E99">
            <w:pPr>
              <w:autoSpaceDE w:val="0"/>
              <w:autoSpaceDN w:val="0"/>
              <w:ind w:firstLine="0" w:firstLineChars="0"/>
              <w:jc w:val="center"/>
              <w:rPr>
                <w:rFonts w:ascii="宋体" w:hAnsi="宋体" w:eastAsia="宋体"/>
                <w:color w:val="auto"/>
              </w:rPr>
            </w:pPr>
            <w:r>
              <w:rPr>
                <w:rFonts w:ascii="宋体" w:hAnsi="宋体" w:eastAsia="宋体"/>
                <w:color w:val="auto"/>
              </w:rPr>
              <w:t>1</w:t>
            </w:r>
          </w:p>
        </w:tc>
        <w:tc>
          <w:tcPr>
            <w:tcW w:w="1550" w:type="dxa"/>
            <w:vMerge w:val="restart"/>
            <w:shd w:val="clear" w:color="auto" w:fill="auto"/>
            <w:vAlign w:val="center"/>
          </w:tcPr>
          <w:p w14:paraId="70529253">
            <w:pPr>
              <w:autoSpaceDE w:val="0"/>
              <w:autoSpaceDN w:val="0"/>
              <w:ind w:firstLine="0" w:firstLineChars="0"/>
              <w:rPr>
                <w:rFonts w:hAnsiTheme="minorEastAsia"/>
                <w:color w:val="auto"/>
              </w:rPr>
            </w:pPr>
            <w:r>
              <w:rPr>
                <w:rFonts w:hAnsiTheme="minorEastAsia"/>
                <w:color w:val="auto"/>
              </w:rPr>
              <w:t>A020101</w:t>
            </w:r>
            <w:r>
              <w:rPr>
                <w:rFonts w:hAnsiTheme="minorEastAsia"/>
                <w:color w:val="auto"/>
                <w:spacing w:val="-20"/>
              </w:rPr>
              <w:t xml:space="preserve"> 计算</w:t>
            </w:r>
            <w:r>
              <w:rPr>
                <w:rFonts w:hAnsiTheme="minorEastAsia"/>
                <w:color w:val="auto"/>
              </w:rPr>
              <w:t>机设备</w:t>
            </w:r>
          </w:p>
        </w:tc>
        <w:tc>
          <w:tcPr>
            <w:tcW w:w="1705" w:type="dxa"/>
            <w:shd w:val="clear" w:color="auto" w:fill="auto"/>
            <w:vAlign w:val="center"/>
          </w:tcPr>
          <w:p w14:paraId="2982655D">
            <w:pPr>
              <w:autoSpaceDE w:val="0"/>
              <w:autoSpaceDN w:val="0"/>
              <w:ind w:firstLine="0" w:firstLineChars="0"/>
              <w:rPr>
                <w:rFonts w:hAnsiTheme="minorEastAsia"/>
                <w:color w:val="auto"/>
              </w:rPr>
            </w:pPr>
            <w:r>
              <w:rPr>
                <w:rFonts w:cs="Segoe UI Symbol" w:hAnsiTheme="minorEastAsia"/>
                <w:color w:val="auto"/>
              </w:rPr>
              <w:t>★</w:t>
            </w:r>
            <w:r>
              <w:rPr>
                <w:rFonts w:hAnsiTheme="minorEastAsia"/>
                <w:color w:val="auto"/>
              </w:rPr>
              <w:t>A02010104</w:t>
            </w:r>
            <w:r>
              <w:rPr>
                <w:rFonts w:hAnsiTheme="minorEastAsia"/>
                <w:color w:val="auto"/>
                <w:spacing w:val="-7"/>
              </w:rPr>
              <w:t xml:space="preserve"> 台式计</w:t>
            </w:r>
            <w:r>
              <w:rPr>
                <w:rFonts w:hAnsiTheme="minorEastAsia"/>
                <w:color w:val="auto"/>
              </w:rPr>
              <w:t>算机</w:t>
            </w:r>
          </w:p>
        </w:tc>
        <w:tc>
          <w:tcPr>
            <w:tcW w:w="2054" w:type="dxa"/>
            <w:shd w:val="clear" w:color="auto" w:fill="auto"/>
            <w:vAlign w:val="center"/>
          </w:tcPr>
          <w:p w14:paraId="217CE209">
            <w:pPr>
              <w:autoSpaceDE w:val="0"/>
              <w:autoSpaceDN w:val="0"/>
              <w:ind w:firstLine="0" w:firstLineChars="0"/>
              <w:rPr>
                <w:rFonts w:hAnsiTheme="minorEastAsia"/>
                <w:color w:val="auto"/>
              </w:rPr>
            </w:pPr>
          </w:p>
        </w:tc>
        <w:tc>
          <w:tcPr>
            <w:tcW w:w="3392" w:type="dxa"/>
            <w:shd w:val="clear" w:color="auto" w:fill="auto"/>
            <w:vAlign w:val="center"/>
          </w:tcPr>
          <w:p w14:paraId="494C285C">
            <w:pPr>
              <w:autoSpaceDE w:val="0"/>
              <w:autoSpaceDN w:val="0"/>
              <w:ind w:firstLine="0" w:firstLineChars="0"/>
              <w:rPr>
                <w:rFonts w:ascii="宋体" w:hAnsi="宋体" w:eastAsia="宋体"/>
                <w:color w:val="auto"/>
              </w:rPr>
            </w:pPr>
            <w:r>
              <w:rPr>
                <w:rFonts w:ascii="宋体" w:hAnsi="宋体" w:eastAsia="宋体"/>
                <w:color w:val="auto"/>
                <w:spacing w:val="9"/>
              </w:rPr>
              <w:t>《微型计算机能效限定值及能效</w:t>
            </w:r>
            <w:r>
              <w:rPr>
                <w:rFonts w:ascii="宋体" w:hAnsi="宋体" w:eastAsia="宋体"/>
                <w:color w:val="auto"/>
              </w:rPr>
              <w:t>等级》（GB28380）</w:t>
            </w:r>
          </w:p>
        </w:tc>
      </w:tr>
      <w:tr w14:paraId="45782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vMerge w:val="continue"/>
            <w:shd w:val="clear" w:color="auto" w:fill="auto"/>
            <w:vAlign w:val="center"/>
          </w:tcPr>
          <w:p w14:paraId="7CCA53DB">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6E26959F">
            <w:pPr>
              <w:autoSpaceDE w:val="0"/>
              <w:autoSpaceDN w:val="0"/>
              <w:ind w:firstLine="0" w:firstLineChars="0"/>
              <w:rPr>
                <w:rFonts w:hAnsiTheme="minorEastAsia"/>
                <w:color w:val="auto"/>
              </w:rPr>
            </w:pPr>
          </w:p>
        </w:tc>
        <w:tc>
          <w:tcPr>
            <w:tcW w:w="1705" w:type="dxa"/>
            <w:shd w:val="clear" w:color="auto" w:fill="auto"/>
            <w:vAlign w:val="center"/>
          </w:tcPr>
          <w:p w14:paraId="1B1A5CAF">
            <w:pPr>
              <w:autoSpaceDE w:val="0"/>
              <w:autoSpaceDN w:val="0"/>
              <w:ind w:firstLine="0" w:firstLineChars="0"/>
              <w:rPr>
                <w:rFonts w:hAnsiTheme="minorEastAsia"/>
                <w:color w:val="auto"/>
              </w:rPr>
            </w:pPr>
            <w:r>
              <w:rPr>
                <w:rFonts w:cs="Segoe UI Symbol" w:hAnsiTheme="minorEastAsia"/>
                <w:color w:val="auto"/>
              </w:rPr>
              <w:t>★</w:t>
            </w:r>
            <w:r>
              <w:rPr>
                <w:rFonts w:hAnsiTheme="minorEastAsia"/>
                <w:color w:val="auto"/>
              </w:rPr>
              <w:t>A02010105</w:t>
            </w:r>
            <w:r>
              <w:rPr>
                <w:rFonts w:hAnsiTheme="minorEastAsia"/>
                <w:color w:val="auto"/>
                <w:spacing w:val="-7"/>
              </w:rPr>
              <w:t xml:space="preserve"> 便携式</w:t>
            </w:r>
            <w:r>
              <w:rPr>
                <w:rFonts w:hAnsiTheme="minorEastAsia"/>
                <w:color w:val="auto"/>
              </w:rPr>
              <w:t>计算机</w:t>
            </w:r>
          </w:p>
        </w:tc>
        <w:tc>
          <w:tcPr>
            <w:tcW w:w="2054" w:type="dxa"/>
            <w:shd w:val="clear" w:color="auto" w:fill="auto"/>
            <w:vAlign w:val="center"/>
          </w:tcPr>
          <w:p w14:paraId="3627BDD3">
            <w:pPr>
              <w:autoSpaceDE w:val="0"/>
              <w:autoSpaceDN w:val="0"/>
              <w:ind w:firstLine="0" w:firstLineChars="0"/>
              <w:rPr>
                <w:rFonts w:hAnsiTheme="minorEastAsia"/>
                <w:color w:val="auto"/>
              </w:rPr>
            </w:pPr>
          </w:p>
        </w:tc>
        <w:tc>
          <w:tcPr>
            <w:tcW w:w="3392" w:type="dxa"/>
            <w:shd w:val="clear" w:color="auto" w:fill="auto"/>
            <w:vAlign w:val="center"/>
          </w:tcPr>
          <w:p w14:paraId="3AE8AD0F">
            <w:pPr>
              <w:autoSpaceDE w:val="0"/>
              <w:autoSpaceDN w:val="0"/>
              <w:ind w:firstLine="0" w:firstLineChars="0"/>
              <w:rPr>
                <w:rFonts w:ascii="宋体" w:hAnsi="宋体" w:eastAsia="宋体"/>
                <w:color w:val="auto"/>
              </w:rPr>
            </w:pPr>
            <w:r>
              <w:rPr>
                <w:rFonts w:ascii="宋体" w:hAnsi="宋体" w:eastAsia="宋体"/>
                <w:color w:val="auto"/>
                <w:spacing w:val="9"/>
              </w:rPr>
              <w:t>《微型计算机能效限定值及能效</w:t>
            </w:r>
            <w:r>
              <w:rPr>
                <w:rFonts w:ascii="宋体" w:hAnsi="宋体" w:eastAsia="宋体"/>
                <w:color w:val="auto"/>
              </w:rPr>
              <w:t>等级》（GB28380）</w:t>
            </w:r>
          </w:p>
        </w:tc>
      </w:tr>
      <w:tr w14:paraId="70B23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vMerge w:val="continue"/>
            <w:shd w:val="clear" w:color="auto" w:fill="auto"/>
            <w:vAlign w:val="center"/>
          </w:tcPr>
          <w:p w14:paraId="3B0EEF6F">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42B7D3CA">
            <w:pPr>
              <w:autoSpaceDE w:val="0"/>
              <w:autoSpaceDN w:val="0"/>
              <w:ind w:firstLine="0" w:firstLineChars="0"/>
              <w:rPr>
                <w:rFonts w:hAnsiTheme="minorEastAsia"/>
                <w:color w:val="auto"/>
              </w:rPr>
            </w:pPr>
          </w:p>
        </w:tc>
        <w:tc>
          <w:tcPr>
            <w:tcW w:w="1705" w:type="dxa"/>
            <w:shd w:val="clear" w:color="auto" w:fill="auto"/>
            <w:vAlign w:val="center"/>
          </w:tcPr>
          <w:p w14:paraId="2CA79FE6">
            <w:pPr>
              <w:autoSpaceDE w:val="0"/>
              <w:autoSpaceDN w:val="0"/>
              <w:ind w:firstLine="0" w:firstLineChars="0"/>
              <w:rPr>
                <w:rFonts w:hAnsiTheme="minorEastAsia"/>
                <w:color w:val="auto"/>
              </w:rPr>
            </w:pPr>
            <w:r>
              <w:rPr>
                <w:rFonts w:cs="Segoe UI Symbol" w:hAnsiTheme="minorEastAsia"/>
                <w:color w:val="auto"/>
              </w:rPr>
              <w:t>★</w:t>
            </w:r>
            <w:r>
              <w:rPr>
                <w:rFonts w:hAnsiTheme="minorEastAsia"/>
                <w:color w:val="auto"/>
              </w:rPr>
              <w:t>A02010107</w:t>
            </w:r>
            <w:r>
              <w:rPr>
                <w:rFonts w:hAnsiTheme="minorEastAsia"/>
                <w:color w:val="auto"/>
                <w:spacing w:val="-7"/>
              </w:rPr>
              <w:t xml:space="preserve"> 平板式</w:t>
            </w:r>
            <w:r>
              <w:rPr>
                <w:rFonts w:hAnsiTheme="minorEastAsia"/>
                <w:color w:val="auto"/>
              </w:rPr>
              <w:t>微型计算机</w:t>
            </w:r>
          </w:p>
        </w:tc>
        <w:tc>
          <w:tcPr>
            <w:tcW w:w="2054" w:type="dxa"/>
            <w:shd w:val="clear" w:color="auto" w:fill="auto"/>
            <w:vAlign w:val="center"/>
          </w:tcPr>
          <w:p w14:paraId="5071B669">
            <w:pPr>
              <w:autoSpaceDE w:val="0"/>
              <w:autoSpaceDN w:val="0"/>
              <w:ind w:firstLine="0" w:firstLineChars="0"/>
              <w:rPr>
                <w:rFonts w:hAnsiTheme="minorEastAsia"/>
                <w:color w:val="auto"/>
              </w:rPr>
            </w:pPr>
          </w:p>
        </w:tc>
        <w:tc>
          <w:tcPr>
            <w:tcW w:w="3392" w:type="dxa"/>
            <w:shd w:val="clear" w:color="auto" w:fill="auto"/>
            <w:vAlign w:val="center"/>
          </w:tcPr>
          <w:p w14:paraId="13EF5ABD">
            <w:pPr>
              <w:autoSpaceDE w:val="0"/>
              <w:autoSpaceDN w:val="0"/>
              <w:ind w:firstLine="0" w:firstLineChars="0"/>
              <w:rPr>
                <w:rFonts w:ascii="宋体" w:hAnsi="宋体" w:eastAsia="宋体"/>
                <w:color w:val="auto"/>
              </w:rPr>
            </w:pPr>
            <w:r>
              <w:rPr>
                <w:rFonts w:ascii="宋体" w:hAnsi="宋体" w:eastAsia="宋体"/>
                <w:color w:val="auto"/>
                <w:spacing w:val="9"/>
              </w:rPr>
              <w:t>《微型计算机能效限定值及能效</w:t>
            </w:r>
            <w:r>
              <w:rPr>
                <w:rFonts w:ascii="宋体" w:hAnsi="宋体" w:eastAsia="宋体"/>
                <w:color w:val="auto"/>
              </w:rPr>
              <w:t>等级》（GB 28380）</w:t>
            </w:r>
          </w:p>
        </w:tc>
      </w:tr>
      <w:tr w14:paraId="30712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vMerge w:val="restart"/>
            <w:shd w:val="clear" w:color="auto" w:fill="auto"/>
            <w:vAlign w:val="center"/>
          </w:tcPr>
          <w:p w14:paraId="13F8C59E">
            <w:pPr>
              <w:autoSpaceDE w:val="0"/>
              <w:autoSpaceDN w:val="0"/>
              <w:ind w:firstLine="0" w:firstLineChars="0"/>
              <w:jc w:val="center"/>
              <w:rPr>
                <w:rFonts w:ascii="宋体" w:hAnsi="宋体" w:eastAsia="宋体"/>
                <w:color w:val="auto"/>
              </w:rPr>
            </w:pPr>
            <w:r>
              <w:rPr>
                <w:rFonts w:ascii="宋体" w:hAnsi="宋体" w:eastAsia="宋体"/>
                <w:color w:val="auto"/>
              </w:rPr>
              <w:t>2</w:t>
            </w:r>
          </w:p>
        </w:tc>
        <w:tc>
          <w:tcPr>
            <w:tcW w:w="1550" w:type="dxa"/>
            <w:vMerge w:val="restart"/>
            <w:shd w:val="clear" w:color="auto" w:fill="auto"/>
            <w:vAlign w:val="center"/>
          </w:tcPr>
          <w:p w14:paraId="7149E53F">
            <w:pPr>
              <w:autoSpaceDE w:val="0"/>
              <w:autoSpaceDN w:val="0"/>
              <w:ind w:firstLine="0" w:firstLineChars="0"/>
              <w:rPr>
                <w:rFonts w:hAnsiTheme="minorEastAsia"/>
                <w:color w:val="auto"/>
              </w:rPr>
            </w:pPr>
            <w:r>
              <w:rPr>
                <w:rFonts w:hAnsiTheme="minorEastAsia"/>
                <w:color w:val="auto"/>
              </w:rPr>
              <w:t>A020106</w:t>
            </w:r>
            <w:r>
              <w:rPr>
                <w:rFonts w:hAnsiTheme="minorEastAsia"/>
                <w:color w:val="auto"/>
                <w:spacing w:val="-20"/>
              </w:rPr>
              <w:t xml:space="preserve"> 输入</w:t>
            </w:r>
            <w:r>
              <w:rPr>
                <w:rFonts w:hAnsiTheme="minorEastAsia"/>
                <w:color w:val="auto"/>
              </w:rPr>
              <w:t>输出设备</w:t>
            </w:r>
          </w:p>
        </w:tc>
        <w:tc>
          <w:tcPr>
            <w:tcW w:w="1705" w:type="dxa"/>
            <w:vMerge w:val="restart"/>
            <w:shd w:val="clear" w:color="auto" w:fill="auto"/>
            <w:vAlign w:val="center"/>
          </w:tcPr>
          <w:p w14:paraId="74A3F5BB">
            <w:pPr>
              <w:autoSpaceDE w:val="0"/>
              <w:autoSpaceDN w:val="0"/>
              <w:ind w:firstLine="0" w:firstLineChars="0"/>
              <w:rPr>
                <w:rFonts w:hAnsiTheme="minorEastAsia"/>
                <w:color w:val="auto"/>
              </w:rPr>
            </w:pPr>
            <w:r>
              <w:rPr>
                <w:rFonts w:hAnsiTheme="minorEastAsia"/>
                <w:color w:val="auto"/>
              </w:rPr>
              <w:t>A02010601 打印设备</w:t>
            </w:r>
          </w:p>
        </w:tc>
        <w:tc>
          <w:tcPr>
            <w:tcW w:w="2054" w:type="dxa"/>
            <w:shd w:val="clear" w:color="auto" w:fill="auto"/>
            <w:vAlign w:val="center"/>
          </w:tcPr>
          <w:p w14:paraId="43A66EF2">
            <w:pPr>
              <w:autoSpaceDE w:val="0"/>
              <w:autoSpaceDN w:val="0"/>
              <w:ind w:firstLine="0" w:firstLineChars="0"/>
              <w:rPr>
                <w:rFonts w:hAnsiTheme="minorEastAsia"/>
                <w:color w:val="auto"/>
              </w:rPr>
            </w:pPr>
            <w:r>
              <w:rPr>
                <w:rFonts w:hAnsiTheme="minorEastAsia"/>
                <w:color w:val="auto"/>
              </w:rPr>
              <w:t>A0201060101</w:t>
            </w:r>
            <w:r>
              <w:rPr>
                <w:rFonts w:hAnsiTheme="minorEastAsia"/>
                <w:color w:val="auto"/>
                <w:spacing w:val="18"/>
              </w:rPr>
              <w:t xml:space="preserve"> 喷墨打</w:t>
            </w:r>
            <w:r>
              <w:rPr>
                <w:rFonts w:hAnsiTheme="minorEastAsia"/>
                <w:color w:val="auto"/>
              </w:rPr>
              <w:t>印机</w:t>
            </w:r>
          </w:p>
        </w:tc>
        <w:tc>
          <w:tcPr>
            <w:tcW w:w="3392" w:type="dxa"/>
            <w:shd w:val="clear" w:color="auto" w:fill="auto"/>
            <w:vAlign w:val="center"/>
          </w:tcPr>
          <w:p w14:paraId="44255BB0">
            <w:pPr>
              <w:autoSpaceDE w:val="0"/>
              <w:autoSpaceDN w:val="0"/>
              <w:ind w:firstLine="0" w:firstLineChars="0"/>
              <w:rPr>
                <w:rFonts w:ascii="宋体" w:hAnsi="宋体" w:eastAsia="宋体"/>
                <w:color w:val="auto"/>
              </w:rPr>
            </w:pPr>
            <w:r>
              <w:rPr>
                <w:rFonts w:ascii="宋体" w:hAnsi="宋体" w:eastAsia="宋体"/>
                <w:color w:val="auto"/>
                <w:spacing w:val="-8"/>
              </w:rPr>
              <w:t>《复印机、打印机和传真机能效限</w:t>
            </w:r>
            <w:r>
              <w:rPr>
                <w:rFonts w:ascii="宋体" w:hAnsi="宋体" w:eastAsia="宋体"/>
                <w:color w:val="auto"/>
              </w:rPr>
              <w:t>定值及能效等级》（GB 21521）</w:t>
            </w:r>
          </w:p>
        </w:tc>
      </w:tr>
      <w:tr w14:paraId="19FB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vMerge w:val="continue"/>
            <w:shd w:val="clear" w:color="auto" w:fill="auto"/>
            <w:vAlign w:val="center"/>
          </w:tcPr>
          <w:p w14:paraId="612E83E2">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111A5997">
            <w:pPr>
              <w:autoSpaceDE w:val="0"/>
              <w:autoSpaceDN w:val="0"/>
              <w:ind w:firstLine="0" w:firstLineChars="0"/>
              <w:rPr>
                <w:rFonts w:hAnsiTheme="minorEastAsia"/>
                <w:color w:val="auto"/>
              </w:rPr>
            </w:pPr>
          </w:p>
        </w:tc>
        <w:tc>
          <w:tcPr>
            <w:tcW w:w="1705" w:type="dxa"/>
            <w:vMerge w:val="continue"/>
            <w:shd w:val="clear" w:color="auto" w:fill="auto"/>
            <w:vAlign w:val="center"/>
          </w:tcPr>
          <w:p w14:paraId="1FFCDCBA">
            <w:pPr>
              <w:autoSpaceDE w:val="0"/>
              <w:autoSpaceDN w:val="0"/>
              <w:ind w:firstLine="0" w:firstLineChars="0"/>
              <w:rPr>
                <w:rFonts w:hAnsiTheme="minorEastAsia"/>
                <w:color w:val="auto"/>
              </w:rPr>
            </w:pPr>
          </w:p>
        </w:tc>
        <w:tc>
          <w:tcPr>
            <w:tcW w:w="2054" w:type="dxa"/>
            <w:shd w:val="clear" w:color="auto" w:fill="auto"/>
            <w:vAlign w:val="center"/>
          </w:tcPr>
          <w:p w14:paraId="6FA1BF57">
            <w:pPr>
              <w:autoSpaceDE w:val="0"/>
              <w:autoSpaceDN w:val="0"/>
              <w:ind w:firstLine="0" w:firstLineChars="0"/>
              <w:rPr>
                <w:rFonts w:hAnsiTheme="minorEastAsia"/>
                <w:color w:val="auto"/>
              </w:rPr>
            </w:pPr>
            <w:r>
              <w:rPr>
                <w:rFonts w:cs="Segoe UI Symbol" w:hAnsiTheme="minorEastAsia"/>
                <w:color w:val="auto"/>
                <w:spacing w:val="-26"/>
              </w:rPr>
              <w:t>★</w:t>
            </w:r>
            <w:r>
              <w:rPr>
                <w:rFonts w:hAnsiTheme="minorEastAsia"/>
                <w:color w:val="auto"/>
              </w:rPr>
              <w:t>A0201060102</w:t>
            </w:r>
            <w:r>
              <w:rPr>
                <w:rFonts w:hAnsiTheme="minorEastAsia"/>
                <w:color w:val="auto"/>
                <w:spacing w:val="38"/>
              </w:rPr>
              <w:t xml:space="preserve"> 激光</w:t>
            </w:r>
            <w:r>
              <w:rPr>
                <w:rFonts w:hAnsiTheme="minorEastAsia"/>
                <w:color w:val="auto"/>
              </w:rPr>
              <w:t>打印机</w:t>
            </w:r>
          </w:p>
        </w:tc>
        <w:tc>
          <w:tcPr>
            <w:tcW w:w="3392" w:type="dxa"/>
            <w:shd w:val="clear" w:color="auto" w:fill="auto"/>
            <w:vAlign w:val="center"/>
          </w:tcPr>
          <w:p w14:paraId="6C403CB9">
            <w:pPr>
              <w:autoSpaceDE w:val="0"/>
              <w:autoSpaceDN w:val="0"/>
              <w:ind w:firstLine="0" w:firstLineChars="0"/>
              <w:rPr>
                <w:rFonts w:ascii="宋体" w:hAnsi="宋体" w:eastAsia="宋体"/>
                <w:color w:val="auto"/>
              </w:rPr>
            </w:pPr>
            <w:r>
              <w:rPr>
                <w:rFonts w:ascii="宋体" w:hAnsi="宋体" w:eastAsia="宋体"/>
                <w:color w:val="auto"/>
                <w:spacing w:val="-8"/>
              </w:rPr>
              <w:t>《复印机、打印机和传真机能效限</w:t>
            </w:r>
            <w:r>
              <w:rPr>
                <w:rFonts w:ascii="宋体" w:hAnsi="宋体" w:eastAsia="宋体"/>
                <w:color w:val="auto"/>
              </w:rPr>
              <w:t>定值及能效等级》（GB 21521）</w:t>
            </w:r>
          </w:p>
        </w:tc>
      </w:tr>
      <w:tr w14:paraId="3BC7C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vMerge w:val="continue"/>
            <w:shd w:val="clear" w:color="auto" w:fill="auto"/>
            <w:vAlign w:val="center"/>
          </w:tcPr>
          <w:p w14:paraId="26CAF1E3">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75FD55AB">
            <w:pPr>
              <w:autoSpaceDE w:val="0"/>
              <w:autoSpaceDN w:val="0"/>
              <w:ind w:firstLine="0" w:firstLineChars="0"/>
              <w:rPr>
                <w:rFonts w:hAnsiTheme="minorEastAsia"/>
                <w:color w:val="auto"/>
              </w:rPr>
            </w:pPr>
          </w:p>
        </w:tc>
        <w:tc>
          <w:tcPr>
            <w:tcW w:w="1705" w:type="dxa"/>
            <w:vMerge w:val="continue"/>
            <w:shd w:val="clear" w:color="auto" w:fill="auto"/>
            <w:vAlign w:val="center"/>
          </w:tcPr>
          <w:p w14:paraId="5B9BA44A">
            <w:pPr>
              <w:autoSpaceDE w:val="0"/>
              <w:autoSpaceDN w:val="0"/>
              <w:ind w:firstLine="0" w:firstLineChars="0"/>
              <w:rPr>
                <w:rFonts w:hAnsiTheme="minorEastAsia"/>
                <w:color w:val="auto"/>
              </w:rPr>
            </w:pPr>
          </w:p>
        </w:tc>
        <w:tc>
          <w:tcPr>
            <w:tcW w:w="2054" w:type="dxa"/>
            <w:shd w:val="clear" w:color="auto" w:fill="auto"/>
            <w:vAlign w:val="center"/>
          </w:tcPr>
          <w:p w14:paraId="62E5E8EA">
            <w:pPr>
              <w:autoSpaceDE w:val="0"/>
              <w:autoSpaceDN w:val="0"/>
              <w:ind w:firstLine="0" w:firstLineChars="0"/>
              <w:rPr>
                <w:rFonts w:hAnsiTheme="minorEastAsia"/>
                <w:color w:val="auto"/>
              </w:rPr>
            </w:pPr>
            <w:r>
              <w:rPr>
                <w:rFonts w:cs="Segoe UI Symbol" w:hAnsiTheme="minorEastAsia"/>
                <w:color w:val="auto"/>
                <w:spacing w:val="-26"/>
              </w:rPr>
              <w:t>★</w:t>
            </w:r>
            <w:r>
              <w:rPr>
                <w:rFonts w:hAnsiTheme="minorEastAsia"/>
                <w:color w:val="auto"/>
              </w:rPr>
              <w:t>A0201060104</w:t>
            </w:r>
            <w:r>
              <w:rPr>
                <w:rFonts w:hAnsiTheme="minorEastAsia"/>
                <w:color w:val="auto"/>
                <w:spacing w:val="38"/>
              </w:rPr>
              <w:t xml:space="preserve"> 针式</w:t>
            </w:r>
            <w:r>
              <w:rPr>
                <w:rFonts w:hAnsiTheme="minorEastAsia"/>
                <w:color w:val="auto"/>
              </w:rPr>
              <w:t>打印机</w:t>
            </w:r>
          </w:p>
        </w:tc>
        <w:tc>
          <w:tcPr>
            <w:tcW w:w="3392" w:type="dxa"/>
            <w:shd w:val="clear" w:color="auto" w:fill="auto"/>
            <w:vAlign w:val="center"/>
          </w:tcPr>
          <w:p w14:paraId="11442CB7">
            <w:pPr>
              <w:autoSpaceDE w:val="0"/>
              <w:autoSpaceDN w:val="0"/>
              <w:ind w:firstLine="0" w:firstLineChars="0"/>
              <w:rPr>
                <w:rFonts w:ascii="宋体" w:hAnsi="宋体" w:eastAsia="宋体"/>
                <w:color w:val="auto"/>
              </w:rPr>
            </w:pPr>
            <w:r>
              <w:rPr>
                <w:rFonts w:ascii="宋体" w:hAnsi="宋体" w:eastAsia="宋体"/>
                <w:color w:val="auto"/>
                <w:spacing w:val="-8"/>
              </w:rPr>
              <w:t>《复印机、打印机和传真机能效限</w:t>
            </w:r>
            <w:r>
              <w:rPr>
                <w:rFonts w:ascii="宋体" w:hAnsi="宋体" w:eastAsia="宋体"/>
                <w:color w:val="auto"/>
              </w:rPr>
              <w:t>定值及能效等级》（GB 21521）</w:t>
            </w:r>
          </w:p>
        </w:tc>
      </w:tr>
      <w:tr w14:paraId="08EFA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vMerge w:val="continue"/>
            <w:shd w:val="clear" w:color="auto" w:fill="auto"/>
            <w:vAlign w:val="center"/>
          </w:tcPr>
          <w:p w14:paraId="29D1D5CC">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6588A8A8">
            <w:pPr>
              <w:autoSpaceDE w:val="0"/>
              <w:autoSpaceDN w:val="0"/>
              <w:ind w:firstLine="0" w:firstLineChars="0"/>
              <w:rPr>
                <w:rFonts w:hAnsiTheme="minorEastAsia"/>
                <w:color w:val="auto"/>
              </w:rPr>
            </w:pPr>
          </w:p>
        </w:tc>
        <w:tc>
          <w:tcPr>
            <w:tcW w:w="1705" w:type="dxa"/>
            <w:shd w:val="clear" w:color="auto" w:fill="auto"/>
            <w:vAlign w:val="center"/>
          </w:tcPr>
          <w:p w14:paraId="1E449FE5">
            <w:pPr>
              <w:autoSpaceDE w:val="0"/>
              <w:autoSpaceDN w:val="0"/>
              <w:ind w:firstLine="0" w:firstLineChars="0"/>
              <w:rPr>
                <w:rFonts w:hAnsiTheme="minorEastAsia"/>
                <w:color w:val="auto"/>
              </w:rPr>
            </w:pPr>
            <w:r>
              <w:rPr>
                <w:rFonts w:hAnsiTheme="minorEastAsia"/>
                <w:color w:val="auto"/>
              </w:rPr>
              <w:t>A02010604 显示设备</w:t>
            </w:r>
          </w:p>
        </w:tc>
        <w:tc>
          <w:tcPr>
            <w:tcW w:w="2054" w:type="dxa"/>
            <w:shd w:val="clear" w:color="auto" w:fill="auto"/>
            <w:vAlign w:val="center"/>
          </w:tcPr>
          <w:p w14:paraId="1DE695E3">
            <w:pPr>
              <w:autoSpaceDE w:val="0"/>
              <w:autoSpaceDN w:val="0"/>
              <w:ind w:firstLine="0" w:firstLineChars="0"/>
              <w:rPr>
                <w:rFonts w:hAnsiTheme="minorEastAsia"/>
                <w:color w:val="auto"/>
              </w:rPr>
            </w:pPr>
            <w:r>
              <w:rPr>
                <w:rFonts w:cs="Segoe UI Symbol" w:hAnsiTheme="minorEastAsia"/>
                <w:color w:val="auto"/>
                <w:spacing w:val="-26"/>
              </w:rPr>
              <w:t>★</w:t>
            </w:r>
            <w:r>
              <w:rPr>
                <w:rFonts w:hAnsiTheme="minorEastAsia"/>
                <w:color w:val="auto"/>
              </w:rPr>
              <w:t>A0201060401</w:t>
            </w:r>
            <w:r>
              <w:rPr>
                <w:rFonts w:hAnsiTheme="minorEastAsia"/>
                <w:color w:val="auto"/>
                <w:spacing w:val="38"/>
              </w:rPr>
              <w:t xml:space="preserve"> 液晶</w:t>
            </w:r>
            <w:r>
              <w:rPr>
                <w:rFonts w:hAnsiTheme="minorEastAsia"/>
                <w:color w:val="auto"/>
              </w:rPr>
              <w:t>显示器</w:t>
            </w:r>
          </w:p>
        </w:tc>
        <w:tc>
          <w:tcPr>
            <w:tcW w:w="3392" w:type="dxa"/>
            <w:shd w:val="clear" w:color="auto" w:fill="auto"/>
            <w:vAlign w:val="center"/>
          </w:tcPr>
          <w:p w14:paraId="3A8853F8">
            <w:pPr>
              <w:autoSpaceDE w:val="0"/>
              <w:autoSpaceDN w:val="0"/>
              <w:ind w:firstLine="0" w:firstLineChars="0"/>
              <w:rPr>
                <w:rFonts w:ascii="宋体" w:hAnsi="宋体" w:eastAsia="宋体"/>
                <w:color w:val="auto"/>
              </w:rPr>
            </w:pPr>
            <w:r>
              <w:rPr>
                <w:rFonts w:ascii="宋体" w:hAnsi="宋体" w:eastAsia="宋体"/>
                <w:color w:val="auto"/>
                <w:spacing w:val="9"/>
              </w:rPr>
              <w:t>《计算机显示器能效限定值及能</w:t>
            </w:r>
            <w:r>
              <w:rPr>
                <w:rFonts w:ascii="宋体" w:hAnsi="宋体" w:eastAsia="宋体"/>
                <w:color w:val="auto"/>
              </w:rPr>
              <w:t>效等级》（GB21520）</w:t>
            </w:r>
          </w:p>
        </w:tc>
      </w:tr>
      <w:tr w14:paraId="03BA3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618" w:type="dxa"/>
            <w:gridSpan w:val="2"/>
            <w:vMerge w:val="continue"/>
            <w:shd w:val="clear" w:color="auto" w:fill="auto"/>
            <w:vAlign w:val="center"/>
          </w:tcPr>
          <w:p w14:paraId="028B5DA9">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20A3D67C">
            <w:pPr>
              <w:autoSpaceDE w:val="0"/>
              <w:autoSpaceDN w:val="0"/>
              <w:ind w:firstLine="0" w:firstLineChars="0"/>
              <w:rPr>
                <w:rFonts w:hAnsiTheme="minorEastAsia"/>
                <w:color w:val="auto"/>
              </w:rPr>
            </w:pPr>
          </w:p>
        </w:tc>
        <w:tc>
          <w:tcPr>
            <w:tcW w:w="1705" w:type="dxa"/>
            <w:shd w:val="clear" w:color="auto" w:fill="auto"/>
            <w:vAlign w:val="center"/>
          </w:tcPr>
          <w:p w14:paraId="45671229">
            <w:pPr>
              <w:autoSpaceDE w:val="0"/>
              <w:autoSpaceDN w:val="0"/>
              <w:ind w:firstLine="0" w:firstLineChars="0"/>
              <w:rPr>
                <w:rFonts w:hAnsiTheme="minorEastAsia"/>
                <w:color w:val="auto"/>
              </w:rPr>
            </w:pPr>
            <w:r>
              <w:rPr>
                <w:rFonts w:hAnsiTheme="minorEastAsia"/>
                <w:color w:val="auto"/>
              </w:rPr>
              <w:t>A02010609</w:t>
            </w:r>
            <w:r>
              <w:rPr>
                <w:rFonts w:hAnsiTheme="minorEastAsia"/>
                <w:color w:val="auto"/>
                <w:spacing w:val="-6"/>
              </w:rPr>
              <w:t xml:space="preserve"> 图形图像</w:t>
            </w:r>
            <w:r>
              <w:rPr>
                <w:rFonts w:hAnsiTheme="minorEastAsia"/>
                <w:color w:val="auto"/>
              </w:rPr>
              <w:t>输入设备</w:t>
            </w:r>
          </w:p>
        </w:tc>
        <w:tc>
          <w:tcPr>
            <w:tcW w:w="2054" w:type="dxa"/>
            <w:shd w:val="clear" w:color="auto" w:fill="auto"/>
            <w:vAlign w:val="center"/>
          </w:tcPr>
          <w:p w14:paraId="56F99B68">
            <w:pPr>
              <w:autoSpaceDE w:val="0"/>
              <w:autoSpaceDN w:val="0"/>
              <w:ind w:firstLine="0" w:firstLineChars="0"/>
              <w:rPr>
                <w:rFonts w:hAnsiTheme="minorEastAsia"/>
                <w:color w:val="auto"/>
              </w:rPr>
            </w:pPr>
            <w:r>
              <w:rPr>
                <w:rFonts w:hAnsiTheme="minorEastAsia"/>
                <w:color w:val="auto"/>
              </w:rPr>
              <w:t>A0201060901</w:t>
            </w:r>
            <w:r>
              <w:rPr>
                <w:rFonts w:hAnsiTheme="minorEastAsia"/>
                <w:color w:val="auto"/>
                <w:spacing w:val="-7"/>
              </w:rPr>
              <w:t xml:space="preserve"> 扫描仪</w:t>
            </w:r>
          </w:p>
        </w:tc>
        <w:tc>
          <w:tcPr>
            <w:tcW w:w="3392" w:type="dxa"/>
            <w:shd w:val="clear" w:color="auto" w:fill="auto"/>
            <w:vAlign w:val="center"/>
          </w:tcPr>
          <w:p w14:paraId="41CD2F7E">
            <w:pPr>
              <w:autoSpaceDE w:val="0"/>
              <w:autoSpaceDN w:val="0"/>
              <w:ind w:firstLine="0" w:firstLineChars="0"/>
              <w:rPr>
                <w:rFonts w:ascii="宋体" w:hAnsi="宋体" w:eastAsia="宋体"/>
                <w:color w:val="auto"/>
              </w:rPr>
            </w:pPr>
            <w:r>
              <w:rPr>
                <w:rFonts w:ascii="宋体" w:hAnsi="宋体" w:eastAsia="宋体"/>
                <w:color w:val="auto"/>
              </w:rPr>
              <w:t>参照《复印机、打印机和传真机能</w:t>
            </w:r>
            <w:r>
              <w:rPr>
                <w:rFonts w:ascii="宋体" w:hAnsi="宋体" w:eastAsia="宋体"/>
                <w:color w:val="auto"/>
                <w:spacing w:val="-11"/>
              </w:rPr>
              <w:t>效限定值及能效等级》</w:t>
            </w:r>
            <w:r>
              <w:rPr>
                <w:rFonts w:ascii="宋体" w:hAnsi="宋体" w:eastAsia="宋体"/>
                <w:color w:val="auto"/>
              </w:rPr>
              <w:t>（GB21521）</w:t>
            </w:r>
            <w:r>
              <w:rPr>
                <w:rFonts w:ascii="宋体" w:hAnsi="宋体" w:eastAsia="宋体"/>
                <w:color w:val="auto"/>
                <w:spacing w:val="1"/>
              </w:rPr>
              <w:t xml:space="preserve">中打印速度为 </w:t>
            </w:r>
            <w:r>
              <w:rPr>
                <w:rFonts w:ascii="宋体" w:hAnsi="宋体" w:eastAsia="宋体"/>
                <w:color w:val="auto"/>
              </w:rPr>
              <w:t>15</w:t>
            </w:r>
            <w:r>
              <w:rPr>
                <w:rFonts w:ascii="宋体" w:hAnsi="宋体" w:eastAsia="宋体"/>
                <w:color w:val="auto"/>
                <w:spacing w:val="6"/>
              </w:rPr>
              <w:t xml:space="preserve"> 页</w:t>
            </w:r>
            <w:r>
              <w:rPr>
                <w:rFonts w:ascii="宋体" w:hAnsi="宋体" w:eastAsia="宋体"/>
                <w:color w:val="auto"/>
              </w:rPr>
              <w:t>/分的针式打印机相关要求</w:t>
            </w:r>
          </w:p>
        </w:tc>
      </w:tr>
      <w:tr w14:paraId="65671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shd w:val="clear" w:color="auto" w:fill="auto"/>
            <w:vAlign w:val="center"/>
          </w:tcPr>
          <w:p w14:paraId="391D636A">
            <w:pPr>
              <w:autoSpaceDE w:val="0"/>
              <w:autoSpaceDN w:val="0"/>
              <w:ind w:firstLine="0" w:firstLineChars="0"/>
              <w:jc w:val="center"/>
              <w:rPr>
                <w:rFonts w:ascii="宋体" w:hAnsi="宋体" w:eastAsia="宋体"/>
                <w:color w:val="auto"/>
              </w:rPr>
            </w:pPr>
            <w:r>
              <w:rPr>
                <w:rFonts w:ascii="宋体" w:hAnsi="宋体" w:eastAsia="宋体"/>
                <w:color w:val="auto"/>
              </w:rPr>
              <w:t>3</w:t>
            </w:r>
          </w:p>
        </w:tc>
        <w:tc>
          <w:tcPr>
            <w:tcW w:w="1550" w:type="dxa"/>
            <w:shd w:val="clear" w:color="auto" w:fill="auto"/>
            <w:vAlign w:val="center"/>
          </w:tcPr>
          <w:p w14:paraId="16FE6EEA">
            <w:pPr>
              <w:autoSpaceDE w:val="0"/>
              <w:autoSpaceDN w:val="0"/>
              <w:ind w:firstLine="0" w:firstLineChars="0"/>
              <w:rPr>
                <w:rFonts w:hAnsiTheme="minorEastAsia"/>
                <w:color w:val="auto"/>
              </w:rPr>
            </w:pPr>
            <w:r>
              <w:rPr>
                <w:rFonts w:hAnsiTheme="minorEastAsia"/>
                <w:color w:val="auto"/>
              </w:rPr>
              <w:t>A020202</w:t>
            </w:r>
            <w:r>
              <w:rPr>
                <w:rFonts w:hAnsiTheme="minorEastAsia"/>
                <w:color w:val="auto"/>
                <w:spacing w:val="-20"/>
              </w:rPr>
              <w:t xml:space="preserve"> 投影</w:t>
            </w:r>
            <w:r>
              <w:rPr>
                <w:rFonts w:hAnsiTheme="minorEastAsia"/>
                <w:color w:val="auto"/>
              </w:rPr>
              <w:t>仪</w:t>
            </w:r>
          </w:p>
        </w:tc>
        <w:tc>
          <w:tcPr>
            <w:tcW w:w="1705" w:type="dxa"/>
            <w:shd w:val="clear" w:color="auto" w:fill="auto"/>
            <w:vAlign w:val="center"/>
          </w:tcPr>
          <w:p w14:paraId="2DE0C8E7">
            <w:pPr>
              <w:autoSpaceDE w:val="0"/>
              <w:autoSpaceDN w:val="0"/>
              <w:ind w:firstLine="0" w:firstLineChars="0"/>
              <w:rPr>
                <w:rFonts w:hAnsiTheme="minorEastAsia"/>
                <w:color w:val="auto"/>
              </w:rPr>
            </w:pPr>
          </w:p>
        </w:tc>
        <w:tc>
          <w:tcPr>
            <w:tcW w:w="2054" w:type="dxa"/>
            <w:shd w:val="clear" w:color="auto" w:fill="auto"/>
            <w:vAlign w:val="center"/>
          </w:tcPr>
          <w:p w14:paraId="37DDAED3">
            <w:pPr>
              <w:autoSpaceDE w:val="0"/>
              <w:autoSpaceDN w:val="0"/>
              <w:ind w:firstLine="0" w:firstLineChars="0"/>
              <w:rPr>
                <w:rFonts w:hAnsiTheme="minorEastAsia"/>
                <w:color w:val="auto"/>
              </w:rPr>
            </w:pPr>
          </w:p>
        </w:tc>
        <w:tc>
          <w:tcPr>
            <w:tcW w:w="3392" w:type="dxa"/>
            <w:shd w:val="clear" w:color="auto" w:fill="auto"/>
            <w:vAlign w:val="center"/>
          </w:tcPr>
          <w:p w14:paraId="20D6C7F0">
            <w:pPr>
              <w:autoSpaceDE w:val="0"/>
              <w:autoSpaceDN w:val="0"/>
              <w:ind w:firstLine="0" w:firstLineChars="0"/>
              <w:rPr>
                <w:rFonts w:ascii="宋体" w:hAnsi="宋体" w:eastAsia="宋体"/>
                <w:color w:val="auto"/>
              </w:rPr>
            </w:pPr>
            <w:r>
              <w:rPr>
                <w:rFonts w:ascii="宋体" w:hAnsi="宋体" w:eastAsia="宋体"/>
                <w:color w:val="auto"/>
              </w:rPr>
              <w:t>《投影机能效限定值及能效等级》（GB32028）</w:t>
            </w:r>
          </w:p>
        </w:tc>
      </w:tr>
      <w:tr w14:paraId="55EE1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shd w:val="clear" w:color="auto" w:fill="auto"/>
            <w:vAlign w:val="center"/>
          </w:tcPr>
          <w:p w14:paraId="63A7BA17">
            <w:pPr>
              <w:autoSpaceDE w:val="0"/>
              <w:autoSpaceDN w:val="0"/>
              <w:ind w:firstLine="0" w:firstLineChars="0"/>
              <w:jc w:val="center"/>
              <w:rPr>
                <w:rFonts w:ascii="宋体" w:hAnsi="宋体" w:eastAsia="宋体"/>
                <w:color w:val="auto"/>
              </w:rPr>
            </w:pPr>
            <w:r>
              <w:rPr>
                <w:rFonts w:ascii="宋体" w:hAnsi="宋体" w:eastAsia="宋体"/>
                <w:color w:val="auto"/>
              </w:rPr>
              <w:t>4</w:t>
            </w:r>
          </w:p>
        </w:tc>
        <w:tc>
          <w:tcPr>
            <w:tcW w:w="1550" w:type="dxa"/>
            <w:shd w:val="clear" w:color="auto" w:fill="auto"/>
            <w:vAlign w:val="center"/>
          </w:tcPr>
          <w:p w14:paraId="3342B3E4">
            <w:pPr>
              <w:autoSpaceDE w:val="0"/>
              <w:autoSpaceDN w:val="0"/>
              <w:ind w:firstLine="0" w:firstLineChars="0"/>
              <w:rPr>
                <w:rFonts w:hAnsiTheme="minorEastAsia"/>
                <w:color w:val="auto"/>
              </w:rPr>
            </w:pPr>
            <w:r>
              <w:rPr>
                <w:rFonts w:hAnsiTheme="minorEastAsia"/>
                <w:color w:val="auto"/>
              </w:rPr>
              <w:t>A020204</w:t>
            </w:r>
            <w:r>
              <w:rPr>
                <w:rFonts w:hAnsiTheme="minorEastAsia"/>
                <w:color w:val="auto"/>
                <w:spacing w:val="-20"/>
              </w:rPr>
              <w:t xml:space="preserve"> 多功</w:t>
            </w:r>
            <w:r>
              <w:rPr>
                <w:rFonts w:hAnsiTheme="minorEastAsia"/>
                <w:color w:val="auto"/>
              </w:rPr>
              <w:t>能一体机</w:t>
            </w:r>
          </w:p>
        </w:tc>
        <w:tc>
          <w:tcPr>
            <w:tcW w:w="1705" w:type="dxa"/>
            <w:shd w:val="clear" w:color="auto" w:fill="auto"/>
            <w:vAlign w:val="center"/>
          </w:tcPr>
          <w:p w14:paraId="19B2BA3F">
            <w:pPr>
              <w:autoSpaceDE w:val="0"/>
              <w:autoSpaceDN w:val="0"/>
              <w:ind w:firstLine="0" w:firstLineChars="0"/>
              <w:rPr>
                <w:rFonts w:hAnsiTheme="minorEastAsia"/>
                <w:color w:val="auto"/>
              </w:rPr>
            </w:pPr>
          </w:p>
        </w:tc>
        <w:tc>
          <w:tcPr>
            <w:tcW w:w="2054" w:type="dxa"/>
            <w:shd w:val="clear" w:color="auto" w:fill="auto"/>
            <w:vAlign w:val="center"/>
          </w:tcPr>
          <w:p w14:paraId="6B47336B">
            <w:pPr>
              <w:autoSpaceDE w:val="0"/>
              <w:autoSpaceDN w:val="0"/>
              <w:ind w:firstLine="0" w:firstLineChars="0"/>
              <w:rPr>
                <w:rFonts w:hAnsiTheme="minorEastAsia"/>
                <w:color w:val="auto"/>
              </w:rPr>
            </w:pPr>
          </w:p>
        </w:tc>
        <w:tc>
          <w:tcPr>
            <w:tcW w:w="3392" w:type="dxa"/>
            <w:shd w:val="clear" w:color="auto" w:fill="auto"/>
            <w:vAlign w:val="center"/>
          </w:tcPr>
          <w:p w14:paraId="656554C5">
            <w:pPr>
              <w:autoSpaceDE w:val="0"/>
              <w:autoSpaceDN w:val="0"/>
              <w:ind w:firstLine="0" w:firstLineChars="0"/>
              <w:rPr>
                <w:rFonts w:ascii="宋体" w:hAnsi="宋体" w:eastAsia="宋体"/>
                <w:color w:val="auto"/>
              </w:rPr>
            </w:pPr>
            <w:r>
              <w:rPr>
                <w:rFonts w:ascii="宋体" w:hAnsi="宋体" w:eastAsia="宋体"/>
                <w:color w:val="auto"/>
                <w:spacing w:val="-8"/>
              </w:rPr>
              <w:t>《复印机、打印机和传真机能效限</w:t>
            </w:r>
            <w:r>
              <w:rPr>
                <w:rFonts w:ascii="宋体" w:hAnsi="宋体" w:eastAsia="宋体"/>
                <w:color w:val="auto"/>
              </w:rPr>
              <w:t>定值及能效等级》（GB 21521）</w:t>
            </w:r>
          </w:p>
        </w:tc>
      </w:tr>
      <w:tr w14:paraId="7F4DF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shd w:val="clear" w:color="auto" w:fill="auto"/>
            <w:vAlign w:val="center"/>
          </w:tcPr>
          <w:p w14:paraId="4A4889E3">
            <w:pPr>
              <w:autoSpaceDE w:val="0"/>
              <w:autoSpaceDN w:val="0"/>
              <w:ind w:firstLine="0" w:firstLineChars="0"/>
              <w:jc w:val="center"/>
              <w:rPr>
                <w:rFonts w:ascii="宋体" w:hAnsi="宋体" w:eastAsia="宋体"/>
                <w:color w:val="auto"/>
              </w:rPr>
            </w:pPr>
            <w:r>
              <w:rPr>
                <w:rFonts w:ascii="宋体" w:hAnsi="宋体" w:eastAsia="宋体"/>
                <w:color w:val="auto"/>
              </w:rPr>
              <w:t>5</w:t>
            </w:r>
          </w:p>
        </w:tc>
        <w:tc>
          <w:tcPr>
            <w:tcW w:w="1550" w:type="dxa"/>
            <w:shd w:val="clear" w:color="auto" w:fill="auto"/>
            <w:vAlign w:val="center"/>
          </w:tcPr>
          <w:p w14:paraId="1F75F378">
            <w:pPr>
              <w:autoSpaceDE w:val="0"/>
              <w:autoSpaceDN w:val="0"/>
              <w:ind w:firstLine="0" w:firstLineChars="0"/>
              <w:rPr>
                <w:rFonts w:hAnsiTheme="minorEastAsia"/>
                <w:color w:val="auto"/>
              </w:rPr>
            </w:pPr>
            <w:r>
              <w:rPr>
                <w:rFonts w:hAnsiTheme="minorEastAsia"/>
                <w:color w:val="auto"/>
              </w:rPr>
              <w:t>A020519</w:t>
            </w:r>
            <w:r>
              <w:rPr>
                <w:rFonts w:hAnsiTheme="minorEastAsia"/>
                <w:color w:val="auto"/>
                <w:spacing w:val="-25"/>
              </w:rPr>
              <w:t xml:space="preserve"> 泵</w:t>
            </w:r>
          </w:p>
        </w:tc>
        <w:tc>
          <w:tcPr>
            <w:tcW w:w="1705" w:type="dxa"/>
            <w:shd w:val="clear" w:color="auto" w:fill="auto"/>
            <w:vAlign w:val="center"/>
          </w:tcPr>
          <w:p w14:paraId="7B1AD008">
            <w:pPr>
              <w:autoSpaceDE w:val="0"/>
              <w:autoSpaceDN w:val="0"/>
              <w:ind w:firstLine="0" w:firstLineChars="0"/>
              <w:rPr>
                <w:rFonts w:hAnsiTheme="minorEastAsia"/>
                <w:color w:val="auto"/>
              </w:rPr>
            </w:pPr>
            <w:r>
              <w:rPr>
                <w:rFonts w:hAnsiTheme="minorEastAsia"/>
                <w:color w:val="auto"/>
              </w:rPr>
              <w:t>A02051901</w:t>
            </w:r>
            <w:r>
              <w:rPr>
                <w:rFonts w:hAnsiTheme="minorEastAsia"/>
                <w:color w:val="auto"/>
                <w:spacing w:val="-8"/>
              </w:rPr>
              <w:t xml:space="preserve"> 离心泵</w:t>
            </w:r>
          </w:p>
        </w:tc>
        <w:tc>
          <w:tcPr>
            <w:tcW w:w="2054" w:type="dxa"/>
            <w:shd w:val="clear" w:color="auto" w:fill="auto"/>
            <w:vAlign w:val="center"/>
          </w:tcPr>
          <w:p w14:paraId="70A6E104">
            <w:pPr>
              <w:autoSpaceDE w:val="0"/>
              <w:autoSpaceDN w:val="0"/>
              <w:ind w:firstLine="0" w:firstLineChars="0"/>
              <w:rPr>
                <w:rFonts w:hAnsiTheme="minorEastAsia"/>
                <w:color w:val="auto"/>
              </w:rPr>
            </w:pPr>
          </w:p>
        </w:tc>
        <w:tc>
          <w:tcPr>
            <w:tcW w:w="3392" w:type="dxa"/>
            <w:shd w:val="clear" w:color="auto" w:fill="auto"/>
            <w:vAlign w:val="center"/>
          </w:tcPr>
          <w:p w14:paraId="0D191FD8">
            <w:pPr>
              <w:autoSpaceDE w:val="0"/>
              <w:autoSpaceDN w:val="0"/>
              <w:ind w:firstLine="0" w:firstLineChars="0"/>
              <w:rPr>
                <w:rFonts w:ascii="宋体" w:hAnsi="宋体" w:eastAsia="宋体"/>
                <w:color w:val="auto"/>
              </w:rPr>
            </w:pPr>
            <w:r>
              <w:rPr>
                <w:rFonts w:ascii="宋体" w:hAnsi="宋体" w:eastAsia="宋体"/>
                <w:color w:val="auto"/>
                <w:spacing w:val="9"/>
              </w:rPr>
              <w:t>《清水离心泵能效限定值及节能</w:t>
            </w:r>
            <w:r>
              <w:rPr>
                <w:rFonts w:ascii="宋体" w:hAnsi="宋体" w:eastAsia="宋体"/>
                <w:color w:val="auto"/>
              </w:rPr>
              <w:t>评价值》（GB 19762）</w:t>
            </w:r>
          </w:p>
        </w:tc>
      </w:tr>
      <w:tr w14:paraId="17AB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618" w:type="dxa"/>
            <w:gridSpan w:val="2"/>
            <w:vMerge w:val="restart"/>
            <w:shd w:val="clear" w:color="auto" w:fill="auto"/>
            <w:vAlign w:val="center"/>
          </w:tcPr>
          <w:p w14:paraId="2885047E">
            <w:pPr>
              <w:autoSpaceDE w:val="0"/>
              <w:autoSpaceDN w:val="0"/>
              <w:ind w:firstLine="0" w:firstLineChars="0"/>
              <w:jc w:val="center"/>
              <w:rPr>
                <w:rFonts w:ascii="宋体" w:hAnsi="宋体" w:eastAsia="宋体"/>
                <w:color w:val="auto"/>
              </w:rPr>
            </w:pPr>
            <w:r>
              <w:rPr>
                <w:rFonts w:ascii="宋体" w:hAnsi="宋体" w:eastAsia="宋体"/>
                <w:color w:val="auto"/>
              </w:rPr>
              <w:t>6</w:t>
            </w:r>
          </w:p>
        </w:tc>
        <w:tc>
          <w:tcPr>
            <w:tcW w:w="1550" w:type="dxa"/>
            <w:vMerge w:val="restart"/>
            <w:shd w:val="clear" w:color="auto" w:fill="auto"/>
            <w:vAlign w:val="center"/>
          </w:tcPr>
          <w:p w14:paraId="2563D24E">
            <w:pPr>
              <w:autoSpaceDE w:val="0"/>
              <w:autoSpaceDN w:val="0"/>
              <w:ind w:firstLine="0" w:firstLineChars="0"/>
              <w:rPr>
                <w:rFonts w:hAnsiTheme="minorEastAsia"/>
                <w:color w:val="auto"/>
              </w:rPr>
            </w:pPr>
            <w:r>
              <w:rPr>
                <w:rFonts w:hAnsiTheme="minorEastAsia"/>
                <w:color w:val="auto"/>
              </w:rPr>
              <w:t>A020523</w:t>
            </w:r>
            <w:r>
              <w:rPr>
                <w:rFonts w:hAnsiTheme="minorEastAsia"/>
                <w:color w:val="auto"/>
                <w:spacing w:val="-20"/>
              </w:rPr>
              <w:t xml:space="preserve"> 制冷</w:t>
            </w:r>
            <w:r>
              <w:rPr>
                <w:rFonts w:hAnsiTheme="minorEastAsia"/>
                <w:color w:val="auto"/>
              </w:rPr>
              <w:t>空调设备</w:t>
            </w:r>
          </w:p>
        </w:tc>
        <w:tc>
          <w:tcPr>
            <w:tcW w:w="1705" w:type="dxa"/>
            <w:vMerge w:val="restart"/>
            <w:shd w:val="clear" w:color="auto" w:fill="auto"/>
            <w:vAlign w:val="center"/>
          </w:tcPr>
          <w:p w14:paraId="68C5ABE2">
            <w:pPr>
              <w:autoSpaceDE w:val="0"/>
              <w:autoSpaceDN w:val="0"/>
              <w:ind w:firstLine="0" w:firstLineChars="0"/>
              <w:rPr>
                <w:rFonts w:hAnsiTheme="minorEastAsia"/>
                <w:color w:val="auto"/>
              </w:rPr>
            </w:pPr>
            <w:r>
              <w:rPr>
                <w:rFonts w:cs="Segoe UI Symbol" w:hAnsiTheme="minorEastAsia"/>
                <w:color w:val="auto"/>
              </w:rPr>
              <w:t>★</w:t>
            </w:r>
            <w:r>
              <w:rPr>
                <w:rFonts w:hAnsiTheme="minorEastAsia"/>
                <w:color w:val="auto"/>
              </w:rPr>
              <w:t>A02052301</w:t>
            </w:r>
            <w:r>
              <w:rPr>
                <w:rFonts w:hAnsiTheme="minorEastAsia"/>
                <w:color w:val="auto"/>
                <w:spacing w:val="-7"/>
              </w:rPr>
              <w:t xml:space="preserve"> 制冷压</w:t>
            </w:r>
            <w:r>
              <w:rPr>
                <w:rFonts w:hAnsiTheme="minorEastAsia"/>
                <w:color w:val="auto"/>
              </w:rPr>
              <w:t>缩机</w:t>
            </w:r>
          </w:p>
        </w:tc>
        <w:tc>
          <w:tcPr>
            <w:tcW w:w="2054" w:type="dxa"/>
            <w:shd w:val="clear" w:color="auto" w:fill="auto"/>
            <w:vAlign w:val="center"/>
          </w:tcPr>
          <w:p w14:paraId="4F56F884">
            <w:pPr>
              <w:autoSpaceDE w:val="0"/>
              <w:autoSpaceDN w:val="0"/>
              <w:ind w:firstLine="0" w:firstLineChars="0"/>
              <w:rPr>
                <w:rFonts w:hAnsiTheme="minorEastAsia"/>
                <w:color w:val="auto"/>
              </w:rPr>
            </w:pPr>
            <w:r>
              <w:rPr>
                <w:rFonts w:hAnsiTheme="minorEastAsia"/>
                <w:color w:val="auto"/>
              </w:rPr>
              <w:t>冷水机组</w:t>
            </w:r>
          </w:p>
        </w:tc>
        <w:tc>
          <w:tcPr>
            <w:tcW w:w="3392" w:type="dxa"/>
            <w:shd w:val="clear" w:color="auto" w:fill="auto"/>
            <w:vAlign w:val="center"/>
          </w:tcPr>
          <w:p w14:paraId="20971D85">
            <w:pPr>
              <w:autoSpaceDE w:val="0"/>
              <w:autoSpaceDN w:val="0"/>
              <w:ind w:firstLine="0" w:firstLineChars="0"/>
              <w:rPr>
                <w:rFonts w:ascii="宋体" w:hAnsi="宋体" w:eastAsia="宋体"/>
                <w:color w:val="auto"/>
                <w:spacing w:val="9"/>
              </w:rPr>
            </w:pPr>
            <w:r>
              <w:rPr>
                <w:rFonts w:ascii="宋体" w:hAnsi="宋体" w:eastAsia="宋体"/>
                <w:color w:val="auto"/>
                <w:spacing w:val="9"/>
              </w:rPr>
              <w:t>《冷水机组能效限定值及能效等</w:t>
            </w:r>
            <w:r>
              <w:rPr>
                <w:rFonts w:ascii="宋体" w:hAnsi="宋体" w:eastAsia="宋体"/>
                <w:color w:val="auto"/>
              </w:rPr>
              <w:t>级》（GB19577），《低环境温度</w:t>
            </w:r>
            <w:r>
              <w:rPr>
                <w:rFonts w:ascii="宋体" w:hAnsi="宋体" w:eastAsia="宋体"/>
                <w:color w:val="auto"/>
                <w:spacing w:val="-5"/>
              </w:rPr>
              <w:t>空气源热泵</w:t>
            </w:r>
            <w:r>
              <w:rPr>
                <w:rFonts w:ascii="宋体" w:hAnsi="宋体" w:eastAsia="宋体"/>
                <w:color w:val="auto"/>
                <w:spacing w:val="-4"/>
              </w:rPr>
              <w:t>（冷水）机组能效限定</w:t>
            </w:r>
            <w:r>
              <w:rPr>
                <w:rFonts w:ascii="宋体" w:hAnsi="宋体" w:eastAsia="宋体"/>
                <w:color w:val="auto"/>
              </w:rPr>
              <w:t>值及能效等级》（GB 37480）</w:t>
            </w:r>
          </w:p>
        </w:tc>
      </w:tr>
      <w:tr w14:paraId="398A0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vMerge w:val="continue"/>
            <w:shd w:val="clear" w:color="auto" w:fill="auto"/>
            <w:vAlign w:val="center"/>
          </w:tcPr>
          <w:p w14:paraId="573847E1">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53887921">
            <w:pPr>
              <w:autoSpaceDE w:val="0"/>
              <w:autoSpaceDN w:val="0"/>
              <w:ind w:firstLine="0" w:firstLineChars="0"/>
              <w:rPr>
                <w:rFonts w:hAnsiTheme="minorEastAsia"/>
                <w:color w:val="auto"/>
              </w:rPr>
            </w:pPr>
          </w:p>
        </w:tc>
        <w:tc>
          <w:tcPr>
            <w:tcW w:w="1705" w:type="dxa"/>
            <w:vMerge w:val="continue"/>
            <w:shd w:val="clear" w:color="auto" w:fill="auto"/>
            <w:vAlign w:val="center"/>
          </w:tcPr>
          <w:p w14:paraId="6A8E3942">
            <w:pPr>
              <w:autoSpaceDE w:val="0"/>
              <w:autoSpaceDN w:val="0"/>
              <w:ind w:firstLine="0" w:firstLineChars="0"/>
              <w:rPr>
                <w:rFonts w:hAnsiTheme="minorEastAsia"/>
                <w:color w:val="auto"/>
              </w:rPr>
            </w:pPr>
          </w:p>
        </w:tc>
        <w:tc>
          <w:tcPr>
            <w:tcW w:w="2054" w:type="dxa"/>
            <w:shd w:val="clear" w:color="auto" w:fill="auto"/>
            <w:vAlign w:val="center"/>
          </w:tcPr>
          <w:p w14:paraId="63FD1BDD">
            <w:pPr>
              <w:autoSpaceDE w:val="0"/>
              <w:autoSpaceDN w:val="0"/>
              <w:ind w:firstLine="0" w:firstLineChars="0"/>
              <w:rPr>
                <w:rFonts w:hAnsiTheme="minorEastAsia"/>
                <w:color w:val="auto"/>
              </w:rPr>
            </w:pPr>
            <w:r>
              <w:rPr>
                <w:rFonts w:hAnsiTheme="minorEastAsia"/>
                <w:color w:val="auto"/>
              </w:rPr>
              <w:t>水源热泵机组</w:t>
            </w:r>
          </w:p>
        </w:tc>
        <w:tc>
          <w:tcPr>
            <w:tcW w:w="3392" w:type="dxa"/>
            <w:shd w:val="clear" w:color="auto" w:fill="auto"/>
            <w:vAlign w:val="center"/>
          </w:tcPr>
          <w:p w14:paraId="0D8BD481">
            <w:pPr>
              <w:autoSpaceDE w:val="0"/>
              <w:autoSpaceDN w:val="0"/>
              <w:ind w:firstLine="0" w:firstLineChars="0"/>
              <w:rPr>
                <w:rFonts w:ascii="宋体" w:hAnsi="宋体" w:eastAsia="宋体"/>
                <w:color w:val="auto"/>
                <w:spacing w:val="9"/>
              </w:rPr>
            </w:pPr>
            <w:r>
              <w:rPr>
                <w:rFonts w:ascii="宋体" w:hAnsi="宋体" w:eastAsia="宋体"/>
                <w:color w:val="auto"/>
                <w:spacing w:val="-5"/>
              </w:rPr>
              <w:t>《水（地</w:t>
            </w:r>
            <w:r>
              <w:rPr>
                <w:rFonts w:ascii="宋体" w:hAnsi="宋体" w:eastAsia="宋体"/>
                <w:color w:val="auto"/>
                <w:spacing w:val="-4"/>
              </w:rPr>
              <w:t>）源热泵机组能效限定值</w:t>
            </w:r>
            <w:r>
              <w:rPr>
                <w:rFonts w:ascii="宋体" w:hAnsi="宋体" w:eastAsia="宋体"/>
                <w:color w:val="auto"/>
              </w:rPr>
              <w:t>及能效等级》（GB30721）</w:t>
            </w:r>
          </w:p>
        </w:tc>
      </w:tr>
      <w:tr w14:paraId="6FBC5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vMerge w:val="continue"/>
            <w:shd w:val="clear" w:color="auto" w:fill="auto"/>
            <w:vAlign w:val="center"/>
          </w:tcPr>
          <w:p w14:paraId="395949BC">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3D0B24B4">
            <w:pPr>
              <w:autoSpaceDE w:val="0"/>
              <w:autoSpaceDN w:val="0"/>
              <w:ind w:firstLine="0" w:firstLineChars="0"/>
              <w:rPr>
                <w:rFonts w:hAnsiTheme="minorEastAsia"/>
                <w:color w:val="auto"/>
              </w:rPr>
            </w:pPr>
          </w:p>
        </w:tc>
        <w:tc>
          <w:tcPr>
            <w:tcW w:w="1705" w:type="dxa"/>
            <w:vMerge w:val="continue"/>
            <w:shd w:val="clear" w:color="auto" w:fill="auto"/>
            <w:vAlign w:val="center"/>
          </w:tcPr>
          <w:p w14:paraId="47DDA545">
            <w:pPr>
              <w:autoSpaceDE w:val="0"/>
              <w:autoSpaceDN w:val="0"/>
              <w:ind w:firstLine="0" w:firstLineChars="0"/>
              <w:rPr>
                <w:rFonts w:hAnsiTheme="minorEastAsia"/>
                <w:color w:val="auto"/>
              </w:rPr>
            </w:pPr>
          </w:p>
        </w:tc>
        <w:tc>
          <w:tcPr>
            <w:tcW w:w="2054" w:type="dxa"/>
            <w:shd w:val="clear" w:color="auto" w:fill="auto"/>
            <w:vAlign w:val="center"/>
          </w:tcPr>
          <w:p w14:paraId="3385A79C">
            <w:pPr>
              <w:autoSpaceDE w:val="0"/>
              <w:autoSpaceDN w:val="0"/>
              <w:ind w:firstLine="0" w:firstLineChars="0"/>
              <w:rPr>
                <w:rFonts w:hAnsiTheme="minorEastAsia"/>
                <w:color w:val="auto"/>
              </w:rPr>
            </w:pPr>
            <w:r>
              <w:rPr>
                <w:rFonts w:hAnsiTheme="minorEastAsia"/>
                <w:color w:val="auto"/>
                <w:spacing w:val="8"/>
              </w:rPr>
              <w:t>溴化锂吸收式冷水机</w:t>
            </w:r>
            <w:r>
              <w:rPr>
                <w:rFonts w:hAnsiTheme="minorEastAsia"/>
                <w:color w:val="auto"/>
              </w:rPr>
              <w:t>组</w:t>
            </w:r>
          </w:p>
        </w:tc>
        <w:tc>
          <w:tcPr>
            <w:tcW w:w="3392" w:type="dxa"/>
            <w:shd w:val="clear" w:color="auto" w:fill="auto"/>
            <w:vAlign w:val="center"/>
          </w:tcPr>
          <w:p w14:paraId="4CF71D19">
            <w:pPr>
              <w:autoSpaceDE w:val="0"/>
              <w:autoSpaceDN w:val="0"/>
              <w:ind w:firstLine="0" w:firstLineChars="0"/>
              <w:rPr>
                <w:rFonts w:ascii="宋体" w:hAnsi="宋体" w:eastAsia="宋体"/>
                <w:color w:val="auto"/>
                <w:spacing w:val="9"/>
              </w:rPr>
            </w:pPr>
            <w:r>
              <w:rPr>
                <w:rFonts w:ascii="宋体" w:hAnsi="宋体" w:eastAsia="宋体"/>
                <w:color w:val="auto"/>
                <w:spacing w:val="9"/>
              </w:rPr>
              <w:t>《溴化锂吸收式冷水机组能效限</w:t>
            </w:r>
            <w:r>
              <w:rPr>
                <w:rFonts w:ascii="宋体" w:hAnsi="宋体" w:eastAsia="宋体"/>
                <w:color w:val="auto"/>
              </w:rPr>
              <w:t>定值及能效等级》（GB 29540）</w:t>
            </w:r>
          </w:p>
        </w:tc>
      </w:tr>
      <w:tr w14:paraId="5FDCB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jc w:val="center"/>
        </w:trPr>
        <w:tc>
          <w:tcPr>
            <w:tcW w:w="618" w:type="dxa"/>
            <w:gridSpan w:val="2"/>
            <w:vMerge w:val="continue"/>
            <w:shd w:val="clear" w:color="auto" w:fill="auto"/>
            <w:vAlign w:val="center"/>
          </w:tcPr>
          <w:p w14:paraId="343F6C41">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3EF32040">
            <w:pPr>
              <w:autoSpaceDE w:val="0"/>
              <w:autoSpaceDN w:val="0"/>
              <w:ind w:firstLine="0" w:firstLineChars="0"/>
              <w:rPr>
                <w:rFonts w:hAnsiTheme="minorEastAsia"/>
                <w:color w:val="auto"/>
              </w:rPr>
            </w:pPr>
          </w:p>
        </w:tc>
        <w:tc>
          <w:tcPr>
            <w:tcW w:w="1705" w:type="dxa"/>
            <w:vMerge w:val="restart"/>
            <w:shd w:val="clear" w:color="auto" w:fill="auto"/>
            <w:vAlign w:val="center"/>
          </w:tcPr>
          <w:p w14:paraId="295BE067">
            <w:pPr>
              <w:autoSpaceDE w:val="0"/>
              <w:autoSpaceDN w:val="0"/>
              <w:ind w:firstLine="0" w:firstLineChars="0"/>
              <w:rPr>
                <w:rFonts w:hAnsiTheme="minorEastAsia"/>
                <w:color w:val="auto"/>
              </w:rPr>
            </w:pPr>
            <w:r>
              <w:rPr>
                <w:rFonts w:cs="Segoe UI Symbol" w:hAnsiTheme="minorEastAsia"/>
                <w:color w:val="auto"/>
                <w:spacing w:val="-2"/>
              </w:rPr>
              <w:t>★</w:t>
            </w:r>
            <w:r>
              <w:rPr>
                <w:rFonts w:hAnsiTheme="minorEastAsia"/>
                <w:color w:val="auto"/>
                <w:spacing w:val="-2"/>
              </w:rPr>
              <w:t>A02052305</w:t>
            </w:r>
            <w:r>
              <w:rPr>
                <w:rFonts w:hAnsiTheme="minorEastAsia"/>
                <w:color w:val="auto"/>
                <w:spacing w:val="-7"/>
              </w:rPr>
              <w:t xml:space="preserve"> 空调机</w:t>
            </w:r>
            <w:r>
              <w:rPr>
                <w:rFonts w:hAnsiTheme="minorEastAsia"/>
                <w:color w:val="auto"/>
              </w:rPr>
              <w:t>组</w:t>
            </w:r>
          </w:p>
        </w:tc>
        <w:tc>
          <w:tcPr>
            <w:tcW w:w="2054" w:type="dxa"/>
            <w:shd w:val="clear" w:color="auto" w:fill="auto"/>
            <w:vAlign w:val="center"/>
          </w:tcPr>
          <w:p w14:paraId="588C30ED">
            <w:pPr>
              <w:autoSpaceDE w:val="0"/>
              <w:autoSpaceDN w:val="0"/>
              <w:ind w:firstLine="0" w:firstLineChars="0"/>
              <w:rPr>
                <w:rFonts w:hint="eastAsia" w:hAnsiTheme="minorEastAsia" w:eastAsiaTheme="minorEastAsia"/>
                <w:color w:val="auto"/>
                <w:lang w:eastAsia="zh-CN"/>
              </w:rPr>
            </w:pPr>
            <w:r>
              <w:rPr>
                <w:rFonts w:hAnsiTheme="minorEastAsia"/>
                <w:color w:val="auto"/>
              </w:rPr>
              <w:t xml:space="preserve">多联式空调（热泵）机 组 </w:t>
            </w:r>
            <w:r>
              <w:rPr>
                <w:rFonts w:hint="eastAsia" w:hAnsiTheme="minorEastAsia"/>
                <w:color w:val="auto"/>
                <w:lang w:eastAsia="zh-CN"/>
              </w:rPr>
              <w:t>(</w:t>
            </w:r>
            <w:r>
              <w:rPr>
                <w:rFonts w:hAnsiTheme="minorEastAsia"/>
                <w:color w:val="auto"/>
              </w:rPr>
              <w:t xml:space="preserve"> 制 冷量&gt;14000W</w:t>
            </w:r>
            <w:r>
              <w:rPr>
                <w:rFonts w:hint="eastAsia" w:hAnsiTheme="minorEastAsia"/>
                <w:color w:val="auto"/>
                <w:lang w:eastAsia="zh-CN"/>
              </w:rPr>
              <w:t>）</w:t>
            </w:r>
          </w:p>
        </w:tc>
        <w:tc>
          <w:tcPr>
            <w:tcW w:w="3392" w:type="dxa"/>
            <w:shd w:val="clear" w:color="auto" w:fill="auto"/>
            <w:vAlign w:val="center"/>
          </w:tcPr>
          <w:p w14:paraId="2A3D7FBD">
            <w:pPr>
              <w:autoSpaceDE w:val="0"/>
              <w:autoSpaceDN w:val="0"/>
              <w:ind w:firstLine="0" w:firstLineChars="0"/>
              <w:rPr>
                <w:rFonts w:ascii="宋体" w:hAnsi="宋体" w:eastAsia="宋体"/>
                <w:color w:val="auto"/>
                <w:spacing w:val="9"/>
              </w:rPr>
            </w:pPr>
            <w:r>
              <w:rPr>
                <w:rFonts w:ascii="宋体" w:hAnsi="宋体" w:eastAsia="宋体"/>
                <w:color w:val="auto"/>
              </w:rPr>
              <w:t>《多联式空调（热泵）机组能效限</w:t>
            </w:r>
            <w:r>
              <w:rPr>
                <w:rFonts w:ascii="宋体" w:hAnsi="宋体" w:eastAsia="宋体"/>
                <w:color w:val="auto"/>
                <w:spacing w:val="-11"/>
              </w:rPr>
              <w:t>定值及能源效率等级》</w:t>
            </w:r>
            <w:r>
              <w:rPr>
                <w:rFonts w:ascii="宋体" w:hAnsi="宋体" w:eastAsia="宋体"/>
                <w:color w:val="auto"/>
              </w:rPr>
              <w:t>（GB21454）</w:t>
            </w:r>
          </w:p>
        </w:tc>
      </w:tr>
      <w:tr w14:paraId="08DD2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618" w:type="dxa"/>
            <w:gridSpan w:val="2"/>
            <w:vMerge w:val="continue"/>
            <w:shd w:val="clear" w:color="auto" w:fill="auto"/>
            <w:vAlign w:val="center"/>
          </w:tcPr>
          <w:p w14:paraId="0394F9D0">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099C633B">
            <w:pPr>
              <w:autoSpaceDE w:val="0"/>
              <w:autoSpaceDN w:val="0"/>
              <w:ind w:firstLine="0" w:firstLineChars="0"/>
              <w:rPr>
                <w:rFonts w:hAnsiTheme="minorEastAsia"/>
                <w:color w:val="auto"/>
              </w:rPr>
            </w:pPr>
          </w:p>
        </w:tc>
        <w:tc>
          <w:tcPr>
            <w:tcW w:w="1705" w:type="dxa"/>
            <w:vMerge w:val="continue"/>
            <w:shd w:val="clear" w:color="auto" w:fill="auto"/>
            <w:vAlign w:val="center"/>
          </w:tcPr>
          <w:p w14:paraId="326F1E61">
            <w:pPr>
              <w:autoSpaceDE w:val="0"/>
              <w:autoSpaceDN w:val="0"/>
              <w:ind w:firstLine="0" w:firstLineChars="0"/>
              <w:rPr>
                <w:rFonts w:hAnsiTheme="minorEastAsia"/>
                <w:color w:val="auto"/>
              </w:rPr>
            </w:pPr>
          </w:p>
        </w:tc>
        <w:tc>
          <w:tcPr>
            <w:tcW w:w="2054" w:type="dxa"/>
            <w:shd w:val="clear" w:color="auto" w:fill="auto"/>
            <w:vAlign w:val="center"/>
          </w:tcPr>
          <w:p w14:paraId="618E4B28">
            <w:pPr>
              <w:autoSpaceDE w:val="0"/>
              <w:autoSpaceDN w:val="0"/>
              <w:ind w:firstLine="0" w:firstLineChars="0"/>
              <w:rPr>
                <w:rFonts w:hint="eastAsia" w:hAnsiTheme="minorEastAsia" w:eastAsiaTheme="minorEastAsia"/>
                <w:color w:val="auto"/>
                <w:spacing w:val="8"/>
                <w:lang w:eastAsia="zh-CN"/>
              </w:rPr>
            </w:pPr>
            <w:r>
              <w:rPr>
                <w:rFonts w:hAnsiTheme="minorEastAsia"/>
                <w:color w:val="auto"/>
                <w:spacing w:val="35"/>
              </w:rPr>
              <w:t>单元式空气调节机</w:t>
            </w:r>
            <w:r>
              <w:rPr>
                <w:rFonts w:hint="eastAsia" w:hAnsiTheme="minorEastAsia"/>
                <w:color w:val="auto"/>
                <w:spacing w:val="35"/>
                <w:lang w:eastAsia="zh-CN"/>
              </w:rPr>
              <w:t>（</w:t>
            </w:r>
            <w:r>
              <w:rPr>
                <w:rFonts w:hAnsiTheme="minorEastAsia"/>
                <w:color w:val="auto"/>
              </w:rPr>
              <w:t>制冷量&gt;14000W</w:t>
            </w:r>
            <w:r>
              <w:rPr>
                <w:rFonts w:hint="eastAsia" w:hAnsiTheme="minorEastAsia"/>
                <w:color w:val="auto"/>
                <w:lang w:eastAsia="zh-CN"/>
              </w:rPr>
              <w:t>）</w:t>
            </w:r>
          </w:p>
        </w:tc>
        <w:tc>
          <w:tcPr>
            <w:tcW w:w="3392" w:type="dxa"/>
            <w:shd w:val="clear" w:color="auto" w:fill="auto"/>
            <w:vAlign w:val="center"/>
          </w:tcPr>
          <w:p w14:paraId="6EF0A32F">
            <w:pPr>
              <w:autoSpaceDE w:val="0"/>
              <w:autoSpaceDN w:val="0"/>
              <w:ind w:firstLine="0" w:firstLineChars="0"/>
              <w:rPr>
                <w:rFonts w:ascii="宋体" w:hAnsi="宋体" w:eastAsia="宋体"/>
                <w:color w:val="auto"/>
                <w:spacing w:val="9"/>
              </w:rPr>
            </w:pPr>
            <w:r>
              <w:rPr>
                <w:rFonts w:ascii="宋体" w:hAnsi="宋体" w:eastAsia="宋体"/>
                <w:color w:val="auto"/>
                <w:spacing w:val="9"/>
              </w:rPr>
              <w:t>《单元式空气调节机能效限定值</w:t>
            </w:r>
            <w:r>
              <w:rPr>
                <w:rFonts w:ascii="宋体" w:hAnsi="宋体" w:eastAsia="宋体"/>
                <w:color w:val="auto"/>
              </w:rPr>
              <w:t>及能效等级》（GB19576）《风管</w:t>
            </w:r>
            <w:r>
              <w:rPr>
                <w:rFonts w:ascii="宋体" w:hAnsi="宋体" w:eastAsia="宋体"/>
                <w:color w:val="auto"/>
                <w:spacing w:val="9"/>
              </w:rPr>
              <w:t>送风式空调机组能效限定值及能</w:t>
            </w:r>
            <w:r>
              <w:rPr>
                <w:rFonts w:ascii="宋体" w:hAnsi="宋体" w:eastAsia="宋体"/>
                <w:color w:val="auto"/>
              </w:rPr>
              <w:t>效等级》（GB 37479）</w:t>
            </w:r>
          </w:p>
        </w:tc>
      </w:tr>
      <w:tr w14:paraId="44073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18" w:type="dxa"/>
            <w:gridSpan w:val="2"/>
            <w:vMerge w:val="continue"/>
            <w:shd w:val="clear" w:color="auto" w:fill="auto"/>
            <w:vAlign w:val="center"/>
          </w:tcPr>
          <w:p w14:paraId="498875C5">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1B19F452">
            <w:pPr>
              <w:autoSpaceDE w:val="0"/>
              <w:autoSpaceDN w:val="0"/>
              <w:ind w:firstLine="0" w:firstLineChars="0"/>
              <w:rPr>
                <w:rFonts w:hAnsiTheme="minorEastAsia"/>
                <w:color w:val="auto"/>
              </w:rPr>
            </w:pPr>
          </w:p>
        </w:tc>
        <w:tc>
          <w:tcPr>
            <w:tcW w:w="1705" w:type="dxa"/>
            <w:shd w:val="clear" w:color="auto" w:fill="auto"/>
            <w:vAlign w:val="center"/>
          </w:tcPr>
          <w:p w14:paraId="18643361">
            <w:pPr>
              <w:autoSpaceDE w:val="0"/>
              <w:autoSpaceDN w:val="0"/>
              <w:ind w:firstLine="0" w:firstLineChars="0"/>
              <w:rPr>
                <w:rFonts w:hAnsiTheme="minorEastAsia"/>
                <w:color w:val="auto"/>
              </w:rPr>
            </w:pPr>
            <w:r>
              <w:rPr>
                <w:rFonts w:cs="Segoe UI Symbol" w:hAnsiTheme="minorEastAsia"/>
                <w:color w:val="auto"/>
                <w:spacing w:val="-2"/>
              </w:rPr>
              <w:t>★</w:t>
            </w:r>
            <w:r>
              <w:rPr>
                <w:rFonts w:hAnsiTheme="minorEastAsia"/>
                <w:color w:val="auto"/>
                <w:spacing w:val="-2"/>
              </w:rPr>
              <w:t>A02052309</w:t>
            </w:r>
            <w:r>
              <w:rPr>
                <w:rFonts w:hAnsiTheme="minorEastAsia"/>
                <w:color w:val="auto"/>
                <w:spacing w:val="-7"/>
              </w:rPr>
              <w:t xml:space="preserve"> 专用制</w:t>
            </w:r>
            <w:r>
              <w:rPr>
                <w:rFonts w:hAnsiTheme="minorEastAsia"/>
                <w:color w:val="auto"/>
              </w:rPr>
              <w:t>冷、空调设备</w:t>
            </w:r>
          </w:p>
        </w:tc>
        <w:tc>
          <w:tcPr>
            <w:tcW w:w="2054" w:type="dxa"/>
            <w:shd w:val="clear" w:color="auto" w:fill="auto"/>
            <w:vAlign w:val="center"/>
          </w:tcPr>
          <w:p w14:paraId="307B7264">
            <w:pPr>
              <w:autoSpaceDE w:val="0"/>
              <w:autoSpaceDN w:val="0"/>
              <w:ind w:firstLine="0" w:firstLineChars="0"/>
              <w:rPr>
                <w:rFonts w:hAnsiTheme="minorEastAsia"/>
                <w:color w:val="auto"/>
                <w:spacing w:val="8"/>
              </w:rPr>
            </w:pPr>
            <w:r>
              <w:rPr>
                <w:rFonts w:hAnsiTheme="minorEastAsia"/>
                <w:color w:val="auto"/>
              </w:rPr>
              <w:t>机房空调</w:t>
            </w:r>
          </w:p>
        </w:tc>
        <w:tc>
          <w:tcPr>
            <w:tcW w:w="3392" w:type="dxa"/>
            <w:shd w:val="clear" w:color="auto" w:fill="auto"/>
            <w:vAlign w:val="center"/>
          </w:tcPr>
          <w:p w14:paraId="148B71FB">
            <w:pPr>
              <w:autoSpaceDE w:val="0"/>
              <w:autoSpaceDN w:val="0"/>
              <w:ind w:firstLine="0" w:firstLineChars="0"/>
              <w:rPr>
                <w:rFonts w:ascii="宋体" w:hAnsi="宋体" w:eastAsia="宋体"/>
                <w:color w:val="auto"/>
                <w:spacing w:val="9"/>
              </w:rPr>
            </w:pPr>
            <w:r>
              <w:rPr>
                <w:rFonts w:ascii="宋体" w:hAnsi="宋体" w:eastAsia="宋体"/>
                <w:color w:val="auto"/>
                <w:spacing w:val="9"/>
              </w:rPr>
              <w:t>《单元式空气调节机能效限定值</w:t>
            </w:r>
            <w:r>
              <w:rPr>
                <w:rFonts w:ascii="宋体" w:hAnsi="宋体" w:eastAsia="宋体"/>
                <w:color w:val="auto"/>
              </w:rPr>
              <w:t>及能效等级》（GB19576）</w:t>
            </w:r>
          </w:p>
        </w:tc>
      </w:tr>
      <w:tr w14:paraId="2C920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618" w:type="dxa"/>
            <w:gridSpan w:val="2"/>
            <w:vMerge w:val="continue"/>
            <w:shd w:val="clear" w:color="auto" w:fill="auto"/>
            <w:vAlign w:val="center"/>
          </w:tcPr>
          <w:p w14:paraId="6E05E14B">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2DE77E10">
            <w:pPr>
              <w:autoSpaceDE w:val="0"/>
              <w:autoSpaceDN w:val="0"/>
              <w:ind w:firstLine="0" w:firstLineChars="0"/>
              <w:rPr>
                <w:rFonts w:hAnsiTheme="minorEastAsia"/>
                <w:color w:val="auto"/>
              </w:rPr>
            </w:pPr>
          </w:p>
        </w:tc>
        <w:tc>
          <w:tcPr>
            <w:tcW w:w="1705" w:type="dxa"/>
            <w:shd w:val="clear" w:color="auto" w:fill="auto"/>
            <w:vAlign w:val="center"/>
          </w:tcPr>
          <w:p w14:paraId="73D96130">
            <w:pPr>
              <w:autoSpaceDE w:val="0"/>
              <w:autoSpaceDN w:val="0"/>
              <w:ind w:firstLine="0" w:firstLineChars="0"/>
              <w:rPr>
                <w:rFonts w:hAnsiTheme="minorEastAsia"/>
                <w:color w:val="auto"/>
              </w:rPr>
            </w:pPr>
            <w:r>
              <w:rPr>
                <w:rFonts w:hAnsiTheme="minorEastAsia"/>
                <w:color w:val="auto"/>
                <w:spacing w:val="-2"/>
              </w:rPr>
              <w:t>A02052399</w:t>
            </w:r>
            <w:r>
              <w:rPr>
                <w:rFonts w:hAnsiTheme="minorEastAsia"/>
                <w:color w:val="auto"/>
                <w:spacing w:val="-6"/>
              </w:rPr>
              <w:t xml:space="preserve"> 其他制冷</w:t>
            </w:r>
            <w:r>
              <w:rPr>
                <w:rFonts w:hAnsiTheme="minorEastAsia"/>
                <w:color w:val="auto"/>
              </w:rPr>
              <w:t>空调设备</w:t>
            </w:r>
          </w:p>
        </w:tc>
        <w:tc>
          <w:tcPr>
            <w:tcW w:w="2054" w:type="dxa"/>
            <w:shd w:val="clear" w:color="auto" w:fill="auto"/>
            <w:vAlign w:val="center"/>
          </w:tcPr>
          <w:p w14:paraId="370D5E17">
            <w:pPr>
              <w:autoSpaceDE w:val="0"/>
              <w:autoSpaceDN w:val="0"/>
              <w:ind w:firstLine="0" w:firstLineChars="0"/>
              <w:rPr>
                <w:rFonts w:hAnsiTheme="minorEastAsia"/>
                <w:color w:val="auto"/>
                <w:spacing w:val="8"/>
              </w:rPr>
            </w:pPr>
            <w:r>
              <w:rPr>
                <w:rFonts w:hAnsiTheme="minorEastAsia"/>
                <w:color w:val="auto"/>
              </w:rPr>
              <w:t>冷却塔</w:t>
            </w:r>
          </w:p>
        </w:tc>
        <w:tc>
          <w:tcPr>
            <w:tcW w:w="3392" w:type="dxa"/>
            <w:shd w:val="clear" w:color="auto" w:fill="auto"/>
            <w:vAlign w:val="center"/>
          </w:tcPr>
          <w:p w14:paraId="73989D0E">
            <w:pPr>
              <w:ind w:firstLine="0" w:firstLineChars="0"/>
              <w:rPr>
                <w:rFonts w:ascii="宋体" w:hAnsi="宋体" w:eastAsia="宋体"/>
                <w:color w:val="auto"/>
              </w:rPr>
            </w:pPr>
            <w:r>
              <w:rPr>
                <w:rFonts w:ascii="宋体" w:hAnsi="宋体" w:eastAsia="宋体"/>
                <w:color w:val="auto"/>
                <w:spacing w:val="2"/>
              </w:rPr>
              <w:t xml:space="preserve">《机械通风冷却塔 第 </w:t>
            </w:r>
            <w:r>
              <w:rPr>
                <w:rFonts w:ascii="宋体" w:hAnsi="宋体" w:eastAsia="宋体"/>
                <w:color w:val="auto"/>
              </w:rPr>
              <w:t>1 部分：中小型开式冷却塔</w:t>
            </w:r>
            <w:r>
              <w:rPr>
                <w:rFonts w:ascii="宋体" w:hAnsi="宋体" w:eastAsia="宋体"/>
                <w:color w:val="auto"/>
                <w:spacing w:val="-171"/>
              </w:rPr>
              <w:t>》</w:t>
            </w:r>
            <w:r>
              <w:rPr>
                <w:rFonts w:ascii="宋体" w:hAnsi="宋体" w:eastAsia="宋体"/>
                <w:color w:val="auto"/>
                <w:spacing w:val="-1"/>
              </w:rPr>
              <w:t>（</w:t>
            </w:r>
            <w:r>
              <w:rPr>
                <w:rFonts w:ascii="宋体" w:hAnsi="宋体" w:eastAsia="宋体"/>
                <w:color w:val="auto"/>
                <w:spacing w:val="1"/>
              </w:rPr>
              <w:t>G</w:t>
            </w:r>
            <w:r>
              <w:rPr>
                <w:rFonts w:ascii="宋体" w:hAnsi="宋体" w:eastAsia="宋体"/>
                <w:color w:val="auto"/>
              </w:rPr>
              <w:t>B</w:t>
            </w:r>
            <w:r>
              <w:rPr>
                <w:rFonts w:ascii="宋体" w:hAnsi="宋体" w:eastAsia="宋体"/>
                <w:color w:val="auto"/>
                <w:spacing w:val="1"/>
              </w:rPr>
              <w:t>/</w:t>
            </w:r>
            <w:r>
              <w:rPr>
                <w:rFonts w:ascii="宋体" w:hAnsi="宋体" w:eastAsia="宋体"/>
                <w:color w:val="auto"/>
              </w:rPr>
              <w:t>T7190</w:t>
            </w:r>
            <w:r>
              <w:rPr>
                <w:rFonts w:ascii="宋体" w:hAnsi="宋体" w:eastAsia="宋体"/>
                <w:color w:val="auto"/>
                <w:spacing w:val="1"/>
              </w:rPr>
              <w:t>.1</w:t>
            </w:r>
            <w:r>
              <w:rPr>
                <w:rFonts w:ascii="宋体" w:hAnsi="宋体" w:eastAsia="宋体"/>
                <w:color w:val="auto"/>
                <w:spacing w:val="-87"/>
              </w:rPr>
              <w:t>）</w:t>
            </w:r>
            <w:r>
              <w:rPr>
                <w:rFonts w:ascii="宋体" w:hAnsi="宋体" w:eastAsia="宋体"/>
                <w:color w:val="auto"/>
              </w:rPr>
              <w:t>；</w:t>
            </w:r>
            <w:r>
              <w:rPr>
                <w:rFonts w:ascii="宋体" w:hAnsi="宋体" w:eastAsia="宋体"/>
                <w:color w:val="auto"/>
                <w:spacing w:val="4"/>
              </w:rPr>
              <w:t xml:space="preserve">《机械通风冷却塔 第 </w:t>
            </w:r>
            <w:r>
              <w:rPr>
                <w:rFonts w:ascii="宋体" w:hAnsi="宋体" w:eastAsia="宋体"/>
                <w:color w:val="auto"/>
              </w:rPr>
              <w:t>2 部分：大型开式冷却塔》（GB/T7190.2）</w:t>
            </w:r>
          </w:p>
        </w:tc>
      </w:tr>
      <w:tr w14:paraId="79DEA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shd w:val="clear" w:color="auto" w:fill="auto"/>
            <w:vAlign w:val="center"/>
          </w:tcPr>
          <w:p w14:paraId="08CA3690">
            <w:pPr>
              <w:ind w:firstLine="0" w:firstLineChars="0"/>
              <w:jc w:val="center"/>
              <w:rPr>
                <w:rFonts w:ascii="宋体" w:hAnsi="宋体" w:eastAsia="宋体"/>
                <w:color w:val="auto"/>
              </w:rPr>
            </w:pPr>
            <w:r>
              <w:rPr>
                <w:rFonts w:ascii="宋体" w:hAnsi="宋体" w:eastAsia="宋体"/>
                <w:color w:val="auto"/>
              </w:rPr>
              <w:t>7</w:t>
            </w:r>
          </w:p>
        </w:tc>
        <w:tc>
          <w:tcPr>
            <w:tcW w:w="1550" w:type="dxa"/>
            <w:shd w:val="clear" w:color="auto" w:fill="auto"/>
            <w:vAlign w:val="center"/>
          </w:tcPr>
          <w:p w14:paraId="67C6B1BD">
            <w:pPr>
              <w:ind w:firstLine="0" w:firstLineChars="0"/>
              <w:rPr>
                <w:rFonts w:hAnsiTheme="minorEastAsia"/>
                <w:color w:val="auto"/>
              </w:rPr>
            </w:pPr>
            <w:r>
              <w:rPr>
                <w:rFonts w:hAnsiTheme="minorEastAsia"/>
                <w:color w:val="auto"/>
                <w:spacing w:val="-2"/>
              </w:rPr>
              <w:t>A020601</w:t>
            </w:r>
            <w:r>
              <w:rPr>
                <w:rFonts w:hAnsiTheme="minorEastAsia"/>
                <w:color w:val="auto"/>
                <w:spacing w:val="-20"/>
              </w:rPr>
              <w:t xml:space="preserve"> 电机</w:t>
            </w:r>
          </w:p>
        </w:tc>
        <w:tc>
          <w:tcPr>
            <w:tcW w:w="1705" w:type="dxa"/>
            <w:shd w:val="clear" w:color="auto" w:fill="auto"/>
            <w:vAlign w:val="center"/>
          </w:tcPr>
          <w:p w14:paraId="7954ABE0">
            <w:pPr>
              <w:ind w:firstLine="0" w:firstLineChars="0"/>
              <w:rPr>
                <w:rFonts w:hAnsiTheme="minorEastAsia"/>
                <w:color w:val="auto"/>
              </w:rPr>
            </w:pPr>
          </w:p>
        </w:tc>
        <w:tc>
          <w:tcPr>
            <w:tcW w:w="2054" w:type="dxa"/>
            <w:shd w:val="clear" w:color="auto" w:fill="auto"/>
            <w:vAlign w:val="center"/>
          </w:tcPr>
          <w:p w14:paraId="56152C05">
            <w:pPr>
              <w:ind w:firstLine="0" w:firstLineChars="0"/>
              <w:rPr>
                <w:rFonts w:hAnsiTheme="minorEastAsia"/>
                <w:color w:val="auto"/>
              </w:rPr>
            </w:pPr>
          </w:p>
        </w:tc>
        <w:tc>
          <w:tcPr>
            <w:tcW w:w="3392" w:type="dxa"/>
            <w:shd w:val="clear" w:color="auto" w:fill="auto"/>
            <w:vAlign w:val="center"/>
          </w:tcPr>
          <w:p w14:paraId="08FD1CA3">
            <w:pPr>
              <w:ind w:firstLine="0" w:firstLineChars="0"/>
              <w:rPr>
                <w:rFonts w:ascii="宋体" w:hAnsi="宋体" w:eastAsia="宋体"/>
                <w:color w:val="auto"/>
              </w:rPr>
            </w:pPr>
            <w:r>
              <w:rPr>
                <w:rFonts w:ascii="宋体" w:hAnsi="宋体" w:eastAsia="宋体"/>
                <w:color w:val="auto"/>
                <w:spacing w:val="9"/>
              </w:rPr>
              <w:t>《中小型三相异步电动机能效限</w:t>
            </w:r>
            <w:r>
              <w:rPr>
                <w:rFonts w:ascii="宋体" w:hAnsi="宋体" w:eastAsia="宋体"/>
                <w:color w:val="auto"/>
              </w:rPr>
              <w:t>定值及能效等级》（GB 18613）</w:t>
            </w:r>
          </w:p>
        </w:tc>
      </w:tr>
      <w:tr w14:paraId="1ABC0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shd w:val="clear" w:color="auto" w:fill="auto"/>
            <w:vAlign w:val="center"/>
          </w:tcPr>
          <w:p w14:paraId="4FD0C74E">
            <w:pPr>
              <w:ind w:firstLine="0" w:firstLineChars="0"/>
              <w:jc w:val="center"/>
              <w:rPr>
                <w:rFonts w:ascii="宋体" w:hAnsi="宋体" w:eastAsia="宋体"/>
                <w:color w:val="auto"/>
              </w:rPr>
            </w:pPr>
            <w:r>
              <w:rPr>
                <w:rFonts w:ascii="宋体" w:hAnsi="宋体" w:eastAsia="宋体"/>
                <w:color w:val="auto"/>
              </w:rPr>
              <w:t>8</w:t>
            </w:r>
          </w:p>
        </w:tc>
        <w:tc>
          <w:tcPr>
            <w:tcW w:w="1550" w:type="dxa"/>
            <w:shd w:val="clear" w:color="auto" w:fill="auto"/>
            <w:vAlign w:val="center"/>
          </w:tcPr>
          <w:p w14:paraId="754EC196">
            <w:pPr>
              <w:ind w:firstLine="0" w:firstLineChars="0"/>
              <w:rPr>
                <w:rFonts w:hAnsiTheme="minorEastAsia"/>
                <w:color w:val="auto"/>
              </w:rPr>
            </w:pPr>
            <w:r>
              <w:rPr>
                <w:rFonts w:hAnsiTheme="minorEastAsia"/>
                <w:color w:val="auto"/>
                <w:spacing w:val="-2"/>
              </w:rPr>
              <w:t>A020602</w:t>
            </w:r>
            <w:r>
              <w:rPr>
                <w:rFonts w:hAnsiTheme="minorEastAsia"/>
                <w:color w:val="auto"/>
                <w:spacing w:val="-20"/>
              </w:rPr>
              <w:t xml:space="preserve"> 变压</w:t>
            </w:r>
            <w:r>
              <w:rPr>
                <w:rFonts w:hAnsiTheme="minorEastAsia"/>
                <w:color w:val="auto"/>
              </w:rPr>
              <w:t>器</w:t>
            </w:r>
          </w:p>
        </w:tc>
        <w:tc>
          <w:tcPr>
            <w:tcW w:w="1705" w:type="dxa"/>
            <w:shd w:val="clear" w:color="auto" w:fill="auto"/>
            <w:vAlign w:val="center"/>
          </w:tcPr>
          <w:p w14:paraId="44E34367">
            <w:pPr>
              <w:ind w:firstLine="0" w:firstLineChars="0"/>
              <w:rPr>
                <w:rFonts w:hAnsiTheme="minorEastAsia"/>
                <w:color w:val="auto"/>
              </w:rPr>
            </w:pPr>
            <w:r>
              <w:rPr>
                <w:rFonts w:hAnsiTheme="minorEastAsia"/>
                <w:color w:val="auto"/>
              </w:rPr>
              <w:t>配电变压器</w:t>
            </w:r>
          </w:p>
        </w:tc>
        <w:tc>
          <w:tcPr>
            <w:tcW w:w="2054" w:type="dxa"/>
            <w:shd w:val="clear" w:color="auto" w:fill="auto"/>
            <w:vAlign w:val="center"/>
          </w:tcPr>
          <w:p w14:paraId="5A872440">
            <w:pPr>
              <w:ind w:firstLine="0" w:firstLineChars="0"/>
              <w:rPr>
                <w:rFonts w:hAnsiTheme="minorEastAsia"/>
                <w:color w:val="auto"/>
              </w:rPr>
            </w:pPr>
          </w:p>
        </w:tc>
        <w:tc>
          <w:tcPr>
            <w:tcW w:w="3392" w:type="dxa"/>
            <w:shd w:val="clear" w:color="auto" w:fill="auto"/>
            <w:vAlign w:val="center"/>
          </w:tcPr>
          <w:p w14:paraId="05423E54">
            <w:pPr>
              <w:ind w:firstLine="0" w:firstLineChars="0"/>
              <w:rPr>
                <w:rFonts w:ascii="宋体" w:hAnsi="宋体" w:eastAsia="宋体"/>
                <w:color w:val="auto"/>
              </w:rPr>
            </w:pPr>
            <w:r>
              <w:rPr>
                <w:rFonts w:ascii="宋体" w:hAnsi="宋体" w:eastAsia="宋体"/>
                <w:color w:val="auto"/>
                <w:spacing w:val="9"/>
              </w:rPr>
              <w:t>《三相配电变压器能效限定值及</w:t>
            </w:r>
            <w:r>
              <w:rPr>
                <w:rFonts w:ascii="宋体" w:hAnsi="宋体" w:eastAsia="宋体"/>
                <w:color w:val="auto"/>
              </w:rPr>
              <w:t>能效等级》（GB20052）</w:t>
            </w:r>
          </w:p>
        </w:tc>
      </w:tr>
      <w:tr w14:paraId="0DCD1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44" w:hRule="atLeast"/>
          <w:jc w:val="center"/>
        </w:trPr>
        <w:tc>
          <w:tcPr>
            <w:tcW w:w="608" w:type="dxa"/>
            <w:shd w:val="clear" w:color="auto" w:fill="auto"/>
            <w:vAlign w:val="center"/>
          </w:tcPr>
          <w:p w14:paraId="0D7174C7">
            <w:pPr>
              <w:ind w:firstLine="0" w:firstLineChars="0"/>
              <w:jc w:val="center"/>
              <w:rPr>
                <w:rFonts w:ascii="宋体" w:hAnsi="宋体" w:eastAsia="宋体"/>
                <w:color w:val="auto"/>
              </w:rPr>
            </w:pPr>
            <w:r>
              <w:rPr>
                <w:rFonts w:ascii="宋体" w:hAnsi="宋体" w:eastAsia="宋体"/>
                <w:color w:val="auto"/>
              </w:rPr>
              <w:t>9</w:t>
            </w:r>
          </w:p>
        </w:tc>
        <w:tc>
          <w:tcPr>
            <w:tcW w:w="1550" w:type="dxa"/>
            <w:shd w:val="clear" w:color="auto" w:fill="auto"/>
            <w:vAlign w:val="center"/>
          </w:tcPr>
          <w:p w14:paraId="660F18B1">
            <w:pPr>
              <w:ind w:firstLine="0" w:firstLineChars="0"/>
              <w:rPr>
                <w:rFonts w:hAnsiTheme="minorEastAsia"/>
                <w:color w:val="auto"/>
              </w:rPr>
            </w:pPr>
            <w:r>
              <w:rPr>
                <w:rFonts w:hAnsiTheme="minorEastAsia"/>
                <w:color w:val="auto"/>
                <w:spacing w:val="-2"/>
              </w:rPr>
              <w:t>★A020609</w:t>
            </w:r>
            <w:r>
              <w:rPr>
                <w:rFonts w:hAnsiTheme="minorEastAsia"/>
                <w:color w:val="auto"/>
                <w:spacing w:val="-29"/>
              </w:rPr>
              <w:t xml:space="preserve"> 镇</w:t>
            </w:r>
            <w:r>
              <w:rPr>
                <w:rFonts w:hAnsiTheme="minorEastAsia"/>
                <w:color w:val="auto"/>
              </w:rPr>
              <w:t>流器</w:t>
            </w:r>
          </w:p>
        </w:tc>
        <w:tc>
          <w:tcPr>
            <w:tcW w:w="1705" w:type="dxa"/>
            <w:shd w:val="clear" w:color="auto" w:fill="auto"/>
            <w:vAlign w:val="center"/>
          </w:tcPr>
          <w:p w14:paraId="49A7BBFA">
            <w:pPr>
              <w:ind w:firstLine="0" w:firstLineChars="0"/>
              <w:rPr>
                <w:rFonts w:hAnsiTheme="minorEastAsia"/>
                <w:color w:val="auto"/>
              </w:rPr>
            </w:pPr>
            <w:r>
              <w:rPr>
                <w:rFonts w:hAnsiTheme="minorEastAsia"/>
                <w:color w:val="auto"/>
              </w:rPr>
              <w:t>管型荧光灯镇流器</w:t>
            </w:r>
          </w:p>
        </w:tc>
        <w:tc>
          <w:tcPr>
            <w:tcW w:w="2054" w:type="dxa"/>
            <w:shd w:val="clear" w:color="auto" w:fill="auto"/>
            <w:vAlign w:val="center"/>
          </w:tcPr>
          <w:p w14:paraId="653CB692">
            <w:pPr>
              <w:ind w:firstLine="0" w:firstLineChars="0"/>
              <w:rPr>
                <w:rFonts w:hAnsiTheme="minorEastAsia"/>
                <w:color w:val="auto"/>
              </w:rPr>
            </w:pPr>
          </w:p>
        </w:tc>
        <w:tc>
          <w:tcPr>
            <w:tcW w:w="3392" w:type="dxa"/>
            <w:shd w:val="clear" w:color="auto" w:fill="auto"/>
            <w:vAlign w:val="center"/>
          </w:tcPr>
          <w:p w14:paraId="5C9681F6">
            <w:pPr>
              <w:ind w:firstLine="0" w:firstLineChars="0"/>
              <w:rPr>
                <w:rFonts w:ascii="宋体" w:hAnsi="宋体" w:eastAsia="宋体"/>
                <w:color w:val="auto"/>
              </w:rPr>
            </w:pPr>
            <w:r>
              <w:rPr>
                <w:rFonts w:ascii="宋体" w:hAnsi="宋体" w:eastAsia="宋体"/>
                <w:color w:val="auto"/>
                <w:spacing w:val="9"/>
              </w:rPr>
              <w:t>《管形荧光灯镇流器能效限定值</w:t>
            </w:r>
            <w:r>
              <w:rPr>
                <w:rFonts w:ascii="宋体" w:hAnsi="宋体" w:eastAsia="宋体"/>
                <w:color w:val="auto"/>
              </w:rPr>
              <w:t>及能效等级》（GB17896）</w:t>
            </w:r>
          </w:p>
        </w:tc>
      </w:tr>
      <w:tr w14:paraId="2920B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vMerge w:val="restart"/>
            <w:shd w:val="clear" w:color="auto" w:fill="auto"/>
            <w:vAlign w:val="center"/>
          </w:tcPr>
          <w:p w14:paraId="017EBAC3">
            <w:pPr>
              <w:ind w:firstLine="0" w:firstLineChars="0"/>
              <w:jc w:val="center"/>
              <w:rPr>
                <w:rFonts w:ascii="宋体" w:hAnsi="宋体" w:eastAsia="宋体"/>
                <w:color w:val="auto"/>
              </w:rPr>
            </w:pPr>
            <w:r>
              <w:rPr>
                <w:rFonts w:ascii="宋体" w:hAnsi="宋体" w:eastAsia="宋体"/>
                <w:color w:val="auto"/>
              </w:rPr>
              <w:t>10</w:t>
            </w:r>
          </w:p>
        </w:tc>
        <w:tc>
          <w:tcPr>
            <w:tcW w:w="1550" w:type="dxa"/>
            <w:vMerge w:val="restart"/>
            <w:shd w:val="clear" w:color="auto" w:fill="auto"/>
            <w:vAlign w:val="center"/>
          </w:tcPr>
          <w:p w14:paraId="1E625033">
            <w:pPr>
              <w:ind w:firstLine="0" w:firstLineChars="0"/>
              <w:rPr>
                <w:rFonts w:hAnsiTheme="minorEastAsia"/>
                <w:color w:val="auto"/>
              </w:rPr>
            </w:pPr>
            <w:r>
              <w:rPr>
                <w:rFonts w:hAnsiTheme="minorEastAsia"/>
                <w:color w:val="auto"/>
                <w:spacing w:val="-2"/>
              </w:rPr>
              <w:t>A020618</w:t>
            </w:r>
            <w:r>
              <w:rPr>
                <w:rFonts w:hAnsiTheme="minorEastAsia"/>
                <w:color w:val="auto"/>
                <w:spacing w:val="-20"/>
              </w:rPr>
              <w:t xml:space="preserve"> 生活</w:t>
            </w:r>
            <w:r>
              <w:rPr>
                <w:rFonts w:hAnsiTheme="minorEastAsia"/>
                <w:color w:val="auto"/>
              </w:rPr>
              <w:t>用电器</w:t>
            </w:r>
          </w:p>
        </w:tc>
        <w:tc>
          <w:tcPr>
            <w:tcW w:w="1705" w:type="dxa"/>
            <w:shd w:val="clear" w:color="auto" w:fill="auto"/>
            <w:vAlign w:val="center"/>
          </w:tcPr>
          <w:p w14:paraId="3D788738">
            <w:pPr>
              <w:ind w:firstLine="0" w:firstLineChars="0"/>
              <w:rPr>
                <w:rFonts w:hAnsiTheme="minorEastAsia"/>
                <w:color w:val="auto"/>
              </w:rPr>
            </w:pPr>
            <w:r>
              <w:rPr>
                <w:rFonts w:hAnsiTheme="minorEastAsia"/>
                <w:color w:val="auto"/>
              </w:rPr>
              <w:t>A0206180101 电冰箱</w:t>
            </w:r>
          </w:p>
        </w:tc>
        <w:tc>
          <w:tcPr>
            <w:tcW w:w="2054" w:type="dxa"/>
            <w:shd w:val="clear" w:color="auto" w:fill="auto"/>
            <w:vAlign w:val="center"/>
          </w:tcPr>
          <w:p w14:paraId="63B217E1">
            <w:pPr>
              <w:ind w:firstLine="0" w:firstLineChars="0"/>
              <w:rPr>
                <w:rFonts w:hAnsiTheme="minorEastAsia"/>
                <w:color w:val="auto"/>
              </w:rPr>
            </w:pPr>
          </w:p>
        </w:tc>
        <w:tc>
          <w:tcPr>
            <w:tcW w:w="3392" w:type="dxa"/>
            <w:shd w:val="clear" w:color="auto" w:fill="auto"/>
            <w:vAlign w:val="center"/>
          </w:tcPr>
          <w:p w14:paraId="77BEEDDA">
            <w:pPr>
              <w:ind w:firstLine="0" w:firstLineChars="0"/>
              <w:rPr>
                <w:rFonts w:ascii="宋体" w:hAnsi="宋体" w:eastAsia="宋体"/>
                <w:color w:val="auto"/>
              </w:rPr>
            </w:pPr>
            <w:r>
              <w:rPr>
                <w:rFonts w:ascii="宋体" w:hAnsi="宋体" w:eastAsia="宋体"/>
                <w:color w:val="auto"/>
                <w:spacing w:val="9"/>
              </w:rPr>
              <w:t>《家用电冰箱耗电量限定值及能</w:t>
            </w:r>
            <w:r>
              <w:rPr>
                <w:rFonts w:ascii="宋体" w:hAnsi="宋体" w:eastAsia="宋体"/>
                <w:color w:val="auto"/>
              </w:rPr>
              <w:t>效等级》（GB12021.2）</w:t>
            </w:r>
          </w:p>
        </w:tc>
      </w:tr>
      <w:tr w14:paraId="60EA2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2316" w:hRule="atLeast"/>
          <w:jc w:val="center"/>
        </w:trPr>
        <w:tc>
          <w:tcPr>
            <w:tcW w:w="608" w:type="dxa"/>
            <w:vMerge w:val="continue"/>
            <w:shd w:val="clear" w:color="auto" w:fill="auto"/>
            <w:vAlign w:val="center"/>
          </w:tcPr>
          <w:p w14:paraId="121F04DB">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4DC56E1D">
            <w:pPr>
              <w:autoSpaceDE w:val="0"/>
              <w:autoSpaceDN w:val="0"/>
              <w:ind w:firstLine="0" w:firstLineChars="0"/>
              <w:rPr>
                <w:rFonts w:hAnsiTheme="minorEastAsia"/>
                <w:color w:val="auto"/>
              </w:rPr>
            </w:pPr>
          </w:p>
        </w:tc>
        <w:tc>
          <w:tcPr>
            <w:tcW w:w="1705" w:type="dxa"/>
            <w:vMerge w:val="restart"/>
            <w:shd w:val="clear" w:color="auto" w:fill="auto"/>
            <w:vAlign w:val="center"/>
          </w:tcPr>
          <w:p w14:paraId="79A69EAE">
            <w:pPr>
              <w:ind w:firstLine="0" w:firstLineChars="0"/>
              <w:rPr>
                <w:rFonts w:hAnsiTheme="minorEastAsia"/>
                <w:color w:val="auto"/>
              </w:rPr>
            </w:pPr>
            <w:r>
              <w:rPr>
                <w:rFonts w:hAnsiTheme="minorEastAsia"/>
                <w:color w:val="auto"/>
                <w:spacing w:val="-2"/>
              </w:rPr>
              <w:t>★A0206180203</w:t>
            </w:r>
            <w:r>
              <w:rPr>
                <w:rFonts w:hAnsiTheme="minorEastAsia"/>
                <w:color w:val="auto"/>
                <w:spacing w:val="-7"/>
              </w:rPr>
              <w:t xml:space="preserve"> 空调</w:t>
            </w:r>
            <w:r>
              <w:rPr>
                <w:rFonts w:hAnsiTheme="minorEastAsia"/>
                <w:color w:val="auto"/>
              </w:rPr>
              <w:t>机</w:t>
            </w:r>
          </w:p>
        </w:tc>
        <w:tc>
          <w:tcPr>
            <w:tcW w:w="2054" w:type="dxa"/>
            <w:shd w:val="clear" w:color="auto" w:fill="auto"/>
            <w:vAlign w:val="center"/>
          </w:tcPr>
          <w:p w14:paraId="1C489189">
            <w:pPr>
              <w:ind w:firstLine="0" w:firstLineChars="0"/>
              <w:rPr>
                <w:rFonts w:hAnsiTheme="minorEastAsia"/>
                <w:color w:val="auto"/>
              </w:rPr>
            </w:pPr>
            <w:r>
              <w:rPr>
                <w:rFonts w:hAnsiTheme="minorEastAsia"/>
                <w:color w:val="auto"/>
              </w:rPr>
              <w:t>房间空气调节器</w:t>
            </w:r>
          </w:p>
        </w:tc>
        <w:tc>
          <w:tcPr>
            <w:tcW w:w="3392" w:type="dxa"/>
            <w:shd w:val="clear" w:color="auto" w:fill="auto"/>
            <w:vAlign w:val="center"/>
          </w:tcPr>
          <w:p w14:paraId="0F554DB8">
            <w:pPr>
              <w:ind w:firstLine="0" w:firstLineChars="0"/>
              <w:rPr>
                <w:rFonts w:ascii="宋体" w:hAnsi="宋体" w:eastAsia="宋体"/>
                <w:color w:val="auto"/>
              </w:rPr>
            </w:pPr>
            <w:r>
              <w:rPr>
                <w:rFonts w:ascii="宋体" w:hAnsi="宋体" w:eastAsia="宋体"/>
                <w:color w:val="auto"/>
                <w:spacing w:val="9"/>
              </w:rPr>
              <w:t>《转速可控型房间空气调节器能</w:t>
            </w:r>
            <w:r>
              <w:rPr>
                <w:rFonts w:ascii="宋体" w:hAnsi="宋体" w:eastAsia="宋体"/>
                <w:color w:val="auto"/>
                <w:spacing w:val="-18"/>
              </w:rPr>
              <w:t xml:space="preserve">效 限 定 值 及 能 效 等 级》 </w:t>
            </w:r>
            <w:r>
              <w:rPr>
                <w:rFonts w:ascii="宋体" w:hAnsi="宋体" w:eastAsia="宋体"/>
                <w:color w:val="auto"/>
              </w:rPr>
              <w:t>（ GB21455-2013），</w:t>
            </w:r>
            <w:r>
              <w:rPr>
                <w:rFonts w:ascii="宋体" w:hAnsi="宋体" w:eastAsia="宋体"/>
                <w:color w:val="auto"/>
                <w:spacing w:val="6"/>
              </w:rPr>
              <w:t xml:space="preserve">待 </w:t>
            </w:r>
            <w:r>
              <w:rPr>
                <w:rFonts w:ascii="宋体" w:hAnsi="宋体" w:eastAsia="宋体"/>
                <w:color w:val="auto"/>
              </w:rPr>
              <w:t>2019</w:t>
            </w:r>
            <w:r>
              <w:rPr>
                <w:rFonts w:ascii="宋体" w:hAnsi="宋体" w:eastAsia="宋体"/>
                <w:color w:val="auto"/>
                <w:spacing w:val="2"/>
              </w:rPr>
              <w:t xml:space="preserve"> 年修订发</w:t>
            </w:r>
            <w:r>
              <w:rPr>
                <w:rFonts w:ascii="宋体" w:hAnsi="宋体" w:eastAsia="宋体"/>
                <w:color w:val="auto"/>
              </w:rPr>
              <w:t>布后，按《房间空气调节器能效限</w:t>
            </w:r>
            <w:r>
              <w:rPr>
                <w:rFonts w:ascii="宋体" w:hAnsi="宋体" w:eastAsia="宋体"/>
                <w:color w:val="auto"/>
                <w:spacing w:val="-1"/>
              </w:rPr>
              <w:t>定值及能效等级</w:t>
            </w:r>
            <w:r>
              <w:rPr>
                <w:rFonts w:ascii="宋体" w:hAnsi="宋体" w:eastAsia="宋体"/>
                <w:color w:val="auto"/>
                <w:spacing w:val="-156"/>
              </w:rPr>
              <w:t>》</w:t>
            </w:r>
            <w:r>
              <w:rPr>
                <w:rFonts w:ascii="宋体" w:hAnsi="宋体" w:eastAsia="宋体"/>
                <w:color w:val="auto"/>
              </w:rPr>
              <w:t>（GB21455-2019）实施。</w:t>
            </w:r>
          </w:p>
        </w:tc>
      </w:tr>
      <w:tr w14:paraId="49417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167" w:hRule="atLeast"/>
          <w:jc w:val="center"/>
        </w:trPr>
        <w:tc>
          <w:tcPr>
            <w:tcW w:w="608" w:type="dxa"/>
            <w:vMerge w:val="continue"/>
            <w:shd w:val="clear" w:color="auto" w:fill="auto"/>
            <w:vAlign w:val="center"/>
          </w:tcPr>
          <w:p w14:paraId="5AE455CF">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32BC1653">
            <w:pPr>
              <w:autoSpaceDE w:val="0"/>
              <w:autoSpaceDN w:val="0"/>
              <w:ind w:firstLine="0" w:firstLineChars="0"/>
              <w:rPr>
                <w:rFonts w:hAnsiTheme="minorEastAsia"/>
                <w:color w:val="auto"/>
              </w:rPr>
            </w:pPr>
          </w:p>
        </w:tc>
        <w:tc>
          <w:tcPr>
            <w:tcW w:w="1705" w:type="dxa"/>
            <w:vMerge w:val="continue"/>
            <w:shd w:val="clear" w:color="auto" w:fill="auto"/>
            <w:vAlign w:val="center"/>
          </w:tcPr>
          <w:p w14:paraId="08CF30FB">
            <w:pPr>
              <w:autoSpaceDE w:val="0"/>
              <w:autoSpaceDN w:val="0"/>
              <w:ind w:firstLine="0" w:firstLineChars="0"/>
              <w:rPr>
                <w:rFonts w:hAnsiTheme="minorEastAsia"/>
                <w:color w:val="auto"/>
              </w:rPr>
            </w:pPr>
          </w:p>
        </w:tc>
        <w:tc>
          <w:tcPr>
            <w:tcW w:w="2054" w:type="dxa"/>
            <w:shd w:val="clear" w:color="auto" w:fill="auto"/>
            <w:vAlign w:val="center"/>
          </w:tcPr>
          <w:p w14:paraId="2F9B934E">
            <w:pPr>
              <w:ind w:firstLine="0" w:firstLineChars="0"/>
              <w:rPr>
                <w:rFonts w:hAnsiTheme="minorEastAsia"/>
                <w:color w:val="auto"/>
              </w:rPr>
            </w:pPr>
            <w:r>
              <w:rPr>
                <w:rFonts w:hAnsiTheme="minorEastAsia"/>
                <w:color w:val="auto"/>
                <w:spacing w:val="11"/>
              </w:rPr>
              <w:t>多联式空调（</w:t>
            </w:r>
            <w:r>
              <w:rPr>
                <w:rFonts w:hAnsiTheme="minorEastAsia"/>
                <w:color w:val="auto"/>
                <w:spacing w:val="12"/>
              </w:rPr>
              <w:t>热泵</w:t>
            </w:r>
            <w:r>
              <w:rPr>
                <w:rFonts w:hAnsiTheme="minorEastAsia"/>
                <w:color w:val="auto"/>
              </w:rPr>
              <w:t>）</w:t>
            </w:r>
            <w:r>
              <w:rPr>
                <w:rFonts w:hAnsiTheme="minorEastAsia"/>
                <w:color w:val="auto"/>
                <w:spacing w:val="-12"/>
              </w:rPr>
              <w:t xml:space="preserve">机 组 </w:t>
            </w:r>
            <w:r>
              <w:rPr>
                <w:rFonts w:hAnsiTheme="minorEastAsia"/>
                <w:color w:val="auto"/>
              </w:rPr>
              <w:t>（</w:t>
            </w:r>
            <w:r>
              <w:rPr>
                <w:rFonts w:hAnsiTheme="minorEastAsia"/>
                <w:color w:val="auto"/>
                <w:spacing w:val="-13"/>
              </w:rPr>
              <w:t xml:space="preserve"> 制 冷 量 ≤</w:t>
            </w:r>
            <w:r>
              <w:rPr>
                <w:rFonts w:hAnsiTheme="minorEastAsia"/>
                <w:color w:val="auto"/>
              </w:rPr>
              <w:t>14000W）</w:t>
            </w:r>
          </w:p>
        </w:tc>
        <w:tc>
          <w:tcPr>
            <w:tcW w:w="3392" w:type="dxa"/>
            <w:shd w:val="clear" w:color="auto" w:fill="auto"/>
            <w:vAlign w:val="center"/>
          </w:tcPr>
          <w:p w14:paraId="143F840D">
            <w:pPr>
              <w:ind w:firstLine="0" w:firstLineChars="0"/>
              <w:rPr>
                <w:rFonts w:ascii="宋体" w:hAnsi="宋体" w:eastAsia="宋体"/>
                <w:color w:val="auto"/>
              </w:rPr>
            </w:pPr>
            <w:r>
              <w:rPr>
                <w:rFonts w:ascii="宋体" w:hAnsi="宋体" w:eastAsia="宋体"/>
                <w:color w:val="auto"/>
              </w:rPr>
              <w:t>《多联式空调（热泵）机组能效限</w:t>
            </w:r>
            <w:r>
              <w:rPr>
                <w:rFonts w:ascii="宋体" w:hAnsi="宋体" w:eastAsia="宋体"/>
                <w:color w:val="auto"/>
                <w:spacing w:val="-11"/>
              </w:rPr>
              <w:t>定值及能源效率等级》</w:t>
            </w:r>
            <w:r>
              <w:rPr>
                <w:rFonts w:ascii="宋体" w:hAnsi="宋体" w:eastAsia="宋体"/>
                <w:color w:val="auto"/>
              </w:rPr>
              <w:t>（GB21454）</w:t>
            </w:r>
          </w:p>
        </w:tc>
      </w:tr>
      <w:tr w14:paraId="11379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550" w:hRule="atLeast"/>
          <w:jc w:val="center"/>
        </w:trPr>
        <w:tc>
          <w:tcPr>
            <w:tcW w:w="608" w:type="dxa"/>
            <w:vMerge w:val="continue"/>
            <w:shd w:val="clear" w:color="auto" w:fill="auto"/>
            <w:vAlign w:val="center"/>
          </w:tcPr>
          <w:p w14:paraId="0B292330">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4949A330">
            <w:pPr>
              <w:autoSpaceDE w:val="0"/>
              <w:autoSpaceDN w:val="0"/>
              <w:ind w:firstLine="0" w:firstLineChars="0"/>
              <w:rPr>
                <w:rFonts w:hAnsiTheme="minorEastAsia"/>
                <w:color w:val="auto"/>
              </w:rPr>
            </w:pPr>
          </w:p>
        </w:tc>
        <w:tc>
          <w:tcPr>
            <w:tcW w:w="1705" w:type="dxa"/>
            <w:vMerge w:val="continue"/>
            <w:shd w:val="clear" w:color="auto" w:fill="auto"/>
            <w:vAlign w:val="center"/>
          </w:tcPr>
          <w:p w14:paraId="4D2B8305">
            <w:pPr>
              <w:autoSpaceDE w:val="0"/>
              <w:autoSpaceDN w:val="0"/>
              <w:ind w:firstLine="0" w:firstLineChars="0"/>
              <w:rPr>
                <w:rFonts w:hAnsiTheme="minorEastAsia"/>
                <w:color w:val="auto"/>
              </w:rPr>
            </w:pPr>
          </w:p>
        </w:tc>
        <w:tc>
          <w:tcPr>
            <w:tcW w:w="2054" w:type="dxa"/>
            <w:shd w:val="clear" w:color="auto" w:fill="auto"/>
            <w:vAlign w:val="center"/>
          </w:tcPr>
          <w:p w14:paraId="0AF672A7">
            <w:pPr>
              <w:ind w:firstLine="0" w:firstLineChars="0"/>
              <w:rPr>
                <w:rFonts w:hint="eastAsia" w:hAnsiTheme="minorEastAsia" w:eastAsiaTheme="minorEastAsia"/>
                <w:color w:val="auto"/>
                <w:lang w:eastAsia="zh-CN"/>
              </w:rPr>
            </w:pPr>
            <w:r>
              <w:rPr>
                <w:rFonts w:hAnsiTheme="minorEastAsia"/>
                <w:color w:val="auto"/>
                <w:spacing w:val="35"/>
              </w:rPr>
              <w:t>单元式空气调节机</w:t>
            </w:r>
            <w:r>
              <w:rPr>
                <w:rFonts w:hint="eastAsia" w:hAnsiTheme="minorEastAsia"/>
                <w:color w:val="auto"/>
                <w:spacing w:val="35"/>
                <w:lang w:eastAsia="zh-CN"/>
              </w:rPr>
              <w:t>（</w:t>
            </w:r>
            <w:r>
              <w:rPr>
                <w:rFonts w:hAnsiTheme="minorEastAsia"/>
                <w:color w:val="auto"/>
              </w:rPr>
              <w:t>制冷量≤14000W</w:t>
            </w:r>
            <w:r>
              <w:rPr>
                <w:rFonts w:hint="eastAsia" w:hAnsiTheme="minorEastAsia"/>
                <w:color w:val="auto"/>
                <w:lang w:eastAsia="zh-CN"/>
              </w:rPr>
              <w:t>）</w:t>
            </w:r>
          </w:p>
        </w:tc>
        <w:tc>
          <w:tcPr>
            <w:tcW w:w="3392" w:type="dxa"/>
            <w:shd w:val="clear" w:color="auto" w:fill="auto"/>
            <w:vAlign w:val="center"/>
          </w:tcPr>
          <w:p w14:paraId="1F22C3C2">
            <w:pPr>
              <w:ind w:firstLine="0" w:firstLineChars="0"/>
              <w:rPr>
                <w:rFonts w:ascii="宋体" w:hAnsi="宋体" w:eastAsia="宋体"/>
                <w:color w:val="auto"/>
              </w:rPr>
            </w:pPr>
            <w:r>
              <w:rPr>
                <w:rFonts w:ascii="宋体" w:hAnsi="宋体" w:eastAsia="宋体"/>
                <w:color w:val="auto"/>
                <w:spacing w:val="9"/>
              </w:rPr>
              <w:t>《单元式空气调节机能效限定值</w:t>
            </w:r>
            <w:r>
              <w:rPr>
                <w:rFonts w:ascii="宋体" w:hAnsi="宋体" w:eastAsia="宋体"/>
                <w:color w:val="auto"/>
                <w:spacing w:val="-13"/>
              </w:rPr>
              <w:t>及能源效率等级》</w:t>
            </w:r>
            <w:r>
              <w:rPr>
                <w:rFonts w:ascii="宋体" w:hAnsi="宋体" w:eastAsia="宋体"/>
                <w:color w:val="auto"/>
              </w:rPr>
              <w:t>（</w:t>
            </w:r>
            <w:r>
              <w:rPr>
                <w:rFonts w:ascii="宋体" w:hAnsi="宋体" w:eastAsia="宋体"/>
                <w:color w:val="auto"/>
                <w:spacing w:val="1"/>
              </w:rPr>
              <w:t>G</w:t>
            </w:r>
            <w:r>
              <w:rPr>
                <w:rFonts w:ascii="宋体" w:hAnsi="宋体" w:eastAsia="宋体"/>
                <w:color w:val="auto"/>
              </w:rPr>
              <w:t>B</w:t>
            </w:r>
            <w:r>
              <w:rPr>
                <w:rFonts w:ascii="宋体" w:hAnsi="宋体" w:eastAsia="宋体"/>
                <w:color w:val="auto"/>
                <w:spacing w:val="1"/>
              </w:rPr>
              <w:t>195</w:t>
            </w:r>
            <w:r>
              <w:rPr>
                <w:rFonts w:ascii="宋体" w:hAnsi="宋体" w:eastAsia="宋体"/>
                <w:color w:val="auto"/>
              </w:rPr>
              <w:t>7</w:t>
            </w:r>
            <w:r>
              <w:rPr>
                <w:rFonts w:ascii="宋体" w:hAnsi="宋体" w:eastAsia="宋体"/>
                <w:color w:val="auto"/>
                <w:spacing w:val="-3"/>
              </w:rPr>
              <w:t>6</w:t>
            </w:r>
            <w:r>
              <w:rPr>
                <w:rFonts w:ascii="宋体" w:hAnsi="宋体" w:eastAsia="宋体"/>
                <w:color w:val="auto"/>
                <w:spacing w:val="-104"/>
              </w:rPr>
              <w:t>）</w:t>
            </w:r>
            <w:r>
              <w:rPr>
                <w:rFonts w:ascii="宋体" w:hAnsi="宋体" w:eastAsia="宋体"/>
                <w:color w:val="auto"/>
                <w:spacing w:val="-6"/>
              </w:rPr>
              <w:t>《风</w:t>
            </w:r>
            <w:r>
              <w:rPr>
                <w:rFonts w:ascii="宋体" w:hAnsi="宋体" w:eastAsia="宋体"/>
                <w:color w:val="auto"/>
                <w:spacing w:val="9"/>
              </w:rPr>
              <w:t>管送风式空调机组能效限定值及</w:t>
            </w:r>
            <w:r>
              <w:rPr>
                <w:rFonts w:ascii="宋体" w:hAnsi="宋体" w:eastAsia="宋体"/>
                <w:color w:val="auto"/>
              </w:rPr>
              <w:t>能效等级》（GB37479）</w:t>
            </w:r>
          </w:p>
        </w:tc>
      </w:tr>
      <w:tr w14:paraId="062C2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vMerge w:val="continue"/>
            <w:shd w:val="clear" w:color="auto" w:fill="auto"/>
            <w:vAlign w:val="center"/>
          </w:tcPr>
          <w:p w14:paraId="7F13D4CA">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31B562C7">
            <w:pPr>
              <w:autoSpaceDE w:val="0"/>
              <w:autoSpaceDN w:val="0"/>
              <w:ind w:firstLine="0" w:firstLineChars="0"/>
              <w:rPr>
                <w:rFonts w:hAnsiTheme="minorEastAsia"/>
                <w:color w:val="auto"/>
              </w:rPr>
            </w:pPr>
          </w:p>
        </w:tc>
        <w:tc>
          <w:tcPr>
            <w:tcW w:w="1705" w:type="dxa"/>
            <w:shd w:val="clear" w:color="auto" w:fill="auto"/>
            <w:vAlign w:val="center"/>
          </w:tcPr>
          <w:p w14:paraId="7CA793E4">
            <w:pPr>
              <w:ind w:firstLine="0" w:firstLineChars="0"/>
              <w:rPr>
                <w:rFonts w:hAnsiTheme="minorEastAsia"/>
                <w:color w:val="auto"/>
              </w:rPr>
            </w:pPr>
            <w:r>
              <w:rPr>
                <w:rFonts w:hAnsiTheme="minorEastAsia"/>
                <w:color w:val="auto"/>
              </w:rPr>
              <w:t>A0206180301 洗衣机</w:t>
            </w:r>
          </w:p>
        </w:tc>
        <w:tc>
          <w:tcPr>
            <w:tcW w:w="2054" w:type="dxa"/>
            <w:shd w:val="clear" w:color="auto" w:fill="auto"/>
            <w:vAlign w:val="center"/>
          </w:tcPr>
          <w:p w14:paraId="7217CFF4">
            <w:pPr>
              <w:ind w:firstLine="0" w:firstLineChars="0"/>
              <w:rPr>
                <w:rFonts w:hAnsiTheme="minorEastAsia"/>
                <w:color w:val="auto"/>
              </w:rPr>
            </w:pPr>
          </w:p>
        </w:tc>
        <w:tc>
          <w:tcPr>
            <w:tcW w:w="3392" w:type="dxa"/>
            <w:shd w:val="clear" w:color="auto" w:fill="auto"/>
            <w:vAlign w:val="center"/>
          </w:tcPr>
          <w:p w14:paraId="0AEE179C">
            <w:pPr>
              <w:ind w:firstLine="0" w:firstLineChars="0"/>
              <w:rPr>
                <w:rFonts w:ascii="宋体" w:hAnsi="宋体" w:eastAsia="宋体"/>
                <w:color w:val="auto"/>
              </w:rPr>
            </w:pPr>
            <w:r>
              <w:rPr>
                <w:rFonts w:ascii="宋体" w:hAnsi="宋体" w:eastAsia="宋体"/>
                <w:color w:val="auto"/>
                <w:spacing w:val="9"/>
              </w:rPr>
              <w:t>《电动洗衣机能效水效限定值及</w:t>
            </w:r>
            <w:r>
              <w:rPr>
                <w:rFonts w:ascii="宋体" w:hAnsi="宋体" w:eastAsia="宋体"/>
                <w:color w:val="auto"/>
              </w:rPr>
              <w:t>等级》（GB 12021.4）</w:t>
            </w:r>
          </w:p>
        </w:tc>
      </w:tr>
      <w:tr w14:paraId="626D1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vMerge w:val="continue"/>
            <w:shd w:val="clear" w:color="auto" w:fill="auto"/>
            <w:vAlign w:val="center"/>
          </w:tcPr>
          <w:p w14:paraId="4856666D">
            <w:pPr>
              <w:ind w:firstLine="0" w:firstLineChars="0"/>
              <w:jc w:val="center"/>
              <w:rPr>
                <w:rFonts w:ascii="宋体" w:hAnsi="宋体" w:eastAsia="宋体"/>
                <w:color w:val="auto"/>
              </w:rPr>
            </w:pPr>
          </w:p>
        </w:tc>
        <w:tc>
          <w:tcPr>
            <w:tcW w:w="1550" w:type="dxa"/>
            <w:vMerge w:val="continue"/>
            <w:shd w:val="clear" w:color="auto" w:fill="auto"/>
            <w:vAlign w:val="center"/>
          </w:tcPr>
          <w:p w14:paraId="5E4F202F">
            <w:pPr>
              <w:ind w:firstLine="0" w:firstLineChars="0"/>
              <w:rPr>
                <w:rFonts w:hAnsiTheme="minorEastAsia"/>
                <w:color w:val="auto"/>
              </w:rPr>
            </w:pPr>
          </w:p>
        </w:tc>
        <w:tc>
          <w:tcPr>
            <w:tcW w:w="1705" w:type="dxa"/>
            <w:vMerge w:val="restart"/>
            <w:shd w:val="clear" w:color="auto" w:fill="auto"/>
            <w:vAlign w:val="center"/>
          </w:tcPr>
          <w:p w14:paraId="66DDA915">
            <w:pPr>
              <w:ind w:firstLine="0" w:firstLineChars="0"/>
              <w:rPr>
                <w:rFonts w:hAnsiTheme="minorEastAsia"/>
                <w:color w:val="auto"/>
              </w:rPr>
            </w:pPr>
            <w:r>
              <w:rPr>
                <w:rFonts w:hAnsiTheme="minorEastAsia"/>
                <w:color w:val="auto"/>
              </w:rPr>
              <w:t>A02061808</w:t>
            </w:r>
            <w:r>
              <w:rPr>
                <w:rFonts w:hAnsiTheme="minorEastAsia"/>
                <w:color w:val="auto"/>
                <w:spacing w:val="-8"/>
              </w:rPr>
              <w:t xml:space="preserve"> 热水器</w:t>
            </w:r>
          </w:p>
        </w:tc>
        <w:tc>
          <w:tcPr>
            <w:tcW w:w="2054" w:type="dxa"/>
            <w:shd w:val="clear" w:color="auto" w:fill="auto"/>
            <w:vAlign w:val="center"/>
          </w:tcPr>
          <w:p w14:paraId="7BCAF7A0">
            <w:pPr>
              <w:ind w:firstLine="0" w:firstLineChars="0"/>
              <w:rPr>
                <w:rFonts w:hAnsiTheme="minorEastAsia"/>
                <w:color w:val="auto"/>
              </w:rPr>
            </w:pPr>
            <w:r>
              <w:rPr>
                <w:rFonts w:hAnsiTheme="minorEastAsia"/>
                <w:color w:val="auto"/>
              </w:rPr>
              <w:t>★电热水器</w:t>
            </w:r>
          </w:p>
        </w:tc>
        <w:tc>
          <w:tcPr>
            <w:tcW w:w="3392" w:type="dxa"/>
            <w:shd w:val="clear" w:color="auto" w:fill="auto"/>
            <w:vAlign w:val="center"/>
          </w:tcPr>
          <w:p w14:paraId="38429724">
            <w:pPr>
              <w:ind w:firstLine="0" w:firstLineChars="0"/>
              <w:rPr>
                <w:rFonts w:ascii="宋体" w:hAnsi="宋体" w:eastAsia="宋体"/>
                <w:color w:val="auto"/>
              </w:rPr>
            </w:pPr>
            <w:r>
              <w:rPr>
                <w:rFonts w:ascii="宋体" w:hAnsi="宋体" w:eastAsia="宋体"/>
                <w:color w:val="auto"/>
                <w:spacing w:val="9"/>
              </w:rPr>
              <w:t>《储水式电热水器能效限定值及</w:t>
            </w:r>
            <w:r>
              <w:rPr>
                <w:rFonts w:ascii="宋体" w:hAnsi="宋体" w:eastAsia="宋体"/>
                <w:color w:val="auto"/>
              </w:rPr>
              <w:t>能效等级》（GB21519）</w:t>
            </w:r>
          </w:p>
        </w:tc>
      </w:tr>
      <w:tr w14:paraId="766E1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167" w:hRule="atLeast"/>
          <w:jc w:val="center"/>
        </w:trPr>
        <w:tc>
          <w:tcPr>
            <w:tcW w:w="608" w:type="dxa"/>
            <w:vMerge w:val="continue"/>
            <w:shd w:val="clear" w:color="auto" w:fill="auto"/>
            <w:vAlign w:val="center"/>
          </w:tcPr>
          <w:p w14:paraId="3B201205">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73B3DF26">
            <w:pPr>
              <w:autoSpaceDE w:val="0"/>
              <w:autoSpaceDN w:val="0"/>
              <w:ind w:firstLine="0" w:firstLineChars="0"/>
              <w:rPr>
                <w:rFonts w:hAnsiTheme="minorEastAsia"/>
                <w:color w:val="auto"/>
              </w:rPr>
            </w:pPr>
          </w:p>
        </w:tc>
        <w:tc>
          <w:tcPr>
            <w:tcW w:w="1705" w:type="dxa"/>
            <w:vMerge w:val="continue"/>
            <w:shd w:val="clear" w:color="auto" w:fill="auto"/>
            <w:vAlign w:val="center"/>
          </w:tcPr>
          <w:p w14:paraId="4A7934C5">
            <w:pPr>
              <w:autoSpaceDE w:val="0"/>
              <w:autoSpaceDN w:val="0"/>
              <w:ind w:firstLine="0" w:firstLineChars="0"/>
              <w:rPr>
                <w:rFonts w:hAnsiTheme="minorEastAsia"/>
                <w:color w:val="auto"/>
              </w:rPr>
            </w:pPr>
          </w:p>
        </w:tc>
        <w:tc>
          <w:tcPr>
            <w:tcW w:w="2054" w:type="dxa"/>
            <w:shd w:val="clear" w:color="auto" w:fill="auto"/>
            <w:vAlign w:val="center"/>
          </w:tcPr>
          <w:p w14:paraId="3E4A3CA1">
            <w:pPr>
              <w:ind w:firstLine="0" w:firstLineChars="0"/>
              <w:rPr>
                <w:rFonts w:hAnsiTheme="minorEastAsia"/>
                <w:color w:val="auto"/>
              </w:rPr>
            </w:pPr>
            <w:r>
              <w:rPr>
                <w:rFonts w:hAnsiTheme="minorEastAsia"/>
                <w:color w:val="auto"/>
              </w:rPr>
              <w:t>燃气热水器</w:t>
            </w:r>
          </w:p>
        </w:tc>
        <w:tc>
          <w:tcPr>
            <w:tcW w:w="3392" w:type="dxa"/>
            <w:shd w:val="clear" w:color="auto" w:fill="auto"/>
            <w:vAlign w:val="center"/>
          </w:tcPr>
          <w:p w14:paraId="399D8B0E">
            <w:pPr>
              <w:ind w:firstLine="0" w:firstLineChars="0"/>
              <w:rPr>
                <w:rFonts w:ascii="宋体" w:hAnsi="宋体" w:eastAsia="宋体"/>
                <w:color w:val="auto"/>
              </w:rPr>
            </w:pPr>
            <w:r>
              <w:rPr>
                <w:rFonts w:ascii="宋体" w:hAnsi="宋体" w:eastAsia="宋体"/>
                <w:color w:val="auto"/>
                <w:spacing w:val="9"/>
              </w:rPr>
              <w:t>《家用燃气快速热水器和燃气采</w:t>
            </w:r>
            <w:r>
              <w:rPr>
                <w:rFonts w:ascii="宋体" w:hAnsi="宋体" w:eastAsia="宋体"/>
                <w:color w:val="auto"/>
                <w:spacing w:val="-1"/>
              </w:rPr>
              <w:t>暖热水炉能效限定值及能效等级》</w:t>
            </w:r>
            <w:r>
              <w:rPr>
                <w:rFonts w:ascii="宋体" w:hAnsi="宋体" w:eastAsia="宋体"/>
                <w:color w:val="auto"/>
              </w:rPr>
              <w:t>（GB20665）</w:t>
            </w:r>
          </w:p>
        </w:tc>
      </w:tr>
      <w:tr w14:paraId="1ACC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vMerge w:val="continue"/>
            <w:shd w:val="clear" w:color="auto" w:fill="auto"/>
            <w:vAlign w:val="center"/>
          </w:tcPr>
          <w:p w14:paraId="5250FCEB">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1ED78F06">
            <w:pPr>
              <w:autoSpaceDE w:val="0"/>
              <w:autoSpaceDN w:val="0"/>
              <w:ind w:firstLine="0" w:firstLineChars="0"/>
              <w:rPr>
                <w:rFonts w:hAnsiTheme="minorEastAsia"/>
                <w:color w:val="auto"/>
              </w:rPr>
            </w:pPr>
          </w:p>
        </w:tc>
        <w:tc>
          <w:tcPr>
            <w:tcW w:w="1705" w:type="dxa"/>
            <w:vMerge w:val="continue"/>
            <w:shd w:val="clear" w:color="auto" w:fill="auto"/>
            <w:vAlign w:val="center"/>
          </w:tcPr>
          <w:p w14:paraId="2BF2D8B9">
            <w:pPr>
              <w:autoSpaceDE w:val="0"/>
              <w:autoSpaceDN w:val="0"/>
              <w:ind w:firstLine="0" w:firstLineChars="0"/>
              <w:rPr>
                <w:rFonts w:hAnsiTheme="minorEastAsia"/>
                <w:color w:val="auto"/>
              </w:rPr>
            </w:pPr>
          </w:p>
        </w:tc>
        <w:tc>
          <w:tcPr>
            <w:tcW w:w="2054" w:type="dxa"/>
            <w:shd w:val="clear" w:color="auto" w:fill="auto"/>
            <w:vAlign w:val="center"/>
          </w:tcPr>
          <w:p w14:paraId="4208E684">
            <w:pPr>
              <w:ind w:firstLine="0" w:firstLineChars="0"/>
              <w:rPr>
                <w:rFonts w:hAnsiTheme="minorEastAsia"/>
                <w:color w:val="auto"/>
              </w:rPr>
            </w:pPr>
            <w:r>
              <w:rPr>
                <w:rFonts w:hAnsiTheme="minorEastAsia"/>
                <w:color w:val="auto"/>
              </w:rPr>
              <w:t>热泵热水器</w:t>
            </w:r>
          </w:p>
        </w:tc>
        <w:tc>
          <w:tcPr>
            <w:tcW w:w="3392" w:type="dxa"/>
            <w:shd w:val="clear" w:color="auto" w:fill="auto"/>
            <w:vAlign w:val="center"/>
          </w:tcPr>
          <w:p w14:paraId="5BD02939">
            <w:pPr>
              <w:ind w:firstLine="0" w:firstLineChars="0"/>
              <w:rPr>
                <w:rFonts w:ascii="宋体" w:hAnsi="宋体" w:eastAsia="宋体"/>
                <w:color w:val="auto"/>
              </w:rPr>
            </w:pPr>
            <w:r>
              <w:rPr>
                <w:rFonts w:ascii="宋体" w:hAnsi="宋体" w:eastAsia="宋体"/>
                <w:color w:val="auto"/>
                <w:spacing w:val="-5"/>
              </w:rPr>
              <w:t>《热泵热水机</w:t>
            </w:r>
            <w:r>
              <w:rPr>
                <w:rFonts w:ascii="宋体" w:hAnsi="宋体" w:eastAsia="宋体"/>
                <w:color w:val="auto"/>
                <w:spacing w:val="-4"/>
              </w:rPr>
              <w:t>（器）能效限定值及</w:t>
            </w:r>
            <w:r>
              <w:rPr>
                <w:rFonts w:ascii="宋体" w:hAnsi="宋体" w:eastAsia="宋体"/>
                <w:color w:val="auto"/>
              </w:rPr>
              <w:t>能效等级》（GB29541）</w:t>
            </w:r>
          </w:p>
        </w:tc>
      </w:tr>
      <w:tr w14:paraId="56457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vMerge w:val="continue"/>
            <w:shd w:val="clear" w:color="auto" w:fill="auto"/>
            <w:vAlign w:val="center"/>
          </w:tcPr>
          <w:p w14:paraId="01145334">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1F4C2C5F">
            <w:pPr>
              <w:autoSpaceDE w:val="0"/>
              <w:autoSpaceDN w:val="0"/>
              <w:ind w:firstLine="0" w:firstLineChars="0"/>
              <w:rPr>
                <w:rFonts w:hAnsiTheme="minorEastAsia"/>
                <w:color w:val="auto"/>
              </w:rPr>
            </w:pPr>
          </w:p>
        </w:tc>
        <w:tc>
          <w:tcPr>
            <w:tcW w:w="1705" w:type="dxa"/>
            <w:vMerge w:val="continue"/>
            <w:shd w:val="clear" w:color="auto" w:fill="auto"/>
            <w:vAlign w:val="center"/>
          </w:tcPr>
          <w:p w14:paraId="1BD197B7">
            <w:pPr>
              <w:autoSpaceDE w:val="0"/>
              <w:autoSpaceDN w:val="0"/>
              <w:ind w:firstLine="0" w:firstLineChars="0"/>
              <w:rPr>
                <w:rFonts w:hAnsiTheme="minorEastAsia"/>
                <w:color w:val="auto"/>
              </w:rPr>
            </w:pPr>
          </w:p>
        </w:tc>
        <w:tc>
          <w:tcPr>
            <w:tcW w:w="2054" w:type="dxa"/>
            <w:shd w:val="clear" w:color="auto" w:fill="auto"/>
            <w:vAlign w:val="center"/>
          </w:tcPr>
          <w:p w14:paraId="5380D266">
            <w:pPr>
              <w:ind w:firstLine="0" w:firstLineChars="0"/>
              <w:rPr>
                <w:rFonts w:hAnsiTheme="minorEastAsia"/>
                <w:color w:val="auto"/>
              </w:rPr>
            </w:pPr>
            <w:r>
              <w:rPr>
                <w:rFonts w:hAnsiTheme="minorEastAsia"/>
                <w:color w:val="auto"/>
              </w:rPr>
              <w:t>太阳能热水系统</w:t>
            </w:r>
          </w:p>
        </w:tc>
        <w:tc>
          <w:tcPr>
            <w:tcW w:w="3392" w:type="dxa"/>
            <w:shd w:val="clear" w:color="auto" w:fill="auto"/>
            <w:vAlign w:val="center"/>
          </w:tcPr>
          <w:p w14:paraId="5EF0FF24">
            <w:pPr>
              <w:ind w:firstLine="0" w:firstLineChars="0"/>
              <w:rPr>
                <w:rFonts w:ascii="宋体" w:hAnsi="宋体" w:eastAsia="宋体"/>
                <w:color w:val="auto"/>
              </w:rPr>
            </w:pPr>
            <w:r>
              <w:rPr>
                <w:rFonts w:ascii="宋体" w:hAnsi="宋体" w:eastAsia="宋体"/>
                <w:color w:val="auto"/>
                <w:spacing w:val="9"/>
              </w:rPr>
              <w:t>《家用太阳能热水系统能效限定</w:t>
            </w:r>
            <w:r>
              <w:rPr>
                <w:rFonts w:ascii="宋体" w:hAnsi="宋体" w:eastAsia="宋体"/>
                <w:color w:val="auto"/>
              </w:rPr>
              <w:t>值及能效等级》（GB 26969）</w:t>
            </w:r>
          </w:p>
        </w:tc>
      </w:tr>
      <w:tr w14:paraId="67C55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55" w:hRule="atLeast"/>
          <w:jc w:val="center"/>
        </w:trPr>
        <w:tc>
          <w:tcPr>
            <w:tcW w:w="608" w:type="dxa"/>
            <w:vMerge w:val="restart"/>
            <w:shd w:val="clear" w:color="auto" w:fill="auto"/>
            <w:vAlign w:val="center"/>
          </w:tcPr>
          <w:p w14:paraId="40FABCF7">
            <w:pPr>
              <w:ind w:firstLine="0" w:firstLineChars="0"/>
              <w:jc w:val="center"/>
              <w:rPr>
                <w:rFonts w:ascii="宋体" w:hAnsi="宋体" w:eastAsia="宋体"/>
                <w:color w:val="auto"/>
              </w:rPr>
            </w:pPr>
            <w:r>
              <w:rPr>
                <w:rFonts w:ascii="宋体" w:hAnsi="宋体" w:eastAsia="宋体"/>
                <w:color w:val="auto"/>
              </w:rPr>
              <w:t>11</w:t>
            </w:r>
          </w:p>
        </w:tc>
        <w:tc>
          <w:tcPr>
            <w:tcW w:w="1550" w:type="dxa"/>
            <w:vMerge w:val="restart"/>
            <w:shd w:val="clear" w:color="auto" w:fill="auto"/>
            <w:vAlign w:val="center"/>
          </w:tcPr>
          <w:p w14:paraId="7B6E9CC2">
            <w:pPr>
              <w:ind w:firstLine="0" w:firstLineChars="0"/>
              <w:rPr>
                <w:rFonts w:hAnsiTheme="minorEastAsia"/>
                <w:color w:val="auto"/>
              </w:rPr>
            </w:pPr>
            <w:r>
              <w:rPr>
                <w:rFonts w:hAnsiTheme="minorEastAsia"/>
                <w:color w:val="auto"/>
                <w:spacing w:val="-2"/>
              </w:rPr>
              <w:t>A020619</w:t>
            </w:r>
            <w:r>
              <w:rPr>
                <w:rFonts w:hAnsiTheme="minorEastAsia"/>
                <w:color w:val="auto"/>
                <w:spacing w:val="-20"/>
              </w:rPr>
              <w:t xml:space="preserve"> 照明</w:t>
            </w:r>
            <w:r>
              <w:rPr>
                <w:rFonts w:hAnsiTheme="minorEastAsia"/>
                <w:color w:val="auto"/>
              </w:rPr>
              <w:t>设备</w:t>
            </w:r>
          </w:p>
        </w:tc>
        <w:tc>
          <w:tcPr>
            <w:tcW w:w="1705" w:type="dxa"/>
            <w:shd w:val="clear" w:color="auto" w:fill="auto"/>
            <w:vAlign w:val="center"/>
          </w:tcPr>
          <w:p w14:paraId="7ABD3BB6">
            <w:pPr>
              <w:ind w:firstLine="0" w:firstLineChars="0"/>
              <w:rPr>
                <w:rFonts w:hAnsiTheme="minorEastAsia"/>
                <w:color w:val="auto"/>
              </w:rPr>
            </w:pPr>
            <w:r>
              <w:rPr>
                <w:rFonts w:hAnsiTheme="minorEastAsia"/>
                <w:color w:val="auto"/>
                <w:spacing w:val="11"/>
              </w:rPr>
              <w:t>★ 普通照明用双端</w:t>
            </w:r>
            <w:r>
              <w:rPr>
                <w:rFonts w:hAnsiTheme="minorEastAsia"/>
                <w:color w:val="auto"/>
              </w:rPr>
              <w:t>荧光灯</w:t>
            </w:r>
          </w:p>
        </w:tc>
        <w:tc>
          <w:tcPr>
            <w:tcW w:w="2054" w:type="dxa"/>
            <w:shd w:val="clear" w:color="auto" w:fill="auto"/>
            <w:vAlign w:val="center"/>
          </w:tcPr>
          <w:p w14:paraId="2D7B542F">
            <w:pPr>
              <w:ind w:firstLine="0" w:firstLineChars="0"/>
              <w:rPr>
                <w:rFonts w:hAnsiTheme="minorEastAsia"/>
                <w:color w:val="auto"/>
              </w:rPr>
            </w:pPr>
          </w:p>
        </w:tc>
        <w:tc>
          <w:tcPr>
            <w:tcW w:w="3392" w:type="dxa"/>
            <w:shd w:val="clear" w:color="auto" w:fill="auto"/>
            <w:vAlign w:val="center"/>
          </w:tcPr>
          <w:p w14:paraId="06208343">
            <w:pPr>
              <w:ind w:firstLine="0" w:firstLineChars="0"/>
              <w:rPr>
                <w:rFonts w:ascii="宋体" w:hAnsi="宋体" w:eastAsia="宋体"/>
                <w:color w:val="auto"/>
              </w:rPr>
            </w:pPr>
            <w:r>
              <w:rPr>
                <w:rFonts w:ascii="宋体" w:hAnsi="宋体" w:eastAsia="宋体"/>
                <w:color w:val="auto"/>
                <w:spacing w:val="9"/>
              </w:rPr>
              <w:t>《普通照明用双端荧光灯能效限</w:t>
            </w:r>
            <w:r>
              <w:rPr>
                <w:rFonts w:ascii="宋体" w:hAnsi="宋体" w:eastAsia="宋体"/>
                <w:color w:val="auto"/>
              </w:rPr>
              <w:t>定值及能效等级》（GB 19043）</w:t>
            </w:r>
          </w:p>
        </w:tc>
      </w:tr>
      <w:tr w14:paraId="1095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vMerge w:val="continue"/>
            <w:shd w:val="clear" w:color="auto" w:fill="auto"/>
            <w:vAlign w:val="center"/>
          </w:tcPr>
          <w:p w14:paraId="13FF9C80">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37590B81">
            <w:pPr>
              <w:autoSpaceDE w:val="0"/>
              <w:autoSpaceDN w:val="0"/>
              <w:ind w:firstLine="0" w:firstLineChars="0"/>
              <w:rPr>
                <w:rFonts w:hAnsiTheme="minorEastAsia"/>
                <w:color w:val="auto"/>
              </w:rPr>
            </w:pPr>
          </w:p>
        </w:tc>
        <w:tc>
          <w:tcPr>
            <w:tcW w:w="1705" w:type="dxa"/>
            <w:shd w:val="clear" w:color="auto" w:fill="auto"/>
            <w:vAlign w:val="center"/>
          </w:tcPr>
          <w:p w14:paraId="4073CC5B">
            <w:pPr>
              <w:ind w:firstLine="0" w:firstLineChars="0"/>
              <w:rPr>
                <w:rFonts w:hAnsiTheme="minorEastAsia"/>
                <w:color w:val="auto"/>
              </w:rPr>
            </w:pPr>
            <w:r>
              <w:rPr>
                <w:rFonts w:hAnsiTheme="minorEastAsia"/>
                <w:color w:val="auto"/>
              </w:rPr>
              <w:t>LED</w:t>
            </w:r>
            <w:r>
              <w:rPr>
                <w:rFonts w:hAnsiTheme="minorEastAsia"/>
                <w:color w:val="auto"/>
                <w:spacing w:val="3"/>
              </w:rPr>
              <w:t xml:space="preserve"> 道路</w:t>
            </w:r>
            <w:r>
              <w:rPr>
                <w:rFonts w:hAnsiTheme="minorEastAsia"/>
                <w:color w:val="auto"/>
                <w:spacing w:val="13"/>
              </w:rPr>
              <w:t>/</w:t>
            </w:r>
            <w:r>
              <w:rPr>
                <w:rFonts w:hAnsiTheme="minorEastAsia"/>
                <w:color w:val="auto"/>
                <w:spacing w:val="9"/>
              </w:rPr>
              <w:t>隧道照明</w:t>
            </w:r>
            <w:r>
              <w:rPr>
                <w:rFonts w:hAnsiTheme="minorEastAsia"/>
                <w:color w:val="auto"/>
              </w:rPr>
              <w:t>产品</w:t>
            </w:r>
          </w:p>
        </w:tc>
        <w:tc>
          <w:tcPr>
            <w:tcW w:w="2054" w:type="dxa"/>
            <w:shd w:val="clear" w:color="auto" w:fill="auto"/>
            <w:vAlign w:val="center"/>
          </w:tcPr>
          <w:p w14:paraId="6D8768EC">
            <w:pPr>
              <w:ind w:firstLine="0" w:firstLineChars="0"/>
              <w:rPr>
                <w:rFonts w:hAnsiTheme="minorEastAsia"/>
                <w:color w:val="auto"/>
              </w:rPr>
            </w:pPr>
          </w:p>
        </w:tc>
        <w:tc>
          <w:tcPr>
            <w:tcW w:w="3392" w:type="dxa"/>
            <w:shd w:val="clear" w:color="auto" w:fill="auto"/>
            <w:vAlign w:val="center"/>
          </w:tcPr>
          <w:p w14:paraId="55B919E9">
            <w:pPr>
              <w:ind w:firstLine="0" w:firstLineChars="0"/>
              <w:rPr>
                <w:rFonts w:ascii="宋体" w:hAnsi="宋体" w:eastAsia="宋体"/>
                <w:color w:val="auto"/>
              </w:rPr>
            </w:pPr>
            <w:r>
              <w:rPr>
                <w:rFonts w:ascii="宋体" w:hAnsi="宋体" w:eastAsia="宋体"/>
                <w:color w:val="auto"/>
                <w:spacing w:val="1"/>
              </w:rPr>
              <w:t xml:space="preserve">《道路和隧道照明用 </w:t>
            </w:r>
            <w:r>
              <w:rPr>
                <w:rFonts w:ascii="宋体" w:hAnsi="宋体" w:eastAsia="宋体"/>
                <w:color w:val="auto"/>
              </w:rPr>
              <w:t>LED</w:t>
            </w:r>
            <w:r>
              <w:rPr>
                <w:rFonts w:ascii="宋体" w:hAnsi="宋体" w:eastAsia="宋体"/>
                <w:color w:val="auto"/>
                <w:spacing w:val="3"/>
              </w:rPr>
              <w:t xml:space="preserve"> 灯具能</w:t>
            </w:r>
            <w:r>
              <w:rPr>
                <w:rFonts w:ascii="宋体" w:hAnsi="宋体" w:eastAsia="宋体"/>
                <w:color w:val="auto"/>
                <w:spacing w:val="-11"/>
              </w:rPr>
              <w:t>效限定值及能效等级》</w:t>
            </w:r>
            <w:r>
              <w:rPr>
                <w:rFonts w:ascii="宋体" w:hAnsi="宋体" w:eastAsia="宋体"/>
                <w:color w:val="auto"/>
              </w:rPr>
              <w:t>（GB37478）</w:t>
            </w:r>
          </w:p>
        </w:tc>
      </w:tr>
      <w:tr w14:paraId="1DC7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vMerge w:val="continue"/>
            <w:shd w:val="clear" w:color="auto" w:fill="auto"/>
            <w:vAlign w:val="center"/>
          </w:tcPr>
          <w:p w14:paraId="1B719BD1">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22E4CD14">
            <w:pPr>
              <w:autoSpaceDE w:val="0"/>
              <w:autoSpaceDN w:val="0"/>
              <w:ind w:firstLine="0" w:firstLineChars="0"/>
              <w:rPr>
                <w:rFonts w:hAnsiTheme="minorEastAsia"/>
                <w:color w:val="auto"/>
              </w:rPr>
            </w:pPr>
          </w:p>
        </w:tc>
        <w:tc>
          <w:tcPr>
            <w:tcW w:w="1705" w:type="dxa"/>
            <w:shd w:val="clear" w:color="auto" w:fill="auto"/>
            <w:vAlign w:val="center"/>
          </w:tcPr>
          <w:p w14:paraId="70BAFE1A">
            <w:pPr>
              <w:ind w:firstLine="0" w:firstLineChars="0"/>
              <w:rPr>
                <w:rFonts w:hAnsiTheme="minorEastAsia"/>
                <w:color w:val="auto"/>
              </w:rPr>
            </w:pPr>
            <w:r>
              <w:rPr>
                <w:rFonts w:hAnsiTheme="minorEastAsia"/>
                <w:color w:val="auto"/>
              </w:rPr>
              <w:t>LED</w:t>
            </w:r>
            <w:r>
              <w:rPr>
                <w:rFonts w:hAnsiTheme="minorEastAsia"/>
                <w:color w:val="auto"/>
                <w:spacing w:val="-13"/>
              </w:rPr>
              <w:t xml:space="preserve"> 筒灯</w:t>
            </w:r>
          </w:p>
        </w:tc>
        <w:tc>
          <w:tcPr>
            <w:tcW w:w="2054" w:type="dxa"/>
            <w:shd w:val="clear" w:color="auto" w:fill="auto"/>
            <w:vAlign w:val="center"/>
          </w:tcPr>
          <w:p w14:paraId="04B9AB06">
            <w:pPr>
              <w:ind w:firstLine="0" w:firstLineChars="0"/>
              <w:rPr>
                <w:rFonts w:hAnsiTheme="minorEastAsia"/>
                <w:color w:val="auto"/>
              </w:rPr>
            </w:pPr>
          </w:p>
        </w:tc>
        <w:tc>
          <w:tcPr>
            <w:tcW w:w="3392" w:type="dxa"/>
            <w:shd w:val="clear" w:color="auto" w:fill="auto"/>
            <w:vAlign w:val="center"/>
          </w:tcPr>
          <w:p w14:paraId="098CBD0B">
            <w:pPr>
              <w:ind w:firstLine="0" w:firstLineChars="0"/>
              <w:rPr>
                <w:rFonts w:ascii="宋体" w:hAnsi="宋体" w:eastAsia="宋体"/>
                <w:color w:val="auto"/>
              </w:rPr>
            </w:pPr>
            <w:r>
              <w:rPr>
                <w:rFonts w:ascii="宋体" w:hAnsi="宋体" w:eastAsia="宋体"/>
                <w:color w:val="auto"/>
                <w:spacing w:val="1"/>
              </w:rPr>
              <w:t xml:space="preserve">《室内照明用 </w:t>
            </w:r>
            <w:r>
              <w:rPr>
                <w:rFonts w:ascii="宋体" w:hAnsi="宋体" w:eastAsia="宋体"/>
                <w:color w:val="auto"/>
              </w:rPr>
              <w:t>LED 产品能效限定值及能效等级》（GB 30255）</w:t>
            </w:r>
          </w:p>
        </w:tc>
      </w:tr>
      <w:tr w14:paraId="286E0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167" w:hRule="atLeast"/>
          <w:jc w:val="center"/>
        </w:trPr>
        <w:tc>
          <w:tcPr>
            <w:tcW w:w="608" w:type="dxa"/>
            <w:vMerge w:val="continue"/>
            <w:shd w:val="clear" w:color="auto" w:fill="auto"/>
            <w:vAlign w:val="center"/>
          </w:tcPr>
          <w:p w14:paraId="271ED5BF">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587C5C69">
            <w:pPr>
              <w:autoSpaceDE w:val="0"/>
              <w:autoSpaceDN w:val="0"/>
              <w:ind w:firstLine="0" w:firstLineChars="0"/>
              <w:rPr>
                <w:rFonts w:hAnsiTheme="minorEastAsia"/>
                <w:color w:val="auto"/>
              </w:rPr>
            </w:pPr>
          </w:p>
        </w:tc>
        <w:tc>
          <w:tcPr>
            <w:tcW w:w="1705" w:type="dxa"/>
            <w:shd w:val="clear" w:color="auto" w:fill="auto"/>
            <w:vAlign w:val="center"/>
          </w:tcPr>
          <w:p w14:paraId="7B3935C3">
            <w:pPr>
              <w:ind w:firstLine="0" w:firstLineChars="0"/>
              <w:rPr>
                <w:rFonts w:hAnsiTheme="minorEastAsia"/>
                <w:color w:val="auto"/>
              </w:rPr>
            </w:pPr>
            <w:r>
              <w:rPr>
                <w:rFonts w:hAnsiTheme="minorEastAsia"/>
                <w:color w:val="auto"/>
                <w:spacing w:val="21"/>
              </w:rPr>
              <w:t>普通照明用非定向</w:t>
            </w:r>
            <w:r>
              <w:rPr>
                <w:rFonts w:hAnsiTheme="minorEastAsia"/>
                <w:color w:val="auto"/>
                <w:spacing w:val="-11"/>
              </w:rPr>
              <w:t xml:space="preserve">自镇流 </w:t>
            </w:r>
            <w:r>
              <w:rPr>
                <w:rFonts w:hAnsiTheme="minorEastAsia"/>
                <w:color w:val="auto"/>
              </w:rPr>
              <w:t>LED</w:t>
            </w:r>
            <w:r>
              <w:rPr>
                <w:rFonts w:hAnsiTheme="minorEastAsia"/>
                <w:color w:val="auto"/>
                <w:spacing w:val="-20"/>
              </w:rPr>
              <w:t xml:space="preserve"> 灯</w:t>
            </w:r>
          </w:p>
        </w:tc>
        <w:tc>
          <w:tcPr>
            <w:tcW w:w="2054" w:type="dxa"/>
            <w:shd w:val="clear" w:color="auto" w:fill="auto"/>
            <w:vAlign w:val="center"/>
          </w:tcPr>
          <w:p w14:paraId="1CEF759A">
            <w:pPr>
              <w:ind w:firstLine="0" w:firstLineChars="0"/>
              <w:rPr>
                <w:rFonts w:hAnsiTheme="minorEastAsia"/>
                <w:color w:val="auto"/>
              </w:rPr>
            </w:pPr>
          </w:p>
        </w:tc>
        <w:tc>
          <w:tcPr>
            <w:tcW w:w="3392" w:type="dxa"/>
            <w:shd w:val="clear" w:color="auto" w:fill="auto"/>
            <w:vAlign w:val="center"/>
          </w:tcPr>
          <w:p w14:paraId="08F60902">
            <w:pPr>
              <w:ind w:firstLine="0" w:firstLineChars="0"/>
              <w:rPr>
                <w:rFonts w:ascii="宋体" w:hAnsi="宋体" w:eastAsia="宋体"/>
                <w:color w:val="auto"/>
              </w:rPr>
            </w:pPr>
            <w:r>
              <w:rPr>
                <w:rFonts w:ascii="宋体" w:hAnsi="宋体" w:eastAsia="宋体"/>
                <w:color w:val="auto"/>
                <w:spacing w:val="1"/>
              </w:rPr>
              <w:t xml:space="preserve">《室内照明用 </w:t>
            </w:r>
            <w:r>
              <w:rPr>
                <w:rFonts w:ascii="宋体" w:hAnsi="宋体" w:eastAsia="宋体"/>
                <w:color w:val="auto"/>
              </w:rPr>
              <w:t>LED 产品能效限定值及能效等级》（GB 30255）</w:t>
            </w:r>
          </w:p>
        </w:tc>
      </w:tr>
      <w:tr w14:paraId="46E36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shd w:val="clear" w:color="auto" w:fill="auto"/>
            <w:vAlign w:val="center"/>
          </w:tcPr>
          <w:p w14:paraId="18DA79F4">
            <w:pPr>
              <w:ind w:firstLine="0" w:firstLineChars="0"/>
              <w:jc w:val="center"/>
              <w:rPr>
                <w:rFonts w:ascii="宋体" w:hAnsi="宋体" w:eastAsia="宋体"/>
                <w:color w:val="auto"/>
              </w:rPr>
            </w:pPr>
            <w:r>
              <w:rPr>
                <w:rFonts w:ascii="宋体" w:hAnsi="宋体" w:eastAsia="宋体"/>
                <w:color w:val="auto"/>
              </w:rPr>
              <w:t>12</w:t>
            </w:r>
          </w:p>
        </w:tc>
        <w:tc>
          <w:tcPr>
            <w:tcW w:w="1550" w:type="dxa"/>
            <w:shd w:val="clear" w:color="auto" w:fill="auto"/>
            <w:vAlign w:val="center"/>
          </w:tcPr>
          <w:p w14:paraId="5CCCABD1">
            <w:pPr>
              <w:ind w:firstLine="0" w:firstLineChars="0"/>
              <w:rPr>
                <w:rFonts w:hAnsiTheme="minorEastAsia"/>
                <w:color w:val="auto"/>
              </w:rPr>
            </w:pPr>
            <w:r>
              <w:rPr>
                <w:rFonts w:hAnsiTheme="minorEastAsia"/>
                <w:color w:val="auto"/>
                <w:spacing w:val="-2"/>
              </w:rPr>
              <w:t>★A020910</w:t>
            </w:r>
            <w:r>
              <w:rPr>
                <w:rFonts w:hAnsiTheme="minorEastAsia"/>
                <w:color w:val="auto"/>
                <w:spacing w:val="-29"/>
              </w:rPr>
              <w:t xml:space="preserve"> 电</w:t>
            </w:r>
            <w:r>
              <w:rPr>
                <w:rFonts w:hAnsiTheme="minorEastAsia"/>
                <w:color w:val="auto"/>
              </w:rPr>
              <w:t>视设备</w:t>
            </w:r>
          </w:p>
        </w:tc>
        <w:tc>
          <w:tcPr>
            <w:tcW w:w="1705" w:type="dxa"/>
            <w:shd w:val="clear" w:color="auto" w:fill="auto"/>
            <w:vAlign w:val="center"/>
          </w:tcPr>
          <w:p w14:paraId="493272EC">
            <w:pPr>
              <w:ind w:firstLine="0" w:firstLineChars="0"/>
              <w:rPr>
                <w:rFonts w:hAnsiTheme="minorEastAsia"/>
                <w:color w:val="auto"/>
              </w:rPr>
            </w:pPr>
            <w:r>
              <w:rPr>
                <w:rFonts w:hAnsiTheme="minorEastAsia"/>
                <w:color w:val="auto"/>
                <w:spacing w:val="-2"/>
              </w:rPr>
              <w:t>A02091001</w:t>
            </w:r>
            <w:r>
              <w:rPr>
                <w:rFonts w:hAnsiTheme="minorEastAsia"/>
                <w:color w:val="auto"/>
                <w:spacing w:val="-6"/>
              </w:rPr>
              <w:t xml:space="preserve"> 普通电视</w:t>
            </w:r>
            <w:r>
              <w:rPr>
                <w:rFonts w:hAnsiTheme="minorEastAsia"/>
                <w:color w:val="auto"/>
              </w:rPr>
              <w:t>设备（电视机）</w:t>
            </w:r>
          </w:p>
        </w:tc>
        <w:tc>
          <w:tcPr>
            <w:tcW w:w="2054" w:type="dxa"/>
            <w:shd w:val="clear" w:color="auto" w:fill="auto"/>
            <w:vAlign w:val="center"/>
          </w:tcPr>
          <w:p w14:paraId="0C118832">
            <w:pPr>
              <w:ind w:firstLine="0" w:firstLineChars="0"/>
              <w:rPr>
                <w:rFonts w:hAnsiTheme="minorEastAsia"/>
                <w:color w:val="auto"/>
              </w:rPr>
            </w:pPr>
          </w:p>
        </w:tc>
        <w:tc>
          <w:tcPr>
            <w:tcW w:w="3392" w:type="dxa"/>
            <w:shd w:val="clear" w:color="auto" w:fill="auto"/>
            <w:vAlign w:val="center"/>
          </w:tcPr>
          <w:p w14:paraId="78B9671F">
            <w:pPr>
              <w:ind w:firstLine="0" w:firstLineChars="0"/>
              <w:rPr>
                <w:rFonts w:ascii="宋体" w:hAnsi="宋体" w:eastAsia="宋体"/>
                <w:color w:val="auto"/>
              </w:rPr>
            </w:pPr>
            <w:r>
              <w:rPr>
                <w:rFonts w:ascii="宋体" w:hAnsi="宋体" w:eastAsia="宋体"/>
                <w:color w:val="auto"/>
                <w:spacing w:val="9"/>
              </w:rPr>
              <w:t>《平板电视能效限定值及能效等</w:t>
            </w:r>
            <w:r>
              <w:rPr>
                <w:rFonts w:ascii="宋体" w:hAnsi="宋体" w:eastAsia="宋体"/>
                <w:color w:val="auto"/>
              </w:rPr>
              <w:t>级》（GB24850）</w:t>
            </w:r>
          </w:p>
        </w:tc>
      </w:tr>
      <w:tr w14:paraId="784A8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2316" w:hRule="atLeast"/>
          <w:jc w:val="center"/>
        </w:trPr>
        <w:tc>
          <w:tcPr>
            <w:tcW w:w="608" w:type="dxa"/>
            <w:shd w:val="clear" w:color="auto" w:fill="auto"/>
            <w:vAlign w:val="center"/>
          </w:tcPr>
          <w:p w14:paraId="600A5454">
            <w:pPr>
              <w:ind w:firstLine="0" w:firstLineChars="0"/>
              <w:jc w:val="center"/>
              <w:rPr>
                <w:rFonts w:ascii="宋体" w:hAnsi="宋体" w:eastAsia="宋体"/>
                <w:color w:val="auto"/>
              </w:rPr>
            </w:pPr>
            <w:r>
              <w:rPr>
                <w:rFonts w:ascii="宋体" w:hAnsi="宋体" w:eastAsia="宋体"/>
                <w:color w:val="auto"/>
              </w:rPr>
              <w:t>13</w:t>
            </w:r>
          </w:p>
        </w:tc>
        <w:tc>
          <w:tcPr>
            <w:tcW w:w="1550" w:type="dxa"/>
            <w:shd w:val="clear" w:color="auto" w:fill="auto"/>
            <w:vAlign w:val="center"/>
          </w:tcPr>
          <w:p w14:paraId="6D87E49F">
            <w:pPr>
              <w:ind w:firstLine="0" w:firstLineChars="0"/>
              <w:rPr>
                <w:rFonts w:hAnsiTheme="minorEastAsia"/>
                <w:color w:val="auto"/>
              </w:rPr>
            </w:pPr>
            <w:r>
              <w:rPr>
                <w:rFonts w:hAnsiTheme="minorEastAsia"/>
                <w:color w:val="auto"/>
                <w:spacing w:val="-2"/>
              </w:rPr>
              <w:t>★A020911</w:t>
            </w:r>
            <w:r>
              <w:rPr>
                <w:rFonts w:hAnsiTheme="minorEastAsia"/>
                <w:color w:val="auto"/>
                <w:spacing w:val="-29"/>
              </w:rPr>
              <w:t xml:space="preserve"> 视</w:t>
            </w:r>
            <w:r>
              <w:rPr>
                <w:rFonts w:hAnsiTheme="minorEastAsia"/>
                <w:color w:val="auto"/>
              </w:rPr>
              <w:t>频设备</w:t>
            </w:r>
          </w:p>
        </w:tc>
        <w:tc>
          <w:tcPr>
            <w:tcW w:w="1705" w:type="dxa"/>
            <w:shd w:val="clear" w:color="auto" w:fill="auto"/>
            <w:vAlign w:val="center"/>
          </w:tcPr>
          <w:p w14:paraId="45AC21B0">
            <w:pPr>
              <w:ind w:firstLine="0" w:firstLineChars="0"/>
              <w:rPr>
                <w:rFonts w:hAnsiTheme="minorEastAsia"/>
                <w:color w:val="auto"/>
              </w:rPr>
            </w:pPr>
            <w:r>
              <w:rPr>
                <w:rFonts w:hAnsiTheme="minorEastAsia"/>
                <w:color w:val="auto"/>
                <w:spacing w:val="-2"/>
              </w:rPr>
              <w:t>A02091107</w:t>
            </w:r>
            <w:r>
              <w:rPr>
                <w:rFonts w:hAnsiTheme="minorEastAsia"/>
                <w:color w:val="auto"/>
                <w:spacing w:val="-6"/>
              </w:rPr>
              <w:t xml:space="preserve"> 视频监控</w:t>
            </w:r>
            <w:r>
              <w:rPr>
                <w:rFonts w:hAnsiTheme="minorEastAsia"/>
                <w:color w:val="auto"/>
              </w:rPr>
              <w:t>设备</w:t>
            </w:r>
          </w:p>
        </w:tc>
        <w:tc>
          <w:tcPr>
            <w:tcW w:w="2054" w:type="dxa"/>
            <w:shd w:val="clear" w:color="auto" w:fill="auto"/>
            <w:vAlign w:val="center"/>
          </w:tcPr>
          <w:p w14:paraId="57D19E69">
            <w:pPr>
              <w:ind w:firstLine="0" w:firstLineChars="0"/>
              <w:rPr>
                <w:rFonts w:hAnsiTheme="minorEastAsia"/>
                <w:color w:val="auto"/>
              </w:rPr>
            </w:pPr>
            <w:r>
              <w:rPr>
                <w:rFonts w:hAnsiTheme="minorEastAsia"/>
                <w:color w:val="auto"/>
              </w:rPr>
              <w:t>监视器</w:t>
            </w:r>
          </w:p>
        </w:tc>
        <w:tc>
          <w:tcPr>
            <w:tcW w:w="3392" w:type="dxa"/>
            <w:shd w:val="clear" w:color="auto" w:fill="auto"/>
            <w:vAlign w:val="center"/>
          </w:tcPr>
          <w:p w14:paraId="58D646ED">
            <w:pPr>
              <w:ind w:firstLine="0" w:firstLineChars="0"/>
              <w:rPr>
                <w:rFonts w:ascii="宋体" w:hAnsi="宋体" w:eastAsia="宋体"/>
                <w:color w:val="auto"/>
              </w:rPr>
            </w:pPr>
            <w:r>
              <w:rPr>
                <w:rFonts w:ascii="宋体" w:hAnsi="宋体" w:eastAsia="宋体"/>
                <w:color w:val="auto"/>
                <w:spacing w:val="9"/>
              </w:rPr>
              <w:t>以射频信号为主要信号输入的监</w:t>
            </w:r>
            <w:r>
              <w:rPr>
                <w:rFonts w:ascii="宋体" w:hAnsi="宋体" w:eastAsia="宋体"/>
                <w:color w:val="auto"/>
                <w:spacing w:val="-8"/>
              </w:rPr>
              <w:t>视器应符合《平板电视能效限定值</w:t>
            </w:r>
            <w:r>
              <w:rPr>
                <w:rFonts w:ascii="宋体" w:hAnsi="宋体" w:eastAsia="宋体"/>
                <w:color w:val="auto"/>
              </w:rPr>
              <w:t>及能效等级》（GB 24850），</w:t>
            </w:r>
            <w:r>
              <w:rPr>
                <w:rFonts w:ascii="宋体" w:hAnsi="宋体" w:eastAsia="宋体"/>
                <w:color w:val="auto"/>
                <w:spacing w:val="9"/>
              </w:rPr>
              <w:t>以数字信号为主要信号输入的监</w:t>
            </w:r>
          </w:p>
          <w:p w14:paraId="1BC65C5E">
            <w:pPr>
              <w:ind w:firstLine="0" w:firstLineChars="0"/>
              <w:rPr>
                <w:rFonts w:ascii="宋体" w:hAnsi="宋体" w:eastAsia="宋体"/>
                <w:color w:val="auto"/>
              </w:rPr>
            </w:pPr>
            <w:r>
              <w:rPr>
                <w:rFonts w:ascii="宋体" w:hAnsi="宋体" w:eastAsia="宋体"/>
                <w:color w:val="auto"/>
                <w:spacing w:val="-8"/>
              </w:rPr>
              <w:t>视器应符合《计算机显示器能效限</w:t>
            </w:r>
            <w:r>
              <w:rPr>
                <w:rFonts w:ascii="宋体" w:hAnsi="宋体" w:eastAsia="宋体"/>
                <w:color w:val="auto"/>
              </w:rPr>
              <w:t>定值及能效等级》（GB 21520）</w:t>
            </w:r>
          </w:p>
        </w:tc>
      </w:tr>
      <w:tr w14:paraId="0394A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84" w:hRule="atLeast"/>
          <w:jc w:val="center"/>
        </w:trPr>
        <w:tc>
          <w:tcPr>
            <w:tcW w:w="608" w:type="dxa"/>
            <w:shd w:val="clear" w:color="auto" w:fill="auto"/>
            <w:vAlign w:val="center"/>
          </w:tcPr>
          <w:p w14:paraId="0A415142">
            <w:pPr>
              <w:ind w:firstLine="0" w:firstLineChars="0"/>
              <w:jc w:val="center"/>
              <w:rPr>
                <w:rFonts w:ascii="宋体" w:hAnsi="宋体" w:eastAsia="宋体"/>
                <w:color w:val="auto"/>
              </w:rPr>
            </w:pPr>
            <w:r>
              <w:rPr>
                <w:rFonts w:ascii="宋体" w:hAnsi="宋体" w:eastAsia="宋体"/>
                <w:color w:val="auto"/>
              </w:rPr>
              <w:t>14</w:t>
            </w:r>
          </w:p>
        </w:tc>
        <w:tc>
          <w:tcPr>
            <w:tcW w:w="1550" w:type="dxa"/>
            <w:shd w:val="clear" w:color="auto" w:fill="auto"/>
            <w:vAlign w:val="center"/>
          </w:tcPr>
          <w:p w14:paraId="41281593">
            <w:pPr>
              <w:ind w:firstLine="0" w:firstLineChars="0"/>
              <w:rPr>
                <w:rFonts w:hAnsiTheme="minorEastAsia"/>
                <w:color w:val="auto"/>
              </w:rPr>
            </w:pPr>
            <w:r>
              <w:rPr>
                <w:rFonts w:hAnsiTheme="minorEastAsia"/>
                <w:color w:val="auto"/>
                <w:spacing w:val="-2"/>
              </w:rPr>
              <w:t>A031210</w:t>
            </w:r>
            <w:r>
              <w:rPr>
                <w:rFonts w:hAnsiTheme="minorEastAsia"/>
                <w:color w:val="auto"/>
                <w:spacing w:val="-20"/>
              </w:rPr>
              <w:t xml:space="preserve"> 饮食</w:t>
            </w:r>
            <w:r>
              <w:rPr>
                <w:rFonts w:hAnsiTheme="minorEastAsia"/>
                <w:color w:val="auto"/>
              </w:rPr>
              <w:t>炊事机械</w:t>
            </w:r>
          </w:p>
        </w:tc>
        <w:tc>
          <w:tcPr>
            <w:tcW w:w="1705" w:type="dxa"/>
            <w:shd w:val="clear" w:color="auto" w:fill="auto"/>
            <w:vAlign w:val="center"/>
          </w:tcPr>
          <w:p w14:paraId="4102282D">
            <w:pPr>
              <w:ind w:firstLine="0" w:firstLineChars="0"/>
              <w:rPr>
                <w:rFonts w:hAnsiTheme="minorEastAsia"/>
                <w:color w:val="auto"/>
              </w:rPr>
            </w:pPr>
            <w:r>
              <w:rPr>
                <w:rFonts w:hAnsiTheme="minorEastAsia"/>
                <w:color w:val="auto"/>
              </w:rPr>
              <w:t>商用燃气灶具</w:t>
            </w:r>
          </w:p>
        </w:tc>
        <w:tc>
          <w:tcPr>
            <w:tcW w:w="2054" w:type="dxa"/>
            <w:shd w:val="clear" w:color="auto" w:fill="auto"/>
            <w:vAlign w:val="center"/>
          </w:tcPr>
          <w:p w14:paraId="60416367">
            <w:pPr>
              <w:ind w:firstLine="0" w:firstLineChars="0"/>
              <w:rPr>
                <w:rFonts w:hAnsiTheme="minorEastAsia"/>
                <w:color w:val="auto"/>
              </w:rPr>
            </w:pPr>
          </w:p>
        </w:tc>
        <w:tc>
          <w:tcPr>
            <w:tcW w:w="3392" w:type="dxa"/>
            <w:shd w:val="clear" w:color="auto" w:fill="auto"/>
            <w:vAlign w:val="center"/>
          </w:tcPr>
          <w:p w14:paraId="1828FA8B">
            <w:pPr>
              <w:ind w:firstLine="0" w:firstLineChars="0"/>
              <w:rPr>
                <w:rFonts w:ascii="宋体" w:hAnsi="宋体" w:eastAsia="宋体"/>
                <w:color w:val="auto"/>
              </w:rPr>
            </w:pPr>
            <w:r>
              <w:rPr>
                <w:rFonts w:ascii="宋体" w:hAnsi="宋体" w:eastAsia="宋体"/>
                <w:color w:val="auto"/>
                <w:spacing w:val="9"/>
              </w:rPr>
              <w:t>《商用燃气灶具能效限定值及能</w:t>
            </w:r>
            <w:r>
              <w:rPr>
                <w:rFonts w:ascii="宋体" w:hAnsi="宋体" w:eastAsia="宋体"/>
                <w:color w:val="auto"/>
              </w:rPr>
              <w:t>效等级》（GB30531）</w:t>
            </w:r>
          </w:p>
        </w:tc>
      </w:tr>
      <w:tr w14:paraId="11776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39" w:hRule="atLeast"/>
          <w:jc w:val="center"/>
        </w:trPr>
        <w:tc>
          <w:tcPr>
            <w:tcW w:w="608" w:type="dxa"/>
            <w:vMerge w:val="restart"/>
            <w:shd w:val="clear" w:color="auto" w:fill="auto"/>
            <w:vAlign w:val="center"/>
          </w:tcPr>
          <w:p w14:paraId="1A3717BB">
            <w:pPr>
              <w:ind w:firstLine="0" w:firstLineChars="0"/>
              <w:jc w:val="center"/>
              <w:rPr>
                <w:rFonts w:ascii="宋体" w:hAnsi="宋体" w:eastAsia="宋体"/>
                <w:color w:val="auto"/>
              </w:rPr>
            </w:pPr>
            <w:r>
              <w:rPr>
                <w:rFonts w:ascii="宋体" w:hAnsi="宋体" w:eastAsia="宋体"/>
                <w:color w:val="auto"/>
              </w:rPr>
              <w:t>15</w:t>
            </w:r>
          </w:p>
        </w:tc>
        <w:tc>
          <w:tcPr>
            <w:tcW w:w="1550" w:type="dxa"/>
            <w:vMerge w:val="restart"/>
            <w:shd w:val="clear" w:color="auto" w:fill="auto"/>
            <w:vAlign w:val="center"/>
          </w:tcPr>
          <w:p w14:paraId="79818966">
            <w:pPr>
              <w:ind w:firstLine="0" w:firstLineChars="0"/>
              <w:rPr>
                <w:rFonts w:hAnsiTheme="minorEastAsia"/>
                <w:color w:val="auto"/>
              </w:rPr>
            </w:pPr>
            <w:r>
              <w:rPr>
                <w:rFonts w:hAnsiTheme="minorEastAsia"/>
                <w:color w:val="auto"/>
                <w:spacing w:val="-2"/>
              </w:rPr>
              <w:t>★A060805</w:t>
            </w:r>
            <w:r>
              <w:rPr>
                <w:rFonts w:hAnsiTheme="minorEastAsia"/>
                <w:color w:val="auto"/>
                <w:spacing w:val="-29"/>
              </w:rPr>
              <w:t xml:space="preserve"> 便</w:t>
            </w:r>
            <w:r>
              <w:rPr>
                <w:rFonts w:hAnsiTheme="minorEastAsia"/>
                <w:color w:val="auto"/>
              </w:rPr>
              <w:t>器</w:t>
            </w:r>
          </w:p>
        </w:tc>
        <w:tc>
          <w:tcPr>
            <w:tcW w:w="1705" w:type="dxa"/>
            <w:shd w:val="clear" w:color="auto" w:fill="auto"/>
            <w:vAlign w:val="center"/>
          </w:tcPr>
          <w:p w14:paraId="28BF173E">
            <w:pPr>
              <w:ind w:firstLine="0" w:firstLineChars="0"/>
              <w:rPr>
                <w:rFonts w:hAnsiTheme="minorEastAsia"/>
                <w:color w:val="auto"/>
              </w:rPr>
            </w:pPr>
            <w:r>
              <w:rPr>
                <w:rFonts w:hAnsiTheme="minorEastAsia"/>
                <w:color w:val="auto"/>
              </w:rPr>
              <w:t>坐便器</w:t>
            </w:r>
          </w:p>
        </w:tc>
        <w:tc>
          <w:tcPr>
            <w:tcW w:w="2054" w:type="dxa"/>
            <w:shd w:val="clear" w:color="auto" w:fill="auto"/>
            <w:vAlign w:val="center"/>
          </w:tcPr>
          <w:p w14:paraId="77662571">
            <w:pPr>
              <w:ind w:firstLine="0" w:firstLineChars="0"/>
              <w:rPr>
                <w:rFonts w:hAnsiTheme="minorEastAsia"/>
                <w:color w:val="auto"/>
              </w:rPr>
            </w:pPr>
          </w:p>
        </w:tc>
        <w:tc>
          <w:tcPr>
            <w:tcW w:w="3392" w:type="dxa"/>
            <w:shd w:val="clear" w:color="auto" w:fill="auto"/>
            <w:vAlign w:val="center"/>
          </w:tcPr>
          <w:p w14:paraId="5A2367DA">
            <w:pPr>
              <w:ind w:firstLine="0" w:firstLineChars="0"/>
              <w:rPr>
                <w:rFonts w:ascii="宋体" w:hAnsi="宋体" w:eastAsia="宋体"/>
                <w:color w:val="auto"/>
              </w:rPr>
            </w:pPr>
            <w:r>
              <w:rPr>
                <w:rFonts w:ascii="宋体" w:hAnsi="宋体" w:eastAsia="宋体"/>
                <w:color w:val="auto"/>
              </w:rPr>
              <w:t>《坐便器水效限定值及水效等级》（GB25502）</w:t>
            </w:r>
          </w:p>
        </w:tc>
      </w:tr>
      <w:tr w14:paraId="4D2D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39" w:hRule="atLeast"/>
          <w:jc w:val="center"/>
        </w:trPr>
        <w:tc>
          <w:tcPr>
            <w:tcW w:w="608" w:type="dxa"/>
            <w:vMerge w:val="continue"/>
            <w:shd w:val="clear" w:color="auto" w:fill="auto"/>
            <w:vAlign w:val="center"/>
          </w:tcPr>
          <w:p w14:paraId="0B0A2895">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2F3DA182">
            <w:pPr>
              <w:autoSpaceDE w:val="0"/>
              <w:autoSpaceDN w:val="0"/>
              <w:ind w:firstLine="0" w:firstLineChars="0"/>
              <w:rPr>
                <w:rFonts w:hAnsiTheme="minorEastAsia"/>
                <w:color w:val="auto"/>
              </w:rPr>
            </w:pPr>
          </w:p>
        </w:tc>
        <w:tc>
          <w:tcPr>
            <w:tcW w:w="1705" w:type="dxa"/>
            <w:shd w:val="clear" w:color="auto" w:fill="auto"/>
            <w:vAlign w:val="center"/>
          </w:tcPr>
          <w:p w14:paraId="0B2823F1">
            <w:pPr>
              <w:ind w:firstLine="0" w:firstLineChars="0"/>
              <w:rPr>
                <w:rFonts w:hAnsiTheme="minorEastAsia"/>
                <w:color w:val="auto"/>
              </w:rPr>
            </w:pPr>
            <w:r>
              <w:rPr>
                <w:rFonts w:hAnsiTheme="minorEastAsia"/>
                <w:color w:val="auto"/>
              </w:rPr>
              <w:t>蹲便器</w:t>
            </w:r>
          </w:p>
        </w:tc>
        <w:tc>
          <w:tcPr>
            <w:tcW w:w="2054" w:type="dxa"/>
            <w:shd w:val="clear" w:color="auto" w:fill="auto"/>
            <w:vAlign w:val="center"/>
          </w:tcPr>
          <w:p w14:paraId="4DEB0D55">
            <w:pPr>
              <w:ind w:firstLine="0" w:firstLineChars="0"/>
              <w:rPr>
                <w:rFonts w:hAnsiTheme="minorEastAsia"/>
                <w:color w:val="auto"/>
              </w:rPr>
            </w:pPr>
          </w:p>
        </w:tc>
        <w:tc>
          <w:tcPr>
            <w:tcW w:w="3392" w:type="dxa"/>
            <w:shd w:val="clear" w:color="auto" w:fill="auto"/>
            <w:vAlign w:val="center"/>
          </w:tcPr>
          <w:p w14:paraId="7BE6EF54">
            <w:pPr>
              <w:ind w:firstLine="0" w:firstLineChars="0"/>
              <w:rPr>
                <w:rFonts w:ascii="宋体" w:hAnsi="宋体" w:eastAsia="宋体"/>
                <w:color w:val="auto"/>
              </w:rPr>
            </w:pPr>
            <w:r>
              <w:rPr>
                <w:rFonts w:ascii="宋体" w:hAnsi="宋体" w:eastAsia="宋体"/>
                <w:color w:val="auto"/>
                <w:spacing w:val="9"/>
              </w:rPr>
              <w:t>《蹲便器用水效率限定值及用水</w:t>
            </w:r>
            <w:r>
              <w:rPr>
                <w:rFonts w:ascii="宋体" w:hAnsi="宋体" w:eastAsia="宋体"/>
                <w:color w:val="auto"/>
              </w:rPr>
              <w:t>效率等级》（GB30717）</w:t>
            </w:r>
          </w:p>
        </w:tc>
      </w:tr>
      <w:tr w14:paraId="52EF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42" w:hRule="atLeast"/>
          <w:jc w:val="center"/>
        </w:trPr>
        <w:tc>
          <w:tcPr>
            <w:tcW w:w="608" w:type="dxa"/>
            <w:vMerge w:val="continue"/>
            <w:shd w:val="clear" w:color="auto" w:fill="auto"/>
            <w:vAlign w:val="center"/>
          </w:tcPr>
          <w:p w14:paraId="65B131FC">
            <w:pPr>
              <w:autoSpaceDE w:val="0"/>
              <w:autoSpaceDN w:val="0"/>
              <w:ind w:firstLine="0" w:firstLineChars="0"/>
              <w:jc w:val="center"/>
              <w:rPr>
                <w:rFonts w:ascii="宋体" w:hAnsi="宋体" w:eastAsia="宋体"/>
                <w:color w:val="auto"/>
              </w:rPr>
            </w:pPr>
          </w:p>
        </w:tc>
        <w:tc>
          <w:tcPr>
            <w:tcW w:w="1550" w:type="dxa"/>
            <w:vMerge w:val="continue"/>
            <w:shd w:val="clear" w:color="auto" w:fill="auto"/>
            <w:vAlign w:val="center"/>
          </w:tcPr>
          <w:p w14:paraId="69AB6ADA">
            <w:pPr>
              <w:autoSpaceDE w:val="0"/>
              <w:autoSpaceDN w:val="0"/>
              <w:ind w:firstLine="0" w:firstLineChars="0"/>
              <w:rPr>
                <w:rFonts w:hAnsiTheme="minorEastAsia"/>
                <w:color w:val="auto"/>
              </w:rPr>
            </w:pPr>
          </w:p>
        </w:tc>
        <w:tc>
          <w:tcPr>
            <w:tcW w:w="1705" w:type="dxa"/>
            <w:shd w:val="clear" w:color="auto" w:fill="auto"/>
            <w:vAlign w:val="center"/>
          </w:tcPr>
          <w:p w14:paraId="53ADEEF3">
            <w:pPr>
              <w:ind w:firstLine="0" w:firstLineChars="0"/>
              <w:rPr>
                <w:rFonts w:hAnsiTheme="minorEastAsia"/>
                <w:color w:val="auto"/>
              </w:rPr>
            </w:pPr>
            <w:r>
              <w:rPr>
                <w:rFonts w:hAnsiTheme="minorEastAsia"/>
                <w:color w:val="auto"/>
              </w:rPr>
              <w:t>小便器</w:t>
            </w:r>
          </w:p>
        </w:tc>
        <w:tc>
          <w:tcPr>
            <w:tcW w:w="2054" w:type="dxa"/>
            <w:shd w:val="clear" w:color="auto" w:fill="auto"/>
            <w:vAlign w:val="center"/>
          </w:tcPr>
          <w:p w14:paraId="652215E8">
            <w:pPr>
              <w:ind w:firstLine="0" w:firstLineChars="0"/>
              <w:rPr>
                <w:rFonts w:hAnsiTheme="minorEastAsia"/>
                <w:color w:val="auto"/>
              </w:rPr>
            </w:pPr>
          </w:p>
        </w:tc>
        <w:tc>
          <w:tcPr>
            <w:tcW w:w="3392" w:type="dxa"/>
            <w:shd w:val="clear" w:color="auto" w:fill="auto"/>
            <w:vAlign w:val="center"/>
          </w:tcPr>
          <w:p w14:paraId="60901BC4">
            <w:pPr>
              <w:ind w:firstLine="0" w:firstLineChars="0"/>
              <w:rPr>
                <w:rFonts w:ascii="宋体" w:hAnsi="宋体" w:eastAsia="宋体"/>
                <w:color w:val="auto"/>
              </w:rPr>
            </w:pPr>
            <w:r>
              <w:rPr>
                <w:rFonts w:ascii="宋体" w:hAnsi="宋体" w:eastAsia="宋体"/>
                <w:color w:val="auto"/>
                <w:spacing w:val="9"/>
              </w:rPr>
              <w:t>《小便器用水效率限定值及用水</w:t>
            </w:r>
            <w:r>
              <w:rPr>
                <w:rFonts w:ascii="宋体" w:hAnsi="宋体" w:eastAsia="宋体"/>
                <w:color w:val="auto"/>
              </w:rPr>
              <w:t>效率等级》（GB28377）</w:t>
            </w:r>
          </w:p>
        </w:tc>
      </w:tr>
      <w:tr w14:paraId="47EF9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93" w:hRule="atLeast"/>
          <w:jc w:val="center"/>
        </w:trPr>
        <w:tc>
          <w:tcPr>
            <w:tcW w:w="608" w:type="dxa"/>
            <w:shd w:val="clear" w:color="auto" w:fill="auto"/>
            <w:vAlign w:val="center"/>
          </w:tcPr>
          <w:p w14:paraId="2D2B5F00">
            <w:pPr>
              <w:ind w:firstLine="0" w:firstLineChars="0"/>
              <w:jc w:val="center"/>
              <w:rPr>
                <w:rFonts w:ascii="宋体" w:hAnsi="宋体" w:eastAsia="宋体"/>
                <w:color w:val="auto"/>
              </w:rPr>
            </w:pPr>
            <w:r>
              <w:rPr>
                <w:rFonts w:ascii="宋体" w:hAnsi="宋体" w:eastAsia="宋体"/>
                <w:color w:val="auto"/>
              </w:rPr>
              <w:t>16</w:t>
            </w:r>
          </w:p>
        </w:tc>
        <w:tc>
          <w:tcPr>
            <w:tcW w:w="1550" w:type="dxa"/>
            <w:shd w:val="clear" w:color="auto" w:fill="auto"/>
            <w:vAlign w:val="center"/>
          </w:tcPr>
          <w:p w14:paraId="2B2C683D">
            <w:pPr>
              <w:ind w:firstLine="0" w:firstLineChars="0"/>
              <w:rPr>
                <w:rFonts w:hAnsiTheme="minorEastAsia"/>
                <w:color w:val="auto"/>
              </w:rPr>
            </w:pPr>
            <w:r>
              <w:rPr>
                <w:rFonts w:hAnsiTheme="minorEastAsia"/>
                <w:color w:val="auto"/>
                <w:spacing w:val="-2"/>
              </w:rPr>
              <w:t>★A060806</w:t>
            </w:r>
            <w:r>
              <w:rPr>
                <w:rFonts w:hAnsiTheme="minorEastAsia"/>
                <w:color w:val="auto"/>
                <w:spacing w:val="-29"/>
              </w:rPr>
              <w:t xml:space="preserve"> 水</w:t>
            </w:r>
            <w:r>
              <w:rPr>
                <w:rFonts w:hAnsiTheme="minorEastAsia"/>
                <w:color w:val="auto"/>
              </w:rPr>
              <w:t>嘴</w:t>
            </w:r>
          </w:p>
        </w:tc>
        <w:tc>
          <w:tcPr>
            <w:tcW w:w="1705" w:type="dxa"/>
            <w:shd w:val="clear" w:color="auto" w:fill="auto"/>
            <w:vAlign w:val="center"/>
          </w:tcPr>
          <w:p w14:paraId="45DC4BF2">
            <w:pPr>
              <w:ind w:firstLine="0" w:firstLineChars="0"/>
              <w:rPr>
                <w:rFonts w:hAnsiTheme="minorEastAsia"/>
                <w:color w:val="auto"/>
              </w:rPr>
            </w:pPr>
          </w:p>
        </w:tc>
        <w:tc>
          <w:tcPr>
            <w:tcW w:w="2054" w:type="dxa"/>
            <w:shd w:val="clear" w:color="auto" w:fill="auto"/>
            <w:vAlign w:val="center"/>
          </w:tcPr>
          <w:p w14:paraId="4B52AA3B">
            <w:pPr>
              <w:ind w:firstLine="0" w:firstLineChars="0"/>
              <w:rPr>
                <w:rFonts w:hAnsiTheme="minorEastAsia"/>
                <w:color w:val="auto"/>
              </w:rPr>
            </w:pPr>
          </w:p>
        </w:tc>
        <w:tc>
          <w:tcPr>
            <w:tcW w:w="3392" w:type="dxa"/>
            <w:shd w:val="clear" w:color="auto" w:fill="auto"/>
            <w:vAlign w:val="center"/>
          </w:tcPr>
          <w:p w14:paraId="086F3F90">
            <w:pPr>
              <w:ind w:firstLine="0" w:firstLineChars="0"/>
              <w:rPr>
                <w:rFonts w:ascii="宋体" w:hAnsi="宋体" w:eastAsia="宋体"/>
                <w:color w:val="auto"/>
              </w:rPr>
            </w:pPr>
            <w:r>
              <w:rPr>
                <w:rFonts w:ascii="宋体" w:hAnsi="宋体" w:eastAsia="宋体"/>
                <w:color w:val="auto"/>
                <w:spacing w:val="9"/>
              </w:rPr>
              <w:t>《水嘴用水效率限定值及用水效</w:t>
            </w:r>
            <w:r>
              <w:rPr>
                <w:rFonts w:ascii="宋体" w:hAnsi="宋体" w:eastAsia="宋体"/>
                <w:color w:val="auto"/>
              </w:rPr>
              <w:t>率等级》（GB25501）</w:t>
            </w:r>
          </w:p>
        </w:tc>
      </w:tr>
      <w:tr w14:paraId="43F61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17" w:hRule="atLeast"/>
          <w:jc w:val="center"/>
        </w:trPr>
        <w:tc>
          <w:tcPr>
            <w:tcW w:w="608" w:type="dxa"/>
            <w:shd w:val="clear" w:color="auto" w:fill="auto"/>
            <w:vAlign w:val="center"/>
          </w:tcPr>
          <w:p w14:paraId="0249ACD9">
            <w:pPr>
              <w:ind w:firstLine="0" w:firstLineChars="0"/>
              <w:jc w:val="center"/>
              <w:rPr>
                <w:rFonts w:ascii="宋体" w:hAnsi="宋体" w:eastAsia="宋体"/>
                <w:color w:val="auto"/>
              </w:rPr>
            </w:pPr>
            <w:r>
              <w:rPr>
                <w:rFonts w:ascii="宋体" w:hAnsi="宋体" w:eastAsia="宋体"/>
                <w:color w:val="auto"/>
              </w:rPr>
              <w:t>17</w:t>
            </w:r>
          </w:p>
        </w:tc>
        <w:tc>
          <w:tcPr>
            <w:tcW w:w="1550" w:type="dxa"/>
            <w:shd w:val="clear" w:color="auto" w:fill="auto"/>
            <w:vAlign w:val="center"/>
          </w:tcPr>
          <w:p w14:paraId="64005365">
            <w:pPr>
              <w:ind w:firstLine="0" w:firstLineChars="0"/>
              <w:rPr>
                <w:rFonts w:hAnsiTheme="minorEastAsia"/>
                <w:color w:val="auto"/>
              </w:rPr>
            </w:pPr>
            <w:r>
              <w:rPr>
                <w:rFonts w:hAnsiTheme="minorEastAsia"/>
                <w:color w:val="auto"/>
                <w:spacing w:val="-2"/>
              </w:rPr>
              <w:t>A060807</w:t>
            </w:r>
            <w:r>
              <w:rPr>
                <w:rFonts w:hAnsiTheme="minorEastAsia"/>
                <w:color w:val="auto"/>
                <w:spacing w:val="-20"/>
              </w:rPr>
              <w:t xml:space="preserve"> 便器</w:t>
            </w:r>
            <w:r>
              <w:rPr>
                <w:rFonts w:hAnsiTheme="minorEastAsia"/>
                <w:color w:val="auto"/>
              </w:rPr>
              <w:t>冲洗阀</w:t>
            </w:r>
          </w:p>
        </w:tc>
        <w:tc>
          <w:tcPr>
            <w:tcW w:w="1705" w:type="dxa"/>
            <w:shd w:val="clear" w:color="auto" w:fill="auto"/>
            <w:vAlign w:val="center"/>
          </w:tcPr>
          <w:p w14:paraId="5CB4DAE7">
            <w:pPr>
              <w:ind w:firstLine="0" w:firstLineChars="0"/>
              <w:rPr>
                <w:rFonts w:hAnsiTheme="minorEastAsia"/>
                <w:color w:val="auto"/>
              </w:rPr>
            </w:pPr>
          </w:p>
        </w:tc>
        <w:tc>
          <w:tcPr>
            <w:tcW w:w="2054" w:type="dxa"/>
            <w:shd w:val="clear" w:color="auto" w:fill="auto"/>
            <w:vAlign w:val="center"/>
          </w:tcPr>
          <w:p w14:paraId="29451542">
            <w:pPr>
              <w:ind w:firstLine="0" w:firstLineChars="0"/>
              <w:rPr>
                <w:rFonts w:hAnsiTheme="minorEastAsia"/>
                <w:color w:val="auto"/>
              </w:rPr>
            </w:pPr>
          </w:p>
        </w:tc>
        <w:tc>
          <w:tcPr>
            <w:tcW w:w="3392" w:type="dxa"/>
            <w:shd w:val="clear" w:color="auto" w:fill="auto"/>
            <w:vAlign w:val="center"/>
          </w:tcPr>
          <w:p w14:paraId="05E2710C">
            <w:pPr>
              <w:ind w:firstLine="0" w:firstLineChars="0"/>
              <w:rPr>
                <w:rFonts w:ascii="宋体" w:hAnsi="宋体" w:eastAsia="宋体"/>
                <w:color w:val="auto"/>
              </w:rPr>
            </w:pPr>
            <w:r>
              <w:rPr>
                <w:rFonts w:ascii="宋体" w:hAnsi="宋体" w:eastAsia="宋体"/>
                <w:color w:val="auto"/>
                <w:spacing w:val="9"/>
              </w:rPr>
              <w:t>《便器冲洗阀用水效率限定值及</w:t>
            </w:r>
            <w:r>
              <w:rPr>
                <w:rFonts w:ascii="宋体" w:hAnsi="宋体" w:eastAsia="宋体"/>
                <w:color w:val="auto"/>
              </w:rPr>
              <w:t>用水效率等级》（GB 28379）</w:t>
            </w:r>
          </w:p>
        </w:tc>
      </w:tr>
      <w:tr w14:paraId="05207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73" w:hRule="atLeast"/>
          <w:jc w:val="center"/>
        </w:trPr>
        <w:tc>
          <w:tcPr>
            <w:tcW w:w="608" w:type="dxa"/>
            <w:shd w:val="clear" w:color="auto" w:fill="auto"/>
            <w:vAlign w:val="center"/>
          </w:tcPr>
          <w:p w14:paraId="1F81A5A4">
            <w:pPr>
              <w:ind w:firstLine="0" w:firstLineChars="0"/>
              <w:jc w:val="center"/>
              <w:rPr>
                <w:rFonts w:ascii="宋体" w:hAnsi="宋体" w:eastAsia="宋体"/>
                <w:color w:val="auto"/>
              </w:rPr>
            </w:pPr>
            <w:r>
              <w:rPr>
                <w:rFonts w:ascii="宋体" w:hAnsi="宋体" w:eastAsia="宋体"/>
                <w:color w:val="auto"/>
              </w:rPr>
              <w:t>18</w:t>
            </w:r>
          </w:p>
        </w:tc>
        <w:tc>
          <w:tcPr>
            <w:tcW w:w="1550" w:type="dxa"/>
            <w:shd w:val="clear" w:color="auto" w:fill="auto"/>
            <w:vAlign w:val="center"/>
          </w:tcPr>
          <w:p w14:paraId="127E4E0F">
            <w:pPr>
              <w:ind w:firstLine="0" w:firstLineChars="0"/>
              <w:rPr>
                <w:rFonts w:hAnsiTheme="minorEastAsia"/>
                <w:color w:val="auto"/>
              </w:rPr>
            </w:pPr>
            <w:r>
              <w:rPr>
                <w:rFonts w:hAnsiTheme="minorEastAsia"/>
                <w:color w:val="auto"/>
              </w:rPr>
              <w:t>A060810</w:t>
            </w:r>
            <w:r>
              <w:rPr>
                <w:rFonts w:hAnsiTheme="minorEastAsia"/>
                <w:color w:val="auto"/>
                <w:spacing w:val="-9"/>
              </w:rPr>
              <w:t xml:space="preserve"> 淋浴</w:t>
            </w:r>
            <w:r>
              <w:rPr>
                <w:rFonts w:hAnsiTheme="minorEastAsia"/>
                <w:color w:val="auto"/>
              </w:rPr>
              <w:t>器</w:t>
            </w:r>
          </w:p>
        </w:tc>
        <w:tc>
          <w:tcPr>
            <w:tcW w:w="1705" w:type="dxa"/>
            <w:shd w:val="clear" w:color="auto" w:fill="auto"/>
            <w:vAlign w:val="center"/>
          </w:tcPr>
          <w:p w14:paraId="79814684">
            <w:pPr>
              <w:ind w:firstLine="0" w:firstLineChars="0"/>
              <w:rPr>
                <w:rFonts w:hAnsiTheme="minorEastAsia"/>
                <w:color w:val="auto"/>
              </w:rPr>
            </w:pPr>
          </w:p>
        </w:tc>
        <w:tc>
          <w:tcPr>
            <w:tcW w:w="2054" w:type="dxa"/>
            <w:shd w:val="clear" w:color="auto" w:fill="auto"/>
            <w:vAlign w:val="center"/>
          </w:tcPr>
          <w:p w14:paraId="7412E09C">
            <w:pPr>
              <w:ind w:firstLine="0" w:firstLineChars="0"/>
              <w:rPr>
                <w:rFonts w:hAnsiTheme="minorEastAsia"/>
                <w:color w:val="auto"/>
              </w:rPr>
            </w:pPr>
          </w:p>
        </w:tc>
        <w:tc>
          <w:tcPr>
            <w:tcW w:w="3392" w:type="dxa"/>
            <w:shd w:val="clear" w:color="auto" w:fill="auto"/>
            <w:vAlign w:val="center"/>
          </w:tcPr>
          <w:p w14:paraId="76C74B5A">
            <w:pPr>
              <w:ind w:firstLine="0" w:firstLineChars="0"/>
              <w:rPr>
                <w:rFonts w:ascii="宋体" w:hAnsi="宋体" w:eastAsia="宋体"/>
                <w:color w:val="auto"/>
              </w:rPr>
            </w:pPr>
            <w:r>
              <w:rPr>
                <w:rFonts w:ascii="宋体" w:hAnsi="宋体" w:eastAsia="宋体"/>
                <w:color w:val="auto"/>
                <w:spacing w:val="9"/>
              </w:rPr>
              <w:t>《淋浴器用水效率限定值及用水</w:t>
            </w:r>
            <w:r>
              <w:rPr>
                <w:rFonts w:ascii="宋体" w:hAnsi="宋体" w:eastAsia="宋体"/>
                <w:color w:val="auto"/>
              </w:rPr>
              <w:t>效率等级》（GB28378）</w:t>
            </w:r>
          </w:p>
        </w:tc>
      </w:tr>
      <w:bookmarkEnd w:id="13"/>
    </w:tbl>
    <w:p w14:paraId="41D6D361">
      <w:pPr>
        <w:ind w:firstLine="0" w:firstLineChars="0"/>
        <w:rPr>
          <w:color w:val="auto"/>
        </w:rPr>
      </w:pPr>
      <w:r>
        <w:rPr>
          <w:rFonts w:hint="eastAsia"/>
          <w:color w:val="auto"/>
        </w:rPr>
        <w:t>注：</w:t>
      </w:r>
      <w:r>
        <w:rPr>
          <w:color w:val="auto"/>
        </w:rPr>
        <w:t>1.</w:t>
      </w:r>
      <w:r>
        <w:rPr>
          <w:rFonts w:hint="eastAsia"/>
          <w:color w:val="auto"/>
        </w:rPr>
        <w:t>节能产品认证应依据相关国家标准的最新版本，依据国家标准中二级能效（水效）指标。</w:t>
      </w:r>
    </w:p>
    <w:p w14:paraId="6894B355">
      <w:pPr>
        <w:ind w:firstLine="420"/>
        <w:rPr>
          <w:color w:val="auto"/>
        </w:rPr>
      </w:pPr>
      <w:r>
        <w:rPr>
          <w:color w:val="auto"/>
        </w:rPr>
        <w:t>2.</w:t>
      </w:r>
      <w:r>
        <w:rPr>
          <w:rFonts w:hint="eastAsia"/>
          <w:color w:val="auto"/>
        </w:rPr>
        <w:t>以</w:t>
      </w:r>
      <w:r>
        <w:rPr>
          <w:color w:val="auto"/>
        </w:rPr>
        <w:t>“</w:t>
      </w:r>
      <w:r>
        <w:rPr>
          <w:rFonts w:hint="eastAsia"/>
          <w:color w:val="auto"/>
        </w:rPr>
        <w:t>★</w:t>
      </w:r>
      <w:r>
        <w:rPr>
          <w:color w:val="auto"/>
        </w:rPr>
        <w:t>”</w:t>
      </w:r>
      <w:r>
        <w:rPr>
          <w:rFonts w:hint="eastAsia"/>
          <w:color w:val="auto"/>
        </w:rPr>
        <w:t>标注的为政府强制采购产品。</w:t>
      </w:r>
    </w:p>
    <w:p w14:paraId="5D4DDF7C">
      <w:pPr>
        <w:ind w:firstLine="0" w:firstLineChars="0"/>
        <w:rPr>
          <w:color w:val="auto"/>
        </w:rPr>
      </w:pPr>
    </w:p>
    <w:p w14:paraId="6118FECD">
      <w:pPr>
        <w:pStyle w:val="3"/>
        <w:ind w:firstLine="883"/>
        <w:rPr>
          <w:color w:val="auto"/>
        </w:rPr>
      </w:pPr>
    </w:p>
    <w:p w14:paraId="7CF210BE">
      <w:pPr>
        <w:spacing w:before="260" w:after="260" w:line="415" w:lineRule="auto"/>
        <w:ind w:firstLine="0" w:firstLineChars="0"/>
        <w:jc w:val="both"/>
        <w:rPr>
          <w:color w:val="auto"/>
        </w:rPr>
      </w:pPr>
    </w:p>
    <w:p w14:paraId="51002B46">
      <w:pPr>
        <w:ind w:firstLine="0" w:firstLineChars="0"/>
        <w:rPr>
          <w:rFonts w:ascii="仿宋" w:hAnsi="仿宋" w:eastAsia="仿宋" w:cs="仿宋"/>
          <w:color w:val="auto"/>
        </w:rPr>
      </w:pPr>
      <w:bookmarkStart w:id="14" w:name="_Toc76480568"/>
      <w:bookmarkStart w:id="15" w:name="_Toc74322608"/>
    </w:p>
    <w:p w14:paraId="1B5115DD">
      <w:pPr>
        <w:ind w:firstLine="0" w:firstLineChars="0"/>
        <w:rPr>
          <w:rFonts w:ascii="仿宋" w:hAnsi="仿宋" w:eastAsia="仿宋" w:cs="仿宋"/>
          <w:color w:val="auto"/>
        </w:rPr>
      </w:pPr>
    </w:p>
    <w:p w14:paraId="1AAA27FD">
      <w:pPr>
        <w:pStyle w:val="49"/>
        <w:rPr>
          <w:rFonts w:ascii="仿宋" w:hAnsi="仿宋" w:eastAsia="仿宋" w:cs="仿宋"/>
          <w:color w:val="auto"/>
        </w:rPr>
      </w:pPr>
    </w:p>
    <w:p w14:paraId="695B4D92">
      <w:pPr>
        <w:pStyle w:val="49"/>
        <w:rPr>
          <w:rFonts w:ascii="仿宋" w:hAnsi="仿宋" w:eastAsia="仿宋" w:cs="仿宋"/>
          <w:color w:val="auto"/>
        </w:rPr>
      </w:pPr>
    </w:p>
    <w:p w14:paraId="6005396A">
      <w:pPr>
        <w:pStyle w:val="49"/>
        <w:rPr>
          <w:rFonts w:ascii="仿宋" w:hAnsi="仿宋" w:eastAsia="仿宋" w:cs="仿宋"/>
          <w:color w:val="auto"/>
        </w:rPr>
      </w:pPr>
    </w:p>
    <w:p w14:paraId="4D29E58D">
      <w:pPr>
        <w:pStyle w:val="49"/>
        <w:rPr>
          <w:rFonts w:ascii="仿宋" w:hAnsi="仿宋" w:eastAsia="仿宋" w:cs="仿宋"/>
          <w:color w:val="auto"/>
        </w:rPr>
      </w:pPr>
      <w:r>
        <w:rPr>
          <w:rFonts w:hint="eastAsia" w:ascii="仿宋" w:hAnsi="仿宋" w:eastAsia="仿宋" w:cs="仿宋"/>
          <w:color w:val="auto"/>
        </w:rPr>
        <w:t>第四章 评审程序、评审方法和评审标准</w:t>
      </w:r>
      <w:bookmarkEnd w:id="14"/>
      <w:bookmarkEnd w:id="15"/>
    </w:p>
    <w:p w14:paraId="2F1C2A49">
      <w:pPr>
        <w:pStyle w:val="67"/>
        <w:rPr>
          <w:rFonts w:ascii="宋体" w:hAnsi="宋体" w:eastAsia="宋体" w:cs="宋体"/>
          <w:color w:val="auto"/>
        </w:rPr>
      </w:pPr>
      <w:r>
        <w:rPr>
          <w:rFonts w:hint="eastAsia" w:ascii="宋体" w:hAnsi="宋体" w:eastAsia="宋体" w:cs="宋体"/>
          <w:color w:val="auto"/>
        </w:rPr>
        <w:t>一、评审程序和评审方法</w:t>
      </w:r>
    </w:p>
    <w:p w14:paraId="27D825F0">
      <w:pPr>
        <w:pStyle w:val="68"/>
        <w:ind w:firstLine="371"/>
        <w:rPr>
          <w:rFonts w:ascii="宋体" w:hAnsi="宋体" w:eastAsia="宋体" w:cs="宋体"/>
          <w:color w:val="auto"/>
          <w:sz w:val="21"/>
          <w:szCs w:val="21"/>
        </w:rPr>
      </w:pPr>
      <w:r>
        <w:rPr>
          <w:rFonts w:hint="eastAsia" w:ascii="宋体" w:hAnsi="宋体" w:eastAsia="宋体" w:cs="宋体"/>
          <w:color w:val="auto"/>
          <w:sz w:val="21"/>
          <w:szCs w:val="21"/>
        </w:rPr>
        <w:t>1.资格审查</w:t>
      </w:r>
    </w:p>
    <w:p w14:paraId="432C2B94">
      <w:pPr>
        <w:widowControl w:val="0"/>
        <w:snapToGrid w:val="0"/>
        <w:ind w:firstLine="420"/>
        <w:jc w:val="both"/>
        <w:rPr>
          <w:rFonts w:ascii="宋体" w:hAnsi="宋体" w:eastAsia="宋体" w:cs="宋体"/>
          <w:color w:val="auto"/>
        </w:rPr>
      </w:pPr>
      <w:r>
        <w:rPr>
          <w:rFonts w:hint="eastAsia" w:ascii="宋体" w:hAnsi="宋体" w:eastAsia="宋体" w:cs="宋体"/>
          <w:color w:val="auto"/>
        </w:rPr>
        <w:t>1.1响应文件开启后，磋商小组依法对供应商的资格证明文件进行审查。</w:t>
      </w:r>
    </w:p>
    <w:p w14:paraId="328A98B2">
      <w:pPr>
        <w:widowControl w:val="0"/>
        <w:snapToGrid w:val="0"/>
        <w:ind w:firstLine="420"/>
        <w:jc w:val="both"/>
        <w:rPr>
          <w:rFonts w:ascii="宋体" w:hAnsi="宋体" w:eastAsia="宋体" w:cs="宋体"/>
          <w:color w:val="auto"/>
        </w:rPr>
      </w:pPr>
      <w:r>
        <w:rPr>
          <w:rFonts w:hint="eastAsia" w:ascii="宋体" w:hAnsi="宋体" w:eastAsia="宋体" w:cs="宋体"/>
          <w:color w:val="auto"/>
        </w:rPr>
        <w:t>注：磋商小组在资格审查结束前，对供应商进行信用查询。</w:t>
      </w:r>
    </w:p>
    <w:p w14:paraId="59FCBC8D">
      <w:pPr>
        <w:widowControl w:val="0"/>
        <w:snapToGrid w:val="0"/>
        <w:ind w:firstLine="420"/>
        <w:jc w:val="both"/>
        <w:rPr>
          <w:rFonts w:ascii="宋体" w:hAnsi="宋体" w:eastAsia="宋体" w:cs="宋体"/>
          <w:color w:val="auto"/>
        </w:rPr>
      </w:pPr>
      <w:r>
        <w:rPr>
          <w:rFonts w:hint="eastAsia" w:ascii="宋体" w:hAnsi="宋体" w:eastAsia="宋体" w:cs="宋体"/>
          <w:color w:val="auto"/>
        </w:rPr>
        <w:t>（1）查询渠道：“</w:t>
      </w:r>
      <w:r>
        <w:rPr>
          <w:rFonts w:hint="eastAsia" w:ascii="宋体" w:hAnsi="宋体" w:eastAsia="宋体" w:cs="宋体"/>
          <w:color w:val="auto"/>
          <w:lang w:eastAsia="zh-CN"/>
        </w:rPr>
        <w:t>广西政府采购云平台</w:t>
      </w:r>
      <w:r>
        <w:rPr>
          <w:rFonts w:hint="eastAsia" w:ascii="宋体" w:hAnsi="宋体" w:eastAsia="宋体" w:cs="宋体"/>
          <w:color w:val="auto"/>
        </w:rPr>
        <w:t>”平台“信用中国”网站(www.creditchina.gov.cn)、中国政府采购网(www.ccgp.gov.cn)链接入口。</w:t>
      </w:r>
    </w:p>
    <w:p w14:paraId="077547E6">
      <w:pPr>
        <w:widowControl w:val="0"/>
        <w:snapToGrid w:val="0"/>
        <w:ind w:firstLine="420"/>
        <w:jc w:val="both"/>
        <w:rPr>
          <w:rFonts w:ascii="宋体" w:hAnsi="宋体" w:eastAsia="宋体" w:cs="宋体"/>
          <w:color w:val="auto"/>
        </w:rPr>
      </w:pPr>
      <w:r>
        <w:rPr>
          <w:rFonts w:hint="eastAsia" w:ascii="宋体" w:hAnsi="宋体" w:eastAsia="宋体" w:cs="宋体"/>
          <w:color w:val="auto"/>
        </w:rPr>
        <w:t>（2）信用查询截止时点：资格审查结束前。</w:t>
      </w:r>
    </w:p>
    <w:p w14:paraId="1CF141A2">
      <w:pPr>
        <w:widowControl w:val="0"/>
        <w:snapToGrid w:val="0"/>
        <w:ind w:firstLine="420"/>
        <w:jc w:val="both"/>
        <w:rPr>
          <w:rFonts w:ascii="宋体" w:hAnsi="宋体" w:eastAsia="宋体" w:cs="宋体"/>
          <w:color w:val="auto"/>
        </w:rPr>
      </w:pPr>
      <w:r>
        <w:rPr>
          <w:rFonts w:hint="eastAsia" w:ascii="宋体" w:hAnsi="宋体" w:eastAsia="宋体" w:cs="宋体"/>
          <w:color w:val="auto"/>
        </w:rPr>
        <w:t>（3）查询记录和证据留存方式：在查询网站中直接查询，截图另存为电子文档作为评审资料保存。</w:t>
      </w:r>
    </w:p>
    <w:p w14:paraId="4640D611">
      <w:pPr>
        <w:widowControl w:val="0"/>
        <w:snapToGrid w:val="0"/>
        <w:ind w:firstLine="420"/>
        <w:jc w:val="both"/>
        <w:rPr>
          <w:rFonts w:ascii="宋体" w:hAnsi="宋体" w:eastAsia="宋体" w:cs="宋体"/>
          <w:color w:val="auto"/>
        </w:rPr>
      </w:pPr>
      <w:r>
        <w:rPr>
          <w:rFonts w:hint="eastAsia" w:ascii="宋体" w:hAnsi="宋体" w:eastAsia="宋体" w:cs="宋体"/>
          <w:color w:val="auto"/>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55CE79B8">
      <w:pPr>
        <w:widowControl w:val="0"/>
        <w:ind w:firstLine="420"/>
        <w:jc w:val="both"/>
        <w:rPr>
          <w:rFonts w:ascii="宋体" w:hAnsi="宋体" w:eastAsia="宋体" w:cs="宋体"/>
          <w:color w:val="auto"/>
        </w:rPr>
      </w:pPr>
      <w:r>
        <w:rPr>
          <w:rFonts w:hint="eastAsia" w:ascii="宋体" w:hAnsi="宋体" w:eastAsia="宋体" w:cs="宋体"/>
          <w:color w:val="auto"/>
        </w:rPr>
        <w:t>1.2资格审查标准为本磋商文件中载明对供应商资格要求的条件。资格审查采用合格制，凡符合磋商文件规定的供应商资格要求的响应文件均通过资格审查。</w:t>
      </w:r>
    </w:p>
    <w:p w14:paraId="6E444FEA">
      <w:pPr>
        <w:widowControl w:val="0"/>
        <w:ind w:firstLine="420"/>
        <w:jc w:val="both"/>
        <w:rPr>
          <w:rFonts w:ascii="宋体" w:hAnsi="宋体" w:eastAsia="宋体" w:cs="宋体"/>
          <w:color w:val="auto"/>
        </w:rPr>
      </w:pPr>
      <w:r>
        <w:rPr>
          <w:rFonts w:hint="eastAsia" w:ascii="宋体" w:hAnsi="宋体" w:eastAsia="宋体" w:cs="宋体"/>
          <w:color w:val="auto"/>
        </w:rPr>
        <w:t>1.3供应商有下列情形之一的，资格审查不通过，其响应文件按无效响应处理：</w:t>
      </w:r>
    </w:p>
    <w:p w14:paraId="225F4B11">
      <w:pPr>
        <w:snapToGrid w:val="0"/>
        <w:ind w:firstLine="420"/>
        <w:rPr>
          <w:rFonts w:ascii="宋体" w:hAnsi="宋体" w:eastAsia="宋体" w:cs="宋体"/>
          <w:color w:val="auto"/>
        </w:rPr>
      </w:pPr>
      <w:r>
        <w:rPr>
          <w:rFonts w:hint="eastAsia" w:ascii="宋体" w:hAnsi="宋体" w:eastAsia="宋体" w:cs="宋体"/>
          <w:color w:val="auto"/>
        </w:rPr>
        <w:t>（1）不具备磋商文件中规定的资格要求的；</w:t>
      </w:r>
    </w:p>
    <w:p w14:paraId="23027D88">
      <w:pPr>
        <w:snapToGrid w:val="0"/>
        <w:ind w:firstLine="420"/>
        <w:rPr>
          <w:rFonts w:ascii="宋体" w:hAnsi="宋体" w:eastAsia="宋体" w:cs="宋体"/>
          <w:color w:val="auto"/>
        </w:rPr>
      </w:pPr>
      <w:r>
        <w:rPr>
          <w:rFonts w:hint="eastAsia" w:ascii="宋体" w:hAnsi="宋体" w:eastAsia="宋体" w:cs="宋体"/>
          <w:color w:val="auto"/>
        </w:rPr>
        <w:t>（2）未按磋商文件规定的方式获取本磋商文件的供应商；</w:t>
      </w:r>
    </w:p>
    <w:p w14:paraId="19925966">
      <w:pPr>
        <w:snapToGrid w:val="0"/>
        <w:ind w:firstLine="420"/>
        <w:rPr>
          <w:rFonts w:ascii="宋体" w:hAnsi="宋体" w:eastAsia="宋体" w:cs="宋体"/>
          <w:color w:val="auto"/>
        </w:rPr>
      </w:pPr>
      <w:r>
        <w:rPr>
          <w:rFonts w:hint="eastAsia" w:ascii="宋体" w:hAnsi="宋体" w:eastAsia="宋体" w:cs="宋体"/>
          <w:color w:val="auto"/>
        </w:rPr>
        <w:t>（3）响应文件的资格证明文件缺少任一项“供应商须知前附表”资格证明文件规定的“必须提供”的文件资料的；</w:t>
      </w:r>
    </w:p>
    <w:p w14:paraId="1C442455">
      <w:pPr>
        <w:snapToGrid w:val="0"/>
        <w:ind w:firstLine="420"/>
        <w:rPr>
          <w:rFonts w:ascii="宋体" w:hAnsi="宋体" w:eastAsia="宋体" w:cs="宋体"/>
          <w:color w:val="auto"/>
        </w:rPr>
      </w:pPr>
      <w:r>
        <w:rPr>
          <w:rFonts w:hint="eastAsia" w:ascii="宋体" w:hAnsi="宋体" w:eastAsia="宋体" w:cs="宋体"/>
          <w:color w:val="auto"/>
        </w:rPr>
        <w:t>（4）响应文件中的资格证明文件出现任一项不符合“供应商须知前附表”资格证明文件规定的“必须提供”的文件资料要求或者无效的；</w:t>
      </w:r>
    </w:p>
    <w:p w14:paraId="0F055D1E">
      <w:pPr>
        <w:snapToGrid w:val="0"/>
        <w:ind w:firstLine="420"/>
        <w:rPr>
          <w:rFonts w:ascii="宋体" w:hAnsi="宋体" w:eastAsia="宋体" w:cs="宋体"/>
          <w:color w:val="auto"/>
        </w:rPr>
      </w:pPr>
      <w:r>
        <w:rPr>
          <w:rFonts w:hint="eastAsia" w:ascii="宋体" w:hAnsi="宋体" w:eastAsia="宋体" w:cs="宋体"/>
          <w:color w:val="auto"/>
        </w:rPr>
        <w:t>（5）同一合同项下的不同供应商，单位负责人为同一人或者存在直接控股、管理关系的；为本项目提供过整体设计、规范编制或者项目管理、监理、检测等服务的供应商，再参加该采购项目的其他采购活动的。</w:t>
      </w:r>
    </w:p>
    <w:p w14:paraId="10E01622">
      <w:pPr>
        <w:snapToGrid w:val="0"/>
        <w:ind w:firstLine="420"/>
        <w:rPr>
          <w:rFonts w:ascii="宋体" w:hAnsi="宋体" w:eastAsia="宋体" w:cs="宋体"/>
          <w:color w:val="auto"/>
        </w:rPr>
      </w:pPr>
      <w:r>
        <w:rPr>
          <w:rFonts w:hint="eastAsia" w:ascii="宋体" w:hAnsi="宋体" w:eastAsia="宋体" w:cs="宋体"/>
          <w:color w:val="auto"/>
        </w:rPr>
        <w:t>1.4通过资格审查的合格供应商不足3家的，不得进入符合性审查环节，采购人或者采购代理机构应当重新开展采购活动。</w:t>
      </w:r>
    </w:p>
    <w:p w14:paraId="4D948A24">
      <w:pPr>
        <w:pStyle w:val="68"/>
        <w:ind w:firstLine="371"/>
        <w:rPr>
          <w:rFonts w:ascii="宋体" w:hAnsi="宋体" w:eastAsia="宋体" w:cs="宋体"/>
          <w:color w:val="auto"/>
          <w:sz w:val="21"/>
          <w:szCs w:val="21"/>
        </w:rPr>
      </w:pPr>
      <w:r>
        <w:rPr>
          <w:rFonts w:hint="eastAsia" w:ascii="宋体" w:hAnsi="宋体" w:eastAsia="宋体" w:cs="宋体"/>
          <w:color w:val="auto"/>
          <w:sz w:val="21"/>
          <w:szCs w:val="21"/>
        </w:rPr>
        <w:t>2.符合性审查</w:t>
      </w:r>
    </w:p>
    <w:p w14:paraId="284432DB">
      <w:pPr>
        <w:widowControl w:val="0"/>
        <w:ind w:firstLine="420"/>
        <w:jc w:val="both"/>
        <w:rPr>
          <w:rFonts w:ascii="宋体" w:hAnsi="宋体" w:eastAsia="宋体" w:cs="宋体"/>
          <w:color w:val="auto"/>
        </w:rPr>
      </w:pPr>
      <w:bookmarkStart w:id="16" w:name="_Hlk42528882"/>
      <w:r>
        <w:rPr>
          <w:rFonts w:hint="eastAsia" w:ascii="宋体" w:hAnsi="宋体" w:eastAsia="宋体" w:cs="宋体"/>
          <w:color w:val="auto"/>
        </w:rPr>
        <w:t>2.1由磋商小组对通过资格审查的合格供应商的响应文件的竞标报价、商务、技术等实质性要求进行符合性审查，以确定其是否满足磋商文件的实质性要求。</w:t>
      </w:r>
    </w:p>
    <w:bookmarkEnd w:id="16"/>
    <w:p w14:paraId="6594BE05">
      <w:pPr>
        <w:widowControl w:val="0"/>
        <w:ind w:firstLine="420"/>
        <w:jc w:val="both"/>
        <w:rPr>
          <w:rFonts w:ascii="宋体" w:hAnsi="宋体" w:eastAsia="宋体" w:cs="宋体"/>
          <w:color w:val="auto"/>
        </w:rPr>
      </w:pPr>
      <w:r>
        <w:rPr>
          <w:rFonts w:hint="eastAsia" w:ascii="宋体" w:hAnsi="宋体" w:eastAsia="宋体" w:cs="宋体"/>
          <w:color w:val="auto"/>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0F3590">
      <w:pPr>
        <w:widowControl w:val="0"/>
        <w:ind w:firstLine="420"/>
        <w:jc w:val="both"/>
        <w:rPr>
          <w:rFonts w:ascii="宋体" w:hAnsi="宋体" w:eastAsia="宋体" w:cs="宋体"/>
          <w:color w:val="auto"/>
        </w:rPr>
      </w:pPr>
      <w:r>
        <w:rPr>
          <w:rFonts w:hint="eastAsia" w:ascii="宋体" w:hAnsi="宋体" w:eastAsia="宋体" w:cs="宋体"/>
          <w:color w:val="auto"/>
        </w:rPr>
        <w:t>2.3磋商小组要求供应商澄清、说明或者更正响应文件应当以电子澄清函形式作出。供应商的澄清、说明或者更正应当</w:t>
      </w:r>
      <w:r>
        <w:rPr>
          <w:rFonts w:hint="eastAsia" w:ascii="宋体" w:hAnsi="宋体" w:eastAsia="宋体" w:cs="宋体"/>
          <w:color w:val="auto"/>
          <w:lang w:eastAsia="zh-CN"/>
        </w:rPr>
        <w:t>以</w:t>
      </w:r>
      <w:r>
        <w:rPr>
          <w:rFonts w:hint="eastAsia" w:ascii="宋体" w:hAnsi="宋体" w:eastAsia="宋体" w:cs="宋体"/>
          <w:color w:val="auto"/>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7E15103F">
      <w:pPr>
        <w:widowControl w:val="0"/>
        <w:ind w:firstLine="420"/>
        <w:jc w:val="both"/>
        <w:rPr>
          <w:rFonts w:ascii="宋体" w:hAnsi="宋体" w:eastAsia="宋体" w:cs="宋体"/>
          <w:color w:val="auto"/>
        </w:rPr>
      </w:pPr>
      <w:r>
        <w:rPr>
          <w:rFonts w:hint="eastAsia" w:ascii="宋体" w:hAnsi="宋体" w:eastAsia="宋体" w:cs="宋体"/>
          <w:color w:val="auto"/>
        </w:rPr>
        <w:t>异常情况处理：如遇无法正常使用线上发送澄清函的情况，将启动书面形式办理。启动书面形式办理的情况下，磋商小组以书面形式要求供应商在规定时间内</w:t>
      </w:r>
      <w:r>
        <w:rPr>
          <w:rFonts w:hint="eastAsia" w:ascii="宋体" w:hAnsi="宋体" w:eastAsia="宋体" w:cs="宋体"/>
          <w:color w:val="auto"/>
          <w:lang w:eastAsia="zh-CN"/>
        </w:rPr>
        <w:t>做出</w:t>
      </w:r>
      <w:r>
        <w:rPr>
          <w:rFonts w:hint="eastAsia" w:ascii="宋体" w:hAnsi="宋体" w:eastAsia="宋体" w:cs="宋体"/>
          <w:color w:val="auto"/>
        </w:rPr>
        <w:t>必要的澄清、说明或者补正。供应商的澄清、说明或者补正必须采用书面形式，并加盖公章，或者由法定代表人或者其授权的代表签字。</w:t>
      </w:r>
    </w:p>
    <w:p w14:paraId="18F0DA64">
      <w:pPr>
        <w:widowControl w:val="0"/>
        <w:ind w:firstLine="396"/>
        <w:jc w:val="both"/>
        <w:rPr>
          <w:rFonts w:ascii="宋体" w:hAnsi="宋体" w:eastAsia="宋体" w:cs="宋体"/>
          <w:color w:val="auto"/>
        </w:rPr>
      </w:pPr>
      <w:r>
        <w:rPr>
          <w:rFonts w:hint="eastAsia" w:ascii="宋体" w:hAnsi="宋体" w:eastAsia="宋体" w:cs="宋体"/>
          <w:color w:val="auto"/>
          <w:spacing w:val="-6"/>
        </w:rPr>
        <w:t>2.4</w:t>
      </w:r>
      <w:r>
        <w:rPr>
          <w:rFonts w:hint="eastAsia" w:ascii="宋体" w:hAnsi="宋体" w:eastAsia="宋体" w:cs="宋体"/>
          <w:color w:val="auto"/>
        </w:rPr>
        <w:t xml:space="preserve">首次响应文件报价出现前后不一致的，按照下列规定修正： </w:t>
      </w:r>
    </w:p>
    <w:p w14:paraId="58158CDD">
      <w:pPr>
        <w:widowControl w:val="0"/>
        <w:ind w:firstLine="420"/>
        <w:jc w:val="both"/>
        <w:rPr>
          <w:rFonts w:ascii="宋体" w:hAnsi="宋体" w:eastAsia="宋体" w:cs="宋体"/>
          <w:color w:val="auto"/>
        </w:rPr>
      </w:pPr>
      <w:r>
        <w:rPr>
          <w:rFonts w:hint="eastAsia" w:ascii="宋体" w:hAnsi="宋体" w:eastAsia="宋体" w:cs="宋体"/>
          <w:color w:val="auto"/>
        </w:rPr>
        <w:t>（1）响应文件中报价表内容与响应文件中相应内容不一致的，以报价表为准；</w:t>
      </w:r>
    </w:p>
    <w:p w14:paraId="7FB9A8C9">
      <w:pPr>
        <w:widowControl w:val="0"/>
        <w:ind w:firstLine="420"/>
        <w:jc w:val="both"/>
        <w:rPr>
          <w:rFonts w:ascii="宋体" w:hAnsi="宋体" w:eastAsia="宋体" w:cs="宋体"/>
          <w:color w:val="auto"/>
        </w:rPr>
      </w:pPr>
      <w:r>
        <w:rPr>
          <w:rFonts w:hint="eastAsia" w:ascii="宋体" w:hAnsi="宋体" w:eastAsia="宋体" w:cs="宋体"/>
          <w:color w:val="auto"/>
        </w:rPr>
        <w:t>（2）大写金额和小写金额不一致的，以大写金额为准；</w:t>
      </w:r>
    </w:p>
    <w:p w14:paraId="69E08A90">
      <w:pPr>
        <w:widowControl w:val="0"/>
        <w:ind w:firstLine="420"/>
        <w:jc w:val="both"/>
        <w:rPr>
          <w:rFonts w:ascii="宋体" w:hAnsi="宋体" w:eastAsia="宋体" w:cs="宋体"/>
          <w:color w:val="auto"/>
        </w:rPr>
      </w:pPr>
      <w:r>
        <w:rPr>
          <w:rFonts w:hint="eastAsia" w:ascii="宋体" w:hAnsi="宋体" w:eastAsia="宋体" w:cs="宋体"/>
          <w:color w:val="auto"/>
        </w:rPr>
        <w:t>（3）单价金额小数点或者百分比有明显错位的，以报价表的总价为准，并修改单价；</w:t>
      </w:r>
    </w:p>
    <w:p w14:paraId="71E94960">
      <w:pPr>
        <w:widowControl w:val="0"/>
        <w:ind w:firstLine="420"/>
        <w:jc w:val="both"/>
        <w:rPr>
          <w:rFonts w:ascii="宋体" w:hAnsi="宋体" w:eastAsia="宋体" w:cs="宋体"/>
          <w:color w:val="auto"/>
        </w:rPr>
      </w:pPr>
      <w:r>
        <w:rPr>
          <w:rFonts w:hint="eastAsia" w:ascii="宋体" w:hAnsi="宋体" w:eastAsia="宋体" w:cs="宋体"/>
          <w:color w:val="auto"/>
        </w:rPr>
        <w:t>（4）总价金额与按单价汇总金额不一致的，以单价金额计算结果为准。</w:t>
      </w:r>
    </w:p>
    <w:p w14:paraId="542DCE7B">
      <w:pPr>
        <w:widowControl w:val="0"/>
        <w:ind w:firstLine="420"/>
        <w:jc w:val="both"/>
        <w:rPr>
          <w:rFonts w:ascii="宋体" w:hAnsi="宋体" w:eastAsia="宋体" w:cs="宋体"/>
          <w:color w:val="auto"/>
        </w:rPr>
      </w:pPr>
      <w:r>
        <w:rPr>
          <w:rFonts w:hint="eastAsia" w:ascii="宋体" w:hAnsi="宋体" w:eastAsia="宋体" w:cs="宋体"/>
          <w:color w:val="auto"/>
        </w:rPr>
        <w:t>同时出现两种以上不一致的，按照以上（1）-（4）规定的顺序逐条进行修正。修正后的报价经供应商确认后产生约束力，供应商不确认的，其响应文件按无效响应处理。</w:t>
      </w:r>
    </w:p>
    <w:p w14:paraId="2C55F6E3">
      <w:pPr>
        <w:widowControl w:val="0"/>
        <w:ind w:firstLine="420"/>
        <w:jc w:val="both"/>
        <w:rPr>
          <w:rFonts w:ascii="宋体" w:hAnsi="宋体" w:eastAsia="宋体" w:cs="宋体"/>
          <w:color w:val="auto"/>
        </w:rPr>
      </w:pPr>
      <w:r>
        <w:rPr>
          <w:rFonts w:hint="eastAsia" w:ascii="宋体" w:hAnsi="宋体" w:eastAsia="宋体" w:cs="宋体"/>
          <w:color w:val="auto"/>
        </w:rPr>
        <w:t>2.5商务技术报价评审</w:t>
      </w:r>
    </w:p>
    <w:p w14:paraId="0FF81BC5">
      <w:pPr>
        <w:widowControl w:val="0"/>
        <w:ind w:firstLine="420"/>
        <w:jc w:val="both"/>
        <w:rPr>
          <w:rFonts w:ascii="宋体" w:hAnsi="宋体" w:eastAsia="宋体" w:cs="宋体"/>
          <w:color w:val="auto"/>
        </w:rPr>
      </w:pPr>
      <w:r>
        <w:rPr>
          <w:rFonts w:hint="eastAsia" w:ascii="宋体" w:hAnsi="宋体" w:eastAsia="宋体" w:cs="宋体"/>
          <w:color w:val="auto"/>
        </w:rPr>
        <w:t>在评审时，如发现下列情形之一的，将被视为响应文件无效处理：</w:t>
      </w:r>
    </w:p>
    <w:p w14:paraId="548221AB">
      <w:pPr>
        <w:widowControl w:val="0"/>
        <w:ind w:firstLine="420"/>
        <w:jc w:val="both"/>
        <w:rPr>
          <w:rFonts w:ascii="宋体" w:hAnsi="宋体" w:eastAsia="宋体" w:cs="宋体"/>
          <w:color w:val="auto"/>
        </w:rPr>
      </w:pPr>
      <w:r>
        <w:rPr>
          <w:rFonts w:hint="eastAsia" w:ascii="宋体" w:hAnsi="宋体" w:eastAsia="宋体" w:cs="宋体"/>
          <w:color w:val="auto"/>
        </w:rPr>
        <w:t>（1）商务技术评审</w:t>
      </w:r>
    </w:p>
    <w:p w14:paraId="79F03F08">
      <w:pPr>
        <w:widowControl w:val="0"/>
        <w:ind w:firstLine="420"/>
        <w:jc w:val="both"/>
        <w:rPr>
          <w:rFonts w:ascii="宋体" w:hAnsi="宋体" w:eastAsia="宋体" w:cs="宋体"/>
          <w:color w:val="auto"/>
        </w:rPr>
      </w:pPr>
      <w:r>
        <w:rPr>
          <w:rFonts w:hint="eastAsia" w:ascii="宋体" w:hAnsi="宋体" w:eastAsia="宋体" w:cs="宋体"/>
          <w:color w:val="auto"/>
        </w:rPr>
        <w:t>1）响应文件未按磋商文件要求签署、盖章；</w:t>
      </w:r>
    </w:p>
    <w:p w14:paraId="2188AE8B">
      <w:pPr>
        <w:widowControl w:val="0"/>
        <w:ind w:firstLine="420"/>
        <w:jc w:val="both"/>
        <w:rPr>
          <w:rFonts w:ascii="宋体" w:hAnsi="宋体" w:eastAsia="宋体" w:cs="宋体"/>
          <w:color w:val="auto"/>
        </w:rPr>
      </w:pPr>
      <w:r>
        <w:rPr>
          <w:rFonts w:hint="eastAsia" w:ascii="宋体" w:hAnsi="宋体" w:eastAsia="宋体" w:cs="宋体"/>
          <w:color w:val="auto"/>
        </w:rPr>
        <w:t xml:space="preserve">2）委托代理人未能出具有效身份证或者出具的身份证与授权委托书中的信息不符的； </w:t>
      </w:r>
    </w:p>
    <w:p w14:paraId="021D165B">
      <w:pPr>
        <w:widowControl w:val="0"/>
        <w:ind w:firstLine="420"/>
        <w:jc w:val="both"/>
        <w:rPr>
          <w:rFonts w:ascii="宋体" w:hAnsi="宋体" w:eastAsia="宋体" w:cs="宋体"/>
          <w:color w:val="auto"/>
        </w:rPr>
      </w:pPr>
      <w:r>
        <w:rPr>
          <w:rFonts w:hint="eastAsia" w:ascii="宋体" w:hAnsi="宋体" w:eastAsia="宋体" w:cs="宋体"/>
          <w:color w:val="auto"/>
        </w:rPr>
        <w:t>3）提交的磋商保证金无效的或者未按照磋商文件的规定提交磋商保证金；</w:t>
      </w:r>
    </w:p>
    <w:p w14:paraId="56CC1C15">
      <w:pPr>
        <w:widowControl w:val="0"/>
        <w:ind w:firstLine="420"/>
        <w:jc w:val="both"/>
        <w:rPr>
          <w:rFonts w:ascii="宋体" w:hAnsi="宋体" w:eastAsia="宋体" w:cs="宋体"/>
          <w:color w:val="auto"/>
        </w:rPr>
      </w:pPr>
      <w:r>
        <w:rPr>
          <w:rFonts w:hint="eastAsia" w:ascii="宋体" w:hAnsi="宋体" w:eastAsia="宋体" w:cs="宋体"/>
          <w:color w:val="auto"/>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14EE751">
      <w:pPr>
        <w:widowControl w:val="0"/>
        <w:ind w:firstLine="420"/>
        <w:jc w:val="both"/>
        <w:rPr>
          <w:rFonts w:ascii="宋体" w:hAnsi="宋体" w:eastAsia="宋体" w:cs="宋体"/>
          <w:color w:val="auto"/>
        </w:rPr>
      </w:pPr>
      <w:r>
        <w:rPr>
          <w:rFonts w:hint="eastAsia" w:ascii="宋体" w:hAnsi="宋体" w:eastAsia="宋体" w:cs="宋体"/>
          <w:color w:val="auto"/>
        </w:rPr>
        <w:t>5）商务要求允许负偏离的条款数超过“供应商须知前附表”规定项数的；</w:t>
      </w:r>
    </w:p>
    <w:p w14:paraId="47316E4C">
      <w:pPr>
        <w:widowControl w:val="0"/>
        <w:ind w:firstLine="420"/>
        <w:jc w:val="both"/>
        <w:rPr>
          <w:rFonts w:ascii="宋体" w:hAnsi="宋体" w:eastAsia="宋体" w:cs="宋体"/>
          <w:color w:val="auto"/>
        </w:rPr>
      </w:pPr>
      <w:r>
        <w:rPr>
          <w:rFonts w:hint="eastAsia" w:ascii="宋体" w:hAnsi="宋体" w:eastAsia="宋体" w:cs="宋体"/>
          <w:color w:val="auto"/>
        </w:rPr>
        <w:t>6）未对竞标有效期作出响应或者响应文件承诺的竞标有效期不满足磋商文件要求；</w:t>
      </w:r>
    </w:p>
    <w:p w14:paraId="3D22CF83">
      <w:pPr>
        <w:widowControl w:val="0"/>
        <w:ind w:firstLine="420"/>
        <w:jc w:val="both"/>
        <w:rPr>
          <w:rFonts w:ascii="宋体" w:hAnsi="宋体" w:eastAsia="宋体" w:cs="宋体"/>
          <w:color w:val="auto"/>
        </w:rPr>
      </w:pPr>
      <w:r>
        <w:rPr>
          <w:rFonts w:hint="eastAsia" w:ascii="宋体" w:hAnsi="宋体" w:eastAsia="宋体" w:cs="宋体"/>
          <w:color w:val="auto"/>
        </w:rPr>
        <w:t>7）响应文件的实质性内容未使用中文表述、使用计量单位不符合磋商文件要求；</w:t>
      </w:r>
    </w:p>
    <w:p w14:paraId="174293F7">
      <w:pPr>
        <w:widowControl w:val="0"/>
        <w:ind w:firstLine="420"/>
        <w:jc w:val="both"/>
        <w:rPr>
          <w:rFonts w:ascii="宋体" w:hAnsi="宋体" w:eastAsia="宋体" w:cs="宋体"/>
          <w:color w:val="auto"/>
        </w:rPr>
      </w:pPr>
      <w:r>
        <w:rPr>
          <w:rFonts w:hint="eastAsia" w:ascii="宋体" w:hAnsi="宋体" w:eastAsia="宋体" w:cs="宋体"/>
          <w:color w:val="auto"/>
        </w:rPr>
        <w:t>8）响应文件中的文件资料因填写不齐全或者内容虚假或者出现其他情形而导致被磋商小组认定无效；</w:t>
      </w:r>
    </w:p>
    <w:p w14:paraId="7E52BDDC">
      <w:pPr>
        <w:widowControl w:val="0"/>
        <w:ind w:firstLine="420"/>
        <w:jc w:val="both"/>
        <w:rPr>
          <w:rFonts w:ascii="宋体" w:hAnsi="宋体" w:eastAsia="宋体" w:cs="宋体"/>
          <w:color w:val="auto"/>
        </w:rPr>
      </w:pPr>
      <w:r>
        <w:rPr>
          <w:rFonts w:hint="eastAsia" w:ascii="宋体" w:hAnsi="宋体" w:eastAsia="宋体" w:cs="宋体"/>
          <w:color w:val="auto"/>
        </w:rPr>
        <w:t>9）响应文件含有采购人不能接受的附加条件；</w:t>
      </w:r>
    </w:p>
    <w:p w14:paraId="19F157CB">
      <w:pPr>
        <w:widowControl w:val="0"/>
        <w:ind w:firstLine="420"/>
        <w:jc w:val="both"/>
        <w:rPr>
          <w:rFonts w:ascii="宋体" w:hAnsi="宋体" w:eastAsia="宋体" w:cs="宋体"/>
          <w:color w:val="auto"/>
        </w:rPr>
      </w:pPr>
      <w:r>
        <w:rPr>
          <w:rFonts w:hint="eastAsia" w:ascii="宋体" w:hAnsi="宋体" w:eastAsia="宋体" w:cs="宋体"/>
          <w:color w:val="auto"/>
        </w:rPr>
        <w:t>10）属于“供应商须知正文”第7.5条情形；</w:t>
      </w:r>
    </w:p>
    <w:p w14:paraId="59D9E46F">
      <w:pPr>
        <w:widowControl w:val="0"/>
        <w:ind w:firstLine="420"/>
        <w:jc w:val="both"/>
        <w:rPr>
          <w:rFonts w:ascii="宋体" w:hAnsi="宋体" w:eastAsia="宋体" w:cs="宋体"/>
          <w:color w:val="auto"/>
        </w:rPr>
      </w:pPr>
      <w:r>
        <w:rPr>
          <w:rFonts w:hint="eastAsia" w:ascii="宋体" w:hAnsi="宋体" w:eastAsia="宋体" w:cs="宋体"/>
          <w:color w:val="auto"/>
        </w:rPr>
        <w:t>11）技术要求允许负偏离的条款数超过“供应商须知前附表”规定项数；</w:t>
      </w:r>
    </w:p>
    <w:p w14:paraId="644CBF58">
      <w:pPr>
        <w:widowControl w:val="0"/>
        <w:ind w:firstLine="420"/>
        <w:jc w:val="both"/>
        <w:rPr>
          <w:rFonts w:ascii="宋体" w:hAnsi="宋体" w:eastAsia="宋体" w:cs="宋体"/>
          <w:color w:val="auto"/>
        </w:rPr>
      </w:pPr>
      <w:r>
        <w:rPr>
          <w:rFonts w:hint="eastAsia" w:ascii="宋体" w:hAnsi="宋体" w:eastAsia="宋体" w:cs="宋体"/>
          <w:color w:val="auto"/>
        </w:rPr>
        <w:t>12）虚假竞标，或者出现其他情形而导致被磋商小组认定无效；</w:t>
      </w:r>
    </w:p>
    <w:p w14:paraId="5A78599E">
      <w:pPr>
        <w:widowControl w:val="0"/>
        <w:ind w:firstLine="420"/>
        <w:jc w:val="both"/>
        <w:rPr>
          <w:rFonts w:ascii="宋体" w:hAnsi="宋体" w:eastAsia="宋体" w:cs="宋体"/>
          <w:color w:val="auto"/>
        </w:rPr>
      </w:pPr>
      <w:r>
        <w:rPr>
          <w:rFonts w:hint="eastAsia" w:ascii="宋体" w:hAnsi="宋体" w:eastAsia="宋体" w:cs="宋体"/>
          <w:color w:val="auto"/>
        </w:rPr>
        <w:t>13）磋商文件未载明允许提供备选（替代）竞标方案或明确不允许提供备选（替代）竞标方案时，供应商提供了备选（替代）竞标方案的；</w:t>
      </w:r>
    </w:p>
    <w:p w14:paraId="3012A2A8">
      <w:pPr>
        <w:widowControl w:val="0"/>
        <w:ind w:firstLine="420"/>
        <w:jc w:val="both"/>
        <w:rPr>
          <w:rFonts w:ascii="宋体" w:hAnsi="宋体" w:eastAsia="宋体" w:cs="宋体"/>
          <w:color w:val="auto"/>
        </w:rPr>
      </w:pPr>
      <w:r>
        <w:rPr>
          <w:rFonts w:hint="eastAsia" w:ascii="宋体" w:hAnsi="宋体" w:eastAsia="宋体" w:cs="宋体"/>
          <w:color w:val="auto"/>
        </w:rPr>
        <w:t>14）响应文件标注的项目名称或者项目编号与磋商文件标注的项目名称或者项目编号不一致的；</w:t>
      </w:r>
    </w:p>
    <w:p w14:paraId="0D86BABA">
      <w:pPr>
        <w:widowControl w:val="0"/>
        <w:ind w:firstLine="420"/>
        <w:jc w:val="both"/>
        <w:rPr>
          <w:rFonts w:ascii="宋体" w:hAnsi="宋体" w:eastAsia="宋体" w:cs="宋体"/>
          <w:color w:val="auto"/>
        </w:rPr>
      </w:pPr>
      <w:r>
        <w:rPr>
          <w:rFonts w:hint="eastAsia" w:ascii="宋体" w:hAnsi="宋体" w:eastAsia="宋体" w:cs="宋体"/>
          <w:color w:val="auto"/>
        </w:rPr>
        <w:t>15）竞争性磋商文件明确不允许分包，响应文件拟分包的；</w:t>
      </w:r>
    </w:p>
    <w:p w14:paraId="65617CAC">
      <w:pPr>
        <w:widowControl w:val="0"/>
        <w:ind w:firstLine="420"/>
        <w:jc w:val="both"/>
        <w:rPr>
          <w:rFonts w:ascii="宋体" w:hAnsi="宋体" w:eastAsia="宋体" w:cs="宋体"/>
          <w:color w:val="auto"/>
        </w:rPr>
      </w:pPr>
      <w:r>
        <w:rPr>
          <w:rFonts w:hint="eastAsia" w:ascii="宋体" w:hAnsi="宋体" w:eastAsia="宋体" w:cs="宋体"/>
          <w:color w:val="auto"/>
        </w:rPr>
        <w:t>16）未响应磋商文件实质性要求；</w:t>
      </w:r>
    </w:p>
    <w:p w14:paraId="2F4CB472">
      <w:pPr>
        <w:widowControl w:val="0"/>
        <w:ind w:firstLine="420"/>
        <w:jc w:val="both"/>
        <w:rPr>
          <w:rFonts w:ascii="宋体" w:hAnsi="宋体" w:eastAsia="宋体" w:cs="宋体"/>
          <w:color w:val="auto"/>
        </w:rPr>
      </w:pPr>
      <w:r>
        <w:rPr>
          <w:rFonts w:hint="eastAsia" w:ascii="宋体" w:hAnsi="宋体" w:eastAsia="宋体" w:cs="宋体"/>
          <w:color w:val="auto"/>
        </w:rPr>
        <w:t>17）</w:t>
      </w:r>
      <w:r>
        <w:rPr>
          <w:rFonts w:hint="eastAsia" w:ascii="宋体" w:hAnsi="宋体" w:eastAsia="宋体" w:cs="宋体"/>
          <w:color w:val="auto"/>
          <w:lang w:eastAsia="zh-CN"/>
        </w:rPr>
        <w:t>法律法规</w:t>
      </w:r>
      <w:r>
        <w:rPr>
          <w:rFonts w:hint="eastAsia" w:ascii="宋体" w:hAnsi="宋体" w:eastAsia="宋体" w:cs="宋体"/>
          <w:color w:val="auto"/>
        </w:rPr>
        <w:t>和磋商文件规定的其他无效情形。</w:t>
      </w:r>
    </w:p>
    <w:p w14:paraId="501D8357">
      <w:pPr>
        <w:widowControl w:val="0"/>
        <w:ind w:firstLine="420"/>
        <w:jc w:val="both"/>
        <w:rPr>
          <w:rFonts w:ascii="宋体" w:hAnsi="宋体" w:eastAsia="宋体" w:cs="宋体"/>
          <w:color w:val="auto"/>
        </w:rPr>
      </w:pPr>
      <w:r>
        <w:rPr>
          <w:rFonts w:hint="eastAsia" w:ascii="宋体" w:hAnsi="宋体" w:eastAsia="宋体" w:cs="宋体"/>
          <w:color w:val="auto"/>
        </w:rPr>
        <w:t>（2）报价评审</w:t>
      </w:r>
    </w:p>
    <w:p w14:paraId="3BC34608">
      <w:pPr>
        <w:widowControl w:val="0"/>
        <w:ind w:firstLine="420"/>
        <w:jc w:val="both"/>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 xml:space="preserve"> 响应文件未提供“供应商须知前附表” 报价文件中规定的“报价函、报价函附录及已标价的工程量清单”；</w:t>
      </w:r>
    </w:p>
    <w:p w14:paraId="42C4F795">
      <w:pPr>
        <w:widowControl w:val="0"/>
        <w:ind w:firstLine="420"/>
        <w:jc w:val="both"/>
        <w:rPr>
          <w:rFonts w:ascii="宋体" w:hAnsi="宋体" w:eastAsia="宋体" w:cs="宋体"/>
          <w:color w:val="auto"/>
        </w:rPr>
      </w:pPr>
      <w:r>
        <w:rPr>
          <w:rFonts w:hint="eastAsia" w:ascii="宋体" w:hAnsi="宋体" w:eastAsia="宋体" w:cs="宋体"/>
          <w:color w:val="auto"/>
        </w:rPr>
        <w:t>2）未采用人民币报价或者未按照磋商文件标明的币种报价；</w:t>
      </w:r>
    </w:p>
    <w:p w14:paraId="0156B202">
      <w:pPr>
        <w:widowControl w:val="0"/>
        <w:ind w:firstLine="420"/>
        <w:jc w:val="both"/>
        <w:rPr>
          <w:rFonts w:ascii="宋体" w:hAnsi="宋体" w:eastAsia="宋体" w:cs="宋体"/>
          <w:color w:val="auto"/>
        </w:rPr>
      </w:pPr>
      <w:r>
        <w:rPr>
          <w:rFonts w:hint="eastAsia" w:ascii="宋体" w:hAnsi="宋体" w:eastAsia="宋体" w:cs="宋体"/>
          <w:color w:val="auto"/>
        </w:rPr>
        <w:t>3）供应商未就所竞标分标进行报价或者存在漏项报价；供应商未就所竞标分标的单项内容作完整唯一报价；供应商未就所竞标分标的全部内容作唯一总价报价；供应商响应文件中存在有选择、有条件报价的（磋商文件允许有备选方案或者其他约定的除外）；</w:t>
      </w:r>
    </w:p>
    <w:p w14:paraId="62484177">
      <w:pPr>
        <w:widowControl w:val="0"/>
        <w:ind w:firstLine="420"/>
        <w:jc w:val="both"/>
        <w:rPr>
          <w:rFonts w:ascii="宋体" w:hAnsi="宋体" w:eastAsia="宋体" w:cs="宋体"/>
          <w:color w:val="auto"/>
        </w:rPr>
      </w:pPr>
      <w:r>
        <w:rPr>
          <w:rFonts w:hint="eastAsia" w:ascii="宋体" w:hAnsi="宋体" w:eastAsia="宋体" w:cs="宋体"/>
          <w:color w:val="auto"/>
        </w:rPr>
        <w:t>4）竞标报价（包含首次报价、最后报价）超过所竞标分标规定的采购预算金额或者最高限价的（如本项目公布了最高限价）；</w:t>
      </w:r>
      <w:bookmarkStart w:id="17" w:name="_Hlk42596405"/>
      <w:r>
        <w:rPr>
          <w:rFonts w:hint="eastAsia" w:ascii="宋体" w:hAnsi="宋体" w:eastAsia="宋体" w:cs="宋体"/>
          <w:color w:val="auto"/>
        </w:rPr>
        <w:t>竞标报价（包含首次报价、最后报价）</w:t>
      </w:r>
      <w:bookmarkEnd w:id="17"/>
      <w:bookmarkStart w:id="18" w:name="_Hlk42596276"/>
      <w:r>
        <w:rPr>
          <w:rFonts w:hint="eastAsia" w:ascii="宋体" w:hAnsi="宋体" w:eastAsia="宋体" w:cs="宋体"/>
          <w:color w:val="auto"/>
        </w:rPr>
        <w:t>超过磋商文件分项采购预算金额或者最高限价的</w:t>
      </w:r>
      <w:bookmarkEnd w:id="18"/>
      <w:r>
        <w:rPr>
          <w:rFonts w:hint="eastAsia" w:ascii="宋体" w:hAnsi="宋体" w:eastAsia="宋体" w:cs="宋体"/>
          <w:color w:val="auto"/>
        </w:rPr>
        <w:t>（如本项目公布了最高限价）；</w:t>
      </w:r>
    </w:p>
    <w:p w14:paraId="152A585C">
      <w:pPr>
        <w:widowControl w:val="0"/>
        <w:ind w:firstLine="420"/>
        <w:jc w:val="both"/>
        <w:rPr>
          <w:rFonts w:ascii="宋体" w:hAnsi="宋体" w:eastAsia="宋体" w:cs="宋体"/>
          <w:color w:val="auto"/>
        </w:rPr>
      </w:pPr>
      <w:r>
        <w:rPr>
          <w:rFonts w:hint="eastAsia" w:ascii="宋体" w:hAnsi="宋体" w:eastAsia="宋体" w:cs="宋体"/>
          <w:color w:val="auto"/>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3D9783F9">
      <w:pPr>
        <w:widowControl w:val="0"/>
        <w:ind w:firstLine="420"/>
        <w:jc w:val="both"/>
        <w:rPr>
          <w:rFonts w:ascii="宋体" w:hAnsi="宋体" w:eastAsia="宋体" w:cs="宋体"/>
          <w:color w:val="auto"/>
        </w:rPr>
      </w:pPr>
      <w:r>
        <w:rPr>
          <w:rFonts w:hint="eastAsia" w:ascii="宋体" w:hAnsi="宋体" w:eastAsia="宋体" w:cs="宋体"/>
          <w:color w:val="auto"/>
        </w:rPr>
        <w:t>6）响应文件响应的标的数量及单位与竞争性磋商采购文件要求实质性不一致的。</w:t>
      </w:r>
    </w:p>
    <w:p w14:paraId="73F1BE25">
      <w:pPr>
        <w:widowControl w:val="0"/>
        <w:ind w:firstLine="420"/>
        <w:jc w:val="both"/>
        <w:rPr>
          <w:rFonts w:ascii="宋体" w:hAnsi="宋体" w:eastAsia="宋体" w:cs="宋体"/>
          <w:color w:val="auto"/>
        </w:rPr>
      </w:pPr>
      <w:r>
        <w:rPr>
          <w:rFonts w:hint="eastAsia" w:ascii="宋体" w:hAnsi="宋体" w:eastAsia="宋体" w:cs="宋体"/>
          <w:color w:val="auto"/>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03C950C">
      <w:pPr>
        <w:widowControl w:val="0"/>
        <w:ind w:firstLine="420"/>
        <w:jc w:val="both"/>
        <w:rPr>
          <w:rFonts w:ascii="宋体" w:hAnsi="宋体" w:eastAsia="宋体" w:cs="宋体"/>
          <w:color w:val="auto"/>
        </w:rPr>
      </w:pPr>
      <w:r>
        <w:rPr>
          <w:rFonts w:hint="eastAsia" w:ascii="宋体" w:hAnsi="宋体" w:eastAsia="宋体" w:cs="宋体"/>
          <w:color w:val="auto"/>
        </w:rPr>
        <w:t>2.7通过符合性审查的合格供应商不足3家的，不得进入磋商环节，采购人或者采购代理机构应当重新开展采购活动。</w:t>
      </w:r>
    </w:p>
    <w:p w14:paraId="52BE296A">
      <w:pPr>
        <w:pStyle w:val="68"/>
        <w:ind w:firstLine="371"/>
        <w:rPr>
          <w:rFonts w:ascii="宋体" w:hAnsi="宋体" w:eastAsia="宋体" w:cs="宋体"/>
          <w:color w:val="auto"/>
          <w:sz w:val="21"/>
          <w:szCs w:val="21"/>
        </w:rPr>
      </w:pPr>
      <w:r>
        <w:rPr>
          <w:rFonts w:hint="eastAsia" w:ascii="宋体" w:hAnsi="宋体" w:eastAsia="宋体" w:cs="宋体"/>
          <w:color w:val="auto"/>
          <w:sz w:val="21"/>
          <w:szCs w:val="21"/>
        </w:rPr>
        <w:t>3.磋商程序</w:t>
      </w:r>
    </w:p>
    <w:p w14:paraId="44642A5C">
      <w:pPr>
        <w:widowControl w:val="0"/>
        <w:ind w:firstLine="420"/>
        <w:jc w:val="both"/>
        <w:rPr>
          <w:rFonts w:ascii="宋体" w:hAnsi="宋体" w:eastAsia="宋体" w:cs="宋体"/>
          <w:color w:val="auto"/>
          <w:kern w:val="0"/>
        </w:rPr>
      </w:pPr>
      <w:r>
        <w:rPr>
          <w:rFonts w:hint="eastAsia" w:ascii="宋体" w:hAnsi="宋体" w:eastAsia="宋体" w:cs="宋体"/>
          <w:color w:val="auto"/>
          <w:kern w:val="0"/>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5F27705">
      <w:pPr>
        <w:widowControl w:val="0"/>
        <w:ind w:firstLine="420"/>
        <w:jc w:val="both"/>
        <w:rPr>
          <w:rFonts w:ascii="宋体" w:hAnsi="宋体" w:eastAsia="宋体" w:cs="宋体"/>
          <w:color w:val="auto"/>
          <w:kern w:val="0"/>
        </w:rPr>
      </w:pPr>
      <w:r>
        <w:rPr>
          <w:rFonts w:hint="eastAsia" w:ascii="宋体" w:hAnsi="宋体" w:eastAsia="宋体" w:cs="宋体"/>
          <w:color w:val="auto"/>
          <w:kern w:val="0"/>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046508D">
      <w:pPr>
        <w:widowControl w:val="0"/>
        <w:ind w:firstLine="420"/>
        <w:jc w:val="both"/>
        <w:rPr>
          <w:rFonts w:ascii="宋体" w:hAnsi="宋体" w:eastAsia="宋体" w:cs="宋体"/>
          <w:color w:val="auto"/>
          <w:kern w:val="0"/>
        </w:rPr>
      </w:pPr>
      <w:r>
        <w:rPr>
          <w:rFonts w:hint="eastAsia" w:ascii="宋体" w:hAnsi="宋体" w:eastAsia="宋体" w:cs="宋体"/>
          <w:color w:val="auto"/>
          <w:kern w:val="0"/>
        </w:rPr>
        <w:t>3.3对磋商文件作出的实质性变动是磋商文件的有效组成部分，由磋商小组及时以电子澄清函形式同时通知所有参加磋商的供应商。</w:t>
      </w:r>
    </w:p>
    <w:p w14:paraId="2FDD3D0A">
      <w:pPr>
        <w:widowControl w:val="0"/>
        <w:ind w:firstLine="420"/>
        <w:jc w:val="both"/>
        <w:rPr>
          <w:rFonts w:ascii="宋体" w:hAnsi="宋体" w:eastAsia="宋体" w:cs="宋体"/>
          <w:color w:val="auto"/>
          <w:kern w:val="0"/>
        </w:rPr>
      </w:pPr>
      <w:r>
        <w:rPr>
          <w:rFonts w:hint="eastAsia" w:ascii="宋体" w:hAnsi="宋体" w:eastAsia="宋体" w:cs="宋体"/>
          <w:color w:val="auto"/>
          <w:kern w:val="0"/>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D1E32C1">
      <w:pPr>
        <w:widowControl w:val="0"/>
        <w:ind w:firstLine="420"/>
        <w:jc w:val="both"/>
        <w:rPr>
          <w:rFonts w:ascii="宋体" w:hAnsi="宋体" w:eastAsia="宋体" w:cs="宋体"/>
          <w:color w:val="auto"/>
          <w:kern w:val="0"/>
        </w:rPr>
      </w:pPr>
      <w:r>
        <w:rPr>
          <w:rFonts w:hint="eastAsia" w:ascii="宋体" w:hAnsi="宋体" w:eastAsia="宋体" w:cs="宋体"/>
          <w:color w:val="auto"/>
          <w:kern w:val="0"/>
        </w:rPr>
        <w:t>3.5磋商中，磋商的任何一方不得透露与磋商有关的其他供应商的技术资料、价格和其他信息。</w:t>
      </w:r>
    </w:p>
    <w:p w14:paraId="4A66F8B2">
      <w:pPr>
        <w:widowControl w:val="0"/>
        <w:ind w:firstLine="420"/>
        <w:jc w:val="both"/>
        <w:rPr>
          <w:rFonts w:ascii="宋体" w:hAnsi="宋体" w:eastAsia="宋体" w:cs="宋体"/>
          <w:color w:val="auto"/>
          <w:kern w:val="0"/>
        </w:rPr>
      </w:pPr>
      <w:r>
        <w:rPr>
          <w:rFonts w:hint="eastAsia" w:ascii="宋体" w:hAnsi="宋体" w:eastAsia="宋体" w:cs="宋体"/>
          <w:color w:val="auto"/>
          <w:kern w:val="0"/>
        </w:rPr>
        <w:t>3.6采购代理机构对磋商过程和重要磋商内容进行记录。</w:t>
      </w:r>
    </w:p>
    <w:p w14:paraId="20A194A5">
      <w:pPr>
        <w:tabs>
          <w:tab w:val="left" w:pos="540"/>
        </w:tabs>
        <w:ind w:firstLine="420"/>
        <w:rPr>
          <w:rFonts w:ascii="宋体" w:hAnsi="宋体" w:eastAsia="宋体" w:cs="宋体"/>
          <w:color w:val="auto"/>
        </w:rPr>
      </w:pPr>
      <w:r>
        <w:rPr>
          <w:rFonts w:hint="eastAsia" w:ascii="宋体" w:hAnsi="宋体" w:eastAsia="宋体" w:cs="宋体"/>
          <w:color w:val="auto"/>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C84A116">
      <w:pPr>
        <w:widowControl w:val="0"/>
        <w:tabs>
          <w:tab w:val="left" w:pos="2835"/>
        </w:tabs>
        <w:ind w:firstLine="420"/>
        <w:jc w:val="both"/>
        <w:rPr>
          <w:rFonts w:ascii="宋体" w:hAnsi="宋体" w:eastAsia="宋体" w:cs="宋体"/>
          <w:color w:val="auto"/>
        </w:rPr>
      </w:pPr>
      <w:r>
        <w:rPr>
          <w:rFonts w:hint="eastAsia" w:ascii="宋体" w:hAnsi="宋体" w:eastAsia="宋体" w:cs="宋体"/>
          <w:color w:val="auto"/>
        </w:rPr>
        <w:t>3.8对磋商过程提交的响应文件进行有效性、完整性和响应程度审查，通过审查的合格供应商不足3家的，采购人或者采购代理机构应当重新开展采购活动。</w:t>
      </w:r>
    </w:p>
    <w:p w14:paraId="0C286718">
      <w:pPr>
        <w:pStyle w:val="68"/>
        <w:ind w:firstLine="371"/>
        <w:rPr>
          <w:rFonts w:ascii="宋体" w:hAnsi="宋体" w:eastAsia="宋体" w:cs="宋体"/>
          <w:color w:val="auto"/>
          <w:sz w:val="21"/>
          <w:szCs w:val="21"/>
        </w:rPr>
      </w:pPr>
      <w:r>
        <w:rPr>
          <w:rFonts w:hint="eastAsia" w:ascii="宋体" w:hAnsi="宋体" w:eastAsia="宋体" w:cs="宋体"/>
          <w:color w:val="auto"/>
          <w:sz w:val="21"/>
          <w:szCs w:val="21"/>
        </w:rPr>
        <w:t>4.最后报价</w:t>
      </w:r>
    </w:p>
    <w:p w14:paraId="737028FE">
      <w:pPr>
        <w:ind w:firstLine="420"/>
        <w:rPr>
          <w:rFonts w:ascii="宋体" w:hAnsi="宋体" w:eastAsia="宋体" w:cs="宋体"/>
          <w:color w:val="auto"/>
        </w:rPr>
      </w:pPr>
      <w:r>
        <w:rPr>
          <w:rFonts w:hint="eastAsia" w:ascii="宋体" w:hAnsi="宋体" w:eastAsia="宋体" w:cs="宋体"/>
          <w:color w:val="auto"/>
        </w:rPr>
        <w:t>4.1磋商文件能够详细列明采购标的的技术、服务要求的，磋商结束后，磋商小组应当要求所有继续参加磋商的供应商在规定时间内在“</w:t>
      </w:r>
      <w:r>
        <w:rPr>
          <w:rFonts w:hint="eastAsia" w:ascii="宋体" w:hAnsi="宋体" w:eastAsia="宋体" w:cs="宋体"/>
          <w:color w:val="auto"/>
          <w:lang w:eastAsia="zh-CN"/>
        </w:rPr>
        <w:t>广西政府采购云平台</w:t>
      </w:r>
      <w:r>
        <w:rPr>
          <w:rFonts w:hint="eastAsia" w:ascii="宋体" w:hAnsi="宋体" w:eastAsia="宋体" w:cs="宋体"/>
          <w:color w:val="auto"/>
        </w:rPr>
        <w:t>”平台开标大厅提交最后报价，除本章第4.3条外，提交最后报价的供应商不得少于3家，否则必须重新采购。</w:t>
      </w:r>
    </w:p>
    <w:p w14:paraId="1238F1D4">
      <w:pPr>
        <w:ind w:firstLine="420"/>
        <w:rPr>
          <w:rFonts w:ascii="宋体" w:hAnsi="宋体" w:eastAsia="宋体" w:cs="宋体"/>
          <w:color w:val="auto"/>
        </w:rPr>
      </w:pPr>
      <w:r>
        <w:rPr>
          <w:rFonts w:hint="eastAsia" w:ascii="宋体" w:hAnsi="宋体" w:eastAsia="宋体" w:cs="宋体"/>
          <w:color w:val="auto"/>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eastAsia="宋体" w:cs="宋体"/>
          <w:color w:val="auto"/>
          <w:lang w:eastAsia="zh-CN"/>
        </w:rPr>
        <w:t>广西政府采购云平台</w:t>
      </w:r>
      <w:r>
        <w:rPr>
          <w:rFonts w:hint="eastAsia" w:ascii="宋体" w:hAnsi="宋体" w:eastAsia="宋体" w:cs="宋体"/>
          <w:color w:val="auto"/>
        </w:rPr>
        <w:t>”平台开标大厅提交最后报价。</w:t>
      </w:r>
    </w:p>
    <w:p w14:paraId="12287E48">
      <w:pPr>
        <w:ind w:firstLine="420"/>
        <w:rPr>
          <w:rFonts w:ascii="宋体" w:hAnsi="宋体" w:eastAsia="宋体" w:cs="宋体"/>
          <w:color w:val="auto"/>
        </w:rPr>
      </w:pPr>
      <w:r>
        <w:rPr>
          <w:rFonts w:hint="eastAsia" w:ascii="宋体" w:hAnsi="宋体" w:eastAsia="宋体" w:cs="宋体"/>
          <w:color w:val="auto"/>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14:paraId="67CF670C">
      <w:pPr>
        <w:ind w:firstLine="420"/>
        <w:rPr>
          <w:rFonts w:ascii="宋体" w:hAnsi="宋体" w:eastAsia="宋体" w:cs="宋体"/>
          <w:color w:val="auto"/>
        </w:rPr>
      </w:pPr>
      <w:r>
        <w:rPr>
          <w:rFonts w:hint="eastAsia" w:ascii="宋体" w:hAnsi="宋体" w:eastAsia="宋体" w:cs="宋体"/>
          <w:color w:val="auto"/>
        </w:rPr>
        <w:t>4.4已经提交响应文件的供应商，在提交最后报价之前，可以根据磋商情况退出磋商，退出磋商的供应商的响应文件按无效响应处理。采购人、采购代理机构将退还退出磋商的供应商的保证金。</w:t>
      </w:r>
    </w:p>
    <w:p w14:paraId="1AF6A63C">
      <w:pPr>
        <w:ind w:firstLine="420"/>
        <w:rPr>
          <w:rFonts w:ascii="宋体" w:hAnsi="宋体" w:eastAsia="宋体" w:cs="宋体"/>
          <w:color w:val="auto"/>
        </w:rPr>
      </w:pPr>
      <w:r>
        <w:rPr>
          <w:rFonts w:hint="eastAsia" w:ascii="宋体" w:hAnsi="宋体" w:eastAsia="宋体" w:cs="宋体"/>
          <w:color w:val="auto"/>
        </w:rPr>
        <w:t>4.5供应商未在规定时间内提交最后报价的，视同退出磋商，其响应文件按无效处理。</w:t>
      </w:r>
    </w:p>
    <w:p w14:paraId="37A2293D">
      <w:pPr>
        <w:ind w:firstLine="420"/>
        <w:rPr>
          <w:rFonts w:ascii="宋体" w:hAnsi="宋体" w:eastAsia="宋体" w:cs="宋体"/>
          <w:color w:val="auto"/>
        </w:rPr>
      </w:pPr>
      <w:r>
        <w:rPr>
          <w:rFonts w:hint="eastAsia" w:ascii="宋体" w:hAnsi="宋体" w:eastAsia="宋体" w:cs="宋体"/>
          <w:color w:val="auto"/>
        </w:rPr>
        <w:t>4.6最后报价统一开启后，磋商小组对最后报价进行有效性、完整性和响应程度的审查。</w:t>
      </w:r>
    </w:p>
    <w:p w14:paraId="515B5EE7">
      <w:pPr>
        <w:ind w:firstLine="420"/>
        <w:rPr>
          <w:rFonts w:ascii="宋体" w:hAnsi="宋体" w:eastAsia="宋体" w:cs="宋体"/>
          <w:color w:val="auto"/>
        </w:rPr>
      </w:pPr>
      <w:r>
        <w:rPr>
          <w:rFonts w:hint="eastAsia" w:ascii="宋体" w:hAnsi="宋体" w:eastAsia="宋体" w:cs="宋体"/>
          <w:color w:val="auto"/>
        </w:rPr>
        <w:t xml:space="preserve">4.7最后报价出现前后不一致的，按照本章第2.4条的规定修正。 </w:t>
      </w:r>
    </w:p>
    <w:p w14:paraId="3F65FD3F">
      <w:pPr>
        <w:ind w:firstLine="420"/>
        <w:rPr>
          <w:rFonts w:ascii="宋体" w:hAnsi="宋体" w:eastAsia="宋体" w:cs="宋体"/>
          <w:color w:val="auto"/>
        </w:rPr>
      </w:pPr>
      <w:r>
        <w:rPr>
          <w:rFonts w:hint="eastAsia" w:ascii="宋体" w:hAnsi="宋体" w:eastAsia="宋体" w:cs="宋体"/>
          <w:color w:val="auto"/>
        </w:rPr>
        <w:t>4.8修正后的报价出现下列情形的，按无效响应处理：</w:t>
      </w:r>
    </w:p>
    <w:p w14:paraId="7F5DC854">
      <w:pPr>
        <w:ind w:firstLine="420"/>
        <w:rPr>
          <w:rFonts w:ascii="宋体" w:hAnsi="宋体" w:eastAsia="宋体" w:cs="宋体"/>
          <w:color w:val="auto"/>
        </w:rPr>
      </w:pPr>
      <w:r>
        <w:rPr>
          <w:rFonts w:hint="eastAsia" w:ascii="宋体" w:hAnsi="宋体" w:eastAsia="宋体" w:cs="宋体"/>
          <w:color w:val="auto"/>
        </w:rPr>
        <w:t>（1）供应商不确认的（全流程电子化评标采取在线确认）；</w:t>
      </w:r>
    </w:p>
    <w:p w14:paraId="70943E74">
      <w:pPr>
        <w:ind w:firstLine="420"/>
        <w:rPr>
          <w:rFonts w:ascii="宋体" w:hAnsi="宋体" w:eastAsia="宋体" w:cs="宋体"/>
          <w:color w:val="auto"/>
        </w:rPr>
      </w:pPr>
      <w:r>
        <w:rPr>
          <w:rFonts w:hint="eastAsia" w:ascii="宋体" w:hAnsi="宋体" w:eastAsia="宋体" w:cs="宋体"/>
          <w:color w:val="auto"/>
        </w:rPr>
        <w:t>（2）经供应商确认修正后的竞标报价（包含首次报价、最后报价）超过所竞标分标规定的采购预算金额或者最高限价的（如本项目公布了最高限价）；</w:t>
      </w:r>
    </w:p>
    <w:p w14:paraId="4A7543F7">
      <w:pPr>
        <w:ind w:firstLine="420"/>
        <w:rPr>
          <w:rFonts w:ascii="宋体" w:hAnsi="宋体" w:eastAsia="宋体" w:cs="宋体"/>
          <w:color w:val="auto"/>
        </w:rPr>
      </w:pPr>
      <w:r>
        <w:rPr>
          <w:rFonts w:hint="eastAsia" w:ascii="宋体" w:hAnsi="宋体" w:eastAsia="宋体" w:cs="宋体"/>
          <w:color w:val="auto"/>
        </w:rPr>
        <w:t>（3）经供应商确认修正后的竞标报价（包含首次报价、最后报价）超过分项采购预算金额或者最高限价的（如本项目公布了最高限价）。</w:t>
      </w:r>
    </w:p>
    <w:p w14:paraId="5D3AD37F">
      <w:pPr>
        <w:ind w:firstLine="420"/>
        <w:rPr>
          <w:rFonts w:ascii="宋体" w:hAnsi="宋体" w:eastAsia="宋体" w:cs="宋体"/>
          <w:color w:val="auto"/>
        </w:rPr>
      </w:pPr>
      <w:r>
        <w:rPr>
          <w:rFonts w:hint="eastAsia" w:ascii="宋体" w:hAnsi="宋体" w:eastAsia="宋体" w:cs="宋体"/>
          <w:color w:val="auto"/>
        </w:rPr>
        <w:t>4.9经供应商确认修正后的最后报价作为评审及签订合同的依据。</w:t>
      </w:r>
    </w:p>
    <w:p w14:paraId="5E8379B6">
      <w:pPr>
        <w:ind w:firstLine="420"/>
        <w:rPr>
          <w:rFonts w:ascii="宋体" w:hAnsi="宋体" w:eastAsia="宋体" w:cs="宋体"/>
          <w:color w:val="auto"/>
        </w:rPr>
      </w:pPr>
      <w:r>
        <w:rPr>
          <w:rFonts w:hint="eastAsia" w:ascii="宋体" w:hAnsi="宋体" w:eastAsia="宋体" w:cs="宋体"/>
          <w:color w:val="auto"/>
        </w:rPr>
        <w:t>4.10供应商出现最后报价按无效响应处理或者响应文件按无效处理时，磋商小组应当告知有关供应商。</w:t>
      </w:r>
    </w:p>
    <w:p w14:paraId="09B7DA89">
      <w:pPr>
        <w:ind w:firstLine="420"/>
        <w:rPr>
          <w:rFonts w:ascii="宋体" w:hAnsi="宋体" w:eastAsia="宋体" w:cs="宋体"/>
          <w:color w:val="auto"/>
        </w:rPr>
      </w:pPr>
      <w:r>
        <w:rPr>
          <w:rFonts w:hint="eastAsia" w:ascii="宋体" w:hAnsi="宋体" w:eastAsia="宋体" w:cs="宋体"/>
          <w:color w:val="auto"/>
        </w:rPr>
        <w:t>4.11最后报价结束后，磋商小组不得再与供应商进行任何形式的商谈。</w:t>
      </w:r>
    </w:p>
    <w:p w14:paraId="3EA29968">
      <w:pPr>
        <w:pStyle w:val="68"/>
        <w:ind w:firstLine="371"/>
        <w:rPr>
          <w:rFonts w:ascii="宋体" w:hAnsi="宋体" w:eastAsia="宋体" w:cs="宋体"/>
          <w:color w:val="auto"/>
          <w:sz w:val="21"/>
          <w:szCs w:val="21"/>
        </w:rPr>
      </w:pPr>
      <w:r>
        <w:rPr>
          <w:rFonts w:hint="eastAsia" w:ascii="宋体" w:hAnsi="宋体" w:eastAsia="宋体" w:cs="宋体"/>
          <w:color w:val="auto"/>
          <w:sz w:val="21"/>
          <w:szCs w:val="21"/>
        </w:rPr>
        <w:t>5.比较与评价</w:t>
      </w:r>
    </w:p>
    <w:p w14:paraId="6074D0E9">
      <w:pPr>
        <w:widowControl w:val="0"/>
        <w:ind w:firstLine="420"/>
        <w:jc w:val="both"/>
        <w:rPr>
          <w:rFonts w:ascii="宋体" w:hAnsi="宋体" w:eastAsia="宋体" w:cs="宋体"/>
          <w:color w:val="auto"/>
        </w:rPr>
      </w:pPr>
      <w:r>
        <w:rPr>
          <w:rFonts w:hint="eastAsia" w:ascii="宋体" w:hAnsi="宋体" w:eastAsia="宋体" w:cs="宋体"/>
          <w:color w:val="auto"/>
        </w:rPr>
        <w:t>5.1评审方法：综合评分法。</w:t>
      </w:r>
    </w:p>
    <w:p w14:paraId="5185804B">
      <w:pPr>
        <w:widowControl w:val="0"/>
        <w:ind w:firstLine="420"/>
        <w:jc w:val="both"/>
        <w:rPr>
          <w:rFonts w:ascii="宋体" w:hAnsi="宋体" w:eastAsia="宋体" w:cs="宋体"/>
          <w:color w:val="auto"/>
        </w:rPr>
      </w:pPr>
      <w:r>
        <w:rPr>
          <w:rFonts w:hint="eastAsia" w:ascii="宋体" w:hAnsi="宋体" w:eastAsia="宋体" w:cs="宋体"/>
          <w:color w:val="auto"/>
        </w:rPr>
        <w:t>5.2经磋商确定最终采购需求和提交最后报价的供应商后，由磋商小组采用综合评分法对提交最后报价的供应商的响应文件和最后报价进行综合评分。</w:t>
      </w:r>
    </w:p>
    <w:p w14:paraId="211D481F">
      <w:pPr>
        <w:widowControl w:val="0"/>
        <w:ind w:firstLine="420"/>
        <w:jc w:val="both"/>
        <w:rPr>
          <w:rFonts w:ascii="宋体" w:hAnsi="宋体" w:eastAsia="宋体" w:cs="宋体"/>
          <w:color w:val="auto"/>
        </w:rPr>
      </w:pPr>
      <w:r>
        <w:rPr>
          <w:rFonts w:hint="eastAsia" w:ascii="宋体" w:hAnsi="宋体" w:eastAsia="宋体" w:cs="宋体"/>
          <w:color w:val="auto"/>
        </w:rPr>
        <w:t>5.3评审时，磋商小组各成员应当独立对每个有效响应的文件进行评价、打分，然后汇总每个供应商每项评分因素的得分。</w:t>
      </w:r>
    </w:p>
    <w:p w14:paraId="53378F47">
      <w:pPr>
        <w:widowControl w:val="0"/>
        <w:ind w:firstLine="420"/>
        <w:jc w:val="both"/>
        <w:rPr>
          <w:rFonts w:ascii="宋体" w:hAnsi="宋体" w:eastAsia="宋体" w:cs="宋体"/>
          <w:color w:val="auto"/>
        </w:rPr>
      </w:pPr>
      <w:r>
        <w:rPr>
          <w:rFonts w:hint="eastAsia" w:ascii="宋体" w:hAnsi="宋体" w:eastAsia="宋体" w:cs="宋体"/>
          <w:color w:val="auto"/>
        </w:rPr>
        <w:t>（1）磋商小组按照磋商文件中规定的评审标准计算各供应商的报价得分。项目评审过程中，不得去掉最后报价中的最高报价和最低报价。</w:t>
      </w:r>
    </w:p>
    <w:p w14:paraId="4C206658">
      <w:pPr>
        <w:widowControl w:val="0"/>
        <w:ind w:firstLine="420"/>
        <w:jc w:val="both"/>
        <w:rPr>
          <w:rFonts w:ascii="宋体" w:hAnsi="宋体" w:eastAsia="宋体" w:cs="宋体"/>
          <w:color w:val="auto"/>
        </w:rPr>
      </w:pPr>
      <w:r>
        <w:rPr>
          <w:rFonts w:hint="eastAsia" w:ascii="宋体" w:hAnsi="宋体" w:eastAsia="宋体" w:cs="宋体"/>
          <w:color w:val="auto"/>
        </w:rPr>
        <w:t>（2）各供应商的得分为磋商小组所有成员的有效评分的算术平均数。</w:t>
      </w:r>
    </w:p>
    <w:p w14:paraId="6E1A84BE">
      <w:pPr>
        <w:widowControl w:val="0"/>
        <w:ind w:firstLine="420"/>
        <w:jc w:val="both"/>
        <w:rPr>
          <w:rFonts w:ascii="宋体" w:hAnsi="宋体" w:eastAsia="宋体" w:cs="宋体"/>
          <w:color w:val="auto"/>
        </w:rPr>
      </w:pPr>
      <w:r>
        <w:rPr>
          <w:rFonts w:hint="eastAsia" w:ascii="宋体" w:hAnsi="宋体" w:eastAsia="宋体" w:cs="宋体"/>
          <w:color w:val="auto"/>
        </w:rPr>
        <w:t>5.4评审价为供应商的最后报价进行政策性扣除后的价格，评审价只是作为评审时使用。最终成交供应商的成交金额等于最后报价（如有修正，以确认修正后的最后报价为准）。</w:t>
      </w:r>
    </w:p>
    <w:p w14:paraId="59CBE27A">
      <w:pPr>
        <w:widowControl w:val="0"/>
        <w:ind w:firstLine="420"/>
        <w:jc w:val="both"/>
        <w:rPr>
          <w:rFonts w:ascii="宋体" w:hAnsi="宋体" w:eastAsia="宋体" w:cs="宋体"/>
          <w:color w:val="auto"/>
          <w:kern w:val="0"/>
        </w:rPr>
      </w:pPr>
      <w:r>
        <w:rPr>
          <w:rFonts w:hint="eastAsia" w:ascii="宋体" w:hAnsi="宋体" w:eastAsia="宋体" w:cs="宋体"/>
          <w:color w:val="auto"/>
        </w:rPr>
        <w:t>5.5由磋商小组根据综合评分情况，按照评审得分由高到低顺序推荐3名以上成交候选供应商，并编写评</w:t>
      </w:r>
      <w:r>
        <w:rPr>
          <w:rFonts w:hint="eastAsia" w:ascii="宋体" w:hAnsi="宋体" w:eastAsia="宋体" w:cs="宋体"/>
          <w:color w:val="auto"/>
          <w:kern w:val="0"/>
        </w:rPr>
        <w:t>审报告。符合本章第4.3条情形的，可以推荐2家成交候选供应商。评审得分相同的，按照最后报价由低到高的顺序推荐。评审得分且最后报价相同的，按照技术指标优劣顺序推荐。</w:t>
      </w:r>
    </w:p>
    <w:p w14:paraId="2F528332">
      <w:pPr>
        <w:widowControl w:val="0"/>
        <w:ind w:firstLine="420"/>
        <w:jc w:val="both"/>
        <w:rPr>
          <w:rFonts w:ascii="宋体" w:hAnsi="宋体" w:eastAsia="宋体" w:cs="宋体"/>
          <w:color w:val="auto"/>
        </w:rPr>
      </w:pPr>
      <w:r>
        <w:rPr>
          <w:rFonts w:hint="eastAsia" w:ascii="宋体" w:hAnsi="宋体" w:eastAsia="宋体" w:cs="宋体"/>
          <w:color w:val="auto"/>
          <w:kern w:val="0"/>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4E41CD">
      <w:pPr>
        <w:pStyle w:val="67"/>
        <w:rPr>
          <w:rFonts w:ascii="宋体" w:hAnsi="宋体" w:eastAsia="宋体" w:cs="宋体"/>
          <w:color w:val="auto"/>
          <w:sz w:val="21"/>
          <w:szCs w:val="21"/>
        </w:rPr>
      </w:pPr>
      <w:r>
        <w:rPr>
          <w:rFonts w:hint="eastAsia" w:ascii="宋体" w:hAnsi="宋体" w:eastAsia="宋体" w:cs="宋体"/>
          <w:color w:val="auto"/>
          <w:sz w:val="21"/>
          <w:szCs w:val="21"/>
        </w:rPr>
        <w:t>二、评审标准</w:t>
      </w:r>
    </w:p>
    <w:p w14:paraId="417DE967">
      <w:pPr>
        <w:pStyle w:val="68"/>
        <w:ind w:firstLine="371"/>
        <w:rPr>
          <w:rFonts w:ascii="宋体" w:hAnsi="宋体" w:eastAsia="宋体" w:cs="宋体"/>
          <w:color w:val="auto"/>
          <w:sz w:val="21"/>
          <w:szCs w:val="21"/>
        </w:rPr>
      </w:pPr>
      <w:r>
        <w:rPr>
          <w:rFonts w:hint="eastAsia" w:ascii="宋体" w:hAnsi="宋体" w:eastAsia="宋体" w:cs="宋体"/>
          <w:color w:val="auto"/>
          <w:sz w:val="21"/>
          <w:szCs w:val="21"/>
        </w:rPr>
        <w:t>6.评审依据</w:t>
      </w:r>
    </w:p>
    <w:p w14:paraId="450701F0">
      <w:pPr>
        <w:widowControl w:val="0"/>
        <w:ind w:firstLine="420"/>
        <w:jc w:val="both"/>
        <w:rPr>
          <w:rFonts w:ascii="宋体" w:hAnsi="宋体" w:eastAsia="宋体" w:cs="宋体"/>
          <w:bCs/>
          <w:color w:val="auto"/>
        </w:rPr>
      </w:pPr>
      <w:r>
        <w:rPr>
          <w:rFonts w:hint="eastAsia" w:ascii="宋体" w:hAnsi="宋体" w:eastAsia="宋体" w:cs="宋体"/>
          <w:bCs/>
          <w:color w:val="auto"/>
        </w:rPr>
        <w:t>磋商小组将以磋商响应文件为评审依据，对供应商的报价、技术、信誉及业绩等方面内容按百分制打分。（计分方法按四舍五入取至百分位）</w:t>
      </w:r>
    </w:p>
    <w:p w14:paraId="409DB379">
      <w:pPr>
        <w:ind w:firstLine="420"/>
        <w:rPr>
          <w:rFonts w:ascii="宋体" w:hAnsi="宋体" w:eastAsia="宋体" w:cs="宋体"/>
          <w:bCs/>
          <w:color w:val="auto"/>
        </w:rPr>
      </w:pPr>
      <w:r>
        <w:rPr>
          <w:rFonts w:hint="eastAsia" w:ascii="宋体" w:hAnsi="宋体" w:eastAsia="宋体" w:cs="宋体"/>
          <w:bCs/>
          <w:color w:val="auto"/>
        </w:rPr>
        <w:br w:type="page"/>
      </w:r>
    </w:p>
    <w:p w14:paraId="0042EB77">
      <w:pPr>
        <w:ind w:firstLine="420"/>
        <w:rPr>
          <w:rFonts w:ascii="宋体" w:hAnsi="宋体" w:eastAsia="宋体" w:cs="宋体"/>
          <w:bCs/>
          <w:color w:val="auto"/>
        </w:rPr>
      </w:pPr>
    </w:p>
    <w:p w14:paraId="2DB56CFE">
      <w:pPr>
        <w:pStyle w:val="22"/>
        <w:ind w:firstLine="360"/>
        <w:rPr>
          <w:color w:val="auto"/>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04"/>
        <w:gridCol w:w="6288"/>
        <w:gridCol w:w="851"/>
      </w:tblGrid>
      <w:tr w14:paraId="555B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noWrap w:val="0"/>
            <w:vAlign w:val="center"/>
          </w:tcPr>
          <w:p w14:paraId="23984851">
            <w:pPr>
              <w:widowControl/>
              <w:adjustRightInd w:val="0"/>
              <w:snapToGrid w:val="0"/>
              <w:spacing w:line="360" w:lineRule="exact"/>
              <w:ind w:firstLine="0" w:firstLineChars="0"/>
              <w:jc w:val="center"/>
              <w:rPr>
                <w:rFonts w:ascii="宋体" w:hAnsi="宋体" w:cs="Tahoma"/>
                <w:b w:val="0"/>
                <w:bCs w:val="0"/>
                <w:color w:val="000000"/>
                <w:kern w:val="0"/>
                <w:szCs w:val="21"/>
              </w:rPr>
            </w:pPr>
            <w:bookmarkStart w:id="19" w:name="_Toc76480569"/>
            <w:r>
              <w:rPr>
                <w:rFonts w:hint="eastAsia" w:ascii="宋体" w:hAnsi="宋体" w:cs="Tahoma"/>
                <w:b w:val="0"/>
                <w:bCs w:val="0"/>
                <w:color w:val="000000"/>
                <w:kern w:val="0"/>
                <w:szCs w:val="21"/>
              </w:rPr>
              <w:t>序号</w:t>
            </w:r>
          </w:p>
        </w:tc>
        <w:tc>
          <w:tcPr>
            <w:tcW w:w="1304" w:type="dxa"/>
            <w:noWrap w:val="0"/>
            <w:vAlign w:val="center"/>
          </w:tcPr>
          <w:p w14:paraId="2518568E">
            <w:pPr>
              <w:widowControl/>
              <w:adjustRightInd w:val="0"/>
              <w:snapToGrid w:val="0"/>
              <w:spacing w:line="360" w:lineRule="exact"/>
              <w:ind w:left="0" w:leftChars="0" w:firstLine="0" w:firstLineChars="0"/>
              <w:jc w:val="both"/>
              <w:rPr>
                <w:rFonts w:ascii="宋体" w:hAnsi="宋体" w:cs="Tahoma"/>
                <w:b w:val="0"/>
                <w:bCs w:val="0"/>
                <w:color w:val="000000"/>
                <w:kern w:val="0"/>
                <w:szCs w:val="21"/>
              </w:rPr>
            </w:pPr>
            <w:r>
              <w:rPr>
                <w:rFonts w:hint="eastAsia" w:ascii="宋体" w:hAnsi="宋体" w:cs="Tahoma"/>
                <w:b w:val="0"/>
                <w:bCs w:val="0"/>
                <w:color w:val="000000"/>
                <w:kern w:val="0"/>
                <w:szCs w:val="21"/>
              </w:rPr>
              <w:t>评审因素</w:t>
            </w:r>
          </w:p>
        </w:tc>
        <w:tc>
          <w:tcPr>
            <w:tcW w:w="6288" w:type="dxa"/>
            <w:noWrap w:val="0"/>
            <w:vAlign w:val="center"/>
          </w:tcPr>
          <w:p w14:paraId="0E9EC1E4">
            <w:pPr>
              <w:widowControl/>
              <w:adjustRightInd w:val="0"/>
              <w:snapToGrid w:val="0"/>
              <w:spacing w:line="360" w:lineRule="exact"/>
              <w:jc w:val="center"/>
              <w:rPr>
                <w:rFonts w:ascii="宋体" w:hAnsi="宋体" w:cs="Tahoma"/>
                <w:b w:val="0"/>
                <w:bCs w:val="0"/>
                <w:color w:val="000000"/>
                <w:kern w:val="0"/>
                <w:szCs w:val="21"/>
              </w:rPr>
            </w:pPr>
            <w:r>
              <w:rPr>
                <w:rFonts w:hint="eastAsia" w:ascii="宋体" w:hAnsi="宋体" w:cs="Tahoma"/>
                <w:b w:val="0"/>
                <w:bCs w:val="0"/>
                <w:color w:val="000000"/>
                <w:kern w:val="0"/>
                <w:szCs w:val="21"/>
              </w:rPr>
              <w:t>评审因素具体内容</w:t>
            </w:r>
          </w:p>
        </w:tc>
        <w:tc>
          <w:tcPr>
            <w:tcW w:w="851" w:type="dxa"/>
            <w:noWrap w:val="0"/>
            <w:vAlign w:val="center"/>
          </w:tcPr>
          <w:p w14:paraId="02AD665F">
            <w:pPr>
              <w:widowControl/>
              <w:adjustRightInd w:val="0"/>
              <w:snapToGrid w:val="0"/>
              <w:spacing w:line="360" w:lineRule="exact"/>
              <w:ind w:firstLine="0" w:firstLineChars="0"/>
              <w:jc w:val="both"/>
              <w:rPr>
                <w:rFonts w:ascii="宋体" w:hAnsi="宋体" w:cs="Tahoma"/>
                <w:b w:val="0"/>
                <w:bCs w:val="0"/>
                <w:color w:val="000000"/>
                <w:kern w:val="0"/>
                <w:szCs w:val="21"/>
              </w:rPr>
            </w:pPr>
            <w:r>
              <w:rPr>
                <w:rFonts w:hint="eastAsia" w:ascii="宋体" w:hAnsi="宋体" w:cs="Tahoma"/>
                <w:b w:val="0"/>
                <w:bCs w:val="0"/>
                <w:color w:val="000000"/>
                <w:kern w:val="0"/>
                <w:szCs w:val="21"/>
              </w:rPr>
              <w:t>分值</w:t>
            </w:r>
          </w:p>
        </w:tc>
      </w:tr>
      <w:tr w14:paraId="5EAF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noWrap w:val="0"/>
            <w:vAlign w:val="center"/>
          </w:tcPr>
          <w:p w14:paraId="20FD8A31">
            <w:pPr>
              <w:widowControl/>
              <w:adjustRightInd w:val="0"/>
              <w:snapToGrid w:val="0"/>
              <w:spacing w:line="360" w:lineRule="exact"/>
              <w:ind w:firstLine="0" w:firstLineChars="0"/>
              <w:jc w:val="center"/>
              <w:rPr>
                <w:rFonts w:ascii="宋体" w:hAnsi="宋体" w:cs="Tahoma"/>
                <w:b w:val="0"/>
                <w:bCs w:val="0"/>
                <w:color w:val="000000"/>
                <w:kern w:val="0"/>
                <w:szCs w:val="21"/>
              </w:rPr>
            </w:pPr>
            <w:r>
              <w:rPr>
                <w:rFonts w:hint="eastAsia" w:ascii="宋体" w:hAnsi="宋体" w:cs="Tahoma"/>
                <w:b w:val="0"/>
                <w:bCs w:val="0"/>
                <w:color w:val="000000"/>
                <w:kern w:val="0"/>
                <w:szCs w:val="21"/>
              </w:rPr>
              <w:t>1</w:t>
            </w:r>
          </w:p>
        </w:tc>
        <w:tc>
          <w:tcPr>
            <w:tcW w:w="1304" w:type="dxa"/>
            <w:noWrap w:val="0"/>
            <w:vAlign w:val="center"/>
          </w:tcPr>
          <w:p w14:paraId="416A1CE3">
            <w:pPr>
              <w:widowControl/>
              <w:adjustRightInd w:val="0"/>
              <w:snapToGrid w:val="0"/>
              <w:spacing w:line="360" w:lineRule="exact"/>
              <w:jc w:val="center"/>
              <w:rPr>
                <w:rFonts w:ascii="宋体" w:hAnsi="宋体" w:cs="Tahoma"/>
                <w:b w:val="0"/>
                <w:bCs w:val="0"/>
                <w:color w:val="000000"/>
                <w:kern w:val="0"/>
                <w:szCs w:val="21"/>
              </w:rPr>
            </w:pPr>
            <w:r>
              <w:rPr>
                <w:rFonts w:hint="eastAsia" w:ascii="宋体" w:hAnsi="宋体" w:cs="Tahoma"/>
                <w:b w:val="0"/>
                <w:bCs w:val="0"/>
                <w:color w:val="000000"/>
                <w:kern w:val="0"/>
                <w:szCs w:val="21"/>
              </w:rPr>
              <w:t>价格分</w:t>
            </w:r>
          </w:p>
        </w:tc>
        <w:tc>
          <w:tcPr>
            <w:tcW w:w="6288" w:type="dxa"/>
            <w:noWrap w:val="0"/>
            <w:vAlign w:val="top"/>
          </w:tcPr>
          <w:p w14:paraId="0A4E9C0D">
            <w:pPr>
              <w:pStyle w:val="18"/>
              <w:keepNext w:val="0"/>
              <w:keepLines w:val="0"/>
              <w:pageBreakBefore w:val="0"/>
              <w:kinsoku/>
              <w:wordWrap/>
              <w:overflowPunct/>
              <w:topLinePunct w:val="0"/>
              <w:autoSpaceDE/>
              <w:autoSpaceDN/>
              <w:bidi w:val="0"/>
              <w:spacing w:line="400" w:lineRule="exact"/>
              <w:ind w:firstLine="420" w:firstLineChars="200"/>
              <w:rPr>
                <w:rFonts w:hint="eastAsia" w:hAnsi="宋体" w:cs="宋体"/>
                <w:b w:val="0"/>
                <w:bCs w:val="0"/>
                <w:color w:val="FF0000"/>
                <w:kern w:val="2"/>
                <w:sz w:val="21"/>
                <w:highlight w:val="none"/>
              </w:rPr>
            </w:pPr>
            <w:r>
              <w:rPr>
                <w:rFonts w:hint="eastAsia" w:hAnsi="宋体" w:cs="宋体"/>
                <w:b w:val="0"/>
                <w:bCs w:val="0"/>
                <w:color w:val="auto"/>
                <w:kern w:val="2"/>
                <w:sz w:val="21"/>
                <w:highlight w:val="none"/>
                <w:lang w:eastAsia="zh-CN"/>
              </w:rPr>
              <w:t>（</w:t>
            </w:r>
            <w:r>
              <w:rPr>
                <w:rFonts w:hint="eastAsia" w:hAnsi="宋体" w:cs="宋体"/>
                <w:b w:val="0"/>
                <w:bCs w:val="0"/>
                <w:color w:val="auto"/>
                <w:kern w:val="2"/>
                <w:sz w:val="21"/>
                <w:highlight w:val="none"/>
                <w:lang w:val="en-US" w:eastAsia="zh-CN"/>
              </w:rPr>
              <w:t>1</w:t>
            </w:r>
            <w:r>
              <w:rPr>
                <w:rFonts w:hint="eastAsia" w:hAnsi="宋体" w:cs="宋体"/>
                <w:b w:val="0"/>
                <w:bCs w:val="0"/>
                <w:color w:val="auto"/>
                <w:kern w:val="2"/>
                <w:sz w:val="21"/>
                <w:highlight w:val="none"/>
                <w:lang w:eastAsia="zh-CN"/>
              </w:rPr>
              <w:t>）</w:t>
            </w:r>
            <w:r>
              <w:rPr>
                <w:rFonts w:hint="eastAsia" w:hAnsi="宋体" w:cs="宋体"/>
                <w:b w:val="0"/>
                <w:bCs w:val="0"/>
                <w:color w:val="auto"/>
                <w:kern w:val="2"/>
                <w:sz w:val="21"/>
                <w:highlight w:val="none"/>
              </w:rPr>
              <w:t>本项目为专门面向中小企业采购项目，不执行价格扣除优惠政策，评审报价＝最后报价。</w:t>
            </w:r>
          </w:p>
          <w:p w14:paraId="3BC88EE1">
            <w:pPr>
              <w:pStyle w:val="18"/>
              <w:keepNext w:val="0"/>
              <w:keepLines w:val="0"/>
              <w:pageBreakBefore w:val="0"/>
              <w:kinsoku/>
              <w:wordWrap/>
              <w:overflowPunct/>
              <w:topLinePunct w:val="0"/>
              <w:autoSpaceDE/>
              <w:autoSpaceDN/>
              <w:bidi w:val="0"/>
              <w:spacing w:line="400" w:lineRule="exact"/>
              <w:ind w:firstLine="420" w:firstLineChars="200"/>
              <w:rPr>
                <w:rFonts w:hint="eastAsia" w:hAnsi="宋体" w:cs="宋体"/>
                <w:b w:val="0"/>
                <w:bCs w:val="0"/>
                <w:color w:val="auto"/>
                <w:kern w:val="2"/>
                <w:sz w:val="21"/>
                <w:highlight w:val="none"/>
              </w:rPr>
            </w:pPr>
            <w:r>
              <w:rPr>
                <w:rFonts w:hint="eastAsia" w:hAnsi="宋体" w:cs="宋体"/>
                <w:b w:val="0"/>
                <w:bCs w:val="0"/>
                <w:color w:val="auto"/>
                <w:kern w:val="2"/>
                <w:sz w:val="21"/>
                <w:highlight w:val="none"/>
              </w:rPr>
              <w:t>（</w:t>
            </w:r>
            <w:r>
              <w:rPr>
                <w:rFonts w:hint="eastAsia" w:hAnsi="宋体" w:cs="宋体"/>
                <w:b w:val="0"/>
                <w:bCs w:val="0"/>
                <w:color w:val="auto"/>
                <w:kern w:val="2"/>
                <w:sz w:val="21"/>
                <w:highlight w:val="none"/>
                <w:lang w:val="en-US" w:eastAsia="zh-CN"/>
              </w:rPr>
              <w:t>2</w:t>
            </w:r>
            <w:r>
              <w:rPr>
                <w:rFonts w:hint="eastAsia" w:hAnsi="宋体" w:cs="宋体"/>
                <w:b w:val="0"/>
                <w:bCs w:val="0"/>
                <w:color w:val="auto"/>
                <w:kern w:val="2"/>
                <w:sz w:val="21"/>
                <w:highlight w:val="none"/>
              </w:rPr>
              <w:t>）以进入比较与评价环节的最低的评审价为基准价，基准价得分为</w:t>
            </w:r>
            <w:r>
              <w:rPr>
                <w:rFonts w:hint="eastAsia" w:hAnsi="宋体" w:cs="宋体"/>
                <w:b w:val="0"/>
                <w:bCs w:val="0"/>
                <w:color w:val="auto"/>
                <w:kern w:val="2"/>
                <w:sz w:val="21"/>
                <w:highlight w:val="none"/>
                <w:u w:val="single"/>
              </w:rPr>
              <w:t>10分</w:t>
            </w:r>
            <w:r>
              <w:rPr>
                <w:rFonts w:hint="eastAsia" w:hAnsi="宋体" w:cs="宋体"/>
                <w:b w:val="0"/>
                <w:bCs w:val="0"/>
                <w:color w:val="auto"/>
                <w:kern w:val="2"/>
                <w:sz w:val="21"/>
                <w:highlight w:val="none"/>
              </w:rPr>
              <w:t>。</w:t>
            </w:r>
          </w:p>
          <w:p w14:paraId="4B9986DF">
            <w:pPr>
              <w:pStyle w:val="18"/>
              <w:keepNext w:val="0"/>
              <w:keepLines w:val="0"/>
              <w:pageBreakBefore w:val="0"/>
              <w:kinsoku/>
              <w:wordWrap/>
              <w:overflowPunct/>
              <w:topLinePunct w:val="0"/>
              <w:autoSpaceDE/>
              <w:autoSpaceDN/>
              <w:bidi w:val="0"/>
              <w:spacing w:line="400" w:lineRule="exact"/>
              <w:ind w:firstLine="420" w:firstLineChars="200"/>
              <w:rPr>
                <w:rFonts w:hint="eastAsia" w:hAnsi="宋体" w:cs="宋体"/>
                <w:b w:val="0"/>
                <w:bCs w:val="0"/>
                <w:color w:val="auto"/>
                <w:kern w:val="2"/>
                <w:sz w:val="21"/>
                <w:highlight w:val="none"/>
              </w:rPr>
            </w:pPr>
            <w:r>
              <w:rPr>
                <w:rFonts w:hint="eastAsia" w:hAnsi="宋体" w:cs="宋体"/>
                <w:b w:val="0"/>
                <w:bCs w:val="0"/>
                <w:color w:val="auto"/>
                <w:kern w:val="2"/>
                <w:sz w:val="21"/>
                <w:highlight w:val="none"/>
              </w:rPr>
              <w:t>（</w:t>
            </w:r>
            <w:r>
              <w:rPr>
                <w:rFonts w:hint="eastAsia" w:hAnsi="宋体" w:cs="宋体"/>
                <w:b w:val="0"/>
                <w:bCs w:val="0"/>
                <w:color w:val="auto"/>
                <w:kern w:val="2"/>
                <w:sz w:val="21"/>
                <w:highlight w:val="none"/>
                <w:lang w:val="en-US" w:eastAsia="zh-CN"/>
              </w:rPr>
              <w:t>3</w:t>
            </w:r>
            <w:r>
              <w:rPr>
                <w:rFonts w:hint="eastAsia" w:hAnsi="宋体" w:cs="宋体"/>
                <w:b w:val="0"/>
                <w:bCs w:val="0"/>
                <w:color w:val="auto"/>
                <w:kern w:val="2"/>
                <w:sz w:val="21"/>
                <w:highlight w:val="none"/>
              </w:rPr>
              <w:t>）价格分计算公式：</w:t>
            </w:r>
          </w:p>
          <w:p w14:paraId="0D2BA012">
            <w:pPr>
              <w:adjustRightInd w:val="0"/>
              <w:snapToGrid w:val="0"/>
              <w:spacing w:line="400" w:lineRule="exact"/>
              <w:rPr>
                <w:rFonts w:ascii="宋体" w:hAnsi="宋体" w:cs="Courier New"/>
                <w:b w:val="0"/>
                <w:bCs w:val="0"/>
                <w:color w:val="000000"/>
                <w:szCs w:val="21"/>
              </w:rPr>
            </w:pPr>
            <w:r>
              <w:rPr>
                <w:rFonts w:hint="eastAsia" w:ascii="宋体" w:hAnsi="宋体" w:cs="宋体"/>
                <w:b w:val="0"/>
                <w:bCs w:val="0"/>
                <w:color w:val="auto"/>
                <w:highlight w:val="none"/>
              </w:rPr>
              <w:t>报价得分=（基准价/最后报价）×</w:t>
            </w:r>
            <w:r>
              <w:rPr>
                <w:rFonts w:hint="eastAsia" w:ascii="宋体" w:hAnsi="宋体" w:cs="宋体"/>
                <w:b w:val="0"/>
                <w:bCs w:val="0"/>
                <w:color w:val="auto"/>
                <w:highlight w:val="none"/>
                <w:u w:val="single"/>
              </w:rPr>
              <w:t xml:space="preserve"> 10分</w:t>
            </w:r>
          </w:p>
          <w:p w14:paraId="33BCB558">
            <w:pPr>
              <w:adjustRightInd w:val="0"/>
              <w:snapToGrid w:val="0"/>
              <w:spacing w:line="360" w:lineRule="exact"/>
              <w:rPr>
                <w:rFonts w:ascii="宋体" w:hAnsi="宋体" w:cs="Courier New"/>
                <w:b w:val="0"/>
                <w:bCs w:val="0"/>
                <w:color w:val="000000"/>
                <w:szCs w:val="21"/>
              </w:rPr>
            </w:pPr>
            <w:r>
              <w:rPr>
                <w:rFonts w:hint="eastAsia" w:ascii="宋体" w:hAnsi="宋体" w:cs="Courier New"/>
                <w:b w:val="0"/>
                <w:bCs w:val="0"/>
                <w:color w:val="000000"/>
                <w:szCs w:val="21"/>
              </w:rPr>
              <w:t>（7）价格分计算公式：报价得分=（基准价/最后报价）×</w:t>
            </w:r>
            <w:r>
              <w:rPr>
                <w:rFonts w:hint="eastAsia" w:ascii="宋体" w:hAnsi="宋体" w:cs="Courier New"/>
                <w:b w:val="0"/>
                <w:bCs w:val="0"/>
                <w:color w:val="000000"/>
                <w:szCs w:val="21"/>
                <w:lang w:val="en-US" w:eastAsia="zh-CN"/>
              </w:rPr>
              <w:t>1</w:t>
            </w:r>
            <w:r>
              <w:rPr>
                <w:rFonts w:hint="eastAsia" w:ascii="宋体" w:hAnsi="宋体" w:cs="Courier New"/>
                <w:b w:val="0"/>
                <w:bCs w:val="0"/>
                <w:color w:val="000000"/>
                <w:szCs w:val="21"/>
                <w:u w:val="single"/>
              </w:rPr>
              <w:t>0分</w:t>
            </w:r>
          </w:p>
        </w:tc>
        <w:tc>
          <w:tcPr>
            <w:tcW w:w="851" w:type="dxa"/>
            <w:noWrap w:val="0"/>
            <w:vAlign w:val="center"/>
          </w:tcPr>
          <w:p w14:paraId="6F8C0539">
            <w:pPr>
              <w:widowControl/>
              <w:adjustRightInd w:val="0"/>
              <w:snapToGrid w:val="0"/>
              <w:spacing w:line="360" w:lineRule="exact"/>
              <w:ind w:firstLine="0" w:firstLineChars="0"/>
              <w:jc w:val="center"/>
              <w:rPr>
                <w:rFonts w:ascii="宋体" w:hAnsi="宋体" w:cs="Tahoma"/>
                <w:b w:val="0"/>
                <w:bCs w:val="0"/>
                <w:color w:val="000000"/>
                <w:kern w:val="0"/>
                <w:szCs w:val="21"/>
              </w:rPr>
            </w:pPr>
            <w:r>
              <w:rPr>
                <w:rFonts w:hint="eastAsia" w:ascii="宋体" w:hAnsi="宋体" w:cs="Tahoma"/>
                <w:b w:val="0"/>
                <w:bCs w:val="0"/>
                <w:color w:val="000000"/>
                <w:kern w:val="0"/>
                <w:szCs w:val="21"/>
                <w:lang w:val="en-US" w:eastAsia="zh-CN"/>
              </w:rPr>
              <w:t>10</w:t>
            </w:r>
            <w:r>
              <w:rPr>
                <w:rFonts w:hint="eastAsia" w:ascii="宋体" w:hAnsi="宋体" w:cs="Tahoma"/>
                <w:b w:val="0"/>
                <w:bCs w:val="0"/>
                <w:color w:val="000000"/>
                <w:kern w:val="0"/>
                <w:szCs w:val="21"/>
              </w:rPr>
              <w:t>分</w:t>
            </w:r>
          </w:p>
        </w:tc>
      </w:tr>
      <w:tr w14:paraId="6F6D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noWrap w:val="0"/>
            <w:vAlign w:val="center"/>
          </w:tcPr>
          <w:p w14:paraId="3199BAF8">
            <w:pPr>
              <w:widowControl/>
              <w:adjustRightInd w:val="0"/>
              <w:snapToGrid w:val="0"/>
              <w:spacing w:line="360" w:lineRule="exact"/>
              <w:ind w:firstLine="0" w:firstLineChars="0"/>
              <w:jc w:val="center"/>
              <w:rPr>
                <w:rFonts w:ascii="宋体" w:hAnsi="宋体" w:cs="Tahoma"/>
                <w:b w:val="0"/>
                <w:bCs w:val="0"/>
                <w:color w:val="000000"/>
                <w:kern w:val="0"/>
                <w:szCs w:val="21"/>
              </w:rPr>
            </w:pPr>
            <w:r>
              <w:rPr>
                <w:rFonts w:hint="eastAsia" w:ascii="宋体" w:hAnsi="宋体"/>
                <w:b w:val="0"/>
                <w:bCs w:val="0"/>
                <w:color w:val="000000"/>
                <w:kern w:val="0"/>
                <w:szCs w:val="21"/>
              </w:rPr>
              <w:t>2</w:t>
            </w:r>
          </w:p>
        </w:tc>
        <w:tc>
          <w:tcPr>
            <w:tcW w:w="1304" w:type="dxa"/>
            <w:noWrap w:val="0"/>
            <w:vAlign w:val="center"/>
          </w:tcPr>
          <w:p w14:paraId="18C0DD51">
            <w:pPr>
              <w:widowControl/>
              <w:adjustRightInd w:val="0"/>
              <w:snapToGrid w:val="0"/>
              <w:spacing w:line="360" w:lineRule="exact"/>
              <w:jc w:val="center"/>
              <w:rPr>
                <w:rFonts w:ascii="宋体" w:hAnsi="宋体" w:cs="Tahoma"/>
                <w:b w:val="0"/>
                <w:bCs w:val="0"/>
                <w:color w:val="000000"/>
                <w:kern w:val="0"/>
                <w:szCs w:val="21"/>
              </w:rPr>
            </w:pPr>
            <w:r>
              <w:rPr>
                <w:rFonts w:hint="eastAsia" w:ascii="宋体" w:hAnsi="宋体"/>
                <w:b w:val="0"/>
                <w:bCs w:val="0"/>
                <w:color w:val="000000"/>
                <w:kern w:val="0"/>
                <w:szCs w:val="21"/>
              </w:rPr>
              <w:t>技术分</w:t>
            </w:r>
          </w:p>
        </w:tc>
        <w:tc>
          <w:tcPr>
            <w:tcW w:w="7139" w:type="dxa"/>
            <w:gridSpan w:val="2"/>
            <w:noWrap w:val="0"/>
            <w:vAlign w:val="top"/>
          </w:tcPr>
          <w:p w14:paraId="1DB17B50">
            <w:pPr>
              <w:widowControl/>
              <w:adjustRightInd w:val="0"/>
              <w:snapToGrid w:val="0"/>
              <w:spacing w:line="360" w:lineRule="exact"/>
              <w:jc w:val="center"/>
              <w:rPr>
                <w:rFonts w:ascii="宋体" w:hAnsi="宋体" w:cs="Tahoma"/>
                <w:b w:val="0"/>
                <w:bCs w:val="0"/>
                <w:color w:val="000000"/>
                <w:kern w:val="0"/>
                <w:szCs w:val="21"/>
              </w:rPr>
            </w:pPr>
            <w:r>
              <w:rPr>
                <w:rFonts w:hint="eastAsia" w:ascii="宋体" w:hAnsi="宋体" w:cs="Tahoma"/>
                <w:b w:val="0"/>
                <w:bCs w:val="0"/>
                <w:color w:val="000000"/>
                <w:kern w:val="0"/>
                <w:szCs w:val="21"/>
              </w:rPr>
              <w:t>评审因素</w:t>
            </w:r>
            <w:r>
              <w:rPr>
                <w:rFonts w:hint="eastAsia" w:ascii="宋体" w:hAnsi="宋体" w:cs="Tahoma"/>
                <w:b w:val="0"/>
                <w:bCs w:val="0"/>
                <w:color w:val="000000"/>
                <w:kern w:val="0"/>
                <w:szCs w:val="21"/>
                <w:lang w:val="en-US" w:eastAsia="zh-CN"/>
              </w:rPr>
              <w:t>5</w:t>
            </w:r>
            <w:r>
              <w:rPr>
                <w:rFonts w:hint="eastAsia" w:ascii="宋体" w:hAnsi="宋体" w:cs="Tahoma"/>
                <w:b w:val="0"/>
                <w:bCs w:val="0"/>
                <w:color w:val="000000"/>
                <w:kern w:val="0"/>
                <w:szCs w:val="21"/>
              </w:rPr>
              <w:t>5分</w:t>
            </w:r>
          </w:p>
        </w:tc>
      </w:tr>
      <w:tr w14:paraId="1C5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7" w:type="dxa"/>
            <w:noWrap w:val="0"/>
            <w:vAlign w:val="center"/>
          </w:tcPr>
          <w:p w14:paraId="4622F923">
            <w:pPr>
              <w:adjustRightInd w:val="0"/>
              <w:snapToGrid w:val="0"/>
              <w:spacing w:line="360" w:lineRule="exact"/>
              <w:ind w:left="0" w:leftChars="0" w:right="-105" w:rightChars="-50" w:firstLine="0" w:firstLineChars="0"/>
              <w:jc w:val="center"/>
              <w:textAlignment w:val="baseline"/>
              <w:rPr>
                <w:rFonts w:ascii="宋体" w:hAnsi="宋体"/>
                <w:b w:val="0"/>
                <w:bCs w:val="0"/>
                <w:color w:val="000000"/>
                <w:kern w:val="0"/>
                <w:szCs w:val="21"/>
              </w:rPr>
            </w:pPr>
            <w:r>
              <w:rPr>
                <w:rFonts w:hint="eastAsia" w:ascii="宋体" w:hAnsi="宋体"/>
                <w:b w:val="0"/>
                <w:bCs w:val="0"/>
                <w:color w:val="000000"/>
                <w:kern w:val="0"/>
                <w:szCs w:val="21"/>
              </w:rPr>
              <w:t>2</w:t>
            </w:r>
            <w:r>
              <w:rPr>
                <w:rFonts w:ascii="宋体" w:hAnsi="宋体"/>
                <w:b w:val="0"/>
                <w:bCs w:val="0"/>
                <w:color w:val="000000"/>
                <w:kern w:val="0"/>
                <w:szCs w:val="21"/>
              </w:rPr>
              <w:t>.1</w:t>
            </w:r>
          </w:p>
        </w:tc>
        <w:tc>
          <w:tcPr>
            <w:tcW w:w="1304" w:type="dxa"/>
            <w:noWrap w:val="0"/>
            <w:vAlign w:val="center"/>
          </w:tcPr>
          <w:p w14:paraId="167A7229">
            <w:pPr>
              <w:adjustRightInd w:val="0"/>
              <w:snapToGrid w:val="0"/>
              <w:spacing w:line="360" w:lineRule="exact"/>
              <w:ind w:firstLine="0" w:firstLineChars="0"/>
              <w:jc w:val="center"/>
              <w:textAlignment w:val="baseline"/>
              <w:rPr>
                <w:rFonts w:ascii="宋体" w:hAnsi="宋体"/>
                <w:b w:val="0"/>
                <w:bCs w:val="0"/>
                <w:color w:val="000000"/>
                <w:kern w:val="0"/>
                <w:szCs w:val="21"/>
              </w:rPr>
            </w:pPr>
            <w:r>
              <w:rPr>
                <w:rFonts w:hint="eastAsia" w:ascii="宋体" w:hAnsi="宋体"/>
                <w:b w:val="0"/>
                <w:bCs w:val="0"/>
                <w:color w:val="000000"/>
                <w:kern w:val="0"/>
                <w:szCs w:val="21"/>
              </w:rPr>
              <w:t>实施组织方案分</w:t>
            </w:r>
          </w:p>
        </w:tc>
        <w:tc>
          <w:tcPr>
            <w:tcW w:w="6288" w:type="dxa"/>
            <w:noWrap w:val="0"/>
            <w:vAlign w:val="center"/>
          </w:tcPr>
          <w:p w14:paraId="54687322">
            <w:pPr>
              <w:widowControl/>
              <w:spacing w:line="416" w:lineRule="exact"/>
              <w:ind w:firstLine="420" w:firstLineChars="200"/>
              <w:rPr>
                <w:rFonts w:hint="eastAsia" w:ascii="宋体" w:hAnsi="宋体"/>
                <w:b w:val="0"/>
                <w:bCs w:val="0"/>
                <w:color w:val="000000"/>
                <w:kern w:val="0"/>
                <w:szCs w:val="21"/>
              </w:rPr>
            </w:pPr>
            <w:r>
              <w:rPr>
                <w:rFonts w:hint="eastAsia" w:ascii="宋体" w:hAnsi="宋体"/>
                <w:b w:val="0"/>
                <w:bCs w:val="0"/>
                <w:color w:val="000000"/>
                <w:kern w:val="0"/>
                <w:szCs w:val="21"/>
              </w:rPr>
              <w:t>一档（</w:t>
            </w:r>
            <w:r>
              <w:rPr>
                <w:rFonts w:hint="eastAsia" w:ascii="宋体" w:hAnsi="宋体"/>
                <w:b w:val="0"/>
                <w:bCs w:val="0"/>
                <w:color w:val="000000"/>
                <w:kern w:val="0"/>
                <w:szCs w:val="21"/>
                <w:lang w:val="en-US" w:eastAsia="zh-CN"/>
              </w:rPr>
              <w:t>4</w:t>
            </w:r>
            <w:r>
              <w:rPr>
                <w:rFonts w:hint="eastAsia" w:ascii="宋体" w:hAnsi="宋体"/>
                <w:b w:val="0"/>
                <w:bCs w:val="0"/>
                <w:color w:val="000000"/>
                <w:kern w:val="0"/>
                <w:szCs w:val="21"/>
              </w:rPr>
              <w:t>分）：有项目执行组织措施、项目执行保障措施；实施组织方案（如拟采取的管理方式、工作计划和物资装备等方面）总体内容简单，不具体。</w:t>
            </w:r>
          </w:p>
          <w:p w14:paraId="1319A4D4">
            <w:pPr>
              <w:widowControl/>
              <w:spacing w:line="416" w:lineRule="exact"/>
              <w:ind w:firstLine="420" w:firstLineChars="200"/>
              <w:rPr>
                <w:rFonts w:hint="eastAsia" w:ascii="宋体" w:hAnsi="宋体"/>
                <w:b w:val="0"/>
                <w:bCs w:val="0"/>
                <w:color w:val="000000"/>
                <w:kern w:val="0"/>
                <w:szCs w:val="21"/>
              </w:rPr>
            </w:pPr>
            <w:r>
              <w:rPr>
                <w:rFonts w:hint="eastAsia" w:ascii="宋体" w:hAnsi="宋体"/>
                <w:b w:val="0"/>
                <w:bCs w:val="0"/>
                <w:color w:val="000000"/>
                <w:kern w:val="0"/>
                <w:szCs w:val="21"/>
              </w:rPr>
              <w:t>二档（</w:t>
            </w:r>
            <w:r>
              <w:rPr>
                <w:rFonts w:hint="eastAsia" w:ascii="宋体" w:hAnsi="宋体"/>
                <w:b w:val="0"/>
                <w:bCs w:val="0"/>
                <w:color w:val="000000"/>
                <w:kern w:val="0"/>
                <w:szCs w:val="21"/>
                <w:lang w:val="en-US" w:eastAsia="zh-CN"/>
              </w:rPr>
              <w:t>8</w:t>
            </w:r>
            <w:r>
              <w:rPr>
                <w:rFonts w:hint="eastAsia" w:ascii="宋体" w:hAnsi="宋体"/>
                <w:b w:val="0"/>
                <w:bCs w:val="0"/>
                <w:color w:val="000000"/>
                <w:kern w:val="0"/>
                <w:szCs w:val="21"/>
              </w:rPr>
              <w:t>分）：项目执行组织措施、项目执行保障措施详细可行且有针对性，实施组织方案（如拟采取的管理方式、工作计划和物资装备等方面）描述全面、较为可行。</w:t>
            </w:r>
          </w:p>
          <w:p w14:paraId="32F280FF">
            <w:pPr>
              <w:widowControl/>
              <w:spacing w:line="416" w:lineRule="exact"/>
              <w:ind w:firstLine="420" w:firstLineChars="200"/>
              <w:rPr>
                <w:rFonts w:hint="eastAsia" w:ascii="宋体" w:hAnsi="宋体"/>
                <w:b w:val="0"/>
                <w:bCs w:val="0"/>
                <w:color w:val="000000"/>
                <w:kern w:val="0"/>
                <w:szCs w:val="21"/>
              </w:rPr>
            </w:pPr>
            <w:r>
              <w:rPr>
                <w:rFonts w:hint="eastAsia" w:ascii="宋体" w:hAnsi="宋体"/>
                <w:b w:val="0"/>
                <w:bCs w:val="0"/>
                <w:color w:val="000000"/>
                <w:kern w:val="0"/>
                <w:szCs w:val="21"/>
              </w:rPr>
              <w:t>三档（</w:t>
            </w:r>
            <w:r>
              <w:rPr>
                <w:rFonts w:hint="eastAsia" w:ascii="宋体" w:hAnsi="宋体"/>
                <w:b w:val="0"/>
                <w:bCs w:val="0"/>
                <w:color w:val="000000"/>
                <w:kern w:val="0"/>
                <w:szCs w:val="21"/>
                <w:lang w:val="en-US" w:eastAsia="zh-CN"/>
              </w:rPr>
              <w:t>12</w:t>
            </w:r>
            <w:r>
              <w:rPr>
                <w:rFonts w:hint="eastAsia" w:ascii="宋体" w:hAnsi="宋体"/>
                <w:b w:val="0"/>
                <w:bCs w:val="0"/>
                <w:color w:val="000000"/>
                <w:kern w:val="0"/>
                <w:szCs w:val="21"/>
              </w:rPr>
              <w:t>分）：项目执行组织措施、项目执行保障措施详细可行且有针对性、熟悉项目流程及业务，实施组织方案（如拟采取的管理方式、工作计划和物资装备等方面）描述全面、合理，有实际性保障内容、切实可行。</w:t>
            </w:r>
          </w:p>
          <w:p w14:paraId="41C81004">
            <w:pPr>
              <w:widowControl/>
              <w:spacing w:line="416" w:lineRule="exact"/>
              <w:ind w:firstLine="420" w:firstLineChars="200"/>
              <w:rPr>
                <w:rFonts w:ascii="宋体" w:hAnsi="宋体" w:cs="SimSun-Identity-H"/>
                <w:b w:val="0"/>
                <w:bCs w:val="0"/>
                <w:color w:val="000000"/>
                <w:kern w:val="0"/>
                <w:szCs w:val="21"/>
              </w:rPr>
            </w:pPr>
            <w:r>
              <w:rPr>
                <w:rFonts w:hint="eastAsia" w:ascii="宋体" w:hAnsi="宋体"/>
                <w:b w:val="0"/>
                <w:bCs w:val="0"/>
                <w:color w:val="000000"/>
                <w:kern w:val="0"/>
                <w:szCs w:val="21"/>
              </w:rPr>
              <w:t>一档、二档、三档不重复计分，由评委根据各投标人的实施组织方案内容，在相应内容档次内独立打分。不满足进档要求的，得0分。</w:t>
            </w:r>
          </w:p>
        </w:tc>
        <w:tc>
          <w:tcPr>
            <w:tcW w:w="851" w:type="dxa"/>
            <w:noWrap w:val="0"/>
            <w:vAlign w:val="center"/>
          </w:tcPr>
          <w:p w14:paraId="478DAA71">
            <w:pPr>
              <w:adjustRightInd w:val="0"/>
              <w:snapToGrid w:val="0"/>
              <w:spacing w:line="360" w:lineRule="exact"/>
              <w:ind w:firstLine="0" w:firstLineChars="0"/>
              <w:jc w:val="center"/>
              <w:rPr>
                <w:rFonts w:ascii="宋体" w:hAnsi="宋体" w:cs="Tahoma"/>
                <w:b w:val="0"/>
                <w:bCs w:val="0"/>
                <w:color w:val="000000"/>
                <w:kern w:val="0"/>
                <w:szCs w:val="21"/>
              </w:rPr>
            </w:pPr>
            <w:r>
              <w:rPr>
                <w:rFonts w:hint="eastAsia" w:ascii="宋体" w:hAnsi="宋体" w:cs="Tahoma"/>
                <w:b w:val="0"/>
                <w:bCs w:val="0"/>
                <w:color w:val="000000"/>
                <w:kern w:val="0"/>
                <w:szCs w:val="21"/>
                <w:lang w:val="en-US" w:eastAsia="zh-CN"/>
              </w:rPr>
              <w:t>12</w:t>
            </w:r>
            <w:r>
              <w:rPr>
                <w:rFonts w:hint="eastAsia" w:ascii="宋体" w:hAnsi="宋体" w:cs="Tahoma"/>
                <w:b w:val="0"/>
                <w:bCs w:val="0"/>
                <w:color w:val="000000"/>
                <w:kern w:val="0"/>
                <w:szCs w:val="21"/>
              </w:rPr>
              <w:t>分</w:t>
            </w:r>
          </w:p>
        </w:tc>
      </w:tr>
      <w:tr w14:paraId="1CC6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47" w:type="dxa"/>
            <w:noWrap w:val="0"/>
            <w:vAlign w:val="center"/>
          </w:tcPr>
          <w:p w14:paraId="04EF251D">
            <w:pPr>
              <w:adjustRightInd w:val="0"/>
              <w:snapToGrid w:val="0"/>
              <w:spacing w:line="360" w:lineRule="exact"/>
              <w:ind w:left="0" w:leftChars="0" w:right="-105" w:rightChars="-50" w:firstLine="0" w:firstLineChars="0"/>
              <w:jc w:val="center"/>
              <w:textAlignment w:val="baseline"/>
              <w:rPr>
                <w:rFonts w:ascii="宋体" w:hAnsi="宋体"/>
                <w:bCs/>
                <w:color w:val="000000"/>
                <w:kern w:val="0"/>
                <w:szCs w:val="21"/>
              </w:rPr>
            </w:pPr>
            <w:r>
              <w:rPr>
                <w:rFonts w:hint="eastAsia" w:ascii="宋体" w:hAnsi="宋体"/>
                <w:bCs/>
                <w:color w:val="000000"/>
                <w:kern w:val="0"/>
                <w:szCs w:val="21"/>
              </w:rPr>
              <w:t>2.2</w:t>
            </w:r>
          </w:p>
        </w:tc>
        <w:tc>
          <w:tcPr>
            <w:tcW w:w="1304" w:type="dxa"/>
            <w:noWrap w:val="0"/>
            <w:vAlign w:val="center"/>
          </w:tcPr>
          <w:p w14:paraId="5B602AE0">
            <w:pPr>
              <w:adjustRightInd w:val="0"/>
              <w:snapToGrid w:val="0"/>
              <w:spacing w:line="360" w:lineRule="exact"/>
              <w:ind w:firstLine="0" w:firstLineChars="0"/>
              <w:jc w:val="center"/>
              <w:textAlignment w:val="baseline"/>
              <w:rPr>
                <w:rFonts w:ascii="宋体" w:hAnsi="宋体"/>
                <w:bCs/>
                <w:color w:val="000000"/>
                <w:kern w:val="0"/>
                <w:szCs w:val="21"/>
              </w:rPr>
            </w:pPr>
            <w:r>
              <w:rPr>
                <w:rFonts w:hint="eastAsia" w:ascii="宋体" w:hAnsi="宋体"/>
                <w:bCs/>
                <w:color w:val="000000"/>
                <w:kern w:val="0"/>
                <w:szCs w:val="21"/>
              </w:rPr>
              <w:t>服务方案分</w:t>
            </w:r>
          </w:p>
        </w:tc>
        <w:tc>
          <w:tcPr>
            <w:tcW w:w="6288" w:type="dxa"/>
            <w:noWrap w:val="0"/>
            <w:vAlign w:val="center"/>
          </w:tcPr>
          <w:p w14:paraId="358E262D">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一档（</w:t>
            </w:r>
            <w:r>
              <w:rPr>
                <w:rFonts w:hint="eastAsia" w:ascii="宋体" w:hAnsi="宋体"/>
                <w:color w:val="000000"/>
                <w:kern w:val="0"/>
                <w:szCs w:val="21"/>
                <w:lang w:val="en-US" w:eastAsia="zh-CN"/>
              </w:rPr>
              <w:t>4</w:t>
            </w:r>
            <w:r>
              <w:rPr>
                <w:rFonts w:hint="eastAsia" w:ascii="宋体" w:hAnsi="宋体"/>
                <w:color w:val="000000"/>
                <w:kern w:val="0"/>
                <w:szCs w:val="21"/>
              </w:rPr>
              <w:t>分）：提供有服务方案，方案包含有项目人员组成、人员培训、管理制度、应急保障方案、年度费用预算方案（含人员工资预算方案等）等，内容简单，不够详细。</w:t>
            </w:r>
          </w:p>
          <w:p w14:paraId="276D2B72">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二档（</w:t>
            </w:r>
            <w:r>
              <w:rPr>
                <w:rFonts w:hint="eastAsia" w:ascii="宋体" w:hAnsi="宋体"/>
                <w:color w:val="000000"/>
                <w:kern w:val="0"/>
                <w:szCs w:val="21"/>
                <w:lang w:val="en-US" w:eastAsia="zh-CN"/>
              </w:rPr>
              <w:t>8</w:t>
            </w:r>
            <w:r>
              <w:rPr>
                <w:rFonts w:hint="eastAsia" w:ascii="宋体" w:hAnsi="宋体"/>
                <w:color w:val="000000"/>
                <w:kern w:val="0"/>
                <w:szCs w:val="21"/>
              </w:rPr>
              <w:t>分）：服务方案有针对性，方案包含有项目人员组成、人员培训、管理制度、应急保障方案、年度费用预算方案（含人员工资预算方案等）、保密承诺及廉洁承诺文件等，方案详细，具有可行性、操作性。</w:t>
            </w:r>
          </w:p>
          <w:p w14:paraId="607477C1">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三档（</w:t>
            </w:r>
            <w:r>
              <w:rPr>
                <w:rFonts w:hint="eastAsia" w:ascii="宋体" w:hAnsi="宋体"/>
                <w:color w:val="000000"/>
                <w:kern w:val="0"/>
                <w:szCs w:val="21"/>
                <w:lang w:val="en-US" w:eastAsia="zh-CN"/>
              </w:rPr>
              <w:t>12</w:t>
            </w:r>
            <w:r>
              <w:rPr>
                <w:rFonts w:hint="eastAsia" w:ascii="宋体" w:hAnsi="宋体"/>
                <w:color w:val="000000"/>
                <w:kern w:val="0"/>
                <w:szCs w:val="21"/>
              </w:rPr>
              <w:t>分）：服务方案有针对性，方案包含有项目人员组成、人员培训、管理制度、应急保障方案、年度费用预算方案（含人员工资预算方案等）、保密承诺及廉洁承诺等，服务方案和保障措施详细、考虑周全完整、具有较强可行性、操作性，有特色的服务方式，有额外优惠服务，对采购人有实质性帮助内容。</w:t>
            </w:r>
          </w:p>
          <w:p w14:paraId="74459030">
            <w:pPr>
              <w:widowControl/>
              <w:spacing w:line="416" w:lineRule="exact"/>
              <w:ind w:firstLine="420" w:firstLineChars="200"/>
              <w:rPr>
                <w:rFonts w:ascii="宋体" w:hAnsi="宋体" w:cs="宋体"/>
                <w:b/>
                <w:bCs/>
                <w:color w:val="000000"/>
                <w:kern w:val="1"/>
                <w:szCs w:val="21"/>
              </w:rPr>
            </w:pPr>
            <w:r>
              <w:rPr>
                <w:rFonts w:hint="eastAsia" w:ascii="宋体" w:hAnsi="宋体"/>
                <w:color w:val="000000"/>
                <w:kern w:val="0"/>
                <w:szCs w:val="21"/>
              </w:rPr>
              <w:t>一档、二档、三档不重复计分，由评委根据各投标人的服务方案内容，在相应内容档次内独立打分。不满足进档要求的，得0分。</w:t>
            </w:r>
          </w:p>
        </w:tc>
        <w:tc>
          <w:tcPr>
            <w:tcW w:w="851" w:type="dxa"/>
            <w:noWrap w:val="0"/>
            <w:vAlign w:val="center"/>
          </w:tcPr>
          <w:p w14:paraId="0BF85931">
            <w:pPr>
              <w:adjustRightInd w:val="0"/>
              <w:snapToGrid w:val="0"/>
              <w:spacing w:line="360" w:lineRule="exact"/>
              <w:ind w:firstLine="0" w:firstLineChars="0"/>
              <w:jc w:val="center"/>
              <w:rPr>
                <w:rFonts w:ascii="宋体" w:hAnsi="宋体" w:cs="Tahoma"/>
                <w:color w:val="000000"/>
                <w:kern w:val="0"/>
                <w:szCs w:val="21"/>
              </w:rPr>
            </w:pPr>
            <w:r>
              <w:rPr>
                <w:rFonts w:hint="eastAsia" w:ascii="宋体" w:hAnsi="宋体" w:cs="Tahoma"/>
                <w:color w:val="000000"/>
                <w:kern w:val="0"/>
                <w:szCs w:val="21"/>
                <w:lang w:val="en-US" w:eastAsia="zh-CN"/>
              </w:rPr>
              <w:t>12</w:t>
            </w:r>
            <w:r>
              <w:rPr>
                <w:rFonts w:hint="eastAsia" w:ascii="宋体" w:hAnsi="宋体" w:cs="Tahoma"/>
                <w:color w:val="000000"/>
                <w:kern w:val="0"/>
                <w:szCs w:val="21"/>
              </w:rPr>
              <w:t>分</w:t>
            </w:r>
          </w:p>
        </w:tc>
      </w:tr>
      <w:tr w14:paraId="6E6B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47" w:type="dxa"/>
            <w:noWrap w:val="0"/>
            <w:vAlign w:val="center"/>
          </w:tcPr>
          <w:p w14:paraId="1E96CEC6">
            <w:pPr>
              <w:adjustRightInd w:val="0"/>
              <w:snapToGrid w:val="0"/>
              <w:spacing w:line="360" w:lineRule="exact"/>
              <w:ind w:left="0" w:leftChars="0" w:right="-105" w:rightChars="-50" w:firstLine="0" w:firstLineChars="0"/>
              <w:jc w:val="center"/>
              <w:textAlignment w:val="baseline"/>
              <w:rPr>
                <w:rFonts w:ascii="宋体" w:hAnsi="宋体"/>
                <w:bCs/>
                <w:color w:val="000000"/>
                <w:kern w:val="0"/>
                <w:szCs w:val="21"/>
              </w:rPr>
            </w:pPr>
            <w:r>
              <w:rPr>
                <w:rFonts w:hint="eastAsia" w:ascii="宋体" w:hAnsi="宋体"/>
                <w:bCs/>
                <w:color w:val="000000"/>
                <w:kern w:val="0"/>
                <w:szCs w:val="21"/>
              </w:rPr>
              <w:t>2.3</w:t>
            </w:r>
          </w:p>
        </w:tc>
        <w:tc>
          <w:tcPr>
            <w:tcW w:w="1304" w:type="dxa"/>
            <w:noWrap w:val="0"/>
            <w:vAlign w:val="center"/>
          </w:tcPr>
          <w:p w14:paraId="0B43734F">
            <w:pPr>
              <w:adjustRightInd w:val="0"/>
              <w:snapToGrid w:val="0"/>
              <w:spacing w:line="360" w:lineRule="exact"/>
              <w:ind w:left="0" w:leftChars="0" w:firstLine="0" w:firstLineChars="0"/>
              <w:jc w:val="center"/>
              <w:textAlignment w:val="baseline"/>
              <w:rPr>
                <w:rFonts w:hint="eastAsia" w:ascii="宋体" w:hAnsi="宋体"/>
                <w:bCs/>
                <w:color w:val="000000"/>
                <w:kern w:val="0"/>
                <w:szCs w:val="21"/>
              </w:rPr>
            </w:pPr>
            <w:r>
              <w:rPr>
                <w:rFonts w:hint="eastAsia" w:ascii="宋体" w:hAnsi="宋体"/>
                <w:color w:val="000000"/>
                <w:kern w:val="0"/>
                <w:szCs w:val="21"/>
              </w:rPr>
              <w:t>服务承诺分</w:t>
            </w:r>
          </w:p>
        </w:tc>
        <w:tc>
          <w:tcPr>
            <w:tcW w:w="6288" w:type="dxa"/>
            <w:noWrap w:val="0"/>
            <w:vAlign w:val="center"/>
          </w:tcPr>
          <w:p w14:paraId="5BE029D0">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一档（2分）：提供服务承诺书，承诺内容基本满足项目服务要求，陈述简单。</w:t>
            </w:r>
          </w:p>
          <w:p w14:paraId="6D17D9B2">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二档（</w:t>
            </w:r>
            <w:r>
              <w:rPr>
                <w:rFonts w:hint="eastAsia" w:ascii="宋体" w:hAnsi="宋体"/>
                <w:color w:val="000000"/>
                <w:kern w:val="0"/>
                <w:szCs w:val="21"/>
                <w:lang w:val="en-US" w:eastAsia="zh-CN"/>
              </w:rPr>
              <w:t>4</w:t>
            </w:r>
            <w:r>
              <w:rPr>
                <w:rFonts w:hint="eastAsia" w:ascii="宋体" w:hAnsi="宋体"/>
                <w:color w:val="000000"/>
                <w:kern w:val="0"/>
                <w:szCs w:val="21"/>
              </w:rPr>
              <w:t>分）：提供服务承诺书，承诺内容完全满足项目服务要求，陈述较详细，具有操作性。</w:t>
            </w:r>
          </w:p>
          <w:p w14:paraId="7E4DB56D">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三档（</w:t>
            </w:r>
            <w:r>
              <w:rPr>
                <w:rFonts w:hint="eastAsia" w:ascii="宋体" w:hAnsi="宋体"/>
                <w:color w:val="000000"/>
                <w:kern w:val="0"/>
                <w:szCs w:val="21"/>
                <w:lang w:val="en-US" w:eastAsia="zh-CN"/>
              </w:rPr>
              <w:t>6</w:t>
            </w:r>
            <w:r>
              <w:rPr>
                <w:rFonts w:hint="eastAsia" w:ascii="宋体" w:hAnsi="宋体"/>
                <w:color w:val="000000"/>
                <w:kern w:val="0"/>
                <w:szCs w:val="21"/>
              </w:rPr>
              <w:t>分）：提供服务承诺书，承诺内容完全满足并优于项目服务要求，陈述详细、内容全面、具体明确并且合理，可行性、操作性强。</w:t>
            </w:r>
          </w:p>
          <w:p w14:paraId="0204581D">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一档、二档、三档不重复计分，由评委根据各投标人的服务承诺内容，在相应内容档次内独立打分。不满足进档要求的，得0分。</w:t>
            </w:r>
          </w:p>
        </w:tc>
        <w:tc>
          <w:tcPr>
            <w:tcW w:w="851" w:type="dxa"/>
            <w:noWrap w:val="0"/>
            <w:vAlign w:val="center"/>
          </w:tcPr>
          <w:p w14:paraId="68765E39">
            <w:pPr>
              <w:adjustRightInd w:val="0"/>
              <w:snapToGrid w:val="0"/>
              <w:spacing w:line="360" w:lineRule="exact"/>
              <w:ind w:left="0" w:leftChars="0" w:firstLine="0" w:firstLineChars="0"/>
              <w:jc w:val="center"/>
              <w:rPr>
                <w:rFonts w:hint="eastAsia" w:ascii="宋体" w:hAnsi="宋体" w:cs="Tahoma"/>
                <w:color w:val="000000"/>
                <w:kern w:val="0"/>
                <w:szCs w:val="21"/>
              </w:rPr>
            </w:pPr>
            <w:r>
              <w:rPr>
                <w:rFonts w:hint="eastAsia" w:ascii="宋体" w:hAnsi="宋体" w:cs="Tahoma"/>
                <w:color w:val="000000"/>
                <w:kern w:val="0"/>
                <w:szCs w:val="21"/>
                <w:lang w:val="en-US" w:eastAsia="zh-CN"/>
              </w:rPr>
              <w:t>6</w:t>
            </w:r>
            <w:r>
              <w:rPr>
                <w:rFonts w:hint="eastAsia" w:ascii="宋体" w:hAnsi="宋体" w:cs="Tahoma"/>
                <w:color w:val="000000"/>
                <w:kern w:val="0"/>
                <w:szCs w:val="21"/>
              </w:rPr>
              <w:t>分</w:t>
            </w:r>
          </w:p>
        </w:tc>
      </w:tr>
      <w:tr w14:paraId="44BE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47" w:type="dxa"/>
            <w:noWrap w:val="0"/>
            <w:vAlign w:val="center"/>
          </w:tcPr>
          <w:p w14:paraId="2EEE58A3">
            <w:pPr>
              <w:adjustRightInd w:val="0"/>
              <w:snapToGrid w:val="0"/>
              <w:spacing w:line="360" w:lineRule="exact"/>
              <w:ind w:left="0" w:leftChars="0" w:right="-105" w:rightChars="-50" w:firstLine="0" w:firstLineChars="0"/>
              <w:jc w:val="center"/>
              <w:textAlignment w:val="baseline"/>
              <w:rPr>
                <w:rFonts w:ascii="宋体" w:hAnsi="宋体"/>
                <w:bCs/>
                <w:color w:val="000000"/>
                <w:kern w:val="0"/>
                <w:szCs w:val="21"/>
              </w:rPr>
            </w:pPr>
            <w:r>
              <w:rPr>
                <w:rFonts w:hint="eastAsia" w:ascii="宋体" w:hAnsi="宋体"/>
                <w:bCs/>
                <w:color w:val="000000"/>
                <w:kern w:val="0"/>
                <w:szCs w:val="21"/>
              </w:rPr>
              <w:t>2.4</w:t>
            </w:r>
          </w:p>
        </w:tc>
        <w:tc>
          <w:tcPr>
            <w:tcW w:w="1304" w:type="dxa"/>
            <w:noWrap w:val="0"/>
            <w:vAlign w:val="center"/>
          </w:tcPr>
          <w:p w14:paraId="05F992A0">
            <w:pPr>
              <w:adjustRightInd w:val="0"/>
              <w:snapToGrid w:val="0"/>
              <w:spacing w:line="360" w:lineRule="exact"/>
              <w:ind w:left="0" w:leftChars="0" w:firstLine="0" w:firstLineChars="0"/>
              <w:jc w:val="center"/>
              <w:textAlignment w:val="baseline"/>
              <w:rPr>
                <w:rFonts w:hint="eastAsia" w:ascii="宋体" w:hAnsi="宋体"/>
                <w:color w:val="000000"/>
                <w:kern w:val="0"/>
                <w:szCs w:val="21"/>
              </w:rPr>
            </w:pPr>
            <w:r>
              <w:rPr>
                <w:rFonts w:hint="eastAsia" w:ascii="宋体" w:hAnsi="宋体"/>
                <w:color w:val="000000"/>
                <w:kern w:val="0"/>
                <w:szCs w:val="21"/>
              </w:rPr>
              <w:t>拟投入项目人员配置分</w:t>
            </w:r>
          </w:p>
        </w:tc>
        <w:tc>
          <w:tcPr>
            <w:tcW w:w="6288" w:type="dxa"/>
            <w:noWrap w:val="0"/>
            <w:vAlign w:val="center"/>
          </w:tcPr>
          <w:p w14:paraId="5C2604A6">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①项目经理（负责人）配置分（满分2分）：拟投入项目的项目经理（负责人）有中职学校同类项目（与本项目服务内容相同或相关）担任项目经理（负责人）经验，每担任项目经理（负责人）1年得0.5分，满分2分（出具学校证明文件及本人与投标人有效的劳动合同书复印件，原件备查）。</w:t>
            </w:r>
          </w:p>
          <w:p w14:paraId="348F935F">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②项目人员配置分（满分8分）：</w:t>
            </w:r>
          </w:p>
          <w:p w14:paraId="3F0D2792">
            <w:pPr>
              <w:widowControl/>
              <w:spacing w:line="416" w:lineRule="exact"/>
              <w:ind w:firstLine="420" w:firstLineChars="200"/>
              <w:rPr>
                <w:rFonts w:ascii="宋体" w:hAnsi="宋体"/>
                <w:color w:val="000000"/>
                <w:kern w:val="0"/>
                <w:szCs w:val="21"/>
              </w:rPr>
            </w:pPr>
            <w:r>
              <w:rPr>
                <w:rFonts w:ascii="宋体" w:hAnsi="宋体"/>
                <w:color w:val="000000"/>
                <w:kern w:val="0"/>
                <w:szCs w:val="21"/>
              </w:rPr>
              <w:t>一档（</w:t>
            </w:r>
            <w:r>
              <w:rPr>
                <w:rFonts w:hint="eastAsia" w:ascii="宋体" w:hAnsi="宋体"/>
                <w:color w:val="000000"/>
                <w:kern w:val="0"/>
                <w:szCs w:val="21"/>
              </w:rPr>
              <w:t>4</w:t>
            </w:r>
            <w:r>
              <w:rPr>
                <w:rFonts w:ascii="宋体" w:hAnsi="宋体"/>
                <w:color w:val="000000"/>
                <w:kern w:val="0"/>
                <w:szCs w:val="21"/>
              </w:rPr>
              <w:t>分）：基本符合项目要求。</w:t>
            </w:r>
          </w:p>
          <w:p w14:paraId="66CD89AE">
            <w:pPr>
              <w:widowControl/>
              <w:spacing w:line="416" w:lineRule="exact"/>
              <w:ind w:firstLine="420" w:firstLineChars="200"/>
              <w:rPr>
                <w:rFonts w:ascii="宋体" w:hAnsi="宋体"/>
                <w:color w:val="000000"/>
                <w:kern w:val="0"/>
                <w:szCs w:val="21"/>
              </w:rPr>
            </w:pPr>
            <w:r>
              <w:rPr>
                <w:rFonts w:ascii="宋体" w:hAnsi="宋体"/>
                <w:color w:val="000000"/>
                <w:kern w:val="0"/>
                <w:szCs w:val="21"/>
              </w:rPr>
              <w:t>二档（</w:t>
            </w:r>
            <w:r>
              <w:rPr>
                <w:rFonts w:hint="eastAsia" w:ascii="宋体" w:hAnsi="宋体"/>
                <w:color w:val="000000"/>
                <w:kern w:val="0"/>
                <w:szCs w:val="21"/>
              </w:rPr>
              <w:t>6</w:t>
            </w:r>
            <w:r>
              <w:rPr>
                <w:rFonts w:ascii="宋体" w:hAnsi="宋体"/>
                <w:color w:val="000000"/>
                <w:kern w:val="0"/>
                <w:szCs w:val="21"/>
              </w:rPr>
              <w:t>分）：完全符合项目要求，人员稳定可靠，有相应的管理机制，有配置人员的名册。</w:t>
            </w:r>
          </w:p>
          <w:p w14:paraId="63D5AEC6">
            <w:pPr>
              <w:widowControl/>
              <w:spacing w:line="416" w:lineRule="exact"/>
              <w:ind w:firstLine="420" w:firstLineChars="200"/>
              <w:rPr>
                <w:rFonts w:hint="eastAsia" w:ascii="宋体" w:hAnsi="宋体"/>
                <w:color w:val="000000"/>
                <w:kern w:val="0"/>
                <w:szCs w:val="21"/>
              </w:rPr>
            </w:pPr>
            <w:r>
              <w:rPr>
                <w:rFonts w:ascii="宋体" w:hAnsi="宋体"/>
                <w:color w:val="000000"/>
                <w:kern w:val="0"/>
                <w:szCs w:val="21"/>
              </w:rPr>
              <w:t>三档（</w:t>
            </w:r>
            <w:r>
              <w:rPr>
                <w:rFonts w:hint="eastAsia" w:ascii="宋体" w:hAnsi="宋体"/>
                <w:color w:val="000000"/>
                <w:kern w:val="0"/>
                <w:szCs w:val="21"/>
              </w:rPr>
              <w:t>8</w:t>
            </w:r>
            <w:r>
              <w:rPr>
                <w:rFonts w:ascii="宋体" w:hAnsi="宋体"/>
                <w:color w:val="000000"/>
                <w:kern w:val="0"/>
                <w:szCs w:val="21"/>
              </w:rPr>
              <w:t>分）：明显优于项目要求，人员配置合理充裕，人员素质同比较高、人员来源可靠稳定，各种机制合理可行有针对性，有配置人员名册并提供有人员退伍证、警校毕业证等证明材料。</w:t>
            </w:r>
          </w:p>
          <w:p w14:paraId="0BCC96B9">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一档、二档、三档不重复计分，由评委根据各投标人的服务承诺内容，在相应内容档次内独立打分。不满足进档要求的，得0分。</w:t>
            </w:r>
          </w:p>
        </w:tc>
        <w:tc>
          <w:tcPr>
            <w:tcW w:w="851" w:type="dxa"/>
            <w:noWrap w:val="0"/>
            <w:vAlign w:val="center"/>
          </w:tcPr>
          <w:p w14:paraId="3294CDB1">
            <w:pPr>
              <w:adjustRightInd w:val="0"/>
              <w:snapToGrid w:val="0"/>
              <w:spacing w:line="360" w:lineRule="exact"/>
              <w:ind w:left="0" w:leftChars="0" w:firstLine="0" w:firstLineChars="0"/>
              <w:jc w:val="center"/>
              <w:rPr>
                <w:rFonts w:ascii="宋体" w:hAnsi="宋体" w:cs="Tahoma"/>
                <w:color w:val="000000"/>
                <w:kern w:val="0"/>
                <w:szCs w:val="21"/>
              </w:rPr>
            </w:pPr>
            <w:r>
              <w:rPr>
                <w:rFonts w:hint="eastAsia" w:ascii="宋体" w:hAnsi="宋体" w:cs="Tahoma"/>
                <w:color w:val="000000"/>
                <w:kern w:val="0"/>
                <w:szCs w:val="21"/>
              </w:rPr>
              <w:t>10分</w:t>
            </w:r>
          </w:p>
        </w:tc>
      </w:tr>
      <w:tr w14:paraId="2C5F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47" w:type="dxa"/>
            <w:noWrap w:val="0"/>
            <w:vAlign w:val="center"/>
          </w:tcPr>
          <w:p w14:paraId="0FDD9867">
            <w:pPr>
              <w:adjustRightInd w:val="0"/>
              <w:snapToGrid w:val="0"/>
              <w:spacing w:line="360" w:lineRule="exact"/>
              <w:ind w:left="0" w:leftChars="0" w:right="-105" w:rightChars="-50" w:firstLine="0" w:firstLineChars="0"/>
              <w:jc w:val="center"/>
              <w:textAlignment w:val="baseline"/>
              <w:rPr>
                <w:rFonts w:ascii="宋体" w:hAnsi="宋体"/>
                <w:bCs/>
                <w:color w:val="000000"/>
                <w:kern w:val="0"/>
                <w:szCs w:val="21"/>
              </w:rPr>
            </w:pPr>
            <w:r>
              <w:rPr>
                <w:rFonts w:hint="eastAsia" w:ascii="宋体" w:hAnsi="宋体"/>
                <w:bCs/>
                <w:color w:val="000000"/>
                <w:kern w:val="0"/>
                <w:szCs w:val="21"/>
              </w:rPr>
              <w:t>2.5</w:t>
            </w:r>
          </w:p>
        </w:tc>
        <w:tc>
          <w:tcPr>
            <w:tcW w:w="1304" w:type="dxa"/>
            <w:noWrap w:val="0"/>
            <w:vAlign w:val="center"/>
          </w:tcPr>
          <w:p w14:paraId="6D402802">
            <w:pPr>
              <w:adjustRightInd w:val="0"/>
              <w:snapToGrid w:val="0"/>
              <w:spacing w:line="360" w:lineRule="exact"/>
              <w:jc w:val="center"/>
              <w:textAlignment w:val="baseline"/>
              <w:rPr>
                <w:rFonts w:hint="eastAsia" w:ascii="宋体" w:hAnsi="宋体"/>
                <w:color w:val="000000"/>
                <w:kern w:val="0"/>
                <w:szCs w:val="21"/>
              </w:rPr>
            </w:pPr>
            <w:r>
              <w:rPr>
                <w:rFonts w:hint="eastAsia" w:ascii="宋体" w:hAnsi="宋体"/>
                <w:color w:val="000000"/>
                <w:kern w:val="0"/>
                <w:szCs w:val="21"/>
              </w:rPr>
              <w:t>投入人员经验分</w:t>
            </w:r>
          </w:p>
        </w:tc>
        <w:tc>
          <w:tcPr>
            <w:tcW w:w="6288" w:type="dxa"/>
            <w:noWrap w:val="0"/>
            <w:vAlign w:val="center"/>
          </w:tcPr>
          <w:p w14:paraId="7C343964">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投标人拟投入本项目的人员中，2020年1月1日以来有被中职学校聘请过担任辅导员或班主任等管理相关工作的，每有1人得1分，满分</w:t>
            </w:r>
            <w:r>
              <w:rPr>
                <w:rFonts w:ascii="宋体" w:hAnsi="宋体"/>
                <w:color w:val="000000"/>
                <w:kern w:val="0"/>
                <w:szCs w:val="21"/>
              </w:rPr>
              <w:t>1</w:t>
            </w:r>
            <w:r>
              <w:rPr>
                <w:rFonts w:hint="eastAsia" w:ascii="宋体" w:hAnsi="宋体"/>
                <w:color w:val="000000"/>
                <w:kern w:val="0"/>
                <w:szCs w:val="21"/>
              </w:rPr>
              <w:t>5分（出具聘书或证明文件及投入人员与投标人有效的劳动合同书复印件，原件备查）。</w:t>
            </w:r>
          </w:p>
        </w:tc>
        <w:tc>
          <w:tcPr>
            <w:tcW w:w="851" w:type="dxa"/>
            <w:noWrap w:val="0"/>
            <w:vAlign w:val="center"/>
          </w:tcPr>
          <w:p w14:paraId="0B0FA457">
            <w:pPr>
              <w:adjustRightInd w:val="0"/>
              <w:snapToGrid w:val="0"/>
              <w:spacing w:line="360" w:lineRule="exact"/>
              <w:ind w:left="0" w:leftChars="0" w:firstLine="0" w:firstLineChars="0"/>
              <w:jc w:val="center"/>
              <w:rPr>
                <w:rFonts w:hint="eastAsia" w:ascii="宋体" w:hAnsi="宋体" w:cs="Tahoma"/>
                <w:color w:val="000000"/>
                <w:kern w:val="0"/>
                <w:szCs w:val="21"/>
              </w:rPr>
            </w:pPr>
            <w:r>
              <w:rPr>
                <w:rFonts w:ascii="宋体" w:hAnsi="宋体"/>
                <w:color w:val="000000"/>
                <w:kern w:val="0"/>
                <w:szCs w:val="21"/>
              </w:rPr>
              <w:t>1</w:t>
            </w:r>
            <w:r>
              <w:rPr>
                <w:rFonts w:hint="eastAsia" w:ascii="宋体" w:hAnsi="宋体"/>
                <w:color w:val="000000"/>
                <w:kern w:val="0"/>
                <w:szCs w:val="21"/>
              </w:rPr>
              <w:t>5分</w:t>
            </w:r>
          </w:p>
        </w:tc>
      </w:tr>
      <w:tr w14:paraId="4F4D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noWrap w:val="0"/>
            <w:vAlign w:val="center"/>
          </w:tcPr>
          <w:p w14:paraId="35A9341A">
            <w:pPr>
              <w:widowControl/>
              <w:adjustRightInd w:val="0"/>
              <w:snapToGrid w:val="0"/>
              <w:spacing w:line="360" w:lineRule="exact"/>
              <w:jc w:val="center"/>
              <w:rPr>
                <w:rFonts w:ascii="宋体" w:hAnsi="宋体" w:cs="Tahoma"/>
                <w:b w:val="0"/>
                <w:bCs/>
                <w:color w:val="000000"/>
                <w:kern w:val="0"/>
                <w:szCs w:val="21"/>
              </w:rPr>
            </w:pPr>
            <w:r>
              <w:rPr>
                <w:rFonts w:hint="eastAsia" w:ascii="宋体" w:hAnsi="宋体" w:cs="Tahoma"/>
                <w:b w:val="0"/>
                <w:bCs/>
                <w:color w:val="000000"/>
                <w:kern w:val="0"/>
                <w:szCs w:val="21"/>
              </w:rPr>
              <w:t>3</w:t>
            </w:r>
          </w:p>
        </w:tc>
        <w:tc>
          <w:tcPr>
            <w:tcW w:w="1304" w:type="dxa"/>
            <w:noWrap w:val="0"/>
            <w:vAlign w:val="center"/>
          </w:tcPr>
          <w:p w14:paraId="7BF63DA0">
            <w:pPr>
              <w:widowControl/>
              <w:adjustRightInd w:val="0"/>
              <w:snapToGrid w:val="0"/>
              <w:spacing w:line="360" w:lineRule="exact"/>
              <w:jc w:val="center"/>
              <w:rPr>
                <w:rFonts w:ascii="宋体" w:hAnsi="宋体" w:cs="Courier New"/>
                <w:b w:val="0"/>
                <w:bCs/>
                <w:color w:val="000000"/>
                <w:szCs w:val="21"/>
              </w:rPr>
            </w:pPr>
            <w:r>
              <w:rPr>
                <w:rFonts w:hint="eastAsia" w:ascii="宋体" w:hAnsi="宋体" w:cs="Courier New"/>
                <w:b w:val="0"/>
                <w:bCs/>
                <w:color w:val="000000"/>
                <w:szCs w:val="21"/>
              </w:rPr>
              <w:t>商务分</w:t>
            </w:r>
          </w:p>
        </w:tc>
        <w:tc>
          <w:tcPr>
            <w:tcW w:w="7139" w:type="dxa"/>
            <w:gridSpan w:val="2"/>
            <w:noWrap w:val="0"/>
            <w:vAlign w:val="center"/>
          </w:tcPr>
          <w:p w14:paraId="7BF68039">
            <w:pPr>
              <w:widowControl/>
              <w:adjustRightInd w:val="0"/>
              <w:snapToGrid w:val="0"/>
              <w:spacing w:line="360" w:lineRule="exact"/>
              <w:jc w:val="center"/>
              <w:rPr>
                <w:rFonts w:ascii="宋体" w:hAnsi="宋体" w:cs="Tahoma"/>
                <w:b w:val="0"/>
                <w:bCs/>
                <w:color w:val="000000"/>
                <w:kern w:val="0"/>
                <w:szCs w:val="21"/>
              </w:rPr>
            </w:pPr>
            <w:r>
              <w:rPr>
                <w:rFonts w:hint="eastAsia" w:ascii="宋体" w:hAnsi="宋体" w:cs="Tahoma"/>
                <w:b w:val="0"/>
                <w:bCs/>
                <w:color w:val="000000"/>
                <w:kern w:val="0"/>
                <w:szCs w:val="21"/>
              </w:rPr>
              <w:t>评审因素</w:t>
            </w:r>
            <w:r>
              <w:rPr>
                <w:rFonts w:hint="eastAsia" w:ascii="宋体" w:hAnsi="宋体" w:cs="Tahoma"/>
                <w:b w:val="0"/>
                <w:bCs/>
                <w:color w:val="000000"/>
                <w:kern w:val="0"/>
                <w:szCs w:val="21"/>
                <w:lang w:val="en-US" w:eastAsia="zh-CN"/>
              </w:rPr>
              <w:t>35</w:t>
            </w:r>
            <w:r>
              <w:rPr>
                <w:rFonts w:hint="eastAsia" w:ascii="宋体" w:hAnsi="宋体" w:cs="Tahoma"/>
                <w:b w:val="0"/>
                <w:bCs/>
                <w:color w:val="000000"/>
                <w:kern w:val="0"/>
                <w:szCs w:val="21"/>
              </w:rPr>
              <w:t>分</w:t>
            </w:r>
          </w:p>
        </w:tc>
      </w:tr>
      <w:tr w14:paraId="20AF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7" w:type="dxa"/>
            <w:noWrap w:val="0"/>
            <w:vAlign w:val="center"/>
          </w:tcPr>
          <w:p w14:paraId="2ADC7396">
            <w:pPr>
              <w:widowControl/>
              <w:adjustRightInd w:val="0"/>
              <w:snapToGrid w:val="0"/>
              <w:spacing w:line="360" w:lineRule="exact"/>
              <w:ind w:left="0" w:leftChars="0" w:firstLine="0" w:firstLineChars="0"/>
              <w:jc w:val="center"/>
              <w:rPr>
                <w:rFonts w:ascii="宋体" w:hAnsi="宋体" w:cs="Tahoma"/>
                <w:color w:val="000000"/>
                <w:kern w:val="0"/>
                <w:szCs w:val="21"/>
              </w:rPr>
            </w:pPr>
            <w:r>
              <w:rPr>
                <w:rFonts w:ascii="宋体" w:hAnsi="宋体" w:cs="Tahoma"/>
                <w:color w:val="000000"/>
                <w:kern w:val="0"/>
                <w:szCs w:val="21"/>
              </w:rPr>
              <w:t>3.1</w:t>
            </w:r>
          </w:p>
        </w:tc>
        <w:tc>
          <w:tcPr>
            <w:tcW w:w="1304" w:type="dxa"/>
            <w:noWrap w:val="0"/>
            <w:vAlign w:val="center"/>
          </w:tcPr>
          <w:p w14:paraId="36034023">
            <w:pPr>
              <w:widowControl/>
              <w:adjustRightInd w:val="0"/>
              <w:snapToGrid w:val="0"/>
              <w:spacing w:line="360" w:lineRule="exact"/>
              <w:ind w:left="0" w:leftChars="0" w:firstLine="0" w:firstLineChars="0"/>
              <w:jc w:val="center"/>
              <w:rPr>
                <w:rFonts w:ascii="宋体" w:hAnsi="宋体" w:cs="Tahoma"/>
                <w:color w:val="000000"/>
                <w:kern w:val="0"/>
                <w:szCs w:val="21"/>
              </w:rPr>
            </w:pPr>
            <w:r>
              <w:rPr>
                <w:rFonts w:hint="eastAsia" w:ascii="宋体" w:hAnsi="宋体" w:cs="Tahoma"/>
                <w:color w:val="000000"/>
                <w:kern w:val="0"/>
                <w:szCs w:val="21"/>
              </w:rPr>
              <w:t>信誉、业绩分</w:t>
            </w:r>
          </w:p>
        </w:tc>
        <w:tc>
          <w:tcPr>
            <w:tcW w:w="6288" w:type="dxa"/>
            <w:noWrap w:val="0"/>
            <w:vAlign w:val="top"/>
          </w:tcPr>
          <w:p w14:paraId="7009A07F">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投标人在同类服务项目（与本项目服务内容相同或相关）的时间、服务单位的数量、服务的业绩（服务业绩分为优秀、合格、差），需提供中标（成交）通知书或合同复印件，合同复印件内容至少包含有项目名称、项目编号、项目内容、双方盖章页，出具服务单位盖章证明（至少包含服务基本内容、服务时间、服务评价、采购方联系人等）复印件，原件备查。</w:t>
            </w:r>
          </w:p>
          <w:p w14:paraId="4B47A554">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（1）同类服务项目服务单位数量（满分5分）：202</w:t>
            </w:r>
            <w:r>
              <w:rPr>
                <w:rFonts w:hint="eastAsia" w:ascii="宋体" w:hAnsi="宋体"/>
                <w:color w:val="000000"/>
                <w:kern w:val="0"/>
                <w:szCs w:val="21"/>
                <w:lang w:val="en-US" w:eastAsia="zh-CN"/>
              </w:rPr>
              <w:t>2</w:t>
            </w:r>
            <w:r>
              <w:rPr>
                <w:rFonts w:hint="eastAsia" w:ascii="宋体" w:hAnsi="宋体"/>
                <w:color w:val="000000"/>
                <w:kern w:val="0"/>
                <w:szCs w:val="21"/>
              </w:rPr>
              <w:t>年1月1日以来，供应商同类服务项目服务的单位，每有一家得1分。</w:t>
            </w:r>
          </w:p>
          <w:p w14:paraId="01AAA0CC">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（2）同类服务项目服务时间（满分10分）：供应商同类服务项目在同一服务单位连续服务满5年的，每有1家得3分，在同一服务单位连续服务未满5年的，每服务满1年得0.2分。</w:t>
            </w:r>
          </w:p>
          <w:p w14:paraId="10D503C6">
            <w:pPr>
              <w:widowControl/>
              <w:spacing w:line="416" w:lineRule="exact"/>
              <w:ind w:firstLine="420" w:firstLineChars="200"/>
              <w:rPr>
                <w:rFonts w:hint="eastAsia" w:ascii="宋体" w:hAnsi="宋体"/>
                <w:color w:val="000000"/>
                <w:kern w:val="0"/>
                <w:szCs w:val="21"/>
              </w:rPr>
            </w:pPr>
            <w:r>
              <w:rPr>
                <w:rFonts w:hint="eastAsia" w:ascii="宋体" w:hAnsi="宋体"/>
                <w:color w:val="000000"/>
                <w:kern w:val="0"/>
                <w:szCs w:val="21"/>
              </w:rPr>
              <w:t>（3）同类服务管理单位评价（满分16分）：202</w:t>
            </w:r>
            <w:r>
              <w:rPr>
                <w:rFonts w:hint="eastAsia" w:ascii="宋体" w:hAnsi="宋体"/>
                <w:color w:val="000000"/>
                <w:kern w:val="0"/>
                <w:szCs w:val="21"/>
                <w:lang w:val="en-US" w:eastAsia="zh-CN"/>
              </w:rPr>
              <w:t>2</w:t>
            </w:r>
            <w:r>
              <w:rPr>
                <w:rFonts w:hint="eastAsia" w:ascii="宋体" w:hAnsi="宋体"/>
                <w:color w:val="000000"/>
                <w:kern w:val="0"/>
                <w:szCs w:val="21"/>
              </w:rPr>
              <w:t>年1月1日以来，对被投标人同类服务项目服务过的单位，单位对投标人的评价为优秀的，每有一个得2分，合格得1分，差得0分。</w:t>
            </w:r>
          </w:p>
          <w:p w14:paraId="37E1BF56">
            <w:pPr>
              <w:pStyle w:val="18"/>
              <w:spacing w:line="416" w:lineRule="exact"/>
              <w:ind w:firstLine="420" w:firstLineChars="200"/>
              <w:outlineLvl w:val="0"/>
              <w:rPr>
                <w:rFonts w:hAnsi="宋体" w:cs="Courier New"/>
                <w:bCs/>
                <w:color w:val="000000"/>
              </w:rPr>
            </w:pPr>
            <w:r>
              <w:rPr>
                <w:rFonts w:hint="eastAsia" w:hAnsi="宋体"/>
                <w:color w:val="000000"/>
                <w:sz w:val="21"/>
              </w:rPr>
              <w:t>（4）特色服务分（满分4分）：具备广西军区或广西教育厅审核批准关于社会机构承接学生军训的申报表或通知等文件的得4分。（提供相关文件的复印件，原件备查）</w:t>
            </w:r>
          </w:p>
        </w:tc>
        <w:tc>
          <w:tcPr>
            <w:tcW w:w="851" w:type="dxa"/>
            <w:noWrap w:val="0"/>
            <w:vAlign w:val="center"/>
          </w:tcPr>
          <w:p w14:paraId="130FF39C">
            <w:pPr>
              <w:widowControl/>
              <w:adjustRightInd w:val="0"/>
              <w:snapToGrid w:val="0"/>
              <w:spacing w:line="360" w:lineRule="exact"/>
              <w:ind w:left="0" w:leftChars="0" w:firstLine="0" w:firstLineChars="0"/>
              <w:jc w:val="center"/>
              <w:rPr>
                <w:rFonts w:ascii="宋体" w:hAnsi="宋体" w:cs="Tahoma"/>
                <w:color w:val="000000"/>
                <w:kern w:val="0"/>
                <w:szCs w:val="21"/>
              </w:rPr>
            </w:pPr>
            <w:r>
              <w:rPr>
                <w:rFonts w:hint="eastAsia" w:ascii="宋体" w:hAnsi="宋体" w:cs="Tahoma"/>
                <w:color w:val="000000"/>
                <w:kern w:val="0"/>
                <w:szCs w:val="21"/>
              </w:rPr>
              <w:t>35分</w:t>
            </w:r>
          </w:p>
        </w:tc>
      </w:tr>
      <w:tr w14:paraId="0B67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top"/>
          </w:tcPr>
          <w:p w14:paraId="15C09B5B">
            <w:pPr>
              <w:adjustRightInd w:val="0"/>
              <w:snapToGrid w:val="0"/>
              <w:spacing w:line="360" w:lineRule="exact"/>
              <w:ind w:firstLine="420" w:firstLineChars="200"/>
              <w:rPr>
                <w:rFonts w:ascii="宋体" w:hAnsi="宋体" w:cs="Courier New"/>
                <w:bCs/>
                <w:color w:val="000000"/>
                <w:szCs w:val="21"/>
              </w:rPr>
            </w:pPr>
            <w:r>
              <w:rPr>
                <w:rFonts w:hint="eastAsia" w:ascii="宋体" w:hAnsi="宋体" w:cs="Courier New"/>
                <w:bCs/>
                <w:color w:val="000000"/>
                <w:szCs w:val="21"/>
              </w:rPr>
              <w:t>总得分＝1＋2＋3</w:t>
            </w:r>
          </w:p>
        </w:tc>
        <w:tc>
          <w:tcPr>
            <w:tcW w:w="851" w:type="dxa"/>
            <w:noWrap w:val="0"/>
            <w:vAlign w:val="center"/>
          </w:tcPr>
          <w:p w14:paraId="1C3AD3B7">
            <w:pPr>
              <w:widowControl/>
              <w:adjustRightInd w:val="0"/>
              <w:snapToGrid w:val="0"/>
              <w:spacing w:line="360" w:lineRule="exact"/>
              <w:jc w:val="center"/>
              <w:rPr>
                <w:rFonts w:ascii="宋体" w:hAnsi="宋体" w:cs="Tahoma"/>
                <w:color w:val="000000"/>
                <w:kern w:val="0"/>
                <w:szCs w:val="21"/>
              </w:rPr>
            </w:pPr>
          </w:p>
        </w:tc>
      </w:tr>
    </w:tbl>
    <w:p w14:paraId="2B10A785">
      <w:pPr>
        <w:pStyle w:val="14"/>
        <w:ind w:firstLine="0" w:firstLineChars="0"/>
        <w:rPr>
          <w:rFonts w:ascii="宋体" w:hAnsi="宋体" w:cs="宋体"/>
          <w:b/>
          <w:bCs/>
          <w:color w:val="auto"/>
          <w:kern w:val="2"/>
          <w:sz w:val="21"/>
          <w:szCs w:val="21"/>
          <w:lang w:val="en-US"/>
        </w:rPr>
      </w:pPr>
    </w:p>
    <w:p w14:paraId="4D9AA8E6">
      <w:pPr>
        <w:pStyle w:val="14"/>
        <w:ind w:firstLine="0" w:firstLineChars="0"/>
        <w:rPr>
          <w:rFonts w:ascii="仿宋" w:hAnsi="仿宋" w:eastAsia="仿宋" w:cs="仿宋"/>
          <w:color w:val="auto"/>
        </w:rPr>
      </w:pPr>
      <w:r>
        <w:rPr>
          <w:rFonts w:hint="eastAsia" w:ascii="宋体" w:hAnsi="宋体" w:cs="宋体"/>
          <w:b/>
          <w:bCs/>
          <w:color w:val="auto"/>
          <w:kern w:val="2"/>
          <w:sz w:val="21"/>
          <w:szCs w:val="21"/>
          <w:lang w:val="en-US"/>
        </w:rPr>
        <w:t>7.由磋商小组根据综合评分情况，</w:t>
      </w:r>
      <w:r>
        <w:rPr>
          <w:rFonts w:hint="eastAsia" w:ascii="宋体" w:hAnsi="宋体" w:cs="宋体"/>
          <w:color w:val="auto"/>
          <w:sz w:val="21"/>
          <w:szCs w:val="21"/>
        </w:rPr>
        <w:t>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36B61A90">
      <w:pPr>
        <w:ind w:firstLine="420"/>
        <w:rPr>
          <w:rFonts w:ascii="仿宋" w:hAnsi="仿宋" w:eastAsia="仿宋" w:cs="仿宋"/>
          <w:color w:val="auto"/>
        </w:rPr>
      </w:pPr>
    </w:p>
    <w:p w14:paraId="12B7D59A">
      <w:pPr>
        <w:ind w:firstLine="420"/>
        <w:rPr>
          <w:rFonts w:ascii="仿宋" w:hAnsi="仿宋" w:eastAsia="仿宋" w:cs="仿宋"/>
          <w:color w:val="auto"/>
        </w:rPr>
      </w:pPr>
      <w:r>
        <w:rPr>
          <w:rFonts w:ascii="仿宋" w:hAnsi="仿宋" w:eastAsia="仿宋" w:cs="仿宋"/>
          <w:color w:val="auto"/>
        </w:rPr>
        <w:br w:type="page"/>
      </w:r>
    </w:p>
    <w:p w14:paraId="1DD96D32">
      <w:pPr>
        <w:ind w:firstLine="420"/>
        <w:rPr>
          <w:rFonts w:ascii="仿宋" w:hAnsi="仿宋" w:eastAsia="仿宋" w:cs="仿宋"/>
          <w:color w:val="auto"/>
        </w:rPr>
      </w:pPr>
    </w:p>
    <w:p w14:paraId="0FD8777F">
      <w:pPr>
        <w:pStyle w:val="49"/>
        <w:numPr>
          <w:ilvl w:val="0"/>
          <w:numId w:val="2"/>
        </w:numPr>
        <w:rPr>
          <w:rFonts w:ascii="仿宋" w:hAnsi="仿宋" w:eastAsia="仿宋" w:cs="仿宋"/>
          <w:color w:val="auto"/>
        </w:rPr>
      </w:pPr>
      <w:r>
        <w:rPr>
          <w:rFonts w:hint="eastAsia" w:ascii="仿宋" w:hAnsi="仿宋" w:eastAsia="仿宋" w:cs="仿宋"/>
          <w:color w:val="auto"/>
        </w:rPr>
        <w:t>响应文件格式</w:t>
      </w:r>
      <w:bookmarkEnd w:id="19"/>
    </w:p>
    <w:p w14:paraId="12342CCE">
      <w:pPr>
        <w:ind w:firstLine="420"/>
        <w:rPr>
          <w:color w:val="auto"/>
        </w:rPr>
      </w:pPr>
      <w:r>
        <w:rPr>
          <w:rFonts w:hint="eastAsia"/>
          <w:color w:val="auto"/>
        </w:rPr>
        <w:br w:type="page"/>
      </w:r>
    </w:p>
    <w:p w14:paraId="72215F90">
      <w:pPr>
        <w:pStyle w:val="49"/>
        <w:jc w:val="both"/>
        <w:rPr>
          <w:color w:val="auto"/>
        </w:rPr>
      </w:pPr>
      <w:r>
        <w:rPr>
          <w:rFonts w:hint="eastAsia"/>
          <w:color w:val="auto"/>
        </w:rPr>
        <w:t>一、资格证明文件格式</w:t>
      </w:r>
    </w:p>
    <w:p w14:paraId="0E0DFCC2">
      <w:pPr>
        <w:pStyle w:val="60"/>
        <w:rPr>
          <w:color w:val="auto"/>
        </w:rPr>
      </w:pPr>
      <w:r>
        <w:rPr>
          <w:color w:val="auto"/>
        </w:rPr>
        <w:t>1.</w:t>
      </w:r>
      <w:r>
        <w:rPr>
          <w:rFonts w:hint="eastAsia"/>
          <w:color w:val="auto"/>
        </w:rPr>
        <w:t>资格证明文件封面格式</w:t>
      </w:r>
    </w:p>
    <w:p w14:paraId="4A1ED4BE">
      <w:pPr>
        <w:ind w:firstLine="199" w:firstLineChars="83"/>
        <w:rPr>
          <w:color w:val="auto"/>
          <w:sz w:val="24"/>
          <w:szCs w:val="24"/>
        </w:rPr>
      </w:pPr>
    </w:p>
    <w:p w14:paraId="514AD8ED">
      <w:pPr>
        <w:ind w:firstLine="199" w:firstLineChars="83"/>
        <w:rPr>
          <w:color w:val="auto"/>
          <w:sz w:val="24"/>
          <w:szCs w:val="24"/>
        </w:rPr>
      </w:pPr>
    </w:p>
    <w:p w14:paraId="36628687">
      <w:pPr>
        <w:ind w:firstLine="0" w:firstLineChars="0"/>
        <w:jc w:val="center"/>
        <w:rPr>
          <w:rFonts w:ascii="宋体" w:hAnsi="Calibri" w:eastAsia="宋体" w:cs="Times New Roman"/>
          <w:b/>
          <w:bCs/>
          <w:color w:val="auto"/>
          <w:sz w:val="44"/>
          <w:szCs w:val="44"/>
        </w:rPr>
      </w:pPr>
      <w:r>
        <w:rPr>
          <w:rFonts w:hint="eastAsia" w:ascii="宋体" w:hAnsi="Calibri" w:eastAsia="宋体" w:cs="Times New Roman"/>
          <w:b/>
          <w:bCs/>
          <w:color w:val="auto"/>
          <w:sz w:val="44"/>
          <w:szCs w:val="44"/>
        </w:rPr>
        <w:t>资格证明文件</w:t>
      </w:r>
    </w:p>
    <w:p w14:paraId="1194D776">
      <w:pPr>
        <w:ind w:firstLine="480"/>
        <w:rPr>
          <w:rFonts w:ascii="宋体" w:hAnsi="Calibri" w:eastAsia="宋体" w:cs="Times New Roman"/>
          <w:color w:val="auto"/>
          <w:sz w:val="24"/>
          <w:szCs w:val="24"/>
        </w:rPr>
      </w:pPr>
    </w:p>
    <w:p w14:paraId="02C6C396">
      <w:pPr>
        <w:ind w:firstLine="480"/>
        <w:rPr>
          <w:rFonts w:ascii="宋体" w:hAnsi="Calibri" w:eastAsia="宋体" w:cs="Times New Roman"/>
          <w:color w:val="auto"/>
          <w:sz w:val="24"/>
          <w:szCs w:val="24"/>
        </w:rPr>
      </w:pPr>
    </w:p>
    <w:p w14:paraId="48D592A6">
      <w:pPr>
        <w:ind w:firstLine="480"/>
        <w:rPr>
          <w:rFonts w:ascii="宋体" w:hAnsi="Calibri" w:eastAsia="宋体" w:cs="Times New Roman"/>
          <w:color w:val="auto"/>
          <w:sz w:val="24"/>
          <w:szCs w:val="24"/>
        </w:rPr>
      </w:pPr>
    </w:p>
    <w:p w14:paraId="6E68AA4B">
      <w:pPr>
        <w:ind w:firstLine="1132" w:firstLineChars="354"/>
        <w:rPr>
          <w:rFonts w:ascii="宋体" w:hAnsi="Calibri" w:eastAsia="宋体" w:cs="Times New Roman"/>
          <w:color w:val="auto"/>
          <w:sz w:val="32"/>
          <w:szCs w:val="32"/>
        </w:rPr>
      </w:pPr>
      <w:r>
        <w:rPr>
          <w:rFonts w:hint="eastAsia" w:ascii="宋体" w:hAnsi="Calibri" w:eastAsia="宋体" w:cs="Times New Roman"/>
          <w:color w:val="auto"/>
          <w:sz w:val="32"/>
          <w:szCs w:val="32"/>
        </w:rPr>
        <w:t>项目名称：</w:t>
      </w:r>
    </w:p>
    <w:p w14:paraId="582B2E75">
      <w:pPr>
        <w:ind w:firstLine="1132" w:firstLineChars="354"/>
        <w:rPr>
          <w:rFonts w:ascii="宋体" w:hAnsi="Calibri" w:eastAsia="宋体" w:cs="Times New Roman"/>
          <w:color w:val="auto"/>
          <w:sz w:val="32"/>
          <w:szCs w:val="32"/>
        </w:rPr>
      </w:pPr>
      <w:r>
        <w:rPr>
          <w:rFonts w:hint="eastAsia" w:ascii="宋体" w:hAnsi="Calibri" w:eastAsia="宋体" w:cs="Times New Roman"/>
          <w:color w:val="auto"/>
          <w:sz w:val="32"/>
          <w:szCs w:val="32"/>
        </w:rPr>
        <w:t>项目编号：</w:t>
      </w:r>
    </w:p>
    <w:p w14:paraId="02D4F232">
      <w:pPr>
        <w:ind w:firstLine="1132" w:firstLineChars="354"/>
        <w:rPr>
          <w:rFonts w:ascii="宋体" w:hAnsi="Calibri" w:eastAsia="宋体" w:cs="Times New Roman"/>
          <w:color w:val="auto"/>
          <w:sz w:val="32"/>
          <w:szCs w:val="32"/>
        </w:rPr>
      </w:pPr>
      <w:r>
        <w:rPr>
          <w:rFonts w:hint="eastAsia" w:ascii="宋体" w:hAnsi="Calibri" w:eastAsia="宋体" w:cs="Times New Roman"/>
          <w:color w:val="auto"/>
          <w:sz w:val="32"/>
          <w:szCs w:val="32"/>
        </w:rPr>
        <w:t>标项：</w:t>
      </w:r>
    </w:p>
    <w:p w14:paraId="22DC63D7">
      <w:pPr>
        <w:ind w:firstLine="1132" w:firstLineChars="354"/>
        <w:rPr>
          <w:rFonts w:ascii="宋体" w:hAnsi="Calibri" w:eastAsia="宋体" w:cs="Times New Roman"/>
          <w:color w:val="auto"/>
          <w:sz w:val="32"/>
          <w:szCs w:val="32"/>
        </w:rPr>
      </w:pPr>
      <w:r>
        <w:rPr>
          <w:rFonts w:hint="eastAsia" w:ascii="宋体" w:hAnsi="Calibri" w:eastAsia="宋体" w:cs="Times New Roman"/>
          <w:color w:val="auto"/>
          <w:sz w:val="32"/>
          <w:szCs w:val="32"/>
        </w:rPr>
        <w:t>供应商名称：</w:t>
      </w:r>
    </w:p>
    <w:p w14:paraId="1043AF6F">
      <w:pPr>
        <w:ind w:firstLine="1132" w:firstLineChars="354"/>
        <w:rPr>
          <w:rFonts w:ascii="宋体" w:hAnsi="Calibri" w:eastAsia="宋体" w:cs="Times New Roman"/>
          <w:color w:val="auto"/>
          <w:sz w:val="32"/>
          <w:szCs w:val="32"/>
        </w:rPr>
      </w:pPr>
    </w:p>
    <w:p w14:paraId="3D304FAE">
      <w:pPr>
        <w:ind w:firstLine="640"/>
        <w:jc w:val="center"/>
        <w:rPr>
          <w:rFonts w:ascii="宋体" w:hAnsi="Calibri" w:eastAsia="宋体" w:cs="Times New Roman"/>
          <w:color w:val="auto"/>
          <w:sz w:val="32"/>
          <w:szCs w:val="32"/>
        </w:rPr>
      </w:pPr>
      <w:r>
        <w:rPr>
          <w:rFonts w:hint="eastAsia" w:ascii="宋体" w:hAnsi="Calibri" w:eastAsia="宋体" w:cs="Times New Roman"/>
          <w:color w:val="auto"/>
          <w:sz w:val="32"/>
          <w:szCs w:val="32"/>
        </w:rPr>
        <w:t>年    月    日</w:t>
      </w:r>
    </w:p>
    <w:p w14:paraId="07A5F5DE">
      <w:pPr>
        <w:ind w:firstLine="420"/>
        <w:rPr>
          <w:rFonts w:ascii="宋体" w:hAnsi="Calibri" w:eastAsia="宋体" w:cs="Times New Roman"/>
          <w:color w:val="auto"/>
        </w:rPr>
      </w:pPr>
    </w:p>
    <w:p w14:paraId="268B51DD">
      <w:pPr>
        <w:spacing w:before="260" w:after="260" w:line="415" w:lineRule="auto"/>
        <w:ind w:firstLine="0" w:firstLineChars="0"/>
        <w:jc w:val="center"/>
        <w:rPr>
          <w:color w:val="auto"/>
        </w:rPr>
      </w:pPr>
    </w:p>
    <w:p w14:paraId="2ECA9845">
      <w:pPr>
        <w:spacing w:before="260" w:after="260" w:line="415" w:lineRule="auto"/>
        <w:ind w:firstLine="0" w:firstLineChars="0"/>
        <w:jc w:val="center"/>
        <w:rPr>
          <w:rFonts w:ascii="宋体" w:hAnsi="Calibri" w:eastAsia="宋体" w:cs="Times New Roman"/>
          <w:b/>
          <w:bCs/>
          <w:color w:val="auto"/>
          <w:sz w:val="28"/>
          <w:szCs w:val="28"/>
        </w:rPr>
      </w:pPr>
    </w:p>
    <w:p w14:paraId="71BAE08F">
      <w:pPr>
        <w:spacing w:before="260" w:after="260" w:line="415" w:lineRule="auto"/>
        <w:ind w:firstLine="0" w:firstLineChars="0"/>
        <w:jc w:val="center"/>
        <w:rPr>
          <w:color w:val="auto"/>
        </w:rPr>
      </w:pPr>
      <w:r>
        <w:rPr>
          <w:rFonts w:hint="eastAsia" w:ascii="宋体" w:hAnsi="Calibri" w:eastAsia="宋体" w:cs="Times New Roman"/>
          <w:b/>
          <w:bCs/>
          <w:color w:val="auto"/>
          <w:sz w:val="28"/>
          <w:szCs w:val="28"/>
        </w:rPr>
        <w:t>(备注：请各供应商将资格证明文件封面、目录放置于资格证明文件第一项内容前，与第一项内容合并上传)</w:t>
      </w:r>
      <w:r>
        <w:rPr>
          <w:color w:val="auto"/>
        </w:rPr>
        <w:br w:type="page"/>
      </w:r>
    </w:p>
    <w:p w14:paraId="71F63052">
      <w:pPr>
        <w:pStyle w:val="60"/>
        <w:rPr>
          <w:color w:val="auto"/>
        </w:rPr>
      </w:pPr>
      <w:r>
        <w:rPr>
          <w:color w:val="auto"/>
        </w:rPr>
        <w:t>2.</w:t>
      </w:r>
      <w:r>
        <w:rPr>
          <w:rFonts w:hint="eastAsia"/>
          <w:color w:val="auto"/>
        </w:rPr>
        <w:t>资格证明文件目录</w:t>
      </w:r>
    </w:p>
    <w:p w14:paraId="132B18F0">
      <w:pPr>
        <w:widowControl w:val="0"/>
        <w:snapToGrid w:val="0"/>
        <w:spacing w:beforeLines="50" w:after="50"/>
        <w:ind w:firstLine="645" w:firstLineChars="0"/>
        <w:jc w:val="both"/>
        <w:rPr>
          <w:rFonts w:ascii="宋体" w:hAnsi="宋体" w:eastAsia="宋体" w:cs="Times New Roman"/>
          <w:b/>
          <w:bCs/>
          <w:color w:val="auto"/>
          <w:sz w:val="32"/>
          <w:szCs w:val="32"/>
        </w:rPr>
      </w:pPr>
      <w:r>
        <w:rPr>
          <w:rFonts w:hint="eastAsia" w:ascii="宋体" w:hAnsi="宋体" w:eastAsia="宋体" w:cs="Times New Roman"/>
          <w:b/>
          <w:bCs/>
          <w:color w:val="auto"/>
          <w:sz w:val="32"/>
          <w:szCs w:val="32"/>
        </w:rPr>
        <w:t>根据磋商文件规定及供应商提供的材料自行编写目录（部分格式后附）。</w:t>
      </w:r>
    </w:p>
    <w:p w14:paraId="26004D4A">
      <w:pPr>
        <w:spacing w:before="260" w:after="260" w:line="415" w:lineRule="auto"/>
        <w:ind w:firstLine="0" w:firstLineChars="0"/>
        <w:jc w:val="center"/>
        <w:rPr>
          <w:rFonts w:ascii="宋体" w:hAnsi="宋体" w:eastAsia="宋体"/>
          <w:b/>
          <w:color w:val="auto"/>
          <w:sz w:val="24"/>
          <w:szCs w:val="24"/>
        </w:rPr>
      </w:pPr>
      <w:r>
        <w:rPr>
          <w:color w:val="auto"/>
        </w:rPr>
        <w:br w:type="page"/>
      </w:r>
    </w:p>
    <w:p w14:paraId="1F0016FA">
      <w:pPr>
        <w:ind w:firstLine="420"/>
        <w:rPr>
          <w:color w:val="auto"/>
        </w:rPr>
      </w:pPr>
    </w:p>
    <w:p w14:paraId="63997EE7">
      <w:pPr>
        <w:snapToGrid w:val="0"/>
        <w:spacing w:before="50" w:after="50"/>
        <w:ind w:firstLine="0" w:firstLineChars="0"/>
        <w:jc w:val="center"/>
        <w:rPr>
          <w:rFonts w:ascii="宋体" w:hAnsi="宋体" w:eastAsia="宋体" w:cs="方正小标宋简体"/>
          <w:b/>
          <w:color w:val="auto"/>
          <w:sz w:val="44"/>
          <w:szCs w:val="44"/>
        </w:rPr>
      </w:pPr>
      <w:r>
        <w:rPr>
          <w:rFonts w:hint="eastAsia" w:ascii="宋体" w:hAnsi="宋体" w:eastAsia="宋体" w:cs="方正小标宋简体"/>
          <w:b/>
          <w:color w:val="auto"/>
          <w:sz w:val="44"/>
          <w:szCs w:val="44"/>
        </w:rPr>
        <w:t>供应商直接控股股东信息表</w:t>
      </w:r>
    </w:p>
    <w:p w14:paraId="7805FD62">
      <w:pPr>
        <w:ind w:firstLine="420"/>
        <w:rPr>
          <w:color w:val="auto"/>
        </w:rPr>
      </w:pPr>
    </w:p>
    <w:tbl>
      <w:tblPr>
        <w:tblStyle w:val="30"/>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2212"/>
        <w:gridCol w:w="851"/>
        <w:gridCol w:w="3969"/>
        <w:gridCol w:w="702"/>
      </w:tblGrid>
      <w:tr w14:paraId="68C0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760" w:type="dxa"/>
            <w:shd w:val="clear" w:color="auto" w:fill="auto"/>
            <w:tcMar>
              <w:top w:w="120" w:type="dxa"/>
              <w:left w:w="120" w:type="dxa"/>
              <w:bottom w:w="120" w:type="dxa"/>
              <w:right w:w="120" w:type="dxa"/>
            </w:tcMar>
            <w:vAlign w:val="center"/>
          </w:tcPr>
          <w:p w14:paraId="683D422D">
            <w:pPr>
              <w:ind w:firstLine="0" w:firstLineChars="0"/>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12" w:type="dxa"/>
            <w:shd w:val="clear" w:color="auto" w:fill="auto"/>
            <w:tcMar>
              <w:top w:w="120" w:type="dxa"/>
              <w:left w:w="120" w:type="dxa"/>
              <w:bottom w:w="120" w:type="dxa"/>
              <w:right w:w="120" w:type="dxa"/>
            </w:tcMar>
            <w:vAlign w:val="center"/>
          </w:tcPr>
          <w:p w14:paraId="78B00DC8">
            <w:pPr>
              <w:ind w:firstLine="0" w:firstLineChars="0"/>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851" w:type="dxa"/>
            <w:shd w:val="clear" w:color="auto" w:fill="auto"/>
            <w:tcMar>
              <w:top w:w="120" w:type="dxa"/>
              <w:left w:w="120" w:type="dxa"/>
              <w:bottom w:w="120" w:type="dxa"/>
              <w:right w:w="120" w:type="dxa"/>
            </w:tcMar>
            <w:vAlign w:val="center"/>
          </w:tcPr>
          <w:p w14:paraId="412F0E4D">
            <w:pPr>
              <w:ind w:firstLine="0" w:firstLineChars="0"/>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969" w:type="dxa"/>
            <w:shd w:val="clear" w:color="auto" w:fill="auto"/>
            <w:tcMar>
              <w:top w:w="120" w:type="dxa"/>
              <w:left w:w="120" w:type="dxa"/>
              <w:bottom w:w="120" w:type="dxa"/>
              <w:right w:w="120" w:type="dxa"/>
            </w:tcMar>
            <w:vAlign w:val="center"/>
          </w:tcPr>
          <w:p w14:paraId="7045895F">
            <w:pPr>
              <w:ind w:firstLine="0" w:firstLineChars="0"/>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702" w:type="dxa"/>
            <w:shd w:val="clear" w:color="auto" w:fill="auto"/>
            <w:tcMar>
              <w:top w:w="120" w:type="dxa"/>
              <w:left w:w="120" w:type="dxa"/>
              <w:bottom w:w="120" w:type="dxa"/>
              <w:right w:w="120" w:type="dxa"/>
            </w:tcMar>
            <w:vAlign w:val="center"/>
          </w:tcPr>
          <w:p w14:paraId="375540DA">
            <w:pPr>
              <w:ind w:firstLine="0" w:firstLineChars="0"/>
              <w:jc w:val="center"/>
              <w:rPr>
                <w:rFonts w:ascii="宋体" w:hAnsi="宋体" w:cs="宋体"/>
                <w:b/>
                <w:bCs/>
                <w:color w:val="auto"/>
                <w:kern w:val="0"/>
                <w:sz w:val="24"/>
              </w:rPr>
            </w:pPr>
            <w:r>
              <w:rPr>
                <w:rFonts w:hint="eastAsia" w:ascii="宋体" w:hAnsi="宋体" w:cs="宋体"/>
                <w:b/>
                <w:bCs/>
                <w:color w:val="auto"/>
                <w:kern w:val="0"/>
                <w:sz w:val="24"/>
              </w:rPr>
              <w:t>备注</w:t>
            </w:r>
          </w:p>
        </w:tc>
      </w:tr>
      <w:tr w14:paraId="0AE7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3EAE084E">
            <w:pPr>
              <w:ind w:firstLine="0" w:firstLineChars="0"/>
              <w:jc w:val="center"/>
              <w:rPr>
                <w:rFonts w:ascii="宋体" w:hAnsi="宋体" w:cs="宋体"/>
                <w:color w:val="auto"/>
                <w:kern w:val="0"/>
                <w:sz w:val="24"/>
              </w:rPr>
            </w:pPr>
            <w:r>
              <w:rPr>
                <w:rFonts w:hint="eastAsia" w:ascii="宋体" w:hAnsi="宋体" w:cs="宋体"/>
                <w:color w:val="auto"/>
                <w:kern w:val="0"/>
                <w:sz w:val="24"/>
              </w:rPr>
              <w:t>1</w:t>
            </w:r>
          </w:p>
        </w:tc>
        <w:tc>
          <w:tcPr>
            <w:tcW w:w="2212" w:type="dxa"/>
            <w:shd w:val="clear" w:color="auto" w:fill="auto"/>
            <w:tcMar>
              <w:top w:w="120" w:type="dxa"/>
              <w:left w:w="120" w:type="dxa"/>
              <w:bottom w:w="120" w:type="dxa"/>
              <w:right w:w="120" w:type="dxa"/>
            </w:tcMar>
            <w:vAlign w:val="center"/>
          </w:tcPr>
          <w:p w14:paraId="14A18157">
            <w:pPr>
              <w:ind w:firstLine="0" w:firstLineChars="0"/>
              <w:jc w:val="center"/>
              <w:rPr>
                <w:rFonts w:ascii="宋体" w:hAnsi="宋体" w:cs="宋体"/>
                <w:color w:val="auto"/>
                <w:kern w:val="0"/>
                <w:sz w:val="24"/>
              </w:rPr>
            </w:pPr>
          </w:p>
        </w:tc>
        <w:tc>
          <w:tcPr>
            <w:tcW w:w="851" w:type="dxa"/>
            <w:shd w:val="clear" w:color="auto" w:fill="auto"/>
            <w:tcMar>
              <w:top w:w="120" w:type="dxa"/>
              <w:left w:w="120" w:type="dxa"/>
              <w:bottom w:w="120" w:type="dxa"/>
              <w:right w:w="120" w:type="dxa"/>
            </w:tcMar>
            <w:vAlign w:val="center"/>
          </w:tcPr>
          <w:p w14:paraId="35ED69B2">
            <w:pPr>
              <w:ind w:firstLine="0" w:firstLineChars="0"/>
              <w:jc w:val="center"/>
              <w:rPr>
                <w:rFonts w:ascii="宋体" w:hAnsi="宋体" w:cs="宋体"/>
                <w:color w:val="auto"/>
                <w:kern w:val="0"/>
                <w:sz w:val="24"/>
              </w:rPr>
            </w:pPr>
          </w:p>
        </w:tc>
        <w:tc>
          <w:tcPr>
            <w:tcW w:w="3969" w:type="dxa"/>
            <w:shd w:val="clear" w:color="auto" w:fill="auto"/>
            <w:tcMar>
              <w:top w:w="120" w:type="dxa"/>
              <w:left w:w="120" w:type="dxa"/>
              <w:bottom w:w="120" w:type="dxa"/>
              <w:right w:w="120" w:type="dxa"/>
            </w:tcMar>
            <w:vAlign w:val="center"/>
          </w:tcPr>
          <w:p w14:paraId="77787F31">
            <w:pPr>
              <w:ind w:firstLine="0" w:firstLineChars="0"/>
              <w:jc w:val="center"/>
              <w:rPr>
                <w:rFonts w:ascii="宋体" w:hAnsi="宋体" w:cs="宋体"/>
                <w:color w:val="auto"/>
                <w:kern w:val="0"/>
                <w:sz w:val="24"/>
              </w:rPr>
            </w:pPr>
          </w:p>
        </w:tc>
        <w:tc>
          <w:tcPr>
            <w:tcW w:w="702" w:type="dxa"/>
            <w:shd w:val="clear" w:color="auto" w:fill="auto"/>
            <w:tcMar>
              <w:top w:w="120" w:type="dxa"/>
              <w:left w:w="120" w:type="dxa"/>
              <w:bottom w:w="120" w:type="dxa"/>
              <w:right w:w="120" w:type="dxa"/>
            </w:tcMar>
            <w:vAlign w:val="center"/>
          </w:tcPr>
          <w:p w14:paraId="255712C0">
            <w:pPr>
              <w:ind w:firstLine="0" w:firstLineChars="0"/>
              <w:jc w:val="center"/>
              <w:rPr>
                <w:rFonts w:ascii="宋体" w:hAnsi="宋体" w:cs="宋体"/>
                <w:color w:val="auto"/>
                <w:kern w:val="0"/>
                <w:sz w:val="24"/>
              </w:rPr>
            </w:pPr>
          </w:p>
        </w:tc>
      </w:tr>
      <w:tr w14:paraId="5071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297012AD">
            <w:pPr>
              <w:ind w:firstLine="0" w:firstLineChars="0"/>
              <w:jc w:val="center"/>
              <w:rPr>
                <w:rFonts w:ascii="宋体" w:hAnsi="宋体" w:cs="宋体"/>
                <w:color w:val="auto"/>
                <w:kern w:val="0"/>
                <w:sz w:val="24"/>
              </w:rPr>
            </w:pPr>
            <w:r>
              <w:rPr>
                <w:rFonts w:hint="eastAsia" w:ascii="宋体" w:hAnsi="宋体" w:cs="宋体"/>
                <w:color w:val="auto"/>
                <w:kern w:val="0"/>
                <w:sz w:val="24"/>
              </w:rPr>
              <w:t>2</w:t>
            </w:r>
          </w:p>
        </w:tc>
        <w:tc>
          <w:tcPr>
            <w:tcW w:w="2212" w:type="dxa"/>
            <w:shd w:val="clear" w:color="auto" w:fill="auto"/>
            <w:tcMar>
              <w:top w:w="120" w:type="dxa"/>
              <w:left w:w="120" w:type="dxa"/>
              <w:bottom w:w="120" w:type="dxa"/>
              <w:right w:w="120" w:type="dxa"/>
            </w:tcMar>
            <w:vAlign w:val="center"/>
          </w:tcPr>
          <w:p w14:paraId="563E38D9">
            <w:pPr>
              <w:ind w:firstLine="0" w:firstLineChars="0"/>
              <w:jc w:val="center"/>
              <w:rPr>
                <w:rFonts w:ascii="宋体" w:hAnsi="宋体" w:cs="宋体"/>
                <w:color w:val="auto"/>
                <w:kern w:val="0"/>
                <w:sz w:val="24"/>
              </w:rPr>
            </w:pPr>
          </w:p>
        </w:tc>
        <w:tc>
          <w:tcPr>
            <w:tcW w:w="851" w:type="dxa"/>
            <w:shd w:val="clear" w:color="auto" w:fill="auto"/>
            <w:tcMar>
              <w:top w:w="120" w:type="dxa"/>
              <w:left w:w="120" w:type="dxa"/>
              <w:bottom w:w="120" w:type="dxa"/>
              <w:right w:w="120" w:type="dxa"/>
            </w:tcMar>
            <w:vAlign w:val="center"/>
          </w:tcPr>
          <w:p w14:paraId="4ED21854">
            <w:pPr>
              <w:ind w:firstLine="0" w:firstLineChars="0"/>
              <w:jc w:val="center"/>
              <w:rPr>
                <w:rFonts w:ascii="宋体" w:hAnsi="宋体" w:cs="宋体"/>
                <w:color w:val="auto"/>
                <w:kern w:val="0"/>
                <w:sz w:val="24"/>
              </w:rPr>
            </w:pPr>
          </w:p>
        </w:tc>
        <w:tc>
          <w:tcPr>
            <w:tcW w:w="3969" w:type="dxa"/>
            <w:shd w:val="clear" w:color="auto" w:fill="auto"/>
            <w:tcMar>
              <w:top w:w="120" w:type="dxa"/>
              <w:left w:w="120" w:type="dxa"/>
              <w:bottom w:w="120" w:type="dxa"/>
              <w:right w:w="120" w:type="dxa"/>
            </w:tcMar>
            <w:vAlign w:val="center"/>
          </w:tcPr>
          <w:p w14:paraId="75FF50A5">
            <w:pPr>
              <w:ind w:firstLine="0" w:firstLineChars="0"/>
              <w:jc w:val="center"/>
              <w:rPr>
                <w:rFonts w:ascii="宋体" w:hAnsi="宋体" w:cs="宋体"/>
                <w:color w:val="auto"/>
                <w:kern w:val="0"/>
                <w:sz w:val="24"/>
              </w:rPr>
            </w:pPr>
          </w:p>
        </w:tc>
        <w:tc>
          <w:tcPr>
            <w:tcW w:w="702" w:type="dxa"/>
            <w:shd w:val="clear" w:color="auto" w:fill="auto"/>
            <w:tcMar>
              <w:top w:w="120" w:type="dxa"/>
              <w:left w:w="120" w:type="dxa"/>
              <w:bottom w:w="120" w:type="dxa"/>
              <w:right w:w="120" w:type="dxa"/>
            </w:tcMar>
            <w:vAlign w:val="center"/>
          </w:tcPr>
          <w:p w14:paraId="0C165831">
            <w:pPr>
              <w:ind w:firstLine="0" w:firstLineChars="0"/>
              <w:jc w:val="center"/>
              <w:rPr>
                <w:rFonts w:ascii="宋体" w:hAnsi="宋体" w:cs="宋体"/>
                <w:color w:val="auto"/>
                <w:kern w:val="0"/>
                <w:sz w:val="24"/>
              </w:rPr>
            </w:pPr>
          </w:p>
        </w:tc>
      </w:tr>
      <w:tr w14:paraId="1C48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4BE043D1">
            <w:pPr>
              <w:ind w:firstLine="0" w:firstLineChars="0"/>
              <w:jc w:val="center"/>
              <w:rPr>
                <w:rFonts w:ascii="宋体" w:hAnsi="宋体" w:cs="宋体"/>
                <w:color w:val="auto"/>
                <w:kern w:val="0"/>
                <w:sz w:val="24"/>
              </w:rPr>
            </w:pPr>
            <w:r>
              <w:rPr>
                <w:rFonts w:hint="eastAsia" w:ascii="宋体" w:hAnsi="宋体" w:cs="宋体"/>
                <w:color w:val="auto"/>
                <w:kern w:val="0"/>
                <w:sz w:val="24"/>
              </w:rPr>
              <w:t>3</w:t>
            </w:r>
          </w:p>
        </w:tc>
        <w:tc>
          <w:tcPr>
            <w:tcW w:w="2212" w:type="dxa"/>
            <w:shd w:val="clear" w:color="auto" w:fill="auto"/>
            <w:tcMar>
              <w:top w:w="120" w:type="dxa"/>
              <w:left w:w="120" w:type="dxa"/>
              <w:bottom w:w="120" w:type="dxa"/>
              <w:right w:w="120" w:type="dxa"/>
            </w:tcMar>
            <w:vAlign w:val="center"/>
          </w:tcPr>
          <w:p w14:paraId="43B9CA79">
            <w:pPr>
              <w:ind w:firstLine="0" w:firstLineChars="0"/>
              <w:jc w:val="center"/>
              <w:rPr>
                <w:rFonts w:ascii="宋体" w:hAnsi="宋体" w:cs="宋体"/>
                <w:color w:val="auto"/>
                <w:kern w:val="0"/>
                <w:sz w:val="24"/>
              </w:rPr>
            </w:pPr>
          </w:p>
        </w:tc>
        <w:tc>
          <w:tcPr>
            <w:tcW w:w="851" w:type="dxa"/>
            <w:shd w:val="clear" w:color="auto" w:fill="auto"/>
            <w:tcMar>
              <w:top w:w="120" w:type="dxa"/>
              <w:left w:w="120" w:type="dxa"/>
              <w:bottom w:w="120" w:type="dxa"/>
              <w:right w:w="120" w:type="dxa"/>
            </w:tcMar>
            <w:vAlign w:val="center"/>
          </w:tcPr>
          <w:p w14:paraId="05DB819E">
            <w:pPr>
              <w:ind w:firstLine="0" w:firstLineChars="0"/>
              <w:jc w:val="center"/>
              <w:rPr>
                <w:rFonts w:ascii="宋体" w:hAnsi="宋体" w:cs="宋体"/>
                <w:color w:val="auto"/>
                <w:kern w:val="0"/>
                <w:sz w:val="24"/>
              </w:rPr>
            </w:pPr>
          </w:p>
        </w:tc>
        <w:tc>
          <w:tcPr>
            <w:tcW w:w="3969" w:type="dxa"/>
            <w:shd w:val="clear" w:color="auto" w:fill="auto"/>
            <w:tcMar>
              <w:top w:w="120" w:type="dxa"/>
              <w:left w:w="120" w:type="dxa"/>
              <w:bottom w:w="120" w:type="dxa"/>
              <w:right w:w="120" w:type="dxa"/>
            </w:tcMar>
            <w:vAlign w:val="center"/>
          </w:tcPr>
          <w:p w14:paraId="6E023D55">
            <w:pPr>
              <w:ind w:firstLine="0" w:firstLineChars="0"/>
              <w:jc w:val="center"/>
              <w:rPr>
                <w:rFonts w:ascii="宋体" w:hAnsi="宋体" w:cs="宋体"/>
                <w:color w:val="auto"/>
                <w:kern w:val="0"/>
                <w:sz w:val="24"/>
              </w:rPr>
            </w:pPr>
          </w:p>
        </w:tc>
        <w:tc>
          <w:tcPr>
            <w:tcW w:w="702" w:type="dxa"/>
            <w:shd w:val="clear" w:color="auto" w:fill="auto"/>
            <w:tcMar>
              <w:top w:w="120" w:type="dxa"/>
              <w:left w:w="120" w:type="dxa"/>
              <w:bottom w:w="120" w:type="dxa"/>
              <w:right w:w="120" w:type="dxa"/>
            </w:tcMar>
            <w:vAlign w:val="center"/>
          </w:tcPr>
          <w:p w14:paraId="068B9756">
            <w:pPr>
              <w:ind w:firstLine="0" w:firstLineChars="0"/>
              <w:jc w:val="center"/>
              <w:rPr>
                <w:rFonts w:ascii="宋体" w:hAnsi="宋体" w:cs="宋体"/>
                <w:color w:val="auto"/>
                <w:kern w:val="0"/>
                <w:sz w:val="24"/>
              </w:rPr>
            </w:pPr>
          </w:p>
        </w:tc>
      </w:tr>
      <w:tr w14:paraId="31A4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13242C4C">
            <w:pPr>
              <w:ind w:firstLine="0" w:firstLineChars="0"/>
              <w:jc w:val="center"/>
              <w:rPr>
                <w:rFonts w:ascii="宋体" w:hAnsi="宋体" w:cs="宋体"/>
                <w:color w:val="auto"/>
                <w:kern w:val="0"/>
                <w:sz w:val="24"/>
              </w:rPr>
            </w:pPr>
            <w:r>
              <w:rPr>
                <w:rFonts w:hint="eastAsia" w:ascii="宋体" w:hAnsi="宋体" w:cs="宋体"/>
                <w:color w:val="auto"/>
                <w:kern w:val="0"/>
                <w:sz w:val="24"/>
              </w:rPr>
              <w:t>……</w:t>
            </w:r>
          </w:p>
        </w:tc>
        <w:tc>
          <w:tcPr>
            <w:tcW w:w="2212" w:type="dxa"/>
            <w:shd w:val="clear" w:color="auto" w:fill="auto"/>
            <w:tcMar>
              <w:top w:w="120" w:type="dxa"/>
              <w:left w:w="120" w:type="dxa"/>
              <w:bottom w:w="120" w:type="dxa"/>
              <w:right w:w="120" w:type="dxa"/>
            </w:tcMar>
            <w:vAlign w:val="center"/>
          </w:tcPr>
          <w:p w14:paraId="6C48C8A8">
            <w:pPr>
              <w:ind w:firstLine="0" w:firstLineChars="0"/>
              <w:jc w:val="center"/>
              <w:rPr>
                <w:rFonts w:ascii="宋体" w:hAnsi="宋体" w:cs="宋体"/>
                <w:color w:val="auto"/>
                <w:kern w:val="0"/>
                <w:sz w:val="24"/>
              </w:rPr>
            </w:pPr>
          </w:p>
        </w:tc>
        <w:tc>
          <w:tcPr>
            <w:tcW w:w="851" w:type="dxa"/>
            <w:shd w:val="clear" w:color="auto" w:fill="auto"/>
            <w:tcMar>
              <w:top w:w="120" w:type="dxa"/>
              <w:left w:w="120" w:type="dxa"/>
              <w:bottom w:w="120" w:type="dxa"/>
              <w:right w:w="120" w:type="dxa"/>
            </w:tcMar>
            <w:vAlign w:val="center"/>
          </w:tcPr>
          <w:p w14:paraId="73832322">
            <w:pPr>
              <w:ind w:firstLine="0" w:firstLineChars="0"/>
              <w:jc w:val="center"/>
              <w:rPr>
                <w:rFonts w:ascii="宋体" w:hAnsi="宋体" w:cs="宋体"/>
                <w:color w:val="auto"/>
                <w:kern w:val="0"/>
                <w:sz w:val="24"/>
              </w:rPr>
            </w:pPr>
          </w:p>
        </w:tc>
        <w:tc>
          <w:tcPr>
            <w:tcW w:w="3969" w:type="dxa"/>
            <w:shd w:val="clear" w:color="auto" w:fill="auto"/>
            <w:tcMar>
              <w:top w:w="120" w:type="dxa"/>
              <w:left w:w="120" w:type="dxa"/>
              <w:bottom w:w="120" w:type="dxa"/>
              <w:right w:w="120" w:type="dxa"/>
            </w:tcMar>
            <w:vAlign w:val="center"/>
          </w:tcPr>
          <w:p w14:paraId="2BB52600">
            <w:pPr>
              <w:ind w:firstLine="0" w:firstLineChars="0"/>
              <w:jc w:val="center"/>
              <w:rPr>
                <w:rFonts w:ascii="宋体" w:hAnsi="宋体" w:cs="宋体"/>
                <w:color w:val="auto"/>
                <w:kern w:val="0"/>
                <w:sz w:val="24"/>
              </w:rPr>
            </w:pPr>
          </w:p>
        </w:tc>
        <w:tc>
          <w:tcPr>
            <w:tcW w:w="702" w:type="dxa"/>
            <w:shd w:val="clear" w:color="auto" w:fill="auto"/>
            <w:tcMar>
              <w:top w:w="120" w:type="dxa"/>
              <w:left w:w="120" w:type="dxa"/>
              <w:bottom w:w="120" w:type="dxa"/>
              <w:right w:w="120" w:type="dxa"/>
            </w:tcMar>
            <w:vAlign w:val="center"/>
          </w:tcPr>
          <w:p w14:paraId="056CE86C">
            <w:pPr>
              <w:ind w:firstLine="0" w:firstLineChars="0"/>
              <w:jc w:val="center"/>
              <w:rPr>
                <w:rFonts w:ascii="宋体" w:hAnsi="宋体" w:cs="宋体"/>
                <w:color w:val="auto"/>
                <w:kern w:val="0"/>
                <w:sz w:val="24"/>
              </w:rPr>
            </w:pPr>
          </w:p>
        </w:tc>
      </w:tr>
    </w:tbl>
    <w:p w14:paraId="2D1F694F">
      <w:pPr>
        <w:snapToGrid w:val="0"/>
        <w:ind w:firstLine="0" w:firstLineChars="0"/>
        <w:rPr>
          <w:rFonts w:ascii="宋体" w:hAnsi="宋体"/>
          <w:color w:val="auto"/>
          <w:sz w:val="24"/>
        </w:rPr>
      </w:pPr>
      <w:r>
        <w:rPr>
          <w:rFonts w:hint="eastAsia" w:ascii="宋体" w:hAnsi="宋体"/>
          <w:color w:val="auto"/>
          <w:sz w:val="24"/>
        </w:rPr>
        <w:t>注：</w:t>
      </w:r>
    </w:p>
    <w:p w14:paraId="53084B1F">
      <w:pPr>
        <w:snapToGrid w:val="0"/>
        <w:ind w:firstLine="480"/>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A9AE3B">
      <w:pPr>
        <w:snapToGrid w:val="0"/>
        <w:ind w:firstLine="480"/>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72116479">
      <w:pPr>
        <w:snapToGrid w:val="0"/>
        <w:ind w:firstLine="480"/>
        <w:rPr>
          <w:rFonts w:ascii="宋体" w:hAnsi="宋体"/>
          <w:b/>
          <w:bCs/>
          <w:color w:val="auto"/>
          <w:sz w:val="24"/>
        </w:rPr>
      </w:pPr>
      <w:r>
        <w:rPr>
          <w:rFonts w:hint="eastAsia" w:ascii="宋体" w:hAnsi="宋体"/>
          <w:color w:val="auto"/>
          <w:sz w:val="24"/>
        </w:rPr>
        <w:t>3.</w:t>
      </w:r>
      <w:r>
        <w:rPr>
          <w:rFonts w:hint="eastAsia" w:ascii="宋体" w:hAnsi="宋体" w:cs="宋体"/>
          <w:b/>
          <w:bCs/>
          <w:color w:val="auto"/>
          <w:sz w:val="24"/>
        </w:rPr>
        <w:t>供应商不存在直接控股股东的，</w:t>
      </w:r>
      <w:r>
        <w:rPr>
          <w:rFonts w:hint="eastAsia" w:ascii="宋体" w:hAnsi="宋体"/>
          <w:b/>
          <w:bCs/>
          <w:color w:val="auto"/>
          <w:sz w:val="24"/>
        </w:rPr>
        <w:t>则在“直接控股股东名称”填“无”</w:t>
      </w:r>
      <w:r>
        <w:rPr>
          <w:rFonts w:hint="eastAsia" w:ascii="宋体" w:hAnsi="宋体" w:cs="宋体"/>
          <w:b/>
          <w:bCs/>
          <w:color w:val="auto"/>
          <w:sz w:val="24"/>
        </w:rPr>
        <w:t>。</w:t>
      </w:r>
    </w:p>
    <w:p w14:paraId="110C79CB">
      <w:pPr>
        <w:snapToGrid w:val="0"/>
        <w:ind w:firstLine="480"/>
        <w:rPr>
          <w:rFonts w:ascii="宋体" w:hAnsi="宋体"/>
          <w:color w:val="auto"/>
          <w:sz w:val="24"/>
        </w:rPr>
      </w:pPr>
    </w:p>
    <w:p w14:paraId="0213CC14">
      <w:pPr>
        <w:snapToGrid w:val="0"/>
        <w:ind w:firstLine="480"/>
        <w:rPr>
          <w:rFonts w:ascii="宋体" w:hAnsi="宋体"/>
          <w:color w:val="auto"/>
          <w:sz w:val="24"/>
        </w:rPr>
      </w:pPr>
    </w:p>
    <w:p w14:paraId="5CEA6B7F">
      <w:pPr>
        <w:spacing w:line="600" w:lineRule="auto"/>
        <w:ind w:firstLine="0" w:firstLineChars="0"/>
        <w:rPr>
          <w:rFonts w:ascii="宋体" w:hAnsi="宋体"/>
          <w:color w:val="auto"/>
          <w:spacing w:val="20"/>
          <w:sz w:val="24"/>
          <w:szCs w:val="24"/>
          <w:u w:val="single"/>
        </w:rPr>
      </w:pPr>
      <w:r>
        <w:rPr>
          <w:rFonts w:hint="eastAsia" w:ascii="宋体" w:hAnsi="宋体"/>
          <w:color w:val="auto"/>
          <w:sz w:val="24"/>
          <w:szCs w:val="24"/>
        </w:rPr>
        <w:t>法定代表人或者委托代理人</w:t>
      </w:r>
      <w:r>
        <w:rPr>
          <w:rFonts w:hint="eastAsia" w:ascii="宋体" w:hAnsi="宋体"/>
          <w:color w:val="auto"/>
          <w:spacing w:val="20"/>
          <w:sz w:val="24"/>
          <w:szCs w:val="24"/>
        </w:rPr>
        <w:t>（</w:t>
      </w:r>
      <w:r>
        <w:rPr>
          <w:rFonts w:hint="eastAsia" w:ascii="宋体" w:hAnsi="宋体"/>
          <w:b/>
          <w:bCs/>
          <w:color w:val="auto"/>
          <w:sz w:val="24"/>
        </w:rPr>
        <w:t>签字或者盖章或者电子签名</w:t>
      </w:r>
      <w:r>
        <w:rPr>
          <w:rFonts w:hint="eastAsia" w:ascii="宋体" w:hAnsi="宋体"/>
          <w:color w:val="auto"/>
          <w:spacing w:val="20"/>
          <w:sz w:val="24"/>
          <w:szCs w:val="24"/>
        </w:rPr>
        <w:t>）：</w:t>
      </w:r>
    </w:p>
    <w:p w14:paraId="48405A6A">
      <w:pPr>
        <w:spacing w:line="600" w:lineRule="auto"/>
        <w:ind w:firstLine="0" w:firstLineChars="0"/>
        <w:rPr>
          <w:rFonts w:ascii="宋体" w:hAnsi="宋体"/>
          <w:color w:val="auto"/>
          <w:spacing w:val="20"/>
          <w:sz w:val="24"/>
          <w:szCs w:val="24"/>
        </w:rPr>
      </w:pPr>
      <w:r>
        <w:rPr>
          <w:rFonts w:hint="eastAsia"/>
          <w:color w:val="auto"/>
          <w:sz w:val="24"/>
          <w:szCs w:val="24"/>
          <w:lang w:val="zh-CN"/>
        </w:rPr>
        <w:t>供应商</w:t>
      </w:r>
      <w:r>
        <w:rPr>
          <w:rFonts w:hint="eastAsia" w:ascii="宋体" w:hAnsi="宋体"/>
          <w:color w:val="auto"/>
          <w:spacing w:val="20"/>
          <w:sz w:val="24"/>
          <w:szCs w:val="24"/>
        </w:rPr>
        <w:t>（</w:t>
      </w:r>
      <w:r>
        <w:rPr>
          <w:rFonts w:hint="eastAsia" w:ascii="宋体" w:hAnsi="宋体"/>
          <w:b/>
          <w:bCs/>
          <w:color w:val="auto"/>
          <w:sz w:val="24"/>
        </w:rPr>
        <w:t>电子签章）</w:t>
      </w:r>
      <w:r>
        <w:rPr>
          <w:rFonts w:hint="eastAsia" w:ascii="宋体" w:hAnsi="宋体"/>
          <w:color w:val="auto"/>
          <w:spacing w:val="20"/>
          <w:sz w:val="24"/>
          <w:szCs w:val="24"/>
        </w:rPr>
        <w:t>：</w:t>
      </w:r>
    </w:p>
    <w:p w14:paraId="6F46B4CB">
      <w:pPr>
        <w:spacing w:line="600" w:lineRule="auto"/>
        <w:ind w:firstLine="0" w:firstLineChars="0"/>
        <w:rPr>
          <w:rFonts w:ascii="宋体" w:hAnsi="宋体"/>
          <w:color w:val="auto"/>
          <w:sz w:val="24"/>
          <w:szCs w:val="22"/>
        </w:rPr>
      </w:pPr>
      <w:r>
        <w:rPr>
          <w:rFonts w:hint="eastAsia" w:ascii="宋体" w:hAnsi="宋体"/>
          <w:color w:val="auto"/>
          <w:spacing w:val="20"/>
          <w:sz w:val="24"/>
          <w:szCs w:val="24"/>
        </w:rPr>
        <w:t>日  期：年月日</w:t>
      </w:r>
    </w:p>
    <w:p w14:paraId="52E5DD48">
      <w:pPr>
        <w:spacing w:before="260" w:after="260" w:line="415" w:lineRule="auto"/>
        <w:ind w:firstLine="0" w:firstLineChars="0"/>
        <w:jc w:val="center"/>
        <w:rPr>
          <w:rFonts w:ascii="宋体" w:hAnsi="宋体" w:eastAsia="宋体" w:cs="方正小标宋简体"/>
          <w:b/>
          <w:color w:val="auto"/>
          <w:sz w:val="44"/>
          <w:szCs w:val="44"/>
        </w:rPr>
      </w:pPr>
      <w:r>
        <w:rPr>
          <w:rFonts w:ascii="宋体" w:hAnsi="宋体" w:eastAsia="宋体" w:cs="方正小标宋简体"/>
          <w:b/>
          <w:color w:val="auto"/>
          <w:sz w:val="44"/>
          <w:szCs w:val="44"/>
        </w:rPr>
        <w:br w:type="page"/>
      </w:r>
    </w:p>
    <w:p w14:paraId="43CE3A5A">
      <w:pPr>
        <w:ind w:firstLine="420"/>
        <w:rPr>
          <w:color w:val="auto"/>
        </w:rPr>
      </w:pPr>
    </w:p>
    <w:p w14:paraId="6DA46985">
      <w:pPr>
        <w:snapToGrid w:val="0"/>
        <w:spacing w:before="50" w:after="50"/>
        <w:ind w:firstLine="0" w:firstLineChars="0"/>
        <w:jc w:val="center"/>
        <w:rPr>
          <w:rFonts w:ascii="宋体" w:hAnsi="宋体" w:eastAsia="宋体" w:cs="方正小标宋简体"/>
          <w:b/>
          <w:color w:val="auto"/>
          <w:sz w:val="44"/>
          <w:szCs w:val="44"/>
        </w:rPr>
      </w:pPr>
      <w:r>
        <w:rPr>
          <w:rFonts w:hint="eastAsia" w:ascii="宋体" w:hAnsi="宋体" w:eastAsia="宋体" w:cs="方正小标宋简体"/>
          <w:b/>
          <w:color w:val="auto"/>
          <w:sz w:val="44"/>
          <w:szCs w:val="44"/>
        </w:rPr>
        <w:t>供应商直接管理关系信息表</w:t>
      </w:r>
    </w:p>
    <w:p w14:paraId="7F73E6F8">
      <w:pPr>
        <w:ind w:firstLine="420"/>
        <w:rPr>
          <w:color w:val="auto"/>
        </w:rPr>
      </w:pPr>
    </w:p>
    <w:tbl>
      <w:tblPr>
        <w:tblStyle w:val="30"/>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2917"/>
        <w:gridCol w:w="2850"/>
        <w:gridCol w:w="1821"/>
      </w:tblGrid>
      <w:tr w14:paraId="797D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906" w:type="dxa"/>
            <w:shd w:val="clear" w:color="auto" w:fill="auto"/>
            <w:tcMar>
              <w:top w:w="120" w:type="dxa"/>
              <w:left w:w="120" w:type="dxa"/>
              <w:bottom w:w="120" w:type="dxa"/>
              <w:right w:w="120" w:type="dxa"/>
            </w:tcMar>
            <w:vAlign w:val="center"/>
          </w:tcPr>
          <w:p w14:paraId="4520102F">
            <w:pPr>
              <w:ind w:firstLine="0" w:firstLineChars="0"/>
              <w:jc w:val="center"/>
              <w:rPr>
                <w:rFonts w:ascii="宋体" w:hAnsi="宋体" w:cs="宋体"/>
                <w:b/>
                <w:bCs/>
                <w:color w:val="auto"/>
                <w:kern w:val="0"/>
                <w:sz w:val="24"/>
              </w:rPr>
            </w:pPr>
            <w:r>
              <w:rPr>
                <w:rFonts w:hint="eastAsia" w:ascii="宋体" w:hAnsi="宋体" w:cs="宋体"/>
                <w:b/>
                <w:bCs/>
                <w:color w:val="auto"/>
                <w:kern w:val="0"/>
                <w:sz w:val="24"/>
              </w:rPr>
              <w:t>序号</w:t>
            </w:r>
          </w:p>
        </w:tc>
        <w:tc>
          <w:tcPr>
            <w:tcW w:w="2917" w:type="dxa"/>
            <w:shd w:val="clear" w:color="auto" w:fill="auto"/>
            <w:tcMar>
              <w:top w:w="120" w:type="dxa"/>
              <w:left w:w="120" w:type="dxa"/>
              <w:bottom w:w="120" w:type="dxa"/>
              <w:right w:w="120" w:type="dxa"/>
            </w:tcMar>
            <w:vAlign w:val="center"/>
          </w:tcPr>
          <w:p w14:paraId="6D4FC6D7">
            <w:pPr>
              <w:ind w:firstLine="0" w:firstLineChars="0"/>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2850" w:type="dxa"/>
            <w:shd w:val="clear" w:color="auto" w:fill="auto"/>
            <w:tcMar>
              <w:top w:w="120" w:type="dxa"/>
              <w:left w:w="120" w:type="dxa"/>
              <w:bottom w:w="120" w:type="dxa"/>
              <w:right w:w="120" w:type="dxa"/>
            </w:tcMar>
            <w:vAlign w:val="center"/>
          </w:tcPr>
          <w:p w14:paraId="7B91BACD">
            <w:pPr>
              <w:ind w:firstLine="0" w:firstLineChars="0"/>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821" w:type="dxa"/>
            <w:shd w:val="clear" w:color="auto" w:fill="auto"/>
            <w:tcMar>
              <w:top w:w="120" w:type="dxa"/>
              <w:left w:w="120" w:type="dxa"/>
              <w:bottom w:w="120" w:type="dxa"/>
              <w:right w:w="120" w:type="dxa"/>
            </w:tcMar>
            <w:vAlign w:val="center"/>
          </w:tcPr>
          <w:p w14:paraId="1E8AB621">
            <w:pPr>
              <w:ind w:firstLine="0" w:firstLineChars="0"/>
              <w:jc w:val="center"/>
              <w:rPr>
                <w:rFonts w:ascii="宋体" w:hAnsi="宋体" w:cs="宋体"/>
                <w:b/>
                <w:bCs/>
                <w:color w:val="auto"/>
                <w:kern w:val="0"/>
                <w:sz w:val="24"/>
              </w:rPr>
            </w:pPr>
            <w:r>
              <w:rPr>
                <w:rFonts w:hint="eastAsia" w:ascii="宋体" w:hAnsi="宋体" w:cs="宋体"/>
                <w:b/>
                <w:bCs/>
                <w:color w:val="auto"/>
                <w:kern w:val="0"/>
                <w:sz w:val="24"/>
              </w:rPr>
              <w:t>备注</w:t>
            </w:r>
          </w:p>
        </w:tc>
      </w:tr>
      <w:tr w14:paraId="3D06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7064AC3E">
            <w:pPr>
              <w:ind w:firstLine="0" w:firstLineChars="0"/>
              <w:jc w:val="center"/>
              <w:rPr>
                <w:rFonts w:ascii="宋体" w:hAnsi="宋体" w:cs="宋体"/>
                <w:color w:val="auto"/>
                <w:kern w:val="0"/>
                <w:sz w:val="24"/>
              </w:rPr>
            </w:pPr>
            <w:r>
              <w:rPr>
                <w:rFonts w:hint="eastAsia" w:ascii="宋体" w:hAnsi="宋体" w:cs="宋体"/>
                <w:color w:val="auto"/>
                <w:kern w:val="0"/>
                <w:sz w:val="24"/>
              </w:rPr>
              <w:t>1</w:t>
            </w:r>
          </w:p>
        </w:tc>
        <w:tc>
          <w:tcPr>
            <w:tcW w:w="2917" w:type="dxa"/>
            <w:shd w:val="clear" w:color="auto" w:fill="auto"/>
            <w:tcMar>
              <w:top w:w="120" w:type="dxa"/>
              <w:left w:w="120" w:type="dxa"/>
              <w:bottom w:w="120" w:type="dxa"/>
              <w:right w:w="120" w:type="dxa"/>
            </w:tcMar>
            <w:vAlign w:val="center"/>
          </w:tcPr>
          <w:p w14:paraId="0A1ACD41">
            <w:pPr>
              <w:ind w:firstLine="0" w:firstLineChars="0"/>
              <w:jc w:val="center"/>
              <w:rPr>
                <w:rFonts w:ascii="宋体" w:hAnsi="宋体" w:cs="宋体"/>
                <w:color w:val="auto"/>
                <w:kern w:val="0"/>
                <w:sz w:val="24"/>
              </w:rPr>
            </w:pPr>
          </w:p>
        </w:tc>
        <w:tc>
          <w:tcPr>
            <w:tcW w:w="2850" w:type="dxa"/>
            <w:shd w:val="clear" w:color="auto" w:fill="auto"/>
            <w:tcMar>
              <w:top w:w="120" w:type="dxa"/>
              <w:left w:w="120" w:type="dxa"/>
              <w:bottom w:w="120" w:type="dxa"/>
              <w:right w:w="120" w:type="dxa"/>
            </w:tcMar>
            <w:vAlign w:val="center"/>
          </w:tcPr>
          <w:p w14:paraId="7CB70EFE">
            <w:pPr>
              <w:ind w:firstLine="0" w:firstLineChars="0"/>
              <w:jc w:val="center"/>
              <w:rPr>
                <w:rFonts w:ascii="宋体" w:hAnsi="宋体" w:cs="宋体"/>
                <w:color w:val="auto"/>
                <w:kern w:val="0"/>
                <w:sz w:val="24"/>
              </w:rPr>
            </w:pPr>
          </w:p>
        </w:tc>
        <w:tc>
          <w:tcPr>
            <w:tcW w:w="1821" w:type="dxa"/>
            <w:shd w:val="clear" w:color="auto" w:fill="auto"/>
            <w:tcMar>
              <w:top w:w="120" w:type="dxa"/>
              <w:left w:w="120" w:type="dxa"/>
              <w:bottom w:w="120" w:type="dxa"/>
              <w:right w:w="120" w:type="dxa"/>
            </w:tcMar>
            <w:vAlign w:val="center"/>
          </w:tcPr>
          <w:p w14:paraId="2BB0F927">
            <w:pPr>
              <w:ind w:firstLine="0" w:firstLineChars="0"/>
              <w:jc w:val="center"/>
              <w:rPr>
                <w:rFonts w:ascii="宋体" w:hAnsi="宋体" w:cs="宋体"/>
                <w:color w:val="auto"/>
                <w:kern w:val="0"/>
                <w:sz w:val="24"/>
              </w:rPr>
            </w:pPr>
          </w:p>
        </w:tc>
      </w:tr>
      <w:tr w14:paraId="0488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10FEEA18">
            <w:pPr>
              <w:ind w:firstLine="0" w:firstLineChars="0"/>
              <w:jc w:val="center"/>
              <w:rPr>
                <w:rFonts w:ascii="宋体" w:hAnsi="宋体" w:cs="宋体"/>
                <w:color w:val="auto"/>
                <w:kern w:val="0"/>
                <w:sz w:val="24"/>
              </w:rPr>
            </w:pPr>
            <w:r>
              <w:rPr>
                <w:rFonts w:hint="eastAsia" w:ascii="宋体" w:hAnsi="宋体" w:cs="宋体"/>
                <w:color w:val="auto"/>
                <w:kern w:val="0"/>
                <w:sz w:val="24"/>
              </w:rPr>
              <w:t>2</w:t>
            </w:r>
          </w:p>
        </w:tc>
        <w:tc>
          <w:tcPr>
            <w:tcW w:w="2917" w:type="dxa"/>
            <w:shd w:val="clear" w:color="auto" w:fill="auto"/>
            <w:tcMar>
              <w:top w:w="120" w:type="dxa"/>
              <w:left w:w="120" w:type="dxa"/>
              <w:bottom w:w="120" w:type="dxa"/>
              <w:right w:w="120" w:type="dxa"/>
            </w:tcMar>
            <w:vAlign w:val="center"/>
          </w:tcPr>
          <w:p w14:paraId="316E1F3A">
            <w:pPr>
              <w:ind w:firstLine="0" w:firstLineChars="0"/>
              <w:jc w:val="center"/>
              <w:rPr>
                <w:rFonts w:ascii="宋体" w:hAnsi="宋体" w:cs="宋体"/>
                <w:color w:val="auto"/>
                <w:kern w:val="0"/>
                <w:sz w:val="24"/>
              </w:rPr>
            </w:pPr>
          </w:p>
        </w:tc>
        <w:tc>
          <w:tcPr>
            <w:tcW w:w="2850" w:type="dxa"/>
            <w:shd w:val="clear" w:color="auto" w:fill="auto"/>
            <w:tcMar>
              <w:top w:w="120" w:type="dxa"/>
              <w:left w:w="120" w:type="dxa"/>
              <w:bottom w:w="120" w:type="dxa"/>
              <w:right w:w="120" w:type="dxa"/>
            </w:tcMar>
            <w:vAlign w:val="center"/>
          </w:tcPr>
          <w:p w14:paraId="28E29693">
            <w:pPr>
              <w:ind w:firstLine="0" w:firstLineChars="0"/>
              <w:jc w:val="center"/>
              <w:rPr>
                <w:rFonts w:ascii="宋体" w:hAnsi="宋体" w:cs="宋体"/>
                <w:color w:val="auto"/>
                <w:kern w:val="0"/>
                <w:sz w:val="24"/>
              </w:rPr>
            </w:pPr>
          </w:p>
        </w:tc>
        <w:tc>
          <w:tcPr>
            <w:tcW w:w="1821" w:type="dxa"/>
            <w:shd w:val="clear" w:color="auto" w:fill="auto"/>
            <w:tcMar>
              <w:top w:w="120" w:type="dxa"/>
              <w:left w:w="120" w:type="dxa"/>
              <w:bottom w:w="120" w:type="dxa"/>
              <w:right w:w="120" w:type="dxa"/>
            </w:tcMar>
            <w:vAlign w:val="center"/>
          </w:tcPr>
          <w:p w14:paraId="22FBD811">
            <w:pPr>
              <w:ind w:firstLine="0" w:firstLineChars="0"/>
              <w:jc w:val="center"/>
              <w:rPr>
                <w:rFonts w:ascii="宋体" w:hAnsi="宋体" w:cs="宋体"/>
                <w:color w:val="auto"/>
                <w:kern w:val="0"/>
                <w:sz w:val="24"/>
              </w:rPr>
            </w:pPr>
          </w:p>
        </w:tc>
      </w:tr>
      <w:tr w14:paraId="4122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582A1948">
            <w:pPr>
              <w:ind w:firstLine="0" w:firstLineChars="0"/>
              <w:jc w:val="center"/>
              <w:rPr>
                <w:rFonts w:ascii="宋体" w:hAnsi="宋体" w:cs="宋体"/>
                <w:color w:val="auto"/>
                <w:kern w:val="0"/>
                <w:sz w:val="24"/>
              </w:rPr>
            </w:pPr>
            <w:r>
              <w:rPr>
                <w:rFonts w:hint="eastAsia" w:ascii="宋体" w:hAnsi="宋体" w:cs="宋体"/>
                <w:color w:val="auto"/>
                <w:kern w:val="0"/>
                <w:sz w:val="24"/>
              </w:rPr>
              <w:t>3</w:t>
            </w:r>
          </w:p>
        </w:tc>
        <w:tc>
          <w:tcPr>
            <w:tcW w:w="2917" w:type="dxa"/>
            <w:shd w:val="clear" w:color="auto" w:fill="auto"/>
            <w:tcMar>
              <w:top w:w="120" w:type="dxa"/>
              <w:left w:w="120" w:type="dxa"/>
              <w:bottom w:w="120" w:type="dxa"/>
              <w:right w:w="120" w:type="dxa"/>
            </w:tcMar>
            <w:vAlign w:val="center"/>
          </w:tcPr>
          <w:p w14:paraId="0429F1D5">
            <w:pPr>
              <w:ind w:firstLine="0" w:firstLineChars="0"/>
              <w:jc w:val="center"/>
              <w:rPr>
                <w:rFonts w:ascii="宋体" w:hAnsi="宋体" w:cs="宋体"/>
                <w:color w:val="auto"/>
                <w:kern w:val="0"/>
                <w:sz w:val="24"/>
              </w:rPr>
            </w:pPr>
          </w:p>
        </w:tc>
        <w:tc>
          <w:tcPr>
            <w:tcW w:w="2850" w:type="dxa"/>
            <w:shd w:val="clear" w:color="auto" w:fill="auto"/>
            <w:tcMar>
              <w:top w:w="120" w:type="dxa"/>
              <w:left w:w="120" w:type="dxa"/>
              <w:bottom w:w="120" w:type="dxa"/>
              <w:right w:w="120" w:type="dxa"/>
            </w:tcMar>
            <w:vAlign w:val="center"/>
          </w:tcPr>
          <w:p w14:paraId="6CE67BA0">
            <w:pPr>
              <w:ind w:firstLine="0" w:firstLineChars="0"/>
              <w:jc w:val="center"/>
              <w:rPr>
                <w:rFonts w:ascii="宋体" w:hAnsi="宋体" w:cs="宋体"/>
                <w:color w:val="auto"/>
                <w:kern w:val="0"/>
                <w:sz w:val="24"/>
              </w:rPr>
            </w:pPr>
          </w:p>
        </w:tc>
        <w:tc>
          <w:tcPr>
            <w:tcW w:w="1821" w:type="dxa"/>
            <w:shd w:val="clear" w:color="auto" w:fill="auto"/>
            <w:tcMar>
              <w:top w:w="120" w:type="dxa"/>
              <w:left w:w="120" w:type="dxa"/>
              <w:bottom w:w="120" w:type="dxa"/>
              <w:right w:w="120" w:type="dxa"/>
            </w:tcMar>
            <w:vAlign w:val="center"/>
          </w:tcPr>
          <w:p w14:paraId="203404CC">
            <w:pPr>
              <w:ind w:firstLine="0" w:firstLineChars="0"/>
              <w:jc w:val="center"/>
              <w:rPr>
                <w:rFonts w:ascii="宋体" w:hAnsi="宋体" w:cs="宋体"/>
                <w:color w:val="auto"/>
                <w:kern w:val="0"/>
                <w:sz w:val="24"/>
              </w:rPr>
            </w:pPr>
          </w:p>
        </w:tc>
      </w:tr>
      <w:tr w14:paraId="067B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11C95E24">
            <w:pPr>
              <w:ind w:firstLine="0" w:firstLineChars="0"/>
              <w:jc w:val="center"/>
              <w:rPr>
                <w:rFonts w:ascii="宋体" w:hAnsi="宋体" w:cs="宋体"/>
                <w:color w:val="auto"/>
                <w:kern w:val="0"/>
                <w:sz w:val="24"/>
              </w:rPr>
            </w:pPr>
            <w:r>
              <w:rPr>
                <w:rFonts w:hint="eastAsia" w:ascii="宋体" w:hAnsi="宋体" w:cs="宋体"/>
                <w:color w:val="auto"/>
                <w:kern w:val="0"/>
                <w:sz w:val="24"/>
              </w:rPr>
              <w:t>……</w:t>
            </w:r>
          </w:p>
        </w:tc>
        <w:tc>
          <w:tcPr>
            <w:tcW w:w="2917" w:type="dxa"/>
            <w:shd w:val="clear" w:color="auto" w:fill="auto"/>
            <w:tcMar>
              <w:top w:w="120" w:type="dxa"/>
              <w:left w:w="120" w:type="dxa"/>
              <w:bottom w:w="120" w:type="dxa"/>
              <w:right w:w="120" w:type="dxa"/>
            </w:tcMar>
            <w:vAlign w:val="center"/>
          </w:tcPr>
          <w:p w14:paraId="5C11886D">
            <w:pPr>
              <w:ind w:firstLine="0" w:firstLineChars="0"/>
              <w:jc w:val="center"/>
              <w:rPr>
                <w:rFonts w:ascii="宋体" w:hAnsi="宋体" w:cs="宋体"/>
                <w:color w:val="auto"/>
                <w:kern w:val="0"/>
                <w:sz w:val="24"/>
              </w:rPr>
            </w:pPr>
          </w:p>
        </w:tc>
        <w:tc>
          <w:tcPr>
            <w:tcW w:w="2850" w:type="dxa"/>
            <w:shd w:val="clear" w:color="auto" w:fill="auto"/>
            <w:tcMar>
              <w:top w:w="120" w:type="dxa"/>
              <w:left w:w="120" w:type="dxa"/>
              <w:bottom w:w="120" w:type="dxa"/>
              <w:right w:w="120" w:type="dxa"/>
            </w:tcMar>
            <w:vAlign w:val="center"/>
          </w:tcPr>
          <w:p w14:paraId="6E65E938">
            <w:pPr>
              <w:ind w:firstLine="0" w:firstLineChars="0"/>
              <w:jc w:val="center"/>
              <w:rPr>
                <w:rFonts w:ascii="宋体" w:hAnsi="宋体" w:cs="宋体"/>
                <w:color w:val="auto"/>
                <w:kern w:val="0"/>
                <w:sz w:val="24"/>
              </w:rPr>
            </w:pPr>
          </w:p>
        </w:tc>
        <w:tc>
          <w:tcPr>
            <w:tcW w:w="1821" w:type="dxa"/>
            <w:shd w:val="clear" w:color="auto" w:fill="auto"/>
            <w:tcMar>
              <w:top w:w="120" w:type="dxa"/>
              <w:left w:w="120" w:type="dxa"/>
              <w:bottom w:w="120" w:type="dxa"/>
              <w:right w:w="120" w:type="dxa"/>
            </w:tcMar>
            <w:vAlign w:val="center"/>
          </w:tcPr>
          <w:p w14:paraId="4BCF77C9">
            <w:pPr>
              <w:ind w:firstLine="0" w:firstLineChars="0"/>
              <w:jc w:val="center"/>
              <w:rPr>
                <w:rFonts w:ascii="宋体" w:hAnsi="宋体" w:cs="宋体"/>
                <w:color w:val="auto"/>
                <w:kern w:val="0"/>
                <w:sz w:val="24"/>
              </w:rPr>
            </w:pPr>
          </w:p>
        </w:tc>
      </w:tr>
    </w:tbl>
    <w:p w14:paraId="7415635A">
      <w:pPr>
        <w:snapToGrid w:val="0"/>
        <w:ind w:firstLine="0" w:firstLineChars="0"/>
        <w:rPr>
          <w:rFonts w:ascii="宋体" w:hAnsi="宋体"/>
          <w:color w:val="auto"/>
          <w:sz w:val="24"/>
        </w:rPr>
      </w:pPr>
      <w:r>
        <w:rPr>
          <w:rFonts w:hint="eastAsia" w:ascii="宋体" w:hAnsi="宋体"/>
          <w:color w:val="auto"/>
          <w:sz w:val="24"/>
        </w:rPr>
        <w:t>注：</w:t>
      </w:r>
    </w:p>
    <w:p w14:paraId="081F7887">
      <w:pPr>
        <w:snapToGrid w:val="0"/>
        <w:ind w:firstLine="480"/>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707E53D0">
      <w:pPr>
        <w:snapToGrid w:val="0"/>
        <w:ind w:firstLine="480"/>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71A9349C">
      <w:pPr>
        <w:widowControl w:val="0"/>
        <w:ind w:firstLine="482"/>
        <w:contextualSpacing/>
        <w:rPr>
          <w:rFonts w:ascii="宋体" w:hAnsi="宋体" w:eastAsia="宋体" w:cs="Times New Roman"/>
          <w:b/>
          <w:bCs/>
          <w:color w:val="auto"/>
          <w:sz w:val="24"/>
          <w:szCs w:val="24"/>
        </w:rPr>
      </w:pPr>
      <w:r>
        <w:rPr>
          <w:rFonts w:hint="eastAsia" w:ascii="宋体" w:hAnsi="宋体" w:eastAsia="宋体" w:cs="Times New Roman"/>
          <w:b/>
          <w:bCs/>
          <w:color w:val="auto"/>
          <w:sz w:val="24"/>
          <w:szCs w:val="24"/>
        </w:rPr>
        <w:t>3.供应商不存在直接管理关系的，则在“直接管理关系单位名称”填“无”。</w:t>
      </w:r>
    </w:p>
    <w:p w14:paraId="5B7B5DFB">
      <w:pPr>
        <w:snapToGrid w:val="0"/>
        <w:ind w:firstLine="480"/>
        <w:rPr>
          <w:rFonts w:ascii="宋体" w:hAnsi="宋体"/>
          <w:color w:val="auto"/>
          <w:sz w:val="24"/>
        </w:rPr>
      </w:pPr>
    </w:p>
    <w:p w14:paraId="0F1FB263">
      <w:pPr>
        <w:snapToGrid w:val="0"/>
        <w:ind w:firstLine="480"/>
        <w:rPr>
          <w:rFonts w:ascii="宋体" w:hAnsi="宋体"/>
          <w:color w:val="auto"/>
          <w:sz w:val="24"/>
        </w:rPr>
      </w:pPr>
    </w:p>
    <w:p w14:paraId="49EB33DF">
      <w:pPr>
        <w:snapToGrid w:val="0"/>
        <w:ind w:firstLine="480"/>
        <w:rPr>
          <w:rFonts w:ascii="宋体" w:hAnsi="宋体"/>
          <w:color w:val="auto"/>
          <w:sz w:val="24"/>
        </w:rPr>
      </w:pPr>
    </w:p>
    <w:p w14:paraId="19602D4D">
      <w:pPr>
        <w:spacing w:line="600" w:lineRule="auto"/>
        <w:ind w:firstLine="0" w:firstLineChars="0"/>
        <w:rPr>
          <w:rFonts w:ascii="宋体" w:hAnsi="宋体"/>
          <w:color w:val="auto"/>
          <w:spacing w:val="20"/>
          <w:sz w:val="24"/>
          <w:szCs w:val="24"/>
          <w:u w:val="single"/>
        </w:rPr>
      </w:pPr>
      <w:r>
        <w:rPr>
          <w:rFonts w:hint="eastAsia" w:ascii="宋体" w:hAnsi="宋体"/>
          <w:color w:val="auto"/>
          <w:sz w:val="24"/>
          <w:szCs w:val="24"/>
        </w:rPr>
        <w:t>法定代表人或者委托代理人</w:t>
      </w:r>
      <w:r>
        <w:rPr>
          <w:rFonts w:hint="eastAsia" w:ascii="宋体" w:hAnsi="宋体"/>
          <w:color w:val="auto"/>
          <w:spacing w:val="20"/>
          <w:sz w:val="24"/>
          <w:szCs w:val="24"/>
        </w:rPr>
        <w:t>（</w:t>
      </w:r>
      <w:r>
        <w:rPr>
          <w:rFonts w:hint="eastAsia" w:ascii="宋体" w:hAnsi="宋体"/>
          <w:b/>
          <w:bCs/>
          <w:color w:val="auto"/>
          <w:sz w:val="24"/>
        </w:rPr>
        <w:t>签字或者盖章或者电子签名</w:t>
      </w:r>
      <w:r>
        <w:rPr>
          <w:rFonts w:hint="eastAsia" w:ascii="宋体" w:hAnsi="宋体"/>
          <w:color w:val="auto"/>
          <w:spacing w:val="20"/>
          <w:sz w:val="24"/>
          <w:szCs w:val="24"/>
        </w:rPr>
        <w:t>）：</w:t>
      </w:r>
    </w:p>
    <w:p w14:paraId="767E7833">
      <w:pPr>
        <w:spacing w:line="600" w:lineRule="auto"/>
        <w:ind w:firstLine="0" w:firstLineChars="0"/>
        <w:rPr>
          <w:rFonts w:ascii="宋体" w:hAnsi="宋体"/>
          <w:color w:val="auto"/>
          <w:spacing w:val="20"/>
          <w:sz w:val="24"/>
          <w:szCs w:val="24"/>
        </w:rPr>
      </w:pPr>
      <w:r>
        <w:rPr>
          <w:rFonts w:hint="eastAsia"/>
          <w:color w:val="auto"/>
          <w:sz w:val="24"/>
          <w:szCs w:val="24"/>
          <w:lang w:val="zh-CN"/>
        </w:rPr>
        <w:t>供应商</w:t>
      </w:r>
      <w:r>
        <w:rPr>
          <w:rFonts w:hint="eastAsia" w:ascii="宋体" w:hAnsi="宋体"/>
          <w:color w:val="auto"/>
          <w:spacing w:val="20"/>
          <w:sz w:val="24"/>
          <w:szCs w:val="24"/>
        </w:rPr>
        <w:t>（</w:t>
      </w:r>
      <w:r>
        <w:rPr>
          <w:rFonts w:hint="eastAsia" w:ascii="宋体" w:hAnsi="宋体"/>
          <w:b/>
          <w:bCs/>
          <w:color w:val="auto"/>
          <w:sz w:val="24"/>
        </w:rPr>
        <w:t>电子签章）</w:t>
      </w:r>
      <w:r>
        <w:rPr>
          <w:rFonts w:hint="eastAsia" w:ascii="宋体" w:hAnsi="宋体"/>
          <w:color w:val="auto"/>
          <w:spacing w:val="20"/>
          <w:sz w:val="24"/>
          <w:szCs w:val="24"/>
        </w:rPr>
        <w:t>：</w:t>
      </w:r>
    </w:p>
    <w:p w14:paraId="50F906D1">
      <w:pPr>
        <w:spacing w:line="600" w:lineRule="auto"/>
        <w:ind w:firstLine="0" w:firstLineChars="0"/>
        <w:rPr>
          <w:rFonts w:ascii="宋体" w:hAnsi="宋体"/>
          <w:color w:val="auto"/>
          <w:sz w:val="24"/>
          <w:szCs w:val="22"/>
        </w:rPr>
      </w:pPr>
      <w:r>
        <w:rPr>
          <w:rFonts w:hint="eastAsia" w:ascii="宋体" w:hAnsi="宋体"/>
          <w:color w:val="auto"/>
          <w:spacing w:val="20"/>
          <w:sz w:val="24"/>
          <w:szCs w:val="24"/>
        </w:rPr>
        <w:t>日  期：年月日</w:t>
      </w:r>
    </w:p>
    <w:p w14:paraId="6286978D">
      <w:pPr>
        <w:snapToGrid w:val="0"/>
        <w:spacing w:before="50" w:afterLines="50"/>
        <w:ind w:firstLine="420"/>
        <w:rPr>
          <w:rFonts w:ascii="宋体" w:hAnsi="宋体"/>
          <w:color w:val="auto"/>
        </w:rPr>
      </w:pPr>
    </w:p>
    <w:p w14:paraId="159B4E0D">
      <w:pPr>
        <w:ind w:firstLine="0" w:firstLineChars="0"/>
        <w:rPr>
          <w:color w:val="auto"/>
        </w:rPr>
      </w:pPr>
    </w:p>
    <w:p w14:paraId="5AF0E6CD">
      <w:pPr>
        <w:spacing w:before="260" w:after="260" w:line="415" w:lineRule="auto"/>
        <w:ind w:firstLine="0" w:firstLineChars="0"/>
        <w:jc w:val="center"/>
        <w:rPr>
          <w:color w:val="auto"/>
        </w:rPr>
      </w:pPr>
      <w:r>
        <w:rPr>
          <w:color w:val="auto"/>
        </w:rPr>
        <w:br w:type="page"/>
      </w:r>
    </w:p>
    <w:p w14:paraId="1FF3007C">
      <w:pPr>
        <w:snapToGrid w:val="0"/>
        <w:spacing w:before="50" w:after="50"/>
        <w:ind w:firstLine="0" w:firstLineChars="0"/>
        <w:jc w:val="center"/>
        <w:rPr>
          <w:rFonts w:ascii="宋体" w:hAnsi="宋体" w:eastAsia="宋体" w:cs="方正小标宋简体"/>
          <w:b/>
          <w:color w:val="auto"/>
          <w:sz w:val="44"/>
          <w:szCs w:val="44"/>
        </w:rPr>
      </w:pPr>
      <w:r>
        <w:rPr>
          <w:rFonts w:hint="eastAsia" w:ascii="宋体" w:hAnsi="宋体" w:eastAsia="宋体" w:cs="方正小标宋简体"/>
          <w:b/>
          <w:color w:val="auto"/>
          <w:sz w:val="44"/>
          <w:szCs w:val="44"/>
        </w:rPr>
        <w:t>竞标声明</w:t>
      </w:r>
    </w:p>
    <w:p w14:paraId="28093C39">
      <w:pPr>
        <w:ind w:firstLine="0" w:firstLineChars="0"/>
        <w:rPr>
          <w:b/>
          <w:bCs/>
          <w:color w:val="auto"/>
          <w:sz w:val="24"/>
          <w:szCs w:val="24"/>
          <w:u w:val="single"/>
        </w:rPr>
      </w:pPr>
      <w:r>
        <w:rPr>
          <w:rFonts w:hint="eastAsia" w:ascii="宋体" w:hAnsi="宋体" w:cs="宋体"/>
          <w:b/>
          <w:bCs/>
          <w:color w:val="auto"/>
          <w:sz w:val="24"/>
        </w:rPr>
        <w:t>致：</w:t>
      </w:r>
      <w:r>
        <w:rPr>
          <w:rFonts w:hint="eastAsia"/>
          <w:b/>
          <w:bCs/>
          <w:color w:val="auto"/>
          <w:sz w:val="24"/>
          <w:szCs w:val="24"/>
          <w:u w:val="single"/>
        </w:rPr>
        <w:t>（采购人名称）：</w:t>
      </w:r>
    </w:p>
    <w:p w14:paraId="4BC6B7EC">
      <w:pPr>
        <w:ind w:firstLine="480"/>
        <w:contextualSpacing/>
        <w:rPr>
          <w:rFonts w:ascii="宋体" w:hAnsi="宋体" w:cs="宋体"/>
          <w:color w:val="auto"/>
          <w:sz w:val="24"/>
          <w:szCs w:val="24"/>
        </w:rPr>
      </w:pPr>
      <w:r>
        <w:rPr>
          <w:rFonts w:hint="eastAsia" w:ascii="宋体" w:hAnsi="宋体" w:cs="宋体"/>
          <w:color w:val="auto"/>
          <w:sz w:val="24"/>
          <w:szCs w:val="24"/>
          <w:u w:val="single"/>
        </w:rPr>
        <w:t>（供应商名称）</w:t>
      </w:r>
      <w:r>
        <w:rPr>
          <w:rFonts w:hint="eastAsia" w:ascii="宋体" w:hAnsi="宋体" w:cs="宋体"/>
          <w:color w:val="auto"/>
          <w:sz w:val="24"/>
          <w:szCs w:val="24"/>
        </w:rPr>
        <w:t>系中华人民共和国合法供应商，经营地址。</w:t>
      </w:r>
    </w:p>
    <w:p w14:paraId="43E87A42">
      <w:pPr>
        <w:ind w:firstLine="480"/>
        <w:contextualSpacing/>
        <w:rPr>
          <w:rFonts w:ascii="宋体" w:hAnsi="宋体" w:cs="宋体"/>
          <w:color w:val="auto"/>
          <w:sz w:val="24"/>
          <w:szCs w:val="24"/>
        </w:rPr>
      </w:pPr>
      <w:r>
        <w:rPr>
          <w:rFonts w:hint="eastAsia" w:ascii="宋体" w:hAnsi="宋体" w:cs="宋体"/>
          <w:color w:val="auto"/>
          <w:sz w:val="24"/>
          <w:szCs w:val="24"/>
        </w:rPr>
        <w:t>我方愿意参加贵方组织的</w:t>
      </w:r>
      <w:r>
        <w:rPr>
          <w:rFonts w:hint="eastAsia" w:ascii="宋体" w:hAnsi="宋体" w:cs="宋体"/>
          <w:color w:val="auto"/>
          <w:sz w:val="24"/>
          <w:szCs w:val="24"/>
          <w:u w:val="single"/>
        </w:rPr>
        <w:t>（项目名称）</w:t>
      </w:r>
      <w:r>
        <w:rPr>
          <w:rFonts w:hint="eastAsia" w:ascii="宋体" w:hAnsi="宋体" w:cs="宋体"/>
          <w:color w:val="auto"/>
          <w:sz w:val="24"/>
          <w:szCs w:val="24"/>
        </w:rPr>
        <w:t>项目的竞标，为便于贵方公正、择优地确定成交供应商及其竞标产品和服务，我方就本次竞标有关事项郑重声明如下：</w:t>
      </w:r>
    </w:p>
    <w:p w14:paraId="63B6AB67">
      <w:pPr>
        <w:ind w:firstLine="480"/>
        <w:contextualSpacing/>
        <w:rPr>
          <w:rFonts w:ascii="宋体" w:hAnsi="宋体" w:cs="宋体"/>
          <w:color w:val="auto"/>
          <w:sz w:val="24"/>
          <w:szCs w:val="24"/>
        </w:rPr>
      </w:pPr>
      <w:r>
        <w:rPr>
          <w:rFonts w:hint="eastAsia" w:ascii="宋体" w:hAnsi="宋体" w:cs="宋体"/>
          <w:color w:val="auto"/>
          <w:sz w:val="24"/>
          <w:szCs w:val="24"/>
        </w:rPr>
        <w:t>1.我方向贵方提交的所有响应文件、资料都是准确的和真实的。</w:t>
      </w:r>
    </w:p>
    <w:p w14:paraId="79419A4B">
      <w:pPr>
        <w:ind w:firstLine="480"/>
        <w:contextualSpacing/>
        <w:rPr>
          <w:rFonts w:ascii="宋体" w:hAnsi="宋体" w:cs="宋体"/>
          <w:color w:val="auto"/>
          <w:sz w:val="24"/>
          <w:szCs w:val="24"/>
        </w:rPr>
      </w:pPr>
      <w:r>
        <w:rPr>
          <w:rFonts w:hint="eastAsia" w:ascii="宋体" w:hAnsi="宋体" w:cs="宋体"/>
          <w:color w:val="auto"/>
          <w:sz w:val="24"/>
          <w:szCs w:val="24"/>
        </w:rPr>
        <w:t>2.我方不是为本次采购项目提供整体设计、规范编制或者项目管理、监理、检测等服务的供应商。</w:t>
      </w:r>
    </w:p>
    <w:p w14:paraId="5946F3E4">
      <w:pPr>
        <w:ind w:firstLine="480"/>
        <w:contextualSpacing/>
        <w:rPr>
          <w:rFonts w:ascii="宋体" w:hAnsi="宋体" w:cs="宋体"/>
          <w:color w:val="auto"/>
          <w:sz w:val="24"/>
          <w:szCs w:val="24"/>
        </w:rPr>
      </w:pPr>
      <w:r>
        <w:rPr>
          <w:rFonts w:hint="eastAsia" w:ascii="宋体" w:hAnsi="宋体" w:cs="宋体"/>
          <w:color w:val="auto"/>
          <w:sz w:val="24"/>
          <w:szCs w:val="24"/>
        </w:rPr>
        <w:t>3.在此，我方宣布同意如下：</w:t>
      </w:r>
    </w:p>
    <w:p w14:paraId="5146A1FE">
      <w:pPr>
        <w:ind w:firstLine="480"/>
        <w:contextualSpacing/>
        <w:rPr>
          <w:rFonts w:ascii="宋体" w:hAnsi="宋体" w:cs="宋体"/>
          <w:color w:val="auto"/>
          <w:sz w:val="24"/>
          <w:szCs w:val="24"/>
        </w:rPr>
      </w:pPr>
      <w:r>
        <w:rPr>
          <w:rFonts w:hint="eastAsia" w:ascii="宋体" w:hAnsi="宋体" w:cs="宋体"/>
          <w:color w:val="auto"/>
          <w:sz w:val="24"/>
          <w:szCs w:val="24"/>
        </w:rPr>
        <w:t>（1）将按磋商文件的约定履行合同责任和义务；</w:t>
      </w:r>
    </w:p>
    <w:p w14:paraId="20329F95">
      <w:pPr>
        <w:ind w:firstLine="480"/>
        <w:contextualSpacing/>
        <w:rPr>
          <w:rFonts w:ascii="宋体" w:hAnsi="宋体" w:cs="宋体"/>
          <w:color w:val="auto"/>
          <w:sz w:val="24"/>
          <w:szCs w:val="24"/>
        </w:rPr>
      </w:pPr>
      <w:r>
        <w:rPr>
          <w:rFonts w:hint="eastAsia" w:ascii="宋体" w:hAnsi="宋体" w:cs="宋体"/>
          <w:color w:val="auto"/>
          <w:sz w:val="24"/>
          <w:szCs w:val="24"/>
        </w:rPr>
        <w:t>（2）已详细审查全部磋商文件，包括澄清或者更正公告（如有）；</w:t>
      </w:r>
    </w:p>
    <w:p w14:paraId="494ACCEA">
      <w:pPr>
        <w:ind w:firstLine="480"/>
        <w:contextualSpacing/>
        <w:rPr>
          <w:rFonts w:ascii="宋体" w:hAnsi="宋体" w:cs="宋体"/>
          <w:color w:val="auto"/>
          <w:sz w:val="24"/>
          <w:szCs w:val="24"/>
        </w:rPr>
      </w:pPr>
      <w:r>
        <w:rPr>
          <w:rFonts w:hint="eastAsia" w:ascii="宋体" w:hAnsi="宋体" w:cs="宋体"/>
          <w:color w:val="auto"/>
          <w:sz w:val="24"/>
          <w:szCs w:val="24"/>
        </w:rPr>
        <w:t>（3）同意提供按照贵方可能要求的与磋商有关的一切数据或者资料；</w:t>
      </w:r>
    </w:p>
    <w:p w14:paraId="5BC4BDE3">
      <w:pPr>
        <w:ind w:firstLine="480"/>
        <w:contextualSpacing/>
        <w:rPr>
          <w:rFonts w:ascii="宋体" w:hAnsi="宋体" w:cs="宋体"/>
          <w:color w:val="auto"/>
          <w:sz w:val="24"/>
          <w:szCs w:val="24"/>
        </w:rPr>
      </w:pPr>
      <w:r>
        <w:rPr>
          <w:rFonts w:hint="eastAsia" w:ascii="宋体" w:hAnsi="宋体" w:cs="宋体"/>
          <w:color w:val="auto"/>
          <w:sz w:val="24"/>
          <w:szCs w:val="24"/>
        </w:rPr>
        <w:t>（4）响应磋商文件规定的竞标有效期。</w:t>
      </w:r>
    </w:p>
    <w:p w14:paraId="14D5373F">
      <w:pPr>
        <w:ind w:firstLine="480"/>
        <w:contextualSpacing/>
        <w:rPr>
          <w:rFonts w:ascii="宋体" w:hAnsi="宋体" w:cs="宋体"/>
          <w:color w:val="auto"/>
          <w:sz w:val="24"/>
          <w:szCs w:val="24"/>
        </w:rPr>
      </w:pPr>
      <w:r>
        <w:rPr>
          <w:rFonts w:hint="eastAsia" w:ascii="宋体" w:hAnsi="宋体" w:cs="宋体"/>
          <w:color w:val="auto"/>
          <w:sz w:val="24"/>
          <w:szCs w:val="24"/>
        </w:rPr>
        <w:t>4.我方承诺符合《中华人民共和国政府采购法》第二十二条规定：</w:t>
      </w:r>
    </w:p>
    <w:p w14:paraId="38E9BF0A">
      <w:pPr>
        <w:ind w:firstLine="480"/>
        <w:contextualSpacing/>
        <w:rPr>
          <w:rFonts w:ascii="宋体" w:hAnsi="宋体" w:cs="宋体"/>
          <w:color w:val="auto"/>
          <w:sz w:val="24"/>
          <w:szCs w:val="24"/>
        </w:rPr>
      </w:pPr>
      <w:r>
        <w:rPr>
          <w:rFonts w:hint="eastAsia" w:ascii="宋体" w:hAnsi="宋体" w:cs="宋体"/>
          <w:color w:val="auto"/>
          <w:sz w:val="24"/>
          <w:szCs w:val="24"/>
        </w:rPr>
        <w:t>（1）具有独立承担民事责任的能力；</w:t>
      </w:r>
    </w:p>
    <w:p w14:paraId="122924DE">
      <w:pPr>
        <w:ind w:firstLine="480"/>
        <w:contextualSpacing/>
        <w:rPr>
          <w:rFonts w:ascii="宋体" w:hAnsi="宋体" w:cs="宋体"/>
          <w:color w:val="auto"/>
          <w:sz w:val="24"/>
          <w:szCs w:val="24"/>
        </w:rPr>
      </w:pPr>
      <w:r>
        <w:rPr>
          <w:rFonts w:hint="eastAsia" w:ascii="宋体" w:hAnsi="宋体" w:cs="宋体"/>
          <w:color w:val="auto"/>
          <w:sz w:val="24"/>
          <w:szCs w:val="24"/>
        </w:rPr>
        <w:t>（2）具有良好的商业信誉和健全的财务会计制度；</w:t>
      </w:r>
    </w:p>
    <w:p w14:paraId="3E14289D">
      <w:pPr>
        <w:ind w:firstLine="480"/>
        <w:contextualSpacing/>
        <w:rPr>
          <w:rFonts w:ascii="宋体" w:hAnsi="宋体" w:cs="宋体"/>
          <w:color w:val="auto"/>
          <w:sz w:val="24"/>
          <w:szCs w:val="24"/>
        </w:rPr>
      </w:pPr>
      <w:r>
        <w:rPr>
          <w:rFonts w:hint="eastAsia" w:ascii="宋体" w:hAnsi="宋体" w:cs="宋体"/>
          <w:color w:val="auto"/>
          <w:sz w:val="24"/>
          <w:szCs w:val="24"/>
        </w:rPr>
        <w:t>（3）具有履行合同所必需的设备和专业技术能力；</w:t>
      </w:r>
    </w:p>
    <w:p w14:paraId="71495D17">
      <w:pPr>
        <w:ind w:firstLine="480"/>
        <w:contextualSpacing/>
        <w:rPr>
          <w:rFonts w:ascii="宋体" w:hAnsi="宋体" w:cs="宋体"/>
          <w:color w:val="auto"/>
          <w:sz w:val="24"/>
          <w:szCs w:val="24"/>
        </w:rPr>
      </w:pPr>
      <w:r>
        <w:rPr>
          <w:rFonts w:hint="eastAsia" w:ascii="宋体" w:hAnsi="宋体" w:cs="宋体"/>
          <w:color w:val="auto"/>
          <w:sz w:val="24"/>
          <w:szCs w:val="24"/>
        </w:rPr>
        <w:t>（4）有依法缴纳税收和社会保障资金的良好记录；</w:t>
      </w:r>
    </w:p>
    <w:p w14:paraId="2472DF27">
      <w:pPr>
        <w:ind w:firstLine="480"/>
        <w:contextualSpacing/>
        <w:rPr>
          <w:rFonts w:ascii="宋体" w:hAnsi="宋体" w:cs="宋体"/>
          <w:color w:val="auto"/>
          <w:sz w:val="24"/>
          <w:szCs w:val="24"/>
        </w:rPr>
      </w:pPr>
      <w:r>
        <w:rPr>
          <w:rFonts w:hint="eastAsia" w:ascii="宋体" w:hAnsi="宋体" w:cs="宋体"/>
          <w:color w:val="auto"/>
          <w:sz w:val="24"/>
          <w:szCs w:val="24"/>
        </w:rPr>
        <w:t>（5）参加政府采购活动前三年内，在经营活动中没有重大违法记录；</w:t>
      </w:r>
    </w:p>
    <w:p w14:paraId="567CBA8D">
      <w:pPr>
        <w:ind w:firstLine="480"/>
        <w:contextualSpacing/>
        <w:rPr>
          <w:rFonts w:ascii="宋体" w:hAnsi="宋体" w:cs="宋体"/>
          <w:color w:val="auto"/>
          <w:sz w:val="24"/>
          <w:szCs w:val="24"/>
        </w:rPr>
      </w:pPr>
      <w:r>
        <w:rPr>
          <w:rFonts w:hint="eastAsia" w:ascii="宋体" w:hAnsi="宋体" w:cs="宋体"/>
          <w:color w:val="auto"/>
          <w:sz w:val="24"/>
          <w:szCs w:val="24"/>
        </w:rPr>
        <w:t>（6）法律、行政法规规定的其他条件。</w:t>
      </w:r>
    </w:p>
    <w:p w14:paraId="750978E2">
      <w:pPr>
        <w:ind w:firstLine="480"/>
        <w:contextualSpacing/>
        <w:rPr>
          <w:rFonts w:ascii="宋体" w:hAnsi="宋体" w:cs="宋体"/>
          <w:color w:val="auto"/>
          <w:sz w:val="24"/>
          <w:szCs w:val="24"/>
        </w:rPr>
      </w:pPr>
      <w:r>
        <w:rPr>
          <w:rFonts w:hint="eastAsia" w:ascii="宋体" w:hAnsi="宋体" w:cs="宋体"/>
          <w:color w:val="auto"/>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52B6AD9">
      <w:pPr>
        <w:ind w:firstLine="480"/>
        <w:contextualSpacing/>
        <w:rPr>
          <w:rFonts w:ascii="宋体" w:hAnsi="宋体" w:cs="宋体"/>
          <w:color w:val="auto"/>
          <w:sz w:val="24"/>
          <w:szCs w:val="24"/>
        </w:rPr>
      </w:pPr>
      <w:r>
        <w:rPr>
          <w:rFonts w:hint="eastAsia" w:ascii="宋体" w:hAnsi="宋体" w:cs="宋体"/>
          <w:color w:val="auto"/>
          <w:sz w:val="24"/>
          <w:szCs w:val="24"/>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cs="宋体"/>
          <w:b/>
          <w:bCs/>
          <w:color w:val="auto"/>
          <w:sz w:val="24"/>
          <w:szCs w:val="24"/>
        </w:rPr>
        <w:t>两项内容中必须选择一项</w:t>
      </w:r>
      <w:r>
        <w:rPr>
          <w:rFonts w:hint="eastAsia" w:ascii="宋体" w:hAnsi="宋体" w:cs="宋体"/>
          <w:color w:val="auto"/>
          <w:sz w:val="24"/>
          <w:szCs w:val="24"/>
        </w:rPr>
        <w:t>）</w:t>
      </w:r>
    </w:p>
    <w:p w14:paraId="0C9355FB">
      <w:pPr>
        <w:ind w:firstLine="480"/>
        <w:contextualSpacing/>
        <w:rPr>
          <w:rFonts w:ascii="宋体" w:hAnsi="宋体" w:cs="宋体"/>
          <w:color w:val="auto"/>
          <w:sz w:val="24"/>
          <w:szCs w:val="24"/>
        </w:rPr>
      </w:pPr>
      <w:r>
        <w:rPr>
          <w:rFonts w:hint="eastAsia" w:ascii="宋体" w:hAnsi="宋体" w:cs="宋体"/>
          <w:color w:val="auto"/>
          <w:sz w:val="24"/>
          <w:szCs w:val="24"/>
        </w:rPr>
        <w:t>□我方本次响应文件</w:t>
      </w:r>
      <w:r>
        <w:rPr>
          <w:rFonts w:hint="eastAsia" w:ascii="宋体" w:hAnsi="宋体" w:cs="宋体"/>
          <w:color w:val="auto"/>
          <w:kern w:val="0"/>
          <w:sz w:val="24"/>
          <w:szCs w:val="24"/>
        </w:rPr>
        <w:t>内容中</w:t>
      </w:r>
      <w:r>
        <w:rPr>
          <w:rFonts w:hint="eastAsia" w:ascii="宋体" w:hAnsi="宋体" w:cs="宋体"/>
          <w:color w:val="auto"/>
          <w:sz w:val="24"/>
          <w:szCs w:val="24"/>
        </w:rPr>
        <w:t>未</w:t>
      </w:r>
      <w:r>
        <w:rPr>
          <w:rFonts w:hint="eastAsia" w:ascii="宋体" w:hAnsi="宋体" w:cs="宋体"/>
          <w:color w:val="auto"/>
          <w:kern w:val="0"/>
          <w:sz w:val="24"/>
          <w:szCs w:val="24"/>
        </w:rPr>
        <w:t>涉及商业秘密；</w:t>
      </w:r>
    </w:p>
    <w:p w14:paraId="3936584E">
      <w:pPr>
        <w:ind w:firstLine="480"/>
        <w:contextualSpacing/>
        <w:rPr>
          <w:rFonts w:ascii="宋体" w:hAnsi="宋体" w:cs="宋体"/>
          <w:color w:val="auto"/>
          <w:sz w:val="24"/>
          <w:szCs w:val="24"/>
        </w:rPr>
      </w:pPr>
      <w:r>
        <w:rPr>
          <w:rFonts w:hint="eastAsia" w:ascii="宋体" w:hAnsi="宋体" w:cs="宋体"/>
          <w:color w:val="auto"/>
          <w:sz w:val="24"/>
          <w:szCs w:val="24"/>
        </w:rPr>
        <w:t>□我方本次响应文件</w:t>
      </w:r>
      <w:r>
        <w:rPr>
          <w:rFonts w:hint="eastAsia" w:ascii="宋体" w:hAnsi="宋体" w:cs="宋体"/>
          <w:color w:val="auto"/>
          <w:kern w:val="0"/>
          <w:sz w:val="24"/>
          <w:szCs w:val="24"/>
        </w:rPr>
        <w:t>涉及商业秘密的内容有：；</w:t>
      </w:r>
    </w:p>
    <w:p w14:paraId="4B35628E">
      <w:pPr>
        <w:pStyle w:val="18"/>
        <w:spacing w:line="360" w:lineRule="auto"/>
        <w:ind w:firstLine="480"/>
        <w:contextualSpacing/>
        <w:jc w:val="left"/>
        <w:rPr>
          <w:rFonts w:hAnsi="宋体" w:cs="宋体"/>
          <w:color w:val="auto"/>
          <w:sz w:val="24"/>
          <w:szCs w:val="24"/>
        </w:rPr>
      </w:pPr>
      <w:r>
        <w:rPr>
          <w:rFonts w:hint="eastAsia" w:hAnsi="宋体" w:cs="宋体"/>
          <w:color w:val="auto"/>
          <w:sz w:val="24"/>
          <w:szCs w:val="24"/>
        </w:rPr>
        <w:t>7.与本磋商有关的一切正式往来信函请寄：</w:t>
      </w:r>
    </w:p>
    <w:p w14:paraId="24012330">
      <w:pPr>
        <w:pStyle w:val="18"/>
        <w:spacing w:line="360" w:lineRule="auto"/>
        <w:ind w:firstLine="480"/>
        <w:contextualSpacing/>
        <w:jc w:val="left"/>
        <w:rPr>
          <w:rFonts w:hAnsi="宋体" w:cs="宋体"/>
          <w:color w:val="auto"/>
          <w:sz w:val="24"/>
          <w:szCs w:val="24"/>
          <w:u w:val="single"/>
        </w:rPr>
      </w:pPr>
      <w:r>
        <w:rPr>
          <w:rFonts w:hint="eastAsia" w:hAnsi="宋体" w:cs="宋体"/>
          <w:color w:val="auto"/>
          <w:sz w:val="24"/>
          <w:szCs w:val="24"/>
        </w:rPr>
        <w:t>地址：邮政编号：</w:t>
      </w:r>
    </w:p>
    <w:p w14:paraId="10D3651F">
      <w:pPr>
        <w:pStyle w:val="18"/>
        <w:spacing w:line="360" w:lineRule="auto"/>
        <w:ind w:firstLine="480"/>
        <w:contextualSpacing/>
        <w:jc w:val="left"/>
        <w:rPr>
          <w:rFonts w:hAnsi="宋体" w:cs="宋体"/>
          <w:color w:val="auto"/>
          <w:sz w:val="24"/>
          <w:szCs w:val="24"/>
        </w:rPr>
      </w:pPr>
      <w:r>
        <w:rPr>
          <w:rFonts w:hint="eastAsia" w:hAnsi="宋体" w:cs="宋体"/>
          <w:color w:val="auto"/>
          <w:sz w:val="24"/>
          <w:szCs w:val="24"/>
        </w:rPr>
        <w:t>电话/传真：   电子邮箱：</w:t>
      </w:r>
    </w:p>
    <w:p w14:paraId="4F169F56">
      <w:pPr>
        <w:pStyle w:val="16"/>
        <w:tabs>
          <w:tab w:val="left" w:pos="939"/>
        </w:tabs>
        <w:spacing w:line="360" w:lineRule="auto"/>
        <w:ind w:left="0" w:leftChars="0" w:firstLine="480" w:firstLineChars="200"/>
        <w:jc w:val="left"/>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lang w:eastAsia="zh-CN"/>
        </w:rPr>
        <w:t>账号</w:t>
      </w:r>
      <w:r>
        <w:rPr>
          <w:rFonts w:hint="eastAsia" w:ascii="宋体" w:hAnsi="宋体" w:cs="宋体"/>
          <w:color w:val="auto"/>
          <w:sz w:val="24"/>
        </w:rPr>
        <w:t>：</w:t>
      </w:r>
    </w:p>
    <w:p w14:paraId="53436FB7">
      <w:pPr>
        <w:pStyle w:val="16"/>
        <w:tabs>
          <w:tab w:val="left" w:pos="939"/>
        </w:tabs>
        <w:spacing w:line="360" w:lineRule="auto"/>
        <w:ind w:left="0" w:leftChars="0" w:firstLine="480" w:firstLineChars="200"/>
        <w:jc w:val="left"/>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75C5C762">
      <w:pPr>
        <w:pStyle w:val="16"/>
        <w:tabs>
          <w:tab w:val="left" w:pos="939"/>
        </w:tabs>
        <w:spacing w:line="360" w:lineRule="auto"/>
        <w:ind w:left="0" w:leftChars="0" w:firstLine="360" w:firstLineChars="150"/>
        <w:jc w:val="left"/>
        <w:rPr>
          <w:rFonts w:ascii="宋体" w:hAnsi="宋体" w:cs="宋体"/>
          <w:color w:val="auto"/>
          <w:sz w:val="24"/>
        </w:rPr>
      </w:pPr>
      <w:r>
        <w:rPr>
          <w:rFonts w:hint="eastAsia" w:ascii="宋体" w:hAnsi="宋体" w:cs="宋体"/>
          <w:color w:val="auto"/>
          <w:sz w:val="24"/>
        </w:rPr>
        <w:t>特此承诺。</w:t>
      </w:r>
    </w:p>
    <w:p w14:paraId="31CB9AC6">
      <w:pPr>
        <w:pStyle w:val="16"/>
        <w:tabs>
          <w:tab w:val="left" w:pos="939"/>
        </w:tabs>
        <w:spacing w:line="360" w:lineRule="auto"/>
        <w:ind w:left="0" w:leftChars="0" w:firstLine="360" w:firstLineChars="150"/>
        <w:jc w:val="left"/>
        <w:rPr>
          <w:rFonts w:ascii="宋体" w:hAnsi="宋体" w:cs="宋体"/>
          <w:color w:val="auto"/>
          <w:sz w:val="24"/>
        </w:rPr>
      </w:pPr>
    </w:p>
    <w:p w14:paraId="251A1625">
      <w:pPr>
        <w:widowControl w:val="0"/>
        <w:ind w:firstLine="0" w:firstLineChars="0"/>
        <w:contextualSpacing/>
        <w:rPr>
          <w:rFonts w:ascii="宋体" w:hAnsi="宋体" w:eastAsia="宋体" w:cs="Times New Roman"/>
          <w:b/>
          <w:color w:val="auto"/>
          <w:sz w:val="24"/>
          <w:szCs w:val="24"/>
        </w:rPr>
      </w:pPr>
      <w:r>
        <w:rPr>
          <w:rFonts w:hint="eastAsia" w:ascii="宋体" w:hAnsi="宋体" w:eastAsia="宋体" w:cs="宋体"/>
          <w:b/>
          <w:color w:val="auto"/>
          <w:sz w:val="24"/>
          <w:szCs w:val="24"/>
        </w:rPr>
        <w:t>注：</w:t>
      </w:r>
      <w:r>
        <w:rPr>
          <w:rFonts w:hint="eastAsia" w:ascii="宋体" w:hAnsi="宋体" w:eastAsia="宋体" w:cs="Times New Roman"/>
          <w:b/>
          <w:color w:val="auto"/>
          <w:sz w:val="24"/>
          <w:szCs w:val="24"/>
        </w:rPr>
        <w:t>如为联合体竞标，盖章处须加盖联合体牵头人电子签章并由联合体牵头人法定代表人分别签字或者盖章或者电子签名，否则响应文件按无效处理。</w:t>
      </w:r>
    </w:p>
    <w:p w14:paraId="3A9AB05E">
      <w:pPr>
        <w:pStyle w:val="16"/>
        <w:tabs>
          <w:tab w:val="left" w:pos="939"/>
        </w:tabs>
        <w:spacing w:line="360" w:lineRule="auto"/>
        <w:ind w:left="0" w:leftChars="0" w:firstLine="360" w:firstLineChars="150"/>
        <w:jc w:val="left"/>
        <w:rPr>
          <w:rFonts w:ascii="宋体" w:hAnsi="宋体" w:cs="宋体"/>
          <w:color w:val="auto"/>
          <w:sz w:val="24"/>
        </w:rPr>
      </w:pPr>
    </w:p>
    <w:p w14:paraId="61301F66">
      <w:pPr>
        <w:spacing w:line="600" w:lineRule="auto"/>
        <w:ind w:firstLine="0" w:firstLineChars="0"/>
        <w:rPr>
          <w:color w:val="auto"/>
          <w:sz w:val="24"/>
          <w:szCs w:val="24"/>
        </w:rPr>
      </w:pPr>
      <w:r>
        <w:rPr>
          <w:rFonts w:hint="eastAsia"/>
          <w:color w:val="auto"/>
          <w:sz w:val="24"/>
          <w:szCs w:val="24"/>
        </w:rPr>
        <w:t>法定代表人（</w:t>
      </w:r>
      <w:r>
        <w:rPr>
          <w:rFonts w:hint="eastAsia"/>
          <w:b/>
          <w:bCs/>
          <w:color w:val="auto"/>
          <w:sz w:val="24"/>
          <w:szCs w:val="24"/>
        </w:rPr>
        <w:t>签字或者盖章或者电子签名</w:t>
      </w:r>
      <w:r>
        <w:rPr>
          <w:rFonts w:hint="eastAsia"/>
          <w:color w:val="auto"/>
          <w:sz w:val="24"/>
          <w:szCs w:val="24"/>
        </w:rPr>
        <w:t>）：</w:t>
      </w:r>
    </w:p>
    <w:p w14:paraId="6F6611A7">
      <w:pPr>
        <w:spacing w:line="600" w:lineRule="auto"/>
        <w:ind w:firstLine="0" w:firstLineChars="0"/>
        <w:rPr>
          <w:color w:val="auto"/>
          <w:sz w:val="24"/>
          <w:szCs w:val="24"/>
        </w:rPr>
      </w:pPr>
      <w:r>
        <w:rPr>
          <w:rFonts w:hint="eastAsia"/>
          <w:color w:val="auto"/>
          <w:sz w:val="24"/>
          <w:szCs w:val="24"/>
        </w:rPr>
        <w:t>供应商（</w:t>
      </w:r>
      <w:r>
        <w:rPr>
          <w:rFonts w:hint="eastAsia"/>
          <w:b/>
          <w:bCs/>
          <w:color w:val="auto"/>
          <w:sz w:val="24"/>
          <w:szCs w:val="24"/>
        </w:rPr>
        <w:t>电子签章</w:t>
      </w:r>
      <w:r>
        <w:rPr>
          <w:rFonts w:hint="eastAsia"/>
          <w:color w:val="auto"/>
          <w:sz w:val="24"/>
          <w:szCs w:val="24"/>
        </w:rPr>
        <w:t>）：</w:t>
      </w:r>
    </w:p>
    <w:p w14:paraId="4842F213">
      <w:pPr>
        <w:wordWrap/>
        <w:spacing w:line="600" w:lineRule="auto"/>
        <w:ind w:firstLine="0" w:firstLineChars="0"/>
        <w:jc w:val="center"/>
        <w:rPr>
          <w:color w:val="auto"/>
          <w:sz w:val="24"/>
          <w:szCs w:val="24"/>
        </w:rPr>
      </w:pP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w:t>
      </w:r>
    </w:p>
    <w:p w14:paraId="6A763319">
      <w:pPr>
        <w:ind w:firstLine="420"/>
        <w:rPr>
          <w:color w:val="auto"/>
        </w:rPr>
      </w:pPr>
    </w:p>
    <w:p w14:paraId="7B1082F5">
      <w:pPr>
        <w:ind w:firstLine="562"/>
        <w:rPr>
          <w:rFonts w:ascii="宋体" w:eastAsia="宋体" w:hAnsiTheme="minorEastAsia"/>
          <w:b/>
          <w:bCs/>
          <w:color w:val="auto"/>
          <w:sz w:val="28"/>
          <w:szCs w:val="44"/>
        </w:rPr>
      </w:pPr>
    </w:p>
    <w:p w14:paraId="76BC242E">
      <w:pPr>
        <w:spacing w:before="260" w:after="260" w:line="415" w:lineRule="auto"/>
        <w:ind w:firstLine="0" w:firstLineChars="0"/>
        <w:jc w:val="center"/>
        <w:rPr>
          <w:rFonts w:ascii="宋体" w:eastAsia="宋体" w:hAnsiTheme="minorEastAsia"/>
          <w:b/>
          <w:bCs/>
          <w:color w:val="auto"/>
          <w:sz w:val="28"/>
          <w:szCs w:val="44"/>
        </w:rPr>
      </w:pPr>
      <w:r>
        <w:rPr>
          <w:color w:val="auto"/>
        </w:rPr>
        <w:br w:type="page"/>
      </w:r>
    </w:p>
    <w:p w14:paraId="68219D05">
      <w:pPr>
        <w:snapToGrid w:val="0"/>
        <w:spacing w:before="156" w:beforeLines="50" w:after="50" w:line="360" w:lineRule="auto"/>
        <w:ind w:right="480" w:firstLine="321" w:firstLineChars="100"/>
        <w:rPr>
          <w:rFonts w:hint="eastAsia" w:ascii="宋体" w:hAnsi="宋体"/>
          <w:b/>
          <w:color w:val="000000"/>
          <w:sz w:val="32"/>
          <w:szCs w:val="32"/>
        </w:rPr>
      </w:pPr>
      <w:r>
        <w:rPr>
          <w:rFonts w:hint="eastAsia" w:ascii="宋体" w:hAnsi="宋体"/>
          <w:b/>
          <w:bCs/>
          <w:color w:val="000000"/>
          <w:sz w:val="32"/>
          <w:szCs w:val="32"/>
        </w:rPr>
        <w:t>二、</w:t>
      </w:r>
      <w:r>
        <w:rPr>
          <w:rFonts w:hint="eastAsia" w:ascii="宋体" w:hAnsi="宋体"/>
          <w:b/>
          <w:color w:val="000000"/>
          <w:sz w:val="32"/>
          <w:szCs w:val="32"/>
        </w:rPr>
        <w:t xml:space="preserve">报价商务技术文件格式 </w:t>
      </w:r>
    </w:p>
    <w:p w14:paraId="08B221DC">
      <w:pPr>
        <w:snapToGrid w:val="0"/>
        <w:spacing w:before="156" w:beforeLines="50" w:after="50" w:line="360" w:lineRule="auto"/>
        <w:jc w:val="left"/>
        <w:rPr>
          <w:rFonts w:ascii="宋体" w:hAnsi="宋体"/>
          <w:b/>
          <w:color w:val="000000"/>
          <w:sz w:val="32"/>
          <w:szCs w:val="32"/>
        </w:rPr>
      </w:pPr>
      <w:r>
        <w:rPr>
          <w:rFonts w:hint="eastAsia" w:ascii="宋体" w:hAnsi="宋体"/>
          <w:b/>
          <w:color w:val="000000"/>
          <w:sz w:val="32"/>
          <w:szCs w:val="32"/>
        </w:rPr>
        <w:t>1.报价商务技术文件封面格式</w:t>
      </w:r>
    </w:p>
    <w:p w14:paraId="418BC35C">
      <w:pPr>
        <w:snapToGrid w:val="0"/>
        <w:spacing w:before="156" w:beforeLines="50" w:after="50"/>
        <w:rPr>
          <w:rFonts w:hint="eastAsia" w:ascii="宋体" w:hAnsi="宋体"/>
          <w:bCs/>
          <w:color w:val="000000"/>
          <w:sz w:val="32"/>
          <w:szCs w:val="20"/>
        </w:rPr>
      </w:pPr>
      <w:r>
        <w:rPr>
          <w:rFonts w:hint="eastAsia" w:ascii="宋体" w:hAnsi="宋体"/>
          <w:color w:val="000000"/>
          <w:sz w:val="24"/>
        </w:rPr>
        <w:t xml:space="preserve">                                                    </w:t>
      </w:r>
    </w:p>
    <w:p w14:paraId="39A8D960">
      <w:pPr>
        <w:snapToGrid w:val="0"/>
        <w:spacing w:before="156" w:beforeLines="50" w:after="50"/>
        <w:rPr>
          <w:rFonts w:hint="eastAsia" w:ascii="宋体" w:hAnsi="宋体"/>
          <w:color w:val="000000"/>
          <w:sz w:val="24"/>
          <w:szCs w:val="20"/>
        </w:rPr>
      </w:pPr>
    </w:p>
    <w:p w14:paraId="1174F9F6">
      <w:pPr>
        <w:snapToGrid w:val="0"/>
        <w:spacing w:before="156" w:beforeLines="50" w:after="50"/>
        <w:ind w:left="0" w:leftChars="0" w:firstLine="0" w:firstLineChars="0"/>
        <w:rPr>
          <w:rFonts w:hint="eastAsia" w:ascii="宋体" w:hAnsi="宋体"/>
          <w:color w:val="000000"/>
          <w:sz w:val="24"/>
          <w:szCs w:val="20"/>
        </w:rPr>
      </w:pPr>
    </w:p>
    <w:p w14:paraId="1F8A3731">
      <w:pPr>
        <w:snapToGrid w:val="0"/>
        <w:spacing w:before="156" w:beforeLines="50" w:after="50"/>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报  价  商  务  技  术  文  件</w:t>
      </w:r>
    </w:p>
    <w:p w14:paraId="58F25CCC">
      <w:pPr>
        <w:snapToGrid w:val="0"/>
        <w:spacing w:before="156" w:beforeLines="50" w:after="50"/>
        <w:rPr>
          <w:rFonts w:hint="eastAsia" w:ascii="宋体" w:hAnsi="宋体"/>
          <w:bCs/>
          <w:color w:val="000000"/>
          <w:sz w:val="24"/>
          <w:szCs w:val="20"/>
        </w:rPr>
      </w:pPr>
    </w:p>
    <w:p w14:paraId="213B5656">
      <w:pPr>
        <w:snapToGrid w:val="0"/>
        <w:spacing w:before="156" w:beforeLines="50" w:after="50"/>
        <w:rPr>
          <w:rFonts w:hint="eastAsia" w:ascii="宋体" w:hAnsi="宋体"/>
          <w:bCs/>
          <w:color w:val="000000"/>
          <w:sz w:val="24"/>
          <w:szCs w:val="20"/>
        </w:rPr>
      </w:pPr>
    </w:p>
    <w:p w14:paraId="70F15527">
      <w:pPr>
        <w:snapToGrid w:val="0"/>
        <w:spacing w:before="156" w:beforeLines="50" w:after="50"/>
        <w:rPr>
          <w:rFonts w:hint="eastAsia" w:ascii="宋体" w:hAnsi="宋体"/>
          <w:bCs/>
          <w:color w:val="000000"/>
          <w:sz w:val="24"/>
          <w:szCs w:val="20"/>
        </w:rPr>
      </w:pPr>
    </w:p>
    <w:p w14:paraId="6F84BD4D">
      <w:pPr>
        <w:snapToGrid w:val="0"/>
        <w:spacing w:before="156" w:beforeLines="50" w:after="50"/>
        <w:rPr>
          <w:rFonts w:hint="eastAsia" w:ascii="宋体" w:hAnsi="宋体"/>
          <w:bCs/>
          <w:color w:val="000000"/>
          <w:sz w:val="24"/>
          <w:szCs w:val="20"/>
        </w:rPr>
      </w:pPr>
    </w:p>
    <w:p w14:paraId="5612BA84">
      <w:pPr>
        <w:snapToGrid w:val="0"/>
        <w:spacing w:before="156" w:beforeLines="50" w:after="50"/>
        <w:rPr>
          <w:rFonts w:hint="eastAsia" w:ascii="宋体" w:hAnsi="宋体"/>
          <w:bCs/>
          <w:color w:val="000000"/>
          <w:sz w:val="24"/>
          <w:szCs w:val="20"/>
        </w:rPr>
      </w:pPr>
    </w:p>
    <w:p w14:paraId="226BA175">
      <w:pPr>
        <w:snapToGrid w:val="0"/>
        <w:spacing w:before="156" w:beforeLines="50" w:after="50"/>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p w14:paraId="4A4A53D7">
      <w:pPr>
        <w:snapToGrid w:val="0"/>
        <w:spacing w:before="156" w:beforeLines="50" w:after="50"/>
        <w:ind w:firstLine="720" w:firstLineChars="225"/>
        <w:rPr>
          <w:rFonts w:hint="eastAsia" w:ascii="仿宋_GB2312" w:hAnsi="仿宋_GB2312" w:eastAsia="仿宋_GB2312" w:cs="仿宋_GB2312"/>
          <w:bCs/>
          <w:color w:val="000000"/>
          <w:sz w:val="32"/>
          <w:szCs w:val="32"/>
        </w:rPr>
      </w:pPr>
    </w:p>
    <w:p w14:paraId="681060BB">
      <w:pPr>
        <w:snapToGrid w:val="0"/>
        <w:spacing w:before="156" w:beforeLines="50" w:after="50"/>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项目编号：</w:t>
      </w:r>
    </w:p>
    <w:p w14:paraId="7B6C2083">
      <w:pPr>
        <w:snapToGrid w:val="0"/>
        <w:spacing w:before="156" w:beforeLines="50" w:after="50"/>
        <w:ind w:firstLine="720" w:firstLineChars="225"/>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14:paraId="14C7EE69">
      <w:pPr>
        <w:snapToGrid w:val="0"/>
        <w:spacing w:before="156" w:beforeLines="50" w:after="50"/>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所竞分标（如有则填写，无分标时填写“无”或者留空）：</w:t>
      </w:r>
    </w:p>
    <w:p w14:paraId="343DA1B9">
      <w:pPr>
        <w:snapToGrid w:val="0"/>
        <w:spacing w:before="156" w:beforeLines="50" w:after="50"/>
        <w:ind w:firstLine="720" w:firstLineChars="225"/>
        <w:rPr>
          <w:rFonts w:hint="eastAsia" w:ascii="仿宋_GB2312" w:hAnsi="仿宋_GB2312" w:eastAsia="仿宋_GB2312" w:cs="仿宋_GB2312"/>
          <w:bCs/>
          <w:color w:val="000000"/>
          <w:sz w:val="32"/>
          <w:szCs w:val="32"/>
        </w:rPr>
      </w:pPr>
    </w:p>
    <w:p w14:paraId="13B1BC70">
      <w:pPr>
        <w:pStyle w:val="11"/>
        <w:snapToGrid w:val="0"/>
        <w:spacing w:before="50" w:after="50"/>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供应商名称：</w:t>
      </w:r>
    </w:p>
    <w:p w14:paraId="56AA5EB9">
      <w:pPr>
        <w:pStyle w:val="11"/>
        <w:snapToGrid w:val="0"/>
        <w:spacing w:before="50" w:after="50"/>
        <w:ind w:firstLine="1280" w:firstLineChars="400"/>
        <w:rPr>
          <w:rFonts w:hint="eastAsia" w:ascii="仿宋_GB2312" w:hAnsi="仿宋_GB2312" w:eastAsia="仿宋_GB2312" w:cs="仿宋_GB2312"/>
          <w:bCs/>
          <w:color w:val="000000"/>
          <w:sz w:val="32"/>
          <w:szCs w:val="32"/>
        </w:rPr>
      </w:pPr>
    </w:p>
    <w:p w14:paraId="1408519F">
      <w:pPr>
        <w:snapToGrid w:val="0"/>
        <w:spacing w:before="156" w:beforeLines="50" w:after="5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5C059F9C">
      <w:pPr>
        <w:snapToGrid w:val="0"/>
        <w:spacing w:before="156" w:beforeLines="50" w:after="50" w:line="360" w:lineRule="auto"/>
        <w:ind w:left="142"/>
        <w:jc w:val="left"/>
        <w:rPr>
          <w:rFonts w:hint="eastAsia" w:ascii="宋体" w:hAnsi="宋体"/>
          <w:b/>
          <w:bCs/>
          <w:color w:val="000000"/>
          <w:sz w:val="24"/>
        </w:rPr>
      </w:pPr>
      <w:r>
        <w:rPr>
          <w:rFonts w:ascii="宋体" w:hAnsi="宋体"/>
          <w:color w:val="000000"/>
          <w:sz w:val="24"/>
        </w:rPr>
        <w:br w:type="page"/>
      </w:r>
      <w:r>
        <w:rPr>
          <w:rFonts w:hint="eastAsia" w:ascii="宋体" w:hAnsi="宋体"/>
          <w:b/>
          <w:bCs/>
          <w:color w:val="000000"/>
          <w:sz w:val="32"/>
          <w:szCs w:val="32"/>
        </w:rPr>
        <w:t>2.报价商务技术文件目录</w:t>
      </w:r>
    </w:p>
    <w:p w14:paraId="1373F13B">
      <w:pPr>
        <w:snapToGrid w:val="0"/>
        <w:spacing w:before="156" w:beforeLines="50" w:after="50" w:line="360" w:lineRule="auto"/>
        <w:ind w:firstLine="640" w:firstLineChars="200"/>
        <w:rPr>
          <w:rFonts w:ascii="宋体" w:hAnsi="宋体"/>
          <w:color w:val="000000"/>
          <w:sz w:val="32"/>
          <w:szCs w:val="32"/>
        </w:rPr>
      </w:pPr>
      <w:r>
        <w:rPr>
          <w:rFonts w:hint="eastAsia" w:ascii="宋体" w:hAnsi="宋体"/>
          <w:color w:val="000000"/>
          <w:sz w:val="32"/>
          <w:szCs w:val="32"/>
        </w:rPr>
        <w:t>根据磋商文件规定及供应商提供的材料自行编写目录（部分格式后附）。</w:t>
      </w:r>
    </w:p>
    <w:p w14:paraId="38E25E45">
      <w:pPr>
        <w:spacing w:line="400" w:lineRule="exact"/>
        <w:rPr>
          <w:rFonts w:hint="eastAsia" w:ascii="仿宋_GB2312" w:hAnsi="仿宋_GB2312" w:eastAsia="仿宋_GB2312" w:cs="仿宋_GB2312"/>
          <w:color w:val="000000"/>
          <w:sz w:val="32"/>
          <w:szCs w:val="32"/>
        </w:rPr>
      </w:pPr>
    </w:p>
    <w:p w14:paraId="2938DEB9">
      <w:pPr>
        <w:snapToGrid w:val="0"/>
        <w:spacing w:before="50" w:after="50"/>
        <w:ind w:firstLine="0" w:firstLineChars="0"/>
        <w:jc w:val="center"/>
        <w:rPr>
          <w:rFonts w:ascii="宋体" w:hAnsi="宋体" w:eastAsia="宋体" w:cs="方正小标宋简体"/>
          <w:b/>
          <w:color w:val="000000" w:themeColor="text1"/>
          <w:sz w:val="44"/>
          <w:szCs w:val="44"/>
        </w:rPr>
      </w:pPr>
      <w:r>
        <w:rPr>
          <w:rFonts w:hint="eastAsia" w:ascii="方正小标宋简体" w:hAnsi="方正小标宋简体" w:eastAsia="方正小标宋简体" w:cs="方正小标宋简体"/>
          <w:color w:val="000000"/>
          <w:sz w:val="44"/>
          <w:szCs w:val="44"/>
        </w:rPr>
        <w:br w:type="page"/>
      </w:r>
      <w:r>
        <w:rPr>
          <w:rFonts w:hint="eastAsia" w:ascii="宋体" w:hAnsi="宋体" w:eastAsia="宋体" w:cs="方正小标宋简体"/>
          <w:b/>
          <w:color w:val="000000" w:themeColor="text1"/>
          <w:sz w:val="44"/>
          <w:szCs w:val="44"/>
        </w:rPr>
        <w:t>无串通竞标行为的承诺函</w:t>
      </w:r>
    </w:p>
    <w:p w14:paraId="40255B9C">
      <w:pPr>
        <w:ind w:firstLine="0" w:firstLineChars="0"/>
        <w:contextualSpacing/>
        <w:rPr>
          <w:rFonts w:ascii="宋体" w:hAnsi="宋体" w:cs="仿宋_GB2312"/>
          <w:b/>
          <w:bCs/>
          <w:color w:val="000000" w:themeColor="text1"/>
          <w:sz w:val="24"/>
        </w:rPr>
      </w:pPr>
      <w:r>
        <w:rPr>
          <w:rFonts w:hint="eastAsia" w:ascii="宋体" w:hAnsi="宋体" w:cs="仿宋_GB2312"/>
          <w:b/>
          <w:bCs/>
          <w:color w:val="000000" w:themeColor="text1"/>
          <w:sz w:val="24"/>
        </w:rPr>
        <w:t>一、我方承诺无下列相互串通竞标的情形：</w:t>
      </w:r>
    </w:p>
    <w:p w14:paraId="3EB48E11">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1.不同供应商的响应文件由同一单位或者个人编制；</w:t>
      </w:r>
    </w:p>
    <w:p w14:paraId="1143408F">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2.不同供应商委托同一单位或者个人办理竞标事宜；</w:t>
      </w:r>
    </w:p>
    <w:p w14:paraId="5573779F">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3.不同供应商的响应文件载明的项目管理员为同一个人；</w:t>
      </w:r>
    </w:p>
    <w:p w14:paraId="1C78274C">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4.不</w:t>
      </w:r>
      <w:r>
        <w:rPr>
          <w:rFonts w:hint="eastAsia" w:ascii="宋体" w:hAnsi="宋体" w:cs="仿宋_GB2312"/>
          <w:color w:val="000000" w:themeColor="text1"/>
          <w:spacing w:val="-6"/>
          <w:sz w:val="24"/>
        </w:rPr>
        <w:t>同供应商的响应文件异常一致或者竞标报价呈规律性差异；</w:t>
      </w:r>
    </w:p>
    <w:p w14:paraId="4588285D">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5.不同供应商的响应文件相互混装；</w:t>
      </w:r>
    </w:p>
    <w:p w14:paraId="423CA90E">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6.不同供应商的磋商保证金从同一单位或者个人账户转出。</w:t>
      </w:r>
    </w:p>
    <w:p w14:paraId="48554D94">
      <w:pPr>
        <w:ind w:firstLine="0" w:firstLineChars="0"/>
        <w:contextualSpacing/>
        <w:rPr>
          <w:rFonts w:ascii="宋体" w:hAnsi="宋体" w:cs="仿宋_GB2312"/>
          <w:b/>
          <w:bCs/>
          <w:color w:val="000000" w:themeColor="text1"/>
          <w:sz w:val="24"/>
        </w:rPr>
      </w:pPr>
      <w:r>
        <w:rPr>
          <w:rFonts w:hint="eastAsia" w:ascii="宋体" w:hAnsi="宋体" w:cs="仿宋_GB2312"/>
          <w:b/>
          <w:bCs/>
          <w:color w:val="000000" w:themeColor="text1"/>
          <w:sz w:val="24"/>
        </w:rPr>
        <w:t>二、我方承诺无下列恶意串通的情形：</w:t>
      </w:r>
    </w:p>
    <w:p w14:paraId="090460C1">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1.供应商直接或者间接从采购人或者采购代理机构处获得其他供应商的相关信息并修改其响应文件；</w:t>
      </w:r>
    </w:p>
    <w:p w14:paraId="7837CABC">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2.供应商按照采购人或者采购代理机构的授意撤换、修改响应文件；</w:t>
      </w:r>
    </w:p>
    <w:p w14:paraId="434C0470">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3.供</w:t>
      </w:r>
      <w:r>
        <w:rPr>
          <w:rFonts w:hint="eastAsia" w:ascii="宋体" w:hAnsi="宋体" w:cs="仿宋_GB2312"/>
          <w:color w:val="000000" w:themeColor="text1"/>
          <w:spacing w:val="-6"/>
          <w:sz w:val="24"/>
        </w:rPr>
        <w:t>应商之间协商报价、技术方案等响应文件的实质性内容；</w:t>
      </w:r>
    </w:p>
    <w:p w14:paraId="1A7623BE">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4.属于同一集团、协会、商会等组织成员的供应商按照该组织要求协同参加政府采购活动；</w:t>
      </w:r>
    </w:p>
    <w:p w14:paraId="61FF0F7D">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5.供应商之间事先约定一致抬高或者压低竞标报价，或者在竞争性磋商项目中事先约定轮流以高价位或者低价位成交，或者事先约定由某一特定供应商成交，然后再参加竞标；</w:t>
      </w:r>
    </w:p>
    <w:p w14:paraId="3C502AD0">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6.供应商之间商定部分供应商放弃参加政府采购活动或者放弃成交；</w:t>
      </w:r>
    </w:p>
    <w:p w14:paraId="23BD4195">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7.供应商与采购人或者采购代理机构之间、供应商相互之间，为</w:t>
      </w:r>
      <w:r>
        <w:rPr>
          <w:rFonts w:hint="eastAsia" w:ascii="宋体" w:hAnsi="宋体" w:cs="仿宋_GB2312"/>
          <w:color w:val="000000" w:themeColor="text1"/>
          <w:spacing w:val="-6"/>
          <w:sz w:val="24"/>
        </w:rPr>
        <w:t>谋求特定供应商成交或者排斥其他供应商的其他串通行为。</w:t>
      </w:r>
    </w:p>
    <w:p w14:paraId="7FC5F7DD">
      <w:pPr>
        <w:ind w:firstLine="482"/>
        <w:contextualSpacing/>
        <w:rPr>
          <w:rFonts w:ascii="宋体" w:hAnsi="宋体" w:cs="仿宋_GB2312"/>
          <w:b/>
          <w:bCs/>
          <w:color w:val="000000" w:themeColor="text1"/>
          <w:sz w:val="24"/>
        </w:rPr>
      </w:pPr>
      <w:r>
        <w:rPr>
          <w:rFonts w:hint="eastAsia" w:ascii="宋体" w:hAnsi="宋体" w:cs="仿宋_GB2312"/>
          <w:b/>
          <w:bCs/>
          <w:color w:val="000000" w:themeColor="text1"/>
          <w:sz w:val="24"/>
        </w:rPr>
        <w:t>以上情形一经核查属实，我方愿意承担一切后果，并不再寻求任何旨在减轻或者免除法律责任的辩解。</w:t>
      </w:r>
    </w:p>
    <w:p w14:paraId="2BAF4ACB">
      <w:pPr>
        <w:wordWrap w:val="0"/>
        <w:spacing w:line="600" w:lineRule="auto"/>
        <w:ind w:firstLine="0" w:firstLineChars="0"/>
        <w:jc w:val="center"/>
        <w:rPr>
          <w:rFonts w:ascii="宋体" w:hAnsi="宋体"/>
          <w:color w:val="000000" w:themeColor="text1"/>
          <w:spacing w:val="20"/>
          <w:sz w:val="24"/>
          <w:szCs w:val="24"/>
          <w:u w:val="single"/>
        </w:rPr>
      </w:pPr>
      <w:r>
        <w:rPr>
          <w:rFonts w:hint="eastAsia"/>
          <w:color w:val="000000" w:themeColor="text1"/>
          <w:sz w:val="24"/>
          <w:szCs w:val="24"/>
          <w:lang w:val="en-US" w:eastAsia="zh-CN"/>
        </w:rPr>
        <w:t xml:space="preserve">            </w:t>
      </w:r>
      <w:r>
        <w:rPr>
          <w:rFonts w:hint="eastAsia"/>
          <w:color w:val="000000" w:themeColor="text1"/>
          <w:sz w:val="24"/>
          <w:szCs w:val="24"/>
          <w:lang w:val="zh-CN"/>
        </w:rPr>
        <w:t>供应商</w:t>
      </w:r>
      <w:r>
        <w:rPr>
          <w:rFonts w:hint="eastAsia"/>
          <w:color w:val="000000" w:themeColor="text1"/>
          <w:sz w:val="24"/>
          <w:szCs w:val="24"/>
        </w:rPr>
        <w:t>（</w:t>
      </w:r>
      <w:r>
        <w:rPr>
          <w:rFonts w:hint="eastAsia"/>
          <w:b/>
          <w:bCs/>
          <w:color w:val="000000" w:themeColor="text1"/>
          <w:sz w:val="24"/>
          <w:szCs w:val="24"/>
        </w:rPr>
        <w:t>电子签章</w:t>
      </w:r>
      <w:r>
        <w:rPr>
          <w:rFonts w:hint="eastAsia"/>
          <w:color w:val="000000" w:themeColor="text1"/>
          <w:sz w:val="24"/>
          <w:szCs w:val="24"/>
        </w:rPr>
        <w:t>）</w:t>
      </w:r>
      <w:r>
        <w:rPr>
          <w:rFonts w:hint="eastAsia" w:ascii="宋体" w:hAnsi="宋体"/>
          <w:color w:val="000000" w:themeColor="text1"/>
          <w:spacing w:val="20"/>
          <w:sz w:val="24"/>
          <w:szCs w:val="24"/>
        </w:rPr>
        <w:t>：</w:t>
      </w:r>
      <w:r>
        <w:rPr>
          <w:rFonts w:hint="eastAsia" w:ascii="宋体" w:hAnsi="宋体"/>
          <w:color w:val="000000" w:themeColor="text1"/>
          <w:spacing w:val="20"/>
          <w:sz w:val="24"/>
          <w:szCs w:val="24"/>
          <w:u w:val="single"/>
        </w:rPr>
        <w:t xml:space="preserve"> </w:t>
      </w:r>
      <w:r>
        <w:rPr>
          <w:rFonts w:ascii="宋体" w:hAnsi="宋体"/>
          <w:color w:val="000000" w:themeColor="text1"/>
          <w:spacing w:val="20"/>
          <w:sz w:val="24"/>
          <w:szCs w:val="24"/>
          <w:u w:val="single"/>
        </w:rPr>
        <w:t xml:space="preserve">        </w:t>
      </w:r>
    </w:p>
    <w:p w14:paraId="41A4D0E8">
      <w:pPr>
        <w:spacing w:line="360" w:lineRule="auto"/>
        <w:ind w:firstLine="480" w:firstLineChars="200"/>
        <w:jc w:val="center"/>
        <w:rPr>
          <w:rFonts w:hint="eastAsia" w:ascii="仿宋_GB2312" w:hAnsi="仿宋_GB2312" w:eastAsia="仿宋_GB2312" w:cs="仿宋_GB2312"/>
          <w:color w:val="000000"/>
          <w:sz w:val="32"/>
          <w:szCs w:val="32"/>
        </w:rPr>
      </w:pPr>
      <w:r>
        <w:rPr>
          <w:rFonts w:hint="eastAsia"/>
          <w:color w:val="000000" w:themeColor="text1"/>
          <w:sz w:val="24"/>
          <w:szCs w:val="24"/>
          <w:u w:val="single"/>
          <w:lang w:val="en-US" w:eastAsia="zh-CN"/>
        </w:rPr>
        <w:t xml:space="preserve">   </w:t>
      </w:r>
      <w:r>
        <w:rPr>
          <w:rFonts w:hint="eastAsia"/>
          <w:color w:val="000000" w:themeColor="text1"/>
          <w:sz w:val="24"/>
          <w:szCs w:val="24"/>
          <w:u w:val="single"/>
          <w:lang w:val="zh-CN"/>
        </w:rPr>
        <w:t xml:space="preserve">   </w:t>
      </w:r>
      <w:r>
        <w:rPr>
          <w:rFonts w:hint="eastAsia"/>
          <w:color w:val="000000" w:themeColor="text1"/>
          <w:sz w:val="24"/>
          <w:szCs w:val="24"/>
          <w:lang w:val="zh-CN"/>
        </w:rPr>
        <w:t>年</w:t>
      </w:r>
      <w:r>
        <w:rPr>
          <w:rFonts w:hint="eastAsia"/>
          <w:color w:val="000000" w:themeColor="text1"/>
          <w:sz w:val="24"/>
          <w:szCs w:val="24"/>
          <w:u w:val="single"/>
          <w:lang w:val="zh-CN"/>
        </w:rPr>
        <w:t xml:space="preserve">    </w:t>
      </w:r>
      <w:r>
        <w:rPr>
          <w:rFonts w:hint="eastAsia"/>
          <w:color w:val="000000" w:themeColor="text1"/>
          <w:sz w:val="24"/>
          <w:szCs w:val="24"/>
          <w:lang w:val="zh-CN"/>
        </w:rPr>
        <w:t>月</w:t>
      </w:r>
      <w:r>
        <w:rPr>
          <w:rFonts w:hint="eastAsia"/>
          <w:color w:val="000000" w:themeColor="text1"/>
          <w:sz w:val="24"/>
          <w:szCs w:val="24"/>
          <w:u w:val="single"/>
          <w:lang w:val="zh-CN"/>
        </w:rPr>
        <w:t xml:space="preserve">    </w:t>
      </w:r>
      <w:r>
        <w:rPr>
          <w:rFonts w:hint="eastAsia"/>
          <w:color w:val="000000" w:themeColor="text1"/>
          <w:sz w:val="24"/>
          <w:szCs w:val="24"/>
          <w:lang w:val="zh-CN"/>
        </w:rPr>
        <w:t xml:space="preserve">日 </w:t>
      </w:r>
      <w:r>
        <w:rPr>
          <w:color w:val="000000" w:themeColor="text1"/>
          <w:sz w:val="24"/>
          <w:szCs w:val="24"/>
          <w:lang w:val="zh-CN"/>
        </w:rPr>
        <w:t xml:space="preserve">  </w:t>
      </w:r>
    </w:p>
    <w:p w14:paraId="51359DAB">
      <w:pPr>
        <w:spacing w:line="520" w:lineRule="exact"/>
        <w:jc w:val="center"/>
        <w:rPr>
          <w:rFonts w:hint="eastAsia" w:ascii="宋体" w:hAnsi="宋体" w:eastAsia="宋体" w:cs="宋体"/>
          <w:bCs/>
          <w:color w:val="auto"/>
          <w:sz w:val="32"/>
          <w:szCs w:val="32"/>
          <w:highlight w:val="none"/>
          <w:lang w:eastAsia="zh-CN"/>
        </w:rPr>
      </w:pPr>
      <w:r>
        <w:rPr>
          <w:rFonts w:hint="eastAsia" w:ascii="方正小标宋简体" w:hAnsi="方正小标宋简体" w:eastAsia="方正小标宋简体" w:cs="方正小标宋简体"/>
          <w:bCs/>
          <w:color w:val="000000"/>
          <w:sz w:val="44"/>
          <w:szCs w:val="44"/>
        </w:rPr>
        <w:br w:type="page"/>
      </w:r>
      <w:r>
        <w:rPr>
          <w:rFonts w:hint="eastAsia" w:ascii="宋体" w:hAnsi="宋体" w:eastAsia="宋体" w:cs="宋体"/>
          <w:bCs/>
          <w:color w:val="auto"/>
          <w:sz w:val="44"/>
          <w:szCs w:val="44"/>
          <w:highlight w:val="none"/>
          <w:lang w:eastAsia="zh-CN"/>
        </w:rPr>
        <w:t>竞标</w:t>
      </w:r>
      <w:r>
        <w:rPr>
          <w:rFonts w:hint="eastAsia" w:ascii="宋体" w:hAnsi="宋体" w:eastAsia="宋体" w:cs="宋体"/>
          <w:bCs/>
          <w:color w:val="auto"/>
          <w:sz w:val="44"/>
          <w:szCs w:val="44"/>
          <w:highlight w:val="none"/>
        </w:rPr>
        <w:t>报价表</w:t>
      </w:r>
    </w:p>
    <w:p w14:paraId="4F74069B">
      <w:pPr>
        <w:spacing w:line="440" w:lineRule="exact"/>
        <w:jc w:val="center"/>
        <w:rPr>
          <w:rFonts w:hint="eastAsia" w:ascii="宋体" w:hAnsi="宋体" w:eastAsia="宋体" w:cs="宋体"/>
          <w:bCs/>
          <w:color w:val="auto"/>
          <w:sz w:val="32"/>
          <w:szCs w:val="32"/>
          <w:highlight w:val="none"/>
        </w:rPr>
      </w:pPr>
    </w:p>
    <w:p w14:paraId="1148A795">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D3779E5">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45"/>
        <w:gridCol w:w="773"/>
        <w:gridCol w:w="888"/>
        <w:gridCol w:w="1200"/>
        <w:gridCol w:w="2458"/>
        <w:gridCol w:w="1146"/>
        <w:gridCol w:w="932"/>
        <w:gridCol w:w="743"/>
      </w:tblGrid>
      <w:tr w14:paraId="791C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669" w:type="dxa"/>
            <w:noWrap w:val="0"/>
            <w:vAlign w:val="center"/>
          </w:tcPr>
          <w:p w14:paraId="0098CD09">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序号</w:t>
            </w:r>
          </w:p>
        </w:tc>
        <w:tc>
          <w:tcPr>
            <w:tcW w:w="1045" w:type="dxa"/>
            <w:noWrap w:val="0"/>
            <w:vAlign w:val="center"/>
          </w:tcPr>
          <w:p w14:paraId="7D0D890A">
            <w:pPr>
              <w:keepNext w:val="0"/>
              <w:keepLines w:val="0"/>
              <w:widowControl/>
              <w:suppressLineNumbers w:val="0"/>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岗位</w:t>
            </w:r>
          </w:p>
        </w:tc>
        <w:tc>
          <w:tcPr>
            <w:tcW w:w="773" w:type="dxa"/>
            <w:noWrap w:val="0"/>
            <w:vAlign w:val="center"/>
          </w:tcPr>
          <w:p w14:paraId="39A46C1D">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数量（人）</w:t>
            </w:r>
          </w:p>
        </w:tc>
        <w:tc>
          <w:tcPr>
            <w:tcW w:w="888" w:type="dxa"/>
            <w:noWrap w:val="0"/>
            <w:vAlign w:val="center"/>
          </w:tcPr>
          <w:p w14:paraId="04D103C8">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1年服务期限（月）</w:t>
            </w:r>
          </w:p>
        </w:tc>
        <w:tc>
          <w:tcPr>
            <w:tcW w:w="1200" w:type="dxa"/>
            <w:noWrap w:val="0"/>
            <w:vAlign w:val="center"/>
          </w:tcPr>
          <w:p w14:paraId="176C2DDA">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 xml:space="preserve">人员工资 </w:t>
            </w:r>
            <w:r>
              <w:rPr>
                <w:rFonts w:hint="eastAsia" w:ascii="宋体" w:hAnsi="宋体" w:eastAsia="宋体" w:cs="宋体"/>
                <w:b w:val="0"/>
                <w:bCs w:val="0"/>
                <w:color w:val="auto"/>
                <w:sz w:val="21"/>
                <w:szCs w:val="21"/>
                <w:highlight w:val="none"/>
              </w:rPr>
              <w:t>（元/人/ 月）</w:t>
            </w:r>
          </w:p>
        </w:tc>
        <w:tc>
          <w:tcPr>
            <w:tcW w:w="2458" w:type="dxa"/>
            <w:noWrap w:val="0"/>
            <w:vAlign w:val="center"/>
          </w:tcPr>
          <w:p w14:paraId="0E76A03E">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其他费用（</w:t>
            </w:r>
            <w:r>
              <w:rPr>
                <w:rFonts w:hint="eastAsia" w:ascii="宋体" w:hAnsi="宋体" w:eastAsia="宋体" w:cs="宋体"/>
                <w:b w:val="0"/>
                <w:bCs w:val="0"/>
                <w:color w:val="auto"/>
                <w:sz w:val="21"/>
                <w:szCs w:val="21"/>
                <w:highlight w:val="none"/>
                <w:lang w:val="en-US" w:eastAsia="zh-CN"/>
              </w:rPr>
              <w:t>包含</w:t>
            </w:r>
            <w:r>
              <w:rPr>
                <w:rFonts w:hint="eastAsia" w:ascii="宋体" w:hAnsi="宋体" w:eastAsia="宋体" w:cs="宋体"/>
                <w:b w:val="0"/>
                <w:bCs w:val="0"/>
                <w:color w:val="auto"/>
                <w:sz w:val="21"/>
                <w:szCs w:val="21"/>
                <w:highlight w:val="none"/>
              </w:rPr>
              <w:t>社保费、福利待遇、节假日、加班人员意外伤亡赔偿抚恤金，工作服装等，必须的保险费用和各项税费） （每月/人）</w:t>
            </w:r>
          </w:p>
        </w:tc>
        <w:tc>
          <w:tcPr>
            <w:tcW w:w="1146" w:type="dxa"/>
            <w:noWrap w:val="0"/>
            <w:vAlign w:val="center"/>
          </w:tcPr>
          <w:p w14:paraId="3C78EBC3">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其中，服务管理费 （元/人/ 月）</w:t>
            </w:r>
          </w:p>
        </w:tc>
        <w:tc>
          <w:tcPr>
            <w:tcW w:w="932" w:type="dxa"/>
            <w:noWrap w:val="0"/>
            <w:vAlign w:val="center"/>
          </w:tcPr>
          <w:p w14:paraId="46A5924F">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合计 （元 ）</w:t>
            </w:r>
          </w:p>
        </w:tc>
        <w:tc>
          <w:tcPr>
            <w:tcW w:w="743" w:type="dxa"/>
            <w:noWrap w:val="0"/>
            <w:vAlign w:val="center"/>
          </w:tcPr>
          <w:p w14:paraId="1FF09382">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备注</w:t>
            </w:r>
          </w:p>
        </w:tc>
      </w:tr>
      <w:tr w14:paraId="126A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9" w:type="dxa"/>
            <w:noWrap w:val="0"/>
            <w:vAlign w:val="center"/>
          </w:tcPr>
          <w:p w14:paraId="35BE2AD7">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045" w:type="dxa"/>
            <w:noWrap w:val="0"/>
            <w:vAlign w:val="center"/>
          </w:tcPr>
          <w:p w14:paraId="0BA72304">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队长</w:t>
            </w:r>
          </w:p>
        </w:tc>
        <w:tc>
          <w:tcPr>
            <w:tcW w:w="773" w:type="dxa"/>
            <w:noWrap w:val="0"/>
            <w:vAlign w:val="center"/>
          </w:tcPr>
          <w:p w14:paraId="72D6F9DD">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888" w:type="dxa"/>
            <w:noWrap w:val="0"/>
            <w:vAlign w:val="center"/>
          </w:tcPr>
          <w:p w14:paraId="7191AC68">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200" w:type="dxa"/>
            <w:noWrap w:val="0"/>
            <w:vAlign w:val="center"/>
          </w:tcPr>
          <w:p w14:paraId="41563CA3">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2458" w:type="dxa"/>
            <w:noWrap w:val="0"/>
            <w:vAlign w:val="center"/>
          </w:tcPr>
          <w:p w14:paraId="2E451FA8">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146" w:type="dxa"/>
            <w:noWrap w:val="0"/>
            <w:vAlign w:val="center"/>
          </w:tcPr>
          <w:p w14:paraId="3BCF1B3B">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932" w:type="dxa"/>
            <w:noWrap w:val="0"/>
            <w:vAlign w:val="center"/>
          </w:tcPr>
          <w:p w14:paraId="4C4307F4">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743" w:type="dxa"/>
            <w:noWrap w:val="0"/>
            <w:vAlign w:val="center"/>
          </w:tcPr>
          <w:p w14:paraId="1E7184EA">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r>
      <w:tr w14:paraId="645A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9" w:type="dxa"/>
            <w:noWrap w:val="0"/>
            <w:vAlign w:val="center"/>
          </w:tcPr>
          <w:p w14:paraId="140E8B60">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1045" w:type="dxa"/>
            <w:noWrap w:val="0"/>
            <w:vAlign w:val="center"/>
          </w:tcPr>
          <w:p w14:paraId="39F203EF">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cs="宋体"/>
                <w:color w:val="auto"/>
                <w:szCs w:val="21"/>
              </w:rPr>
              <w:t>副队长</w:t>
            </w:r>
          </w:p>
        </w:tc>
        <w:tc>
          <w:tcPr>
            <w:tcW w:w="773" w:type="dxa"/>
            <w:noWrap w:val="0"/>
            <w:vAlign w:val="center"/>
          </w:tcPr>
          <w:p w14:paraId="3AE91164">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888" w:type="dxa"/>
            <w:noWrap w:val="0"/>
            <w:vAlign w:val="center"/>
          </w:tcPr>
          <w:p w14:paraId="5286E775">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200" w:type="dxa"/>
            <w:noWrap w:val="0"/>
            <w:vAlign w:val="center"/>
          </w:tcPr>
          <w:p w14:paraId="41E27E1A">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2458" w:type="dxa"/>
            <w:noWrap w:val="0"/>
            <w:vAlign w:val="center"/>
          </w:tcPr>
          <w:p w14:paraId="4D581026">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146" w:type="dxa"/>
            <w:noWrap w:val="0"/>
            <w:vAlign w:val="center"/>
          </w:tcPr>
          <w:p w14:paraId="080C2747">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932" w:type="dxa"/>
            <w:noWrap w:val="0"/>
            <w:vAlign w:val="center"/>
          </w:tcPr>
          <w:p w14:paraId="2C011811">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743" w:type="dxa"/>
            <w:noWrap w:val="0"/>
            <w:vAlign w:val="center"/>
          </w:tcPr>
          <w:p w14:paraId="7935EED2">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r>
      <w:tr w14:paraId="360D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9" w:type="dxa"/>
            <w:noWrap w:val="0"/>
            <w:vAlign w:val="center"/>
          </w:tcPr>
          <w:p w14:paraId="2F2A2AEC">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1045" w:type="dxa"/>
            <w:noWrap w:val="0"/>
            <w:vAlign w:val="center"/>
          </w:tcPr>
          <w:p w14:paraId="5FAA064B">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cs="宋体"/>
                <w:color w:val="auto"/>
                <w:szCs w:val="21"/>
              </w:rPr>
              <w:t>班长</w:t>
            </w:r>
          </w:p>
        </w:tc>
        <w:tc>
          <w:tcPr>
            <w:tcW w:w="773" w:type="dxa"/>
            <w:noWrap w:val="0"/>
            <w:vAlign w:val="center"/>
          </w:tcPr>
          <w:p w14:paraId="7B2451A4">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888" w:type="dxa"/>
            <w:noWrap w:val="0"/>
            <w:vAlign w:val="center"/>
          </w:tcPr>
          <w:p w14:paraId="0D9E39E5">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200" w:type="dxa"/>
            <w:noWrap w:val="0"/>
            <w:vAlign w:val="center"/>
          </w:tcPr>
          <w:p w14:paraId="17181B57">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2458" w:type="dxa"/>
            <w:noWrap w:val="0"/>
            <w:vAlign w:val="center"/>
          </w:tcPr>
          <w:p w14:paraId="5F576C5C">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146" w:type="dxa"/>
            <w:noWrap w:val="0"/>
            <w:vAlign w:val="center"/>
          </w:tcPr>
          <w:p w14:paraId="24E32D90">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932" w:type="dxa"/>
            <w:noWrap w:val="0"/>
            <w:vAlign w:val="center"/>
          </w:tcPr>
          <w:p w14:paraId="2DFE5D82">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743" w:type="dxa"/>
            <w:noWrap w:val="0"/>
            <w:vAlign w:val="center"/>
          </w:tcPr>
          <w:p w14:paraId="07FADB21">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r>
      <w:tr w14:paraId="2C8E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9" w:type="dxa"/>
            <w:noWrap w:val="0"/>
            <w:vAlign w:val="center"/>
          </w:tcPr>
          <w:p w14:paraId="6382FDB6">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1045" w:type="dxa"/>
            <w:noWrap w:val="0"/>
            <w:vAlign w:val="center"/>
          </w:tcPr>
          <w:p w14:paraId="28F22EA1">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普通教官</w:t>
            </w:r>
          </w:p>
        </w:tc>
        <w:tc>
          <w:tcPr>
            <w:tcW w:w="773" w:type="dxa"/>
            <w:noWrap w:val="0"/>
            <w:vAlign w:val="center"/>
          </w:tcPr>
          <w:p w14:paraId="24675CBC">
            <w:pPr>
              <w:snapToGrid w:val="0"/>
              <w:spacing w:before="50" w:after="50" w:line="400" w:lineRule="exact"/>
              <w:ind w:left="0" w:leftChars="0" w:firstLine="0" w:firstLineChars="0"/>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22</w:t>
            </w:r>
          </w:p>
        </w:tc>
        <w:tc>
          <w:tcPr>
            <w:tcW w:w="888" w:type="dxa"/>
            <w:noWrap w:val="0"/>
            <w:vAlign w:val="center"/>
          </w:tcPr>
          <w:p w14:paraId="513E5870">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200" w:type="dxa"/>
            <w:noWrap w:val="0"/>
            <w:vAlign w:val="center"/>
          </w:tcPr>
          <w:p w14:paraId="6258AC8D">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2458" w:type="dxa"/>
            <w:noWrap w:val="0"/>
            <w:vAlign w:val="center"/>
          </w:tcPr>
          <w:p w14:paraId="5B00BBE0">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146" w:type="dxa"/>
            <w:noWrap w:val="0"/>
            <w:vAlign w:val="center"/>
          </w:tcPr>
          <w:p w14:paraId="69A87262">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932" w:type="dxa"/>
            <w:noWrap w:val="0"/>
            <w:vAlign w:val="center"/>
          </w:tcPr>
          <w:p w14:paraId="56B03DC8">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743" w:type="dxa"/>
            <w:noWrap w:val="0"/>
            <w:vAlign w:val="center"/>
          </w:tcPr>
          <w:p w14:paraId="3E310E42">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r>
      <w:tr w14:paraId="3B90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854" w:type="dxa"/>
            <w:gridSpan w:val="9"/>
            <w:noWrap w:val="0"/>
            <w:vAlign w:val="top"/>
          </w:tcPr>
          <w:p w14:paraId="454E8BA9">
            <w:pPr>
              <w:snapToGrid w:val="0"/>
              <w:spacing w:before="50" w:after="50" w:line="400" w:lineRule="exact"/>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1年</w:t>
            </w:r>
            <w:r>
              <w:rPr>
                <w:rFonts w:hint="eastAsia" w:ascii="宋体" w:hAnsi="宋体" w:eastAsia="宋体" w:cs="宋体"/>
                <w:b w:val="0"/>
                <w:bCs w:val="0"/>
                <w:color w:val="auto"/>
                <w:sz w:val="21"/>
                <w:szCs w:val="21"/>
                <w:highlight w:val="none"/>
                <w:vertAlign w:val="baseline"/>
              </w:rPr>
              <w:t xml:space="preserve">总金额：人民币 </w:t>
            </w:r>
            <w:r>
              <w:rPr>
                <w:rFonts w:hint="eastAsia" w:ascii="宋体" w:hAnsi="宋体" w:eastAsia="宋体" w:cs="宋体"/>
                <w:b w:val="0"/>
                <w:bCs w:val="0"/>
                <w:color w:val="auto"/>
                <w:sz w:val="21"/>
                <w:szCs w:val="21"/>
                <w:highlight w:val="none"/>
                <w:vertAlign w:val="baseline"/>
                <w:lang w:val="en-US" w:eastAsia="zh-CN"/>
              </w:rPr>
              <w:t xml:space="preserve">                         </w:t>
            </w:r>
            <w:r>
              <w:rPr>
                <w:rFonts w:hint="eastAsia" w:ascii="宋体" w:hAnsi="宋体" w:eastAsia="宋体" w:cs="宋体"/>
                <w:b w:val="0"/>
                <w:bCs w:val="0"/>
                <w:color w:val="auto"/>
                <w:sz w:val="21"/>
                <w:szCs w:val="21"/>
                <w:highlight w:val="none"/>
                <w:vertAlign w:val="baseline"/>
              </w:rPr>
              <w:t xml:space="preserve">（¥ </w:t>
            </w:r>
            <w:r>
              <w:rPr>
                <w:rFonts w:hint="eastAsia" w:ascii="宋体" w:hAnsi="宋体" w:eastAsia="宋体" w:cs="宋体"/>
                <w:b w:val="0"/>
                <w:bCs w:val="0"/>
                <w:color w:val="auto"/>
                <w:sz w:val="21"/>
                <w:szCs w:val="21"/>
                <w:highlight w:val="none"/>
                <w:vertAlign w:val="baseline"/>
                <w:lang w:val="en-US" w:eastAsia="zh-CN"/>
              </w:rPr>
              <w:t xml:space="preserve">                     </w:t>
            </w:r>
            <w:r>
              <w:rPr>
                <w:rFonts w:hint="eastAsia" w:ascii="宋体" w:hAnsi="宋体" w:eastAsia="宋体" w:cs="宋体"/>
                <w:b w:val="0"/>
                <w:bCs w:val="0"/>
                <w:color w:val="auto"/>
                <w:sz w:val="21"/>
                <w:szCs w:val="21"/>
                <w:highlight w:val="none"/>
                <w:vertAlign w:val="baseline"/>
              </w:rPr>
              <w:t>）</w:t>
            </w:r>
          </w:p>
        </w:tc>
      </w:tr>
    </w:tbl>
    <w:p w14:paraId="3B45A46E">
      <w:pPr>
        <w:spacing w:line="360" w:lineRule="auto"/>
        <w:ind w:firstLine="48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5190968C">
      <w:pPr>
        <w:spacing w:line="360" w:lineRule="auto"/>
        <w:ind w:firstLine="480"/>
        <w:contextualSpacing/>
        <w:jc w:val="left"/>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1.本项目采购预算为一个年度采购预算，供应商的报价按一个年度进行报价。</w:t>
      </w:r>
    </w:p>
    <w:p w14:paraId="5A44B248">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.供应商的报价表必须加盖供应商公章并由法定代表人或者委托代理人签字，</w:t>
      </w:r>
      <w:r>
        <w:rPr>
          <w:rFonts w:hint="eastAsia" w:ascii="宋体" w:hAnsi="宋体" w:eastAsia="宋体" w:cs="宋体"/>
          <w:b/>
          <w:color w:val="auto"/>
          <w:sz w:val="24"/>
          <w:highlight w:val="none"/>
        </w:rPr>
        <w:t>否则其响应文件按无效响应处理</w:t>
      </w:r>
      <w:r>
        <w:rPr>
          <w:rFonts w:hint="eastAsia" w:ascii="宋体" w:hAnsi="宋体" w:eastAsia="宋体" w:cs="宋体"/>
          <w:color w:val="auto"/>
          <w:sz w:val="24"/>
          <w:highlight w:val="none"/>
        </w:rPr>
        <w:t>。</w:t>
      </w:r>
    </w:p>
    <w:p w14:paraId="342554F0">
      <w:pPr>
        <w:spacing w:line="360" w:lineRule="auto"/>
        <w:ind w:firstLine="480" w:firstLineChars="200"/>
        <w:contextualSpacing/>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报价一经涂改，应在涂改处加盖供应商公章或者由法定代表人或者委托代理人签字或者盖章</w:t>
      </w:r>
      <w:r>
        <w:rPr>
          <w:rFonts w:hint="eastAsia" w:ascii="宋体" w:hAnsi="宋体" w:eastAsia="宋体" w:cs="宋体"/>
          <w:b/>
          <w:color w:val="auto"/>
          <w:sz w:val="24"/>
          <w:highlight w:val="none"/>
        </w:rPr>
        <w:t>，否则其响应文件按无效响应处理。</w:t>
      </w:r>
    </w:p>
    <w:p w14:paraId="4E3F545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.供应商须按照不同岗位分别列出分项报价，</w:t>
      </w:r>
      <w:r>
        <w:rPr>
          <w:rFonts w:hint="eastAsia" w:ascii="宋体" w:hAnsi="宋体" w:eastAsia="宋体" w:cs="宋体"/>
          <w:b/>
          <w:bCs/>
          <w:color w:val="auto"/>
          <w:sz w:val="24"/>
          <w:highlight w:val="none"/>
        </w:rPr>
        <w:t>否则响应文件按无效处理</w:t>
      </w:r>
      <w:r>
        <w:rPr>
          <w:rFonts w:hint="eastAsia" w:ascii="宋体" w:hAnsi="宋体" w:eastAsia="宋体" w:cs="宋体"/>
          <w:color w:val="auto"/>
          <w:sz w:val="24"/>
          <w:highlight w:val="none"/>
        </w:rPr>
        <w:t xml:space="preserve">。 </w:t>
      </w:r>
    </w:p>
    <w:p w14:paraId="4BD61A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报价包含但不限于人员的工资、相关的福利待遇和社会保险金、就餐费、高温补贴、法定节假日和公休假加班费以及国家规定的所有相关费用、管理费（包含人员意外伤害保险差额补偿等风险管理费）、人员服装费、人员各种培训费、成交供应商合理利润及其他所有成本费用的总和。 </w:t>
      </w:r>
    </w:p>
    <w:p w14:paraId="70EBED7E">
      <w:pPr>
        <w:spacing w:line="360" w:lineRule="auto"/>
        <w:ind w:firstLine="480" w:firstLineChars="200"/>
        <w:contextualSpacing/>
        <w:rPr>
          <w:rFonts w:hint="eastAsia" w:ascii="宋体" w:hAnsi="宋体" w:eastAsia="宋体" w:cs="宋体"/>
          <w:color w:val="auto"/>
          <w:sz w:val="24"/>
          <w:highlight w:val="none"/>
        </w:rPr>
      </w:pPr>
    </w:p>
    <w:p w14:paraId="6A455F19">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                    </w:t>
      </w:r>
    </w:p>
    <w:p w14:paraId="2D3F5E4D">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14:paraId="01AF8E7B">
      <w:pPr>
        <w:spacing w:line="360" w:lineRule="auto"/>
        <w:ind w:right="-817" w:rightChars="-389" w:firstLine="4080" w:firstLineChars="17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p w14:paraId="05EF3FE1">
      <w:pPr>
        <w:spacing w:before="312" w:beforeLines="100" w:after="156" w:afterLines="50" w:line="520" w:lineRule="exact"/>
        <w:ind w:left="540"/>
        <w:jc w:val="center"/>
        <w:rPr>
          <w:rFonts w:hint="eastAsia" w:ascii="宋体" w:hAnsi="宋体" w:eastAsia="宋体" w:cs="宋体"/>
          <w:bCs/>
          <w:color w:val="auto"/>
          <w:sz w:val="44"/>
          <w:szCs w:val="44"/>
          <w:highlight w:val="none"/>
        </w:rPr>
      </w:pPr>
    </w:p>
    <w:p w14:paraId="3B0F0B1F">
      <w:pP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br w:type="page"/>
      </w:r>
    </w:p>
    <w:p w14:paraId="2120ABC6">
      <w:pPr>
        <w:snapToGrid w:val="0"/>
        <w:spacing w:before="50" w:after="50"/>
        <w:ind w:firstLine="0" w:firstLineChars="0"/>
        <w:jc w:val="center"/>
        <w:rPr>
          <w:rFonts w:ascii="宋体" w:hAnsi="宋体" w:eastAsia="宋体" w:cs="方正小标宋简体"/>
          <w:b/>
          <w:color w:val="000000" w:themeColor="text1"/>
          <w:sz w:val="44"/>
          <w:szCs w:val="44"/>
        </w:rPr>
      </w:pPr>
      <w:r>
        <w:rPr>
          <w:rFonts w:hint="eastAsia" w:ascii="宋体" w:hAnsi="宋体" w:eastAsia="宋体" w:cs="方正小标宋简体"/>
          <w:b/>
          <w:color w:val="000000" w:themeColor="text1"/>
          <w:sz w:val="44"/>
          <w:szCs w:val="44"/>
        </w:rPr>
        <w:t>法定代表人证明书</w:t>
      </w:r>
    </w:p>
    <w:p w14:paraId="122F8CD3">
      <w:pPr>
        <w:ind w:firstLine="0" w:firstLineChars="0"/>
        <w:rPr>
          <w:color w:val="000000" w:themeColor="text1"/>
          <w:sz w:val="24"/>
          <w:szCs w:val="24"/>
          <w:u w:val="single"/>
        </w:rPr>
      </w:pPr>
      <w:r>
        <w:rPr>
          <w:rFonts w:hint="eastAsia"/>
          <w:color w:val="000000" w:themeColor="text1"/>
          <w:sz w:val="24"/>
          <w:szCs w:val="24"/>
        </w:rPr>
        <w:t>供应商名称：</w:t>
      </w:r>
      <w:r>
        <w:rPr>
          <w:rFonts w:hint="eastAsia"/>
          <w:color w:val="000000" w:themeColor="text1"/>
          <w:sz w:val="24"/>
          <w:szCs w:val="24"/>
          <w:u w:val="single"/>
        </w:rPr>
        <w:t xml:space="preserve">                                                        </w:t>
      </w:r>
    </w:p>
    <w:p w14:paraId="0D5D76EB">
      <w:pPr>
        <w:ind w:firstLine="0" w:firstLineChars="0"/>
        <w:rPr>
          <w:color w:val="000000" w:themeColor="text1"/>
          <w:sz w:val="24"/>
          <w:szCs w:val="24"/>
          <w:u w:val="single"/>
        </w:rPr>
      </w:pPr>
      <w:r>
        <w:rPr>
          <w:rFonts w:hint="eastAsia"/>
          <w:color w:val="000000" w:themeColor="text1"/>
          <w:sz w:val="24"/>
          <w:szCs w:val="24"/>
        </w:rPr>
        <w:t>地    址：</w:t>
      </w:r>
      <w:r>
        <w:rPr>
          <w:rFonts w:hint="eastAsia"/>
          <w:color w:val="000000" w:themeColor="text1"/>
          <w:sz w:val="24"/>
          <w:szCs w:val="24"/>
          <w:u w:val="single"/>
        </w:rPr>
        <w:t xml:space="preserve">                                                        </w:t>
      </w:r>
    </w:p>
    <w:p w14:paraId="6FA37011">
      <w:pPr>
        <w:ind w:firstLine="0" w:firstLineChars="0"/>
        <w:rPr>
          <w:color w:val="000000" w:themeColor="text1"/>
          <w:sz w:val="24"/>
          <w:szCs w:val="24"/>
          <w:u w:val="single"/>
        </w:rPr>
      </w:pPr>
      <w:r>
        <w:rPr>
          <w:rFonts w:hint="eastAsia"/>
          <w:color w:val="000000" w:themeColor="text1"/>
          <w:sz w:val="24"/>
          <w:szCs w:val="24"/>
        </w:rPr>
        <w:t>姓    名：</w:t>
      </w:r>
      <w:r>
        <w:rPr>
          <w:rFonts w:hint="eastAsia"/>
          <w:color w:val="000000" w:themeColor="text1"/>
          <w:sz w:val="24"/>
          <w:szCs w:val="24"/>
          <w:u w:val="single"/>
        </w:rPr>
        <w:t xml:space="preserve">                        </w:t>
      </w:r>
      <w:r>
        <w:rPr>
          <w:rFonts w:hint="eastAsia"/>
          <w:color w:val="000000" w:themeColor="text1"/>
          <w:sz w:val="24"/>
          <w:szCs w:val="24"/>
        </w:rPr>
        <w:t xml:space="preserve">  性      别：</w:t>
      </w:r>
      <w:r>
        <w:rPr>
          <w:rFonts w:hint="eastAsia"/>
          <w:color w:val="000000" w:themeColor="text1"/>
          <w:sz w:val="24"/>
          <w:szCs w:val="24"/>
          <w:u w:val="single"/>
        </w:rPr>
        <w:t xml:space="preserve">                  </w:t>
      </w:r>
    </w:p>
    <w:p w14:paraId="766DB80B">
      <w:pPr>
        <w:ind w:firstLine="0" w:firstLineChars="0"/>
        <w:rPr>
          <w:color w:val="000000" w:themeColor="text1"/>
          <w:sz w:val="24"/>
          <w:szCs w:val="24"/>
          <w:u w:val="single"/>
        </w:rPr>
      </w:pPr>
      <w:r>
        <w:rPr>
          <w:rFonts w:hint="eastAsia"/>
          <w:color w:val="000000" w:themeColor="text1"/>
          <w:sz w:val="24"/>
          <w:szCs w:val="24"/>
        </w:rPr>
        <w:t>年    龄：</w:t>
      </w:r>
      <w:r>
        <w:rPr>
          <w:rFonts w:hint="eastAsia"/>
          <w:color w:val="000000" w:themeColor="text1"/>
          <w:sz w:val="24"/>
          <w:szCs w:val="24"/>
          <w:u w:val="single"/>
        </w:rPr>
        <w:t xml:space="preserve">                        </w:t>
      </w:r>
      <w:r>
        <w:rPr>
          <w:rFonts w:hint="eastAsia"/>
          <w:color w:val="000000" w:themeColor="text1"/>
          <w:sz w:val="24"/>
          <w:szCs w:val="24"/>
        </w:rPr>
        <w:t xml:space="preserve">  职      务：</w:t>
      </w:r>
      <w:r>
        <w:rPr>
          <w:rFonts w:hint="eastAsia"/>
          <w:color w:val="000000" w:themeColor="text1"/>
          <w:sz w:val="24"/>
          <w:szCs w:val="24"/>
          <w:u w:val="single"/>
        </w:rPr>
        <w:t xml:space="preserve">                  </w:t>
      </w:r>
    </w:p>
    <w:p w14:paraId="6B352A6B">
      <w:pPr>
        <w:ind w:firstLine="0" w:firstLineChars="0"/>
        <w:rPr>
          <w:color w:val="000000" w:themeColor="text1"/>
          <w:sz w:val="24"/>
          <w:szCs w:val="24"/>
        </w:rPr>
      </w:pPr>
      <w:r>
        <w:rPr>
          <w:rFonts w:hint="eastAsia"/>
          <w:color w:val="000000" w:themeColor="text1"/>
          <w:sz w:val="24"/>
          <w:szCs w:val="24"/>
        </w:rPr>
        <w:t>身份证号码：</w:t>
      </w:r>
      <w:r>
        <w:rPr>
          <w:rFonts w:hint="eastAsia"/>
          <w:color w:val="000000" w:themeColor="text1"/>
          <w:sz w:val="24"/>
          <w:szCs w:val="24"/>
          <w:u w:val="single"/>
        </w:rPr>
        <w:t xml:space="preserve">                                                      </w:t>
      </w:r>
    </w:p>
    <w:p w14:paraId="53C21827">
      <w:pPr>
        <w:ind w:firstLine="0" w:firstLineChars="0"/>
        <w:rPr>
          <w:color w:val="000000" w:themeColor="text1"/>
          <w:sz w:val="24"/>
          <w:szCs w:val="24"/>
        </w:rPr>
      </w:pPr>
      <w:r>
        <w:rPr>
          <w:rFonts w:hint="eastAsia"/>
          <w:color w:val="000000" w:themeColor="text1"/>
          <w:sz w:val="24"/>
          <w:szCs w:val="24"/>
        </w:rPr>
        <w:t>系</w:t>
      </w:r>
      <w:r>
        <w:rPr>
          <w:rFonts w:hint="eastAsia"/>
          <w:color w:val="000000" w:themeColor="text1"/>
          <w:sz w:val="24"/>
          <w:szCs w:val="24"/>
          <w:u w:val="single"/>
        </w:rPr>
        <w:t xml:space="preserve">            （供应商名称）              </w:t>
      </w:r>
      <w:r>
        <w:rPr>
          <w:rFonts w:hint="eastAsia"/>
          <w:color w:val="000000" w:themeColor="text1"/>
          <w:sz w:val="24"/>
          <w:szCs w:val="24"/>
        </w:rPr>
        <w:t>的法定代表人。</w:t>
      </w:r>
    </w:p>
    <w:p w14:paraId="36C855B2">
      <w:pPr>
        <w:ind w:firstLine="0" w:firstLineChars="0"/>
        <w:rPr>
          <w:color w:val="000000" w:themeColor="text1"/>
          <w:sz w:val="24"/>
          <w:szCs w:val="24"/>
        </w:rPr>
      </w:pPr>
      <w:r>
        <w:rPr>
          <w:rFonts w:hint="eastAsia"/>
          <w:color w:val="000000" w:themeColor="text1"/>
          <w:sz w:val="24"/>
          <w:szCs w:val="24"/>
        </w:rPr>
        <w:t>特此证明。</w:t>
      </w:r>
    </w:p>
    <w:p w14:paraId="11C7AB2A">
      <w:pPr>
        <w:ind w:firstLine="0" w:firstLineChars="0"/>
        <w:rPr>
          <w:color w:val="000000" w:themeColor="text1"/>
          <w:sz w:val="24"/>
          <w:szCs w:val="24"/>
        </w:rPr>
      </w:pPr>
    </w:p>
    <w:p w14:paraId="08DE0BE1">
      <w:pPr>
        <w:ind w:firstLine="0" w:firstLineChars="0"/>
        <w:rPr>
          <w:rFonts w:ascii="黑体" w:hAnsi="黑体" w:eastAsia="黑体"/>
          <w:b/>
          <w:bCs/>
          <w:color w:val="000000" w:themeColor="text1"/>
          <w:sz w:val="28"/>
          <w:szCs w:val="28"/>
        </w:rPr>
      </w:pPr>
      <w:r>
        <w:rPr>
          <w:rFonts w:hint="eastAsia" w:ascii="黑体" w:hAnsi="黑体" w:eastAsia="黑体"/>
          <w:b/>
          <w:bCs/>
          <w:color w:val="000000" w:themeColor="text1"/>
          <w:sz w:val="28"/>
          <w:szCs w:val="28"/>
        </w:rPr>
        <w:t>附件：法定代表人有效身份证正反面复印件</w:t>
      </w:r>
    </w:p>
    <w:p w14:paraId="4690A2D2">
      <w:pPr>
        <w:ind w:firstLine="0" w:firstLineChars="0"/>
        <w:rPr>
          <w:color w:val="000000" w:themeColor="text1"/>
          <w:sz w:val="24"/>
          <w:szCs w:val="24"/>
        </w:rPr>
      </w:pPr>
    </w:p>
    <w:p w14:paraId="31BBA03C">
      <w:pPr>
        <w:spacing w:line="600" w:lineRule="auto"/>
        <w:ind w:firstLine="0" w:firstLineChars="0"/>
        <w:rPr>
          <w:color w:val="000000" w:themeColor="text1"/>
          <w:sz w:val="24"/>
          <w:szCs w:val="24"/>
          <w:lang w:val="zh-CN"/>
        </w:rPr>
      </w:pPr>
      <w:r>
        <w:rPr>
          <w:rFonts w:hint="eastAsia"/>
          <w:color w:val="000000" w:themeColor="text1"/>
          <w:sz w:val="24"/>
          <w:szCs w:val="24"/>
          <w:lang w:val="zh-CN"/>
        </w:rPr>
        <w:t xml:space="preserve">                                    供应商</w:t>
      </w:r>
      <w:r>
        <w:rPr>
          <w:rFonts w:hint="eastAsia"/>
          <w:color w:val="000000" w:themeColor="text1"/>
          <w:sz w:val="24"/>
          <w:szCs w:val="24"/>
        </w:rPr>
        <w:t>（</w:t>
      </w:r>
      <w:r>
        <w:rPr>
          <w:rFonts w:hint="eastAsia"/>
          <w:b/>
          <w:bCs/>
          <w:color w:val="000000" w:themeColor="text1"/>
          <w:sz w:val="24"/>
          <w:szCs w:val="24"/>
        </w:rPr>
        <w:t>电子签章</w:t>
      </w:r>
      <w:r>
        <w:rPr>
          <w:rFonts w:hint="eastAsia"/>
          <w:color w:val="000000" w:themeColor="text1"/>
          <w:sz w:val="24"/>
          <w:szCs w:val="24"/>
        </w:rPr>
        <w:t>）</w:t>
      </w:r>
      <w:r>
        <w:rPr>
          <w:rFonts w:hint="eastAsia" w:ascii="宋体" w:hAnsi="宋体"/>
          <w:color w:val="000000" w:themeColor="text1"/>
          <w:spacing w:val="20"/>
          <w:sz w:val="24"/>
          <w:szCs w:val="24"/>
        </w:rPr>
        <w:t>：</w:t>
      </w:r>
      <w:r>
        <w:rPr>
          <w:rFonts w:hint="eastAsia" w:ascii="宋体" w:hAnsi="宋体"/>
          <w:color w:val="000000" w:themeColor="text1"/>
          <w:spacing w:val="20"/>
          <w:sz w:val="24"/>
          <w:szCs w:val="24"/>
          <w:u w:val="single"/>
        </w:rPr>
        <w:t xml:space="preserve"> </w:t>
      </w:r>
      <w:r>
        <w:rPr>
          <w:rFonts w:ascii="宋体" w:hAnsi="宋体"/>
          <w:color w:val="000000" w:themeColor="text1"/>
          <w:spacing w:val="20"/>
          <w:sz w:val="24"/>
          <w:szCs w:val="24"/>
          <w:u w:val="single"/>
        </w:rPr>
        <w:t xml:space="preserve">        </w:t>
      </w:r>
    </w:p>
    <w:p w14:paraId="19F946B1">
      <w:pPr>
        <w:wordWrap w:val="0"/>
        <w:spacing w:line="600" w:lineRule="auto"/>
        <w:ind w:firstLine="0" w:firstLineChars="0"/>
        <w:jc w:val="right"/>
        <w:rPr>
          <w:color w:val="000000" w:themeColor="text1"/>
          <w:sz w:val="24"/>
          <w:szCs w:val="24"/>
          <w:lang w:val="zh-CN"/>
        </w:rPr>
      </w:pPr>
      <w:r>
        <w:rPr>
          <w:color w:val="000000" w:themeColor="text1"/>
          <w:sz w:val="24"/>
          <w:szCs w:val="24"/>
          <w:u w:val="single"/>
          <w:lang w:val="zh-CN"/>
        </w:rPr>
        <w:t xml:space="preserve"> </w:t>
      </w:r>
      <w:r>
        <w:rPr>
          <w:rFonts w:hint="eastAsia"/>
          <w:color w:val="000000" w:themeColor="text1"/>
          <w:sz w:val="24"/>
          <w:szCs w:val="24"/>
          <w:u w:val="single"/>
          <w:lang w:val="zh-CN"/>
        </w:rPr>
        <w:t xml:space="preserve">    </w:t>
      </w:r>
      <w:r>
        <w:rPr>
          <w:rFonts w:hint="eastAsia"/>
          <w:color w:val="000000" w:themeColor="text1"/>
          <w:sz w:val="24"/>
          <w:szCs w:val="24"/>
          <w:lang w:val="zh-CN"/>
        </w:rPr>
        <w:t>年</w:t>
      </w:r>
      <w:r>
        <w:rPr>
          <w:rFonts w:hint="eastAsia"/>
          <w:color w:val="000000" w:themeColor="text1"/>
          <w:sz w:val="24"/>
          <w:szCs w:val="24"/>
          <w:u w:val="single"/>
          <w:lang w:val="zh-CN"/>
        </w:rPr>
        <w:t xml:space="preserve">    </w:t>
      </w:r>
      <w:r>
        <w:rPr>
          <w:rFonts w:hint="eastAsia"/>
          <w:color w:val="000000" w:themeColor="text1"/>
          <w:sz w:val="24"/>
          <w:szCs w:val="24"/>
          <w:lang w:val="zh-CN"/>
        </w:rPr>
        <w:t>月</w:t>
      </w:r>
      <w:r>
        <w:rPr>
          <w:rFonts w:hint="eastAsia"/>
          <w:color w:val="000000" w:themeColor="text1"/>
          <w:sz w:val="24"/>
          <w:szCs w:val="24"/>
          <w:u w:val="single"/>
          <w:lang w:val="zh-CN"/>
        </w:rPr>
        <w:t xml:space="preserve">    </w:t>
      </w:r>
      <w:r>
        <w:rPr>
          <w:rFonts w:hint="eastAsia"/>
          <w:color w:val="000000" w:themeColor="text1"/>
          <w:sz w:val="24"/>
          <w:szCs w:val="24"/>
          <w:lang w:val="zh-CN"/>
        </w:rPr>
        <w:t xml:space="preserve">日 </w:t>
      </w:r>
      <w:r>
        <w:rPr>
          <w:color w:val="000000" w:themeColor="text1"/>
          <w:sz w:val="24"/>
          <w:szCs w:val="24"/>
          <w:lang w:val="zh-CN"/>
        </w:rPr>
        <w:t xml:space="preserve">   </w:t>
      </w:r>
    </w:p>
    <w:p w14:paraId="1B1CA6C8">
      <w:pPr>
        <w:ind w:firstLine="0" w:firstLineChars="0"/>
        <w:rPr>
          <w:color w:val="000000" w:themeColor="text1"/>
          <w:sz w:val="24"/>
          <w:szCs w:val="24"/>
        </w:rPr>
      </w:pPr>
    </w:p>
    <w:p w14:paraId="2FF50AE9">
      <w:pPr>
        <w:ind w:firstLine="0" w:firstLineChars="0"/>
        <w:rPr>
          <w:color w:val="000000" w:themeColor="text1"/>
          <w:sz w:val="24"/>
          <w:szCs w:val="24"/>
        </w:rPr>
      </w:pPr>
      <w:r>
        <w:rPr>
          <w:rFonts w:hint="eastAsia"/>
          <w:color w:val="000000" w:themeColor="text1"/>
          <w:sz w:val="24"/>
          <w:szCs w:val="24"/>
        </w:rPr>
        <w:t>注：自然人竞标的无需提供，联合体竞标的只需牵头人出具。</w:t>
      </w:r>
    </w:p>
    <w:p w14:paraId="6ECB0798">
      <w:pPr>
        <w:spacing w:before="260" w:after="260" w:line="415" w:lineRule="auto"/>
        <w:ind w:firstLine="0" w:firstLineChars="0"/>
        <w:jc w:val="center"/>
        <w:rPr>
          <w:color w:val="000000" w:themeColor="text1"/>
        </w:rPr>
      </w:pPr>
      <w:r>
        <w:rPr>
          <w:color w:val="000000" w:themeColor="text1"/>
        </w:rPr>
        <w:br w:type="page"/>
      </w:r>
    </w:p>
    <w:p w14:paraId="52BEFC60">
      <w:pPr>
        <w:snapToGrid w:val="0"/>
        <w:spacing w:before="50" w:after="50"/>
        <w:ind w:firstLine="0" w:firstLineChars="0"/>
        <w:jc w:val="center"/>
        <w:rPr>
          <w:rFonts w:ascii="宋体" w:hAnsi="宋体" w:eastAsia="宋体" w:cs="方正小标宋简体"/>
          <w:b/>
          <w:color w:val="000000" w:themeColor="text1"/>
          <w:sz w:val="44"/>
          <w:szCs w:val="44"/>
        </w:rPr>
      </w:pPr>
      <w:r>
        <w:rPr>
          <w:rFonts w:hint="eastAsia" w:ascii="宋体" w:hAnsi="宋体" w:eastAsia="宋体" w:cs="方正小标宋简体"/>
          <w:b/>
          <w:color w:val="000000" w:themeColor="text1"/>
          <w:sz w:val="44"/>
          <w:szCs w:val="44"/>
        </w:rPr>
        <w:t>授权委托书</w:t>
      </w:r>
    </w:p>
    <w:p w14:paraId="6267D217">
      <w:pPr>
        <w:spacing w:line="276" w:lineRule="auto"/>
        <w:ind w:firstLine="0" w:firstLineChars="0"/>
        <w:jc w:val="center"/>
        <w:rPr>
          <w:b/>
          <w:bCs/>
          <w:color w:val="000000" w:themeColor="text1"/>
          <w:sz w:val="32"/>
          <w:szCs w:val="32"/>
        </w:rPr>
      </w:pPr>
      <w:r>
        <w:rPr>
          <w:rFonts w:hint="eastAsia"/>
          <w:b/>
          <w:bCs/>
          <w:color w:val="000000" w:themeColor="text1"/>
          <w:sz w:val="32"/>
          <w:szCs w:val="32"/>
        </w:rPr>
        <w:t>（非联合体竞标格式）</w:t>
      </w:r>
    </w:p>
    <w:p w14:paraId="7BE3D666">
      <w:pPr>
        <w:spacing w:line="276" w:lineRule="auto"/>
        <w:ind w:firstLine="0" w:firstLineChars="0"/>
        <w:jc w:val="center"/>
        <w:rPr>
          <w:b/>
          <w:bCs/>
          <w:color w:val="000000" w:themeColor="text1"/>
          <w:sz w:val="32"/>
          <w:szCs w:val="32"/>
        </w:rPr>
      </w:pPr>
      <w:r>
        <w:rPr>
          <w:rFonts w:hint="eastAsia"/>
          <w:b/>
          <w:bCs/>
          <w:color w:val="000000" w:themeColor="text1"/>
          <w:sz w:val="32"/>
          <w:szCs w:val="32"/>
        </w:rPr>
        <w:t>（如有委托时）</w:t>
      </w:r>
    </w:p>
    <w:p w14:paraId="1E663024">
      <w:pPr>
        <w:ind w:firstLine="0" w:firstLineChars="0"/>
        <w:rPr>
          <w:color w:val="000000" w:themeColor="text1"/>
          <w:sz w:val="24"/>
          <w:szCs w:val="24"/>
        </w:rPr>
      </w:pPr>
      <w:r>
        <w:rPr>
          <w:rFonts w:hint="eastAsia"/>
          <w:color w:val="000000" w:themeColor="text1"/>
          <w:sz w:val="24"/>
          <w:szCs w:val="24"/>
        </w:rPr>
        <w:t>致：</w:t>
      </w:r>
      <w:r>
        <w:rPr>
          <w:rFonts w:hint="eastAsia"/>
          <w:color w:val="000000" w:themeColor="text1"/>
          <w:sz w:val="24"/>
          <w:szCs w:val="24"/>
          <w:u w:val="single"/>
        </w:rPr>
        <w:t xml:space="preserve"> 采购人名称 </w:t>
      </w:r>
    </w:p>
    <w:p w14:paraId="56770219">
      <w:pPr>
        <w:ind w:firstLine="480"/>
        <w:rPr>
          <w:color w:val="000000" w:themeColor="text1"/>
          <w:sz w:val="24"/>
          <w:szCs w:val="24"/>
        </w:rPr>
      </w:pPr>
      <w:r>
        <w:rPr>
          <w:rFonts w:hint="eastAsia"/>
          <w:color w:val="000000" w:themeColor="text1"/>
          <w:sz w:val="24"/>
          <w:szCs w:val="24"/>
        </w:rPr>
        <w:t>我</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Pr>
          <w:rFonts w:hint="eastAsia"/>
          <w:color w:val="000000" w:themeColor="text1"/>
          <w:sz w:val="24"/>
          <w:szCs w:val="24"/>
        </w:rPr>
        <w:t>（姓名）系</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Pr>
          <w:rFonts w:hint="eastAsia"/>
          <w:color w:val="000000" w:themeColor="text1"/>
          <w:sz w:val="24"/>
          <w:szCs w:val="24"/>
        </w:rPr>
        <w:t>（供应商名称）的（</w:t>
      </w:r>
      <w:r>
        <w:rPr>
          <w:rFonts w:hint="eastAsia"/>
          <w:b/>
          <w:bCs/>
          <w:color w:val="000000" w:themeColor="text1"/>
          <w:sz w:val="24"/>
          <w:szCs w:val="24"/>
          <w:u w:val="single"/>
        </w:rPr>
        <w:t>□法定代表人/□负责人/□自然人本人</w:t>
      </w:r>
      <w:r>
        <w:rPr>
          <w:rFonts w:hint="eastAsia"/>
          <w:color w:val="000000" w:themeColor="text1"/>
          <w:sz w:val="24"/>
          <w:szCs w:val="24"/>
        </w:rPr>
        <w:t>），现授权委托</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Pr>
          <w:rFonts w:hint="eastAsia"/>
          <w:color w:val="000000" w:themeColor="text1"/>
          <w:sz w:val="24"/>
          <w:szCs w:val="24"/>
        </w:rPr>
        <w:t>（姓名）以我方的名义参加</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rPr>
        <w:t>项目的</w:t>
      </w:r>
      <w:r>
        <w:rPr>
          <w:rFonts w:hint="eastAsia" w:ascii="宋体" w:hAnsi="宋体" w:cs="仿宋_GB2312"/>
          <w:color w:val="000000" w:themeColor="text1"/>
          <w:sz w:val="24"/>
        </w:rPr>
        <w:t>竞标</w:t>
      </w:r>
      <w:r>
        <w:rPr>
          <w:rFonts w:hint="eastAsia"/>
          <w:color w:val="000000" w:themeColor="text1"/>
          <w:sz w:val="24"/>
          <w:szCs w:val="24"/>
        </w:rPr>
        <w:t>活动，并代表我方全权办理针对上述项目的所有采购程序和环节的具体事务和签署相关文件。</w:t>
      </w:r>
    </w:p>
    <w:p w14:paraId="66CD47A3">
      <w:pPr>
        <w:ind w:firstLine="480"/>
        <w:rPr>
          <w:color w:val="000000" w:themeColor="text1"/>
          <w:sz w:val="24"/>
          <w:szCs w:val="24"/>
        </w:rPr>
      </w:pPr>
      <w:r>
        <w:rPr>
          <w:rFonts w:hint="eastAsia" w:ascii="宋体" w:hAnsi="宋体" w:cs="仿宋_GB2312"/>
          <w:color w:val="000000" w:themeColor="text1"/>
          <w:sz w:val="24"/>
        </w:rPr>
        <w:t>我方对委托代理人的签字</w:t>
      </w:r>
      <w:r>
        <w:rPr>
          <w:rFonts w:hint="eastAsia" w:ascii="宋体" w:hAnsi="宋体"/>
          <w:color w:val="000000" w:themeColor="text1"/>
          <w:sz w:val="24"/>
        </w:rPr>
        <w:t>或者电子签名</w:t>
      </w:r>
      <w:r>
        <w:rPr>
          <w:rFonts w:hint="eastAsia" w:ascii="宋体" w:hAnsi="宋体" w:cs="仿宋_GB2312"/>
          <w:color w:val="000000" w:themeColor="text1"/>
          <w:sz w:val="24"/>
        </w:rPr>
        <w:t>事项负全部责任</w:t>
      </w:r>
      <w:r>
        <w:rPr>
          <w:rFonts w:hint="eastAsia"/>
          <w:color w:val="000000" w:themeColor="text1"/>
          <w:sz w:val="24"/>
          <w:szCs w:val="24"/>
        </w:rPr>
        <w:t>。</w:t>
      </w:r>
    </w:p>
    <w:p w14:paraId="20AEBAEB">
      <w:pPr>
        <w:ind w:firstLine="480"/>
        <w:rPr>
          <w:color w:val="000000" w:themeColor="text1"/>
          <w:sz w:val="24"/>
          <w:szCs w:val="24"/>
        </w:rPr>
      </w:pPr>
      <w:r>
        <w:rPr>
          <w:rFonts w:hint="eastAsia"/>
          <w:color w:val="000000" w:themeColor="text1"/>
          <w:sz w:val="24"/>
          <w:szCs w:val="24"/>
        </w:rPr>
        <w:t>本授权书自签署之日起生效，在撤销授权的书面通知以前，本授权书一直有效。委托代理人在授权书有效期内签署的所有文件不因授权的撤销而失效。</w:t>
      </w:r>
    </w:p>
    <w:p w14:paraId="7EA3EC21">
      <w:pPr>
        <w:ind w:firstLine="480"/>
        <w:rPr>
          <w:color w:val="000000" w:themeColor="text1"/>
          <w:sz w:val="24"/>
          <w:szCs w:val="24"/>
        </w:rPr>
      </w:pPr>
      <w:r>
        <w:rPr>
          <w:rFonts w:hint="eastAsia"/>
          <w:color w:val="000000" w:themeColor="text1"/>
          <w:sz w:val="24"/>
          <w:szCs w:val="24"/>
        </w:rPr>
        <w:t>委托代理人无转委托权，特此委托。</w:t>
      </w:r>
    </w:p>
    <w:p w14:paraId="16385311">
      <w:pPr>
        <w:ind w:firstLine="0" w:firstLineChars="0"/>
        <w:rPr>
          <w:rFonts w:ascii="黑体" w:hAnsi="黑体" w:eastAsia="黑体"/>
          <w:b/>
          <w:bCs/>
          <w:color w:val="000000" w:themeColor="text1"/>
          <w:sz w:val="28"/>
          <w:szCs w:val="28"/>
        </w:rPr>
      </w:pPr>
    </w:p>
    <w:p w14:paraId="4A35B6CF">
      <w:pPr>
        <w:ind w:firstLine="0" w:firstLineChars="0"/>
        <w:rPr>
          <w:rFonts w:ascii="黑体" w:hAnsi="黑体" w:eastAsia="黑体"/>
          <w:b/>
          <w:bCs/>
          <w:color w:val="000000" w:themeColor="text1"/>
          <w:sz w:val="28"/>
          <w:szCs w:val="28"/>
        </w:rPr>
      </w:pPr>
      <w:r>
        <w:rPr>
          <w:rFonts w:hint="eastAsia" w:ascii="黑体" w:hAnsi="黑体" w:eastAsia="黑体"/>
          <w:b/>
          <w:bCs/>
          <w:color w:val="000000" w:themeColor="text1"/>
          <w:sz w:val="28"/>
          <w:szCs w:val="28"/>
        </w:rPr>
        <w:t>附件：法定代表人身份证明书及委托代理人有效身份证正反面复印件</w:t>
      </w:r>
    </w:p>
    <w:p w14:paraId="3E27FBE0">
      <w:pPr>
        <w:spacing w:line="480" w:lineRule="auto"/>
        <w:ind w:firstLine="0" w:firstLineChars="0"/>
        <w:rPr>
          <w:color w:val="000000" w:themeColor="text1"/>
          <w:sz w:val="24"/>
          <w:szCs w:val="24"/>
        </w:rPr>
      </w:pPr>
    </w:p>
    <w:p w14:paraId="0C0C2CD1">
      <w:pPr>
        <w:spacing w:line="480" w:lineRule="auto"/>
        <w:ind w:firstLine="424" w:firstLineChars="177"/>
        <w:rPr>
          <w:color w:val="000000" w:themeColor="text1"/>
          <w:sz w:val="24"/>
          <w:szCs w:val="24"/>
        </w:rPr>
      </w:pPr>
      <w:r>
        <w:rPr>
          <w:rFonts w:hint="eastAsia"/>
          <w:color w:val="000000" w:themeColor="text1"/>
          <w:sz w:val="24"/>
          <w:szCs w:val="24"/>
        </w:rPr>
        <w:t>法定代表人（</w:t>
      </w:r>
      <w:r>
        <w:rPr>
          <w:rFonts w:hint="eastAsia"/>
          <w:b/>
          <w:bCs/>
          <w:color w:val="000000" w:themeColor="text1"/>
          <w:sz w:val="24"/>
          <w:szCs w:val="24"/>
        </w:rPr>
        <w:t>签字或者盖章或者电子签名</w:t>
      </w:r>
      <w:r>
        <w:rPr>
          <w:rFonts w:hint="eastAsia"/>
          <w:color w:val="000000" w:themeColor="text1"/>
          <w:sz w:val="24"/>
          <w:szCs w:val="24"/>
        </w:rPr>
        <w:t>）：</w:t>
      </w:r>
      <w:r>
        <w:rPr>
          <w:rFonts w:hint="eastAsia"/>
          <w:color w:val="000000" w:themeColor="text1"/>
          <w:sz w:val="24"/>
          <w:szCs w:val="24"/>
          <w:u w:val="single"/>
        </w:rPr>
        <w:t xml:space="preserve"> </w:t>
      </w:r>
      <w:r>
        <w:rPr>
          <w:color w:val="000000" w:themeColor="text1"/>
          <w:sz w:val="24"/>
          <w:szCs w:val="24"/>
          <w:u w:val="single"/>
        </w:rPr>
        <w:t xml:space="preserve">                 </w:t>
      </w:r>
    </w:p>
    <w:p w14:paraId="4182D8C7">
      <w:pPr>
        <w:spacing w:line="480" w:lineRule="auto"/>
        <w:ind w:firstLine="424" w:firstLineChars="177"/>
        <w:rPr>
          <w:color w:val="000000" w:themeColor="text1"/>
          <w:sz w:val="24"/>
          <w:szCs w:val="24"/>
        </w:rPr>
      </w:pPr>
      <w:r>
        <w:rPr>
          <w:rFonts w:hint="eastAsia"/>
          <w:color w:val="000000" w:themeColor="text1"/>
          <w:sz w:val="24"/>
          <w:szCs w:val="24"/>
        </w:rPr>
        <w:t>委托代理人（</w:t>
      </w:r>
      <w:r>
        <w:rPr>
          <w:rFonts w:hint="eastAsia"/>
          <w:b/>
          <w:bCs/>
          <w:color w:val="000000" w:themeColor="text1"/>
          <w:sz w:val="24"/>
          <w:szCs w:val="24"/>
        </w:rPr>
        <w:t>签字或者电子签名</w:t>
      </w:r>
      <w:r>
        <w:rPr>
          <w:rFonts w:hint="eastAsia"/>
          <w:color w:val="000000" w:themeColor="text1"/>
          <w:sz w:val="24"/>
          <w:szCs w:val="24"/>
        </w:rPr>
        <w:t>）：</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Pr>
          <w:rFonts w:hint="eastAsia"/>
          <w:color w:val="000000" w:themeColor="text1"/>
          <w:sz w:val="24"/>
          <w:szCs w:val="24"/>
        </w:rPr>
        <w:t xml:space="preserve"> </w:t>
      </w:r>
    </w:p>
    <w:p w14:paraId="76A84EAF">
      <w:pPr>
        <w:spacing w:line="480" w:lineRule="auto"/>
        <w:ind w:firstLine="480"/>
        <w:rPr>
          <w:color w:val="000000" w:themeColor="text1"/>
          <w:sz w:val="24"/>
          <w:szCs w:val="24"/>
          <w:u w:val="single"/>
        </w:rPr>
      </w:pPr>
      <w:r>
        <w:rPr>
          <w:rFonts w:hint="eastAsia"/>
          <w:color w:val="000000" w:themeColor="text1"/>
          <w:sz w:val="24"/>
          <w:szCs w:val="24"/>
        </w:rPr>
        <w:t>委托代理人身份证号码：</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p>
    <w:p w14:paraId="79946473">
      <w:pPr>
        <w:spacing w:line="480" w:lineRule="auto"/>
        <w:ind w:firstLine="0" w:firstLineChars="0"/>
        <w:rPr>
          <w:color w:val="000000" w:themeColor="text1"/>
          <w:sz w:val="24"/>
          <w:szCs w:val="24"/>
          <w:lang w:val="zh-CN"/>
        </w:rPr>
      </w:pPr>
      <w:r>
        <w:rPr>
          <w:rFonts w:hint="eastAsia"/>
          <w:color w:val="000000" w:themeColor="text1"/>
          <w:sz w:val="24"/>
          <w:szCs w:val="24"/>
          <w:lang w:val="zh-CN"/>
        </w:rPr>
        <w:t xml:space="preserve">                                    供应商</w:t>
      </w:r>
      <w:r>
        <w:rPr>
          <w:rFonts w:hint="eastAsia"/>
          <w:color w:val="000000" w:themeColor="text1"/>
          <w:sz w:val="24"/>
          <w:szCs w:val="24"/>
        </w:rPr>
        <w:t>（</w:t>
      </w:r>
      <w:r>
        <w:rPr>
          <w:rFonts w:hint="eastAsia" w:ascii="宋体" w:hAnsi="宋体"/>
          <w:b/>
          <w:bCs/>
          <w:color w:val="000000" w:themeColor="text1"/>
          <w:w w:val="94"/>
          <w:kern w:val="0"/>
          <w:sz w:val="24"/>
          <w:szCs w:val="24"/>
        </w:rPr>
        <w:t>电子签</w:t>
      </w:r>
      <w:r>
        <w:rPr>
          <w:rFonts w:hint="eastAsia" w:ascii="宋体" w:hAnsi="宋体"/>
          <w:b/>
          <w:bCs/>
          <w:color w:val="000000" w:themeColor="text1"/>
          <w:spacing w:val="30"/>
          <w:w w:val="94"/>
          <w:kern w:val="0"/>
          <w:sz w:val="24"/>
          <w:szCs w:val="24"/>
        </w:rPr>
        <w:t>章</w:t>
      </w:r>
      <w:r>
        <w:rPr>
          <w:rFonts w:hint="eastAsia" w:ascii="宋体" w:hAnsi="宋体"/>
          <w:color w:val="000000" w:themeColor="text1"/>
          <w:spacing w:val="20"/>
          <w:sz w:val="24"/>
          <w:szCs w:val="24"/>
        </w:rPr>
        <w:t>）：</w:t>
      </w:r>
      <w:r>
        <w:rPr>
          <w:rFonts w:hint="eastAsia" w:ascii="宋体" w:hAnsi="宋体"/>
          <w:color w:val="000000" w:themeColor="text1"/>
          <w:spacing w:val="20"/>
          <w:sz w:val="24"/>
          <w:szCs w:val="24"/>
          <w:u w:val="single"/>
        </w:rPr>
        <w:t xml:space="preserve"> </w:t>
      </w:r>
      <w:r>
        <w:rPr>
          <w:rFonts w:ascii="宋体" w:hAnsi="宋体"/>
          <w:color w:val="000000" w:themeColor="text1"/>
          <w:spacing w:val="20"/>
          <w:sz w:val="24"/>
          <w:szCs w:val="24"/>
          <w:u w:val="single"/>
        </w:rPr>
        <w:t xml:space="preserve">        </w:t>
      </w:r>
    </w:p>
    <w:p w14:paraId="313890D4">
      <w:pPr>
        <w:wordWrap w:val="0"/>
        <w:spacing w:line="480" w:lineRule="auto"/>
        <w:ind w:firstLine="480"/>
        <w:jc w:val="right"/>
        <w:rPr>
          <w:color w:val="000000" w:themeColor="text1"/>
          <w:sz w:val="24"/>
          <w:szCs w:val="24"/>
        </w:rPr>
      </w:pPr>
      <w:r>
        <w:rPr>
          <w:rFonts w:hint="eastAsia"/>
          <w:color w:val="000000" w:themeColor="text1"/>
          <w:sz w:val="24"/>
          <w:szCs w:val="24"/>
          <w:u w:val="single"/>
          <w:lang w:val="zh-CN"/>
        </w:rPr>
        <w:t xml:space="preserve">    </w:t>
      </w:r>
      <w:r>
        <w:rPr>
          <w:rFonts w:hint="eastAsia"/>
          <w:color w:val="000000" w:themeColor="text1"/>
          <w:sz w:val="24"/>
          <w:szCs w:val="24"/>
          <w:lang w:val="zh-CN"/>
        </w:rPr>
        <w:t>年</w:t>
      </w:r>
      <w:r>
        <w:rPr>
          <w:rFonts w:hint="eastAsia"/>
          <w:color w:val="000000" w:themeColor="text1"/>
          <w:sz w:val="24"/>
          <w:szCs w:val="24"/>
          <w:u w:val="single"/>
          <w:lang w:val="zh-CN"/>
        </w:rPr>
        <w:t xml:space="preserve">    </w:t>
      </w:r>
      <w:r>
        <w:rPr>
          <w:rFonts w:hint="eastAsia"/>
          <w:color w:val="000000" w:themeColor="text1"/>
          <w:sz w:val="24"/>
          <w:szCs w:val="24"/>
          <w:lang w:val="zh-CN"/>
        </w:rPr>
        <w:t>月</w:t>
      </w:r>
      <w:r>
        <w:rPr>
          <w:rFonts w:hint="eastAsia"/>
          <w:color w:val="000000" w:themeColor="text1"/>
          <w:sz w:val="24"/>
          <w:szCs w:val="24"/>
          <w:u w:val="single"/>
          <w:lang w:val="zh-CN"/>
        </w:rPr>
        <w:t xml:space="preserve">    </w:t>
      </w:r>
      <w:r>
        <w:rPr>
          <w:rFonts w:hint="eastAsia"/>
          <w:color w:val="000000" w:themeColor="text1"/>
          <w:sz w:val="24"/>
          <w:szCs w:val="24"/>
          <w:lang w:val="zh-CN"/>
        </w:rPr>
        <w:t xml:space="preserve">日 </w:t>
      </w:r>
      <w:r>
        <w:rPr>
          <w:color w:val="000000" w:themeColor="text1"/>
          <w:sz w:val="24"/>
          <w:szCs w:val="24"/>
          <w:lang w:val="zh-CN"/>
        </w:rPr>
        <w:t xml:space="preserve">   </w:t>
      </w:r>
    </w:p>
    <w:p w14:paraId="2AB4487E">
      <w:pPr>
        <w:ind w:firstLine="0" w:firstLineChars="0"/>
        <w:rPr>
          <w:color w:val="000000" w:themeColor="text1"/>
          <w:sz w:val="24"/>
          <w:szCs w:val="24"/>
        </w:rPr>
      </w:pPr>
      <w:r>
        <w:rPr>
          <w:rFonts w:hint="eastAsia"/>
          <w:color w:val="000000" w:themeColor="text1"/>
          <w:sz w:val="24"/>
          <w:szCs w:val="24"/>
        </w:rPr>
        <w:t>注：1.</w:t>
      </w:r>
      <w:r>
        <w:rPr>
          <w:rFonts w:hint="eastAsia" w:ascii="宋体" w:hAnsi="宋体" w:cs="仿宋_GB2312"/>
          <w:color w:val="000000" w:themeColor="text1"/>
          <w:sz w:val="24"/>
        </w:rPr>
        <w:t>法定代表人必须在授权委托书上签字或者盖章</w:t>
      </w:r>
      <w:r>
        <w:rPr>
          <w:rFonts w:hint="eastAsia" w:ascii="宋体" w:hAnsi="宋体"/>
          <w:color w:val="000000" w:themeColor="text1"/>
          <w:sz w:val="24"/>
        </w:rPr>
        <w:t>或者电子签名</w:t>
      </w:r>
      <w:r>
        <w:rPr>
          <w:rFonts w:hint="eastAsia" w:ascii="宋体" w:hAnsi="宋体" w:cs="仿宋_GB2312"/>
          <w:color w:val="000000" w:themeColor="text1"/>
          <w:sz w:val="24"/>
        </w:rPr>
        <w:t>，委托代理人必须在授权委托书上签字或者电子签名，</w:t>
      </w:r>
      <w:r>
        <w:rPr>
          <w:rFonts w:hint="eastAsia" w:ascii="宋体" w:hAnsi="宋体" w:cs="仿宋_GB2312"/>
          <w:b/>
          <w:color w:val="000000" w:themeColor="text1"/>
          <w:sz w:val="24"/>
        </w:rPr>
        <w:t>否则其响应文件按无效响应处理。</w:t>
      </w:r>
    </w:p>
    <w:p w14:paraId="39561D5D">
      <w:pPr>
        <w:ind w:firstLine="424" w:firstLineChars="177"/>
        <w:rPr>
          <w:rFonts w:ascii="宋体" w:hAnsi="宋体" w:eastAsia="宋体" w:cs="方正小标宋简体"/>
          <w:b/>
          <w:color w:val="000000" w:themeColor="text1"/>
          <w:sz w:val="44"/>
          <w:szCs w:val="44"/>
        </w:rPr>
      </w:pPr>
      <w:r>
        <w:rPr>
          <w:color w:val="000000" w:themeColor="text1"/>
          <w:sz w:val="24"/>
          <w:szCs w:val="24"/>
        </w:rPr>
        <w:t>2</w:t>
      </w:r>
      <w:r>
        <w:rPr>
          <w:rFonts w:hint="eastAsia"/>
          <w:color w:val="000000" w:themeColor="text1"/>
          <w:sz w:val="24"/>
          <w:szCs w:val="24"/>
        </w:rPr>
        <w:t>.法人、其他组织竞标时“我方”是指“我单位”，自然人竞标时“我方”是指“本人”。</w:t>
      </w:r>
    </w:p>
    <w:p w14:paraId="54F59E1A">
      <w:pPr>
        <w:snapToGrid w:val="0"/>
        <w:spacing w:before="50" w:after="50"/>
        <w:ind w:firstLine="0" w:firstLineChars="0"/>
        <w:jc w:val="center"/>
        <w:rPr>
          <w:rFonts w:ascii="宋体" w:hAnsi="宋体" w:eastAsia="宋体" w:cs="方正小标宋简体"/>
          <w:b/>
          <w:color w:val="000000" w:themeColor="text1"/>
          <w:sz w:val="44"/>
          <w:szCs w:val="44"/>
        </w:rPr>
      </w:pPr>
    </w:p>
    <w:p w14:paraId="524CA95D">
      <w:pPr>
        <w:snapToGrid w:val="0"/>
        <w:spacing w:before="50" w:after="50"/>
        <w:ind w:firstLine="0" w:firstLineChars="0"/>
        <w:jc w:val="center"/>
        <w:rPr>
          <w:rFonts w:ascii="宋体" w:hAnsi="宋体" w:eastAsia="宋体" w:cs="方正小标宋简体"/>
          <w:b/>
          <w:color w:val="000000" w:themeColor="text1"/>
          <w:sz w:val="44"/>
          <w:szCs w:val="44"/>
        </w:rPr>
      </w:pPr>
    </w:p>
    <w:p w14:paraId="6BEEB498">
      <w:pPr>
        <w:snapToGrid w:val="0"/>
        <w:spacing w:before="50" w:after="50"/>
        <w:ind w:firstLine="0" w:firstLineChars="0"/>
        <w:jc w:val="center"/>
        <w:rPr>
          <w:rFonts w:ascii="宋体" w:hAnsi="宋体" w:eastAsia="宋体" w:cs="方正小标宋简体"/>
          <w:b/>
          <w:color w:val="000000" w:themeColor="text1"/>
          <w:sz w:val="44"/>
          <w:szCs w:val="44"/>
        </w:rPr>
      </w:pPr>
      <w:r>
        <w:rPr>
          <w:rFonts w:hint="eastAsia" w:ascii="宋体" w:hAnsi="宋体" w:eastAsia="宋体" w:cs="方正小标宋简体"/>
          <w:b/>
          <w:color w:val="000000" w:themeColor="text1"/>
          <w:sz w:val="44"/>
          <w:szCs w:val="44"/>
        </w:rPr>
        <w:t>授权委托书</w:t>
      </w:r>
    </w:p>
    <w:p w14:paraId="406DE69B">
      <w:pPr>
        <w:spacing w:line="276" w:lineRule="auto"/>
        <w:ind w:firstLine="0" w:firstLineChars="0"/>
        <w:jc w:val="center"/>
        <w:rPr>
          <w:b/>
          <w:bCs/>
          <w:color w:val="000000" w:themeColor="text1"/>
          <w:sz w:val="32"/>
          <w:szCs w:val="32"/>
        </w:rPr>
      </w:pPr>
      <w:r>
        <w:rPr>
          <w:rFonts w:hint="eastAsia"/>
          <w:b/>
          <w:bCs/>
          <w:color w:val="000000" w:themeColor="text1"/>
          <w:sz w:val="32"/>
          <w:szCs w:val="32"/>
        </w:rPr>
        <w:t>（联合体竞标格式）</w:t>
      </w:r>
    </w:p>
    <w:p w14:paraId="20EDA0F9">
      <w:pPr>
        <w:spacing w:line="276" w:lineRule="auto"/>
        <w:ind w:firstLine="0" w:firstLineChars="0"/>
        <w:jc w:val="center"/>
        <w:rPr>
          <w:b/>
          <w:bCs/>
          <w:color w:val="000000" w:themeColor="text1"/>
          <w:sz w:val="32"/>
          <w:szCs w:val="32"/>
        </w:rPr>
      </w:pPr>
      <w:r>
        <w:rPr>
          <w:rFonts w:hint="eastAsia"/>
          <w:b/>
          <w:bCs/>
          <w:color w:val="000000" w:themeColor="text1"/>
          <w:sz w:val="32"/>
          <w:szCs w:val="32"/>
        </w:rPr>
        <w:t>（如有委托时）</w:t>
      </w:r>
    </w:p>
    <w:p w14:paraId="0C7D39B3">
      <w:pPr>
        <w:ind w:firstLine="0" w:firstLineChars="0"/>
        <w:rPr>
          <w:color w:val="000000" w:themeColor="text1"/>
          <w:sz w:val="24"/>
          <w:szCs w:val="24"/>
        </w:rPr>
      </w:pPr>
    </w:p>
    <w:p w14:paraId="3DC92C8E">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本授权委托书声明：根据</w:t>
      </w:r>
      <w:r>
        <w:rPr>
          <w:rFonts w:hint="eastAsia" w:ascii="宋体" w:hAnsi="宋体" w:cs="仿宋_GB2312"/>
          <w:color w:val="000000" w:themeColor="text1"/>
          <w:sz w:val="24"/>
          <w:u w:val="single"/>
        </w:rPr>
        <w:t xml:space="preserve">                </w:t>
      </w:r>
      <w:r>
        <w:rPr>
          <w:rFonts w:hint="eastAsia" w:ascii="宋体" w:hAnsi="宋体" w:cs="仿宋_GB2312"/>
          <w:color w:val="000000" w:themeColor="text1"/>
          <w:sz w:val="24"/>
        </w:rPr>
        <w:t>（牵头人名称）与</w:t>
      </w:r>
      <w:r>
        <w:rPr>
          <w:rFonts w:hint="eastAsia" w:ascii="宋体" w:hAnsi="宋体" w:cs="仿宋_GB2312"/>
          <w:color w:val="000000" w:themeColor="text1"/>
          <w:sz w:val="24"/>
          <w:u w:val="single"/>
        </w:rPr>
        <w:t xml:space="preserve">              </w:t>
      </w:r>
      <w:r>
        <w:rPr>
          <w:rFonts w:hint="eastAsia" w:ascii="宋体" w:hAnsi="宋体" w:cs="仿宋_GB2312"/>
          <w:color w:val="000000" w:themeColor="text1"/>
          <w:sz w:val="24"/>
        </w:rPr>
        <w:t>（联合体其他成员名称）签订的《联合体竞标协议书》的内容，</w:t>
      </w:r>
      <w:r>
        <w:rPr>
          <w:rFonts w:hint="eastAsia" w:ascii="宋体" w:hAnsi="宋体" w:cs="仿宋_GB2312"/>
          <w:color w:val="000000" w:themeColor="text1"/>
          <w:sz w:val="24"/>
          <w:u w:val="single"/>
        </w:rPr>
        <w:t xml:space="preserve">                       </w:t>
      </w:r>
      <w:r>
        <w:rPr>
          <w:rFonts w:hint="eastAsia" w:ascii="宋体" w:hAnsi="宋体" w:cs="仿宋_GB2312"/>
          <w:color w:val="000000" w:themeColor="text1"/>
          <w:sz w:val="24"/>
        </w:rPr>
        <w:t>（牵头人名称）的法定代表人</w:t>
      </w:r>
      <w:r>
        <w:rPr>
          <w:rFonts w:hint="eastAsia" w:ascii="宋体" w:hAnsi="宋体" w:cs="仿宋_GB2312"/>
          <w:color w:val="000000" w:themeColor="text1"/>
          <w:sz w:val="24"/>
          <w:u w:val="single"/>
        </w:rPr>
        <w:t xml:space="preserve">      </w:t>
      </w:r>
      <w:r>
        <w:rPr>
          <w:rFonts w:hint="eastAsia" w:ascii="宋体" w:hAnsi="宋体" w:cs="仿宋_GB2312"/>
          <w:color w:val="000000" w:themeColor="text1"/>
          <w:sz w:val="24"/>
        </w:rPr>
        <w:t>（姓名）现授权</w:t>
      </w:r>
      <w:r>
        <w:rPr>
          <w:rFonts w:hint="eastAsia" w:ascii="宋体" w:hAnsi="宋体" w:cs="仿宋_GB2312"/>
          <w:color w:val="000000" w:themeColor="text1"/>
          <w:sz w:val="24"/>
          <w:u w:val="single"/>
        </w:rPr>
        <w:t xml:space="preserve">      </w:t>
      </w:r>
      <w:r>
        <w:rPr>
          <w:rFonts w:hint="eastAsia" w:ascii="宋体" w:hAnsi="宋体" w:cs="仿宋_GB2312"/>
          <w:color w:val="000000" w:themeColor="text1"/>
          <w:sz w:val="24"/>
        </w:rPr>
        <w:t>（姓名）为联合委托代理人，并代表我方全权办理针对上述项目的所有采购程序和环节的具体事务和签署相关文件。</w:t>
      </w:r>
    </w:p>
    <w:p w14:paraId="22F00EE8">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我方对委托代理人的</w:t>
      </w:r>
      <w:r>
        <w:rPr>
          <w:rFonts w:hint="eastAsia" w:ascii="宋体" w:hAnsi="宋体"/>
          <w:color w:val="000000" w:themeColor="text1"/>
          <w:sz w:val="24"/>
        </w:rPr>
        <w:t>签字或者电子签名</w:t>
      </w:r>
      <w:r>
        <w:rPr>
          <w:rFonts w:hint="eastAsia" w:ascii="宋体" w:hAnsi="宋体" w:cs="仿宋_GB2312"/>
          <w:color w:val="000000" w:themeColor="text1"/>
          <w:sz w:val="24"/>
        </w:rPr>
        <w:t>事项负全部责任。</w:t>
      </w:r>
    </w:p>
    <w:p w14:paraId="12BFC941">
      <w:pPr>
        <w:ind w:firstLine="480"/>
        <w:contextualSpacing/>
        <w:rPr>
          <w:rFonts w:ascii="宋体" w:hAnsi="宋体" w:cs="仿宋_GB2312"/>
          <w:color w:val="000000" w:themeColor="text1"/>
          <w:sz w:val="24"/>
        </w:rPr>
      </w:pPr>
      <w:r>
        <w:rPr>
          <w:rFonts w:hint="eastAsia" w:ascii="宋体" w:hAnsi="宋体" w:cs="仿宋_GB2312"/>
          <w:color w:val="000000" w:themeColor="text1"/>
          <w:sz w:val="24"/>
        </w:rPr>
        <w:t>本授权书自签署之日起生效，在撤销授权的书面通知以前，本授权书一直有效。委托代理人在授权书有效期内签署的所有文件不因授权的撤销而失效。</w:t>
      </w:r>
    </w:p>
    <w:p w14:paraId="4F0A0F60">
      <w:pPr>
        <w:ind w:firstLineChars="0"/>
        <w:rPr>
          <w:color w:val="000000" w:themeColor="text1"/>
          <w:sz w:val="24"/>
          <w:szCs w:val="24"/>
        </w:rPr>
      </w:pPr>
      <w:r>
        <w:rPr>
          <w:rFonts w:hint="eastAsia" w:ascii="宋体" w:hAnsi="宋体" w:cs="仿宋_GB2312"/>
          <w:color w:val="000000" w:themeColor="text1"/>
          <w:sz w:val="24"/>
        </w:rPr>
        <w:t>委托代理人无转委托权，特此委托。</w:t>
      </w:r>
    </w:p>
    <w:p w14:paraId="3553C336">
      <w:pPr>
        <w:ind w:firstLine="480"/>
        <w:rPr>
          <w:color w:val="000000" w:themeColor="text1"/>
          <w:sz w:val="24"/>
          <w:szCs w:val="24"/>
        </w:rPr>
      </w:pPr>
    </w:p>
    <w:p w14:paraId="6CF6781E">
      <w:pPr>
        <w:ind w:firstLine="0" w:firstLineChars="0"/>
        <w:rPr>
          <w:rFonts w:ascii="黑体" w:hAnsi="黑体" w:eastAsia="黑体"/>
          <w:b/>
          <w:bCs/>
          <w:color w:val="000000" w:themeColor="text1"/>
          <w:sz w:val="28"/>
          <w:szCs w:val="28"/>
        </w:rPr>
      </w:pPr>
      <w:r>
        <w:rPr>
          <w:rFonts w:hint="eastAsia" w:ascii="黑体" w:hAnsi="黑体" w:eastAsia="黑体"/>
          <w:b/>
          <w:bCs/>
          <w:color w:val="000000" w:themeColor="text1"/>
          <w:sz w:val="28"/>
          <w:szCs w:val="28"/>
        </w:rPr>
        <w:t>附件：法定代表人身份证明书及委托代理人有效身份证正反面复印件</w:t>
      </w:r>
    </w:p>
    <w:p w14:paraId="6EB6FFE9">
      <w:pPr>
        <w:ind w:firstLine="480"/>
        <w:rPr>
          <w:color w:val="000000" w:themeColor="text1"/>
          <w:sz w:val="24"/>
          <w:szCs w:val="24"/>
        </w:rPr>
      </w:pPr>
    </w:p>
    <w:p w14:paraId="5F1A752F">
      <w:pPr>
        <w:ind w:firstLine="480"/>
        <w:rPr>
          <w:color w:val="000000" w:themeColor="text1"/>
          <w:sz w:val="24"/>
          <w:szCs w:val="24"/>
        </w:rPr>
      </w:pPr>
      <w:r>
        <w:rPr>
          <w:rFonts w:hint="eastAsia"/>
          <w:color w:val="000000" w:themeColor="text1"/>
          <w:sz w:val="24"/>
          <w:szCs w:val="24"/>
        </w:rPr>
        <w:t>牵头人法定代表人（</w:t>
      </w:r>
      <w:r>
        <w:rPr>
          <w:rFonts w:hint="eastAsia"/>
          <w:b/>
          <w:bCs/>
          <w:color w:val="000000" w:themeColor="text1"/>
          <w:sz w:val="24"/>
          <w:szCs w:val="24"/>
        </w:rPr>
        <w:t>签字或者盖章或者电子签名</w:t>
      </w:r>
      <w:r>
        <w:rPr>
          <w:rFonts w:hint="eastAsia"/>
          <w:color w:val="000000" w:themeColor="text1"/>
          <w:sz w:val="24"/>
          <w:szCs w:val="24"/>
        </w:rPr>
        <w:t>）：</w:t>
      </w:r>
    </w:p>
    <w:p w14:paraId="089E18DE">
      <w:pPr>
        <w:ind w:firstLine="3600" w:firstLineChars="1500"/>
        <w:rPr>
          <w:color w:val="000000" w:themeColor="text1"/>
          <w:sz w:val="24"/>
          <w:szCs w:val="24"/>
        </w:rPr>
      </w:pPr>
      <w:r>
        <w:rPr>
          <w:rFonts w:hint="eastAsia"/>
          <w:color w:val="000000" w:themeColor="text1"/>
          <w:sz w:val="24"/>
          <w:szCs w:val="24"/>
        </w:rPr>
        <w:t>牵头人（</w:t>
      </w:r>
      <w:r>
        <w:rPr>
          <w:rFonts w:hint="eastAsia"/>
          <w:b/>
          <w:bCs/>
          <w:color w:val="000000" w:themeColor="text1"/>
          <w:sz w:val="24"/>
          <w:szCs w:val="24"/>
        </w:rPr>
        <w:t>电子签章</w:t>
      </w:r>
      <w:r>
        <w:rPr>
          <w:rFonts w:hint="eastAsia"/>
          <w:color w:val="000000" w:themeColor="text1"/>
          <w:sz w:val="24"/>
          <w:szCs w:val="24"/>
        </w:rPr>
        <w:t>）：</w:t>
      </w:r>
    </w:p>
    <w:p w14:paraId="3A7F5D8F">
      <w:pPr>
        <w:ind w:firstLine="5239" w:firstLineChars="2183"/>
        <w:rPr>
          <w:color w:val="000000" w:themeColor="text1"/>
          <w:sz w:val="24"/>
          <w:szCs w:val="24"/>
        </w:rPr>
      </w:pPr>
      <w:r>
        <w:rPr>
          <w:rFonts w:hint="eastAsia"/>
          <w:color w:val="000000" w:themeColor="text1"/>
          <w:sz w:val="24"/>
          <w:szCs w:val="24"/>
        </w:rPr>
        <w:t>日期：</w:t>
      </w:r>
      <w:r>
        <w:rPr>
          <w:rFonts w:hint="eastAsia"/>
          <w:color w:val="000000" w:themeColor="text1"/>
          <w:sz w:val="24"/>
          <w:szCs w:val="24"/>
          <w:u w:val="single"/>
        </w:rPr>
        <w:t xml:space="preserve">    </w:t>
      </w:r>
      <w:r>
        <w:rPr>
          <w:rFonts w:hint="eastAsia"/>
          <w:color w:val="000000" w:themeColor="text1"/>
          <w:sz w:val="24"/>
          <w:szCs w:val="24"/>
        </w:rPr>
        <w:t>年</w:t>
      </w:r>
      <w:r>
        <w:rPr>
          <w:rFonts w:hint="eastAsia"/>
          <w:color w:val="000000" w:themeColor="text1"/>
          <w:sz w:val="24"/>
          <w:szCs w:val="24"/>
          <w:u w:val="single"/>
        </w:rPr>
        <w:t xml:space="preserve">    </w:t>
      </w:r>
      <w:r>
        <w:rPr>
          <w:rFonts w:hint="eastAsia"/>
          <w:color w:val="000000" w:themeColor="text1"/>
          <w:sz w:val="24"/>
          <w:szCs w:val="24"/>
        </w:rPr>
        <w:t>月</w:t>
      </w:r>
      <w:r>
        <w:rPr>
          <w:rFonts w:hint="eastAsia"/>
          <w:color w:val="000000" w:themeColor="text1"/>
          <w:sz w:val="24"/>
          <w:szCs w:val="24"/>
          <w:u w:val="single"/>
        </w:rPr>
        <w:t xml:space="preserve">    </w:t>
      </w:r>
      <w:r>
        <w:rPr>
          <w:rFonts w:hint="eastAsia"/>
          <w:color w:val="000000" w:themeColor="text1"/>
          <w:sz w:val="24"/>
          <w:szCs w:val="24"/>
        </w:rPr>
        <w:t>日</w:t>
      </w:r>
    </w:p>
    <w:p w14:paraId="55913DB6">
      <w:pPr>
        <w:ind w:firstLine="480"/>
        <w:rPr>
          <w:color w:val="000000" w:themeColor="text1"/>
          <w:sz w:val="24"/>
          <w:szCs w:val="24"/>
        </w:rPr>
      </w:pPr>
    </w:p>
    <w:p w14:paraId="172E2038">
      <w:pPr>
        <w:ind w:firstLine="2160" w:firstLineChars="900"/>
        <w:rPr>
          <w:color w:val="000000" w:themeColor="text1"/>
          <w:sz w:val="24"/>
          <w:szCs w:val="24"/>
        </w:rPr>
      </w:pPr>
      <w:r>
        <w:rPr>
          <w:rFonts w:hint="eastAsia"/>
          <w:color w:val="000000" w:themeColor="text1"/>
          <w:sz w:val="24"/>
          <w:szCs w:val="24"/>
        </w:rPr>
        <w:t>被授权人（</w:t>
      </w:r>
      <w:r>
        <w:rPr>
          <w:rFonts w:hint="eastAsia"/>
          <w:b/>
          <w:bCs/>
          <w:color w:val="000000" w:themeColor="text1"/>
          <w:sz w:val="24"/>
          <w:szCs w:val="24"/>
        </w:rPr>
        <w:t>签字或者电子签名</w:t>
      </w:r>
      <w:r>
        <w:rPr>
          <w:rFonts w:hint="eastAsia"/>
          <w:color w:val="000000" w:themeColor="text1"/>
          <w:sz w:val="24"/>
          <w:szCs w:val="24"/>
        </w:rPr>
        <w:t>）：</w:t>
      </w:r>
    </w:p>
    <w:p w14:paraId="23F2F88F">
      <w:pPr>
        <w:ind w:firstLine="5280" w:firstLineChars="2200"/>
        <w:rPr>
          <w:color w:val="000000" w:themeColor="text1"/>
          <w:sz w:val="24"/>
          <w:szCs w:val="24"/>
        </w:rPr>
      </w:pPr>
      <w:r>
        <w:rPr>
          <w:rFonts w:hint="eastAsia"/>
          <w:color w:val="000000" w:themeColor="text1"/>
          <w:sz w:val="24"/>
          <w:szCs w:val="24"/>
        </w:rPr>
        <w:t>日期：</w:t>
      </w:r>
      <w:r>
        <w:rPr>
          <w:rFonts w:hint="eastAsia"/>
          <w:color w:val="000000" w:themeColor="text1"/>
          <w:sz w:val="24"/>
          <w:szCs w:val="24"/>
          <w:u w:val="single"/>
        </w:rPr>
        <w:t xml:space="preserve">    </w:t>
      </w:r>
      <w:r>
        <w:rPr>
          <w:rFonts w:hint="eastAsia"/>
          <w:color w:val="000000" w:themeColor="text1"/>
          <w:sz w:val="24"/>
          <w:szCs w:val="24"/>
        </w:rPr>
        <w:t>年</w:t>
      </w:r>
      <w:r>
        <w:rPr>
          <w:rFonts w:hint="eastAsia"/>
          <w:color w:val="000000" w:themeColor="text1"/>
          <w:sz w:val="24"/>
          <w:szCs w:val="24"/>
          <w:u w:val="single"/>
        </w:rPr>
        <w:t xml:space="preserve">    </w:t>
      </w:r>
      <w:r>
        <w:rPr>
          <w:rFonts w:hint="eastAsia"/>
          <w:color w:val="000000" w:themeColor="text1"/>
          <w:sz w:val="24"/>
          <w:szCs w:val="24"/>
        </w:rPr>
        <w:t>月</w:t>
      </w:r>
      <w:r>
        <w:rPr>
          <w:rFonts w:hint="eastAsia"/>
          <w:color w:val="000000" w:themeColor="text1"/>
          <w:sz w:val="24"/>
          <w:szCs w:val="24"/>
          <w:u w:val="single"/>
        </w:rPr>
        <w:t xml:space="preserve">    </w:t>
      </w:r>
      <w:r>
        <w:rPr>
          <w:rFonts w:hint="eastAsia"/>
          <w:color w:val="000000" w:themeColor="text1"/>
          <w:sz w:val="24"/>
          <w:szCs w:val="24"/>
        </w:rPr>
        <w:t>日</w:t>
      </w:r>
    </w:p>
    <w:p w14:paraId="4D3E831F">
      <w:pPr>
        <w:ind w:firstLine="0" w:firstLineChars="0"/>
        <w:rPr>
          <w:color w:val="000000" w:themeColor="text1"/>
          <w:sz w:val="24"/>
          <w:szCs w:val="24"/>
        </w:rPr>
      </w:pPr>
      <w:r>
        <w:rPr>
          <w:rFonts w:hint="eastAsia"/>
          <w:color w:val="000000" w:themeColor="text1"/>
          <w:sz w:val="24"/>
          <w:szCs w:val="24"/>
        </w:rPr>
        <w:t>注：1.</w:t>
      </w:r>
      <w:r>
        <w:rPr>
          <w:rFonts w:hint="eastAsia" w:ascii="宋体" w:hAnsi="宋体" w:cs="仿宋_GB2312"/>
          <w:color w:val="000000" w:themeColor="text1"/>
          <w:sz w:val="24"/>
        </w:rPr>
        <w:t>法定代表人必须在授权委托书上签字或者盖章</w:t>
      </w:r>
      <w:r>
        <w:rPr>
          <w:rFonts w:hint="eastAsia" w:ascii="宋体" w:hAnsi="宋体"/>
          <w:color w:val="000000" w:themeColor="text1"/>
          <w:sz w:val="24"/>
        </w:rPr>
        <w:t>或者电子签名</w:t>
      </w:r>
      <w:r>
        <w:rPr>
          <w:rFonts w:hint="eastAsia" w:ascii="宋体" w:hAnsi="宋体" w:cs="仿宋_GB2312"/>
          <w:color w:val="000000" w:themeColor="text1"/>
          <w:sz w:val="24"/>
        </w:rPr>
        <w:t>，委托代理人必须在授权委托书上签字或者电子签名，</w:t>
      </w:r>
      <w:r>
        <w:rPr>
          <w:rFonts w:hint="eastAsia" w:ascii="宋体" w:hAnsi="宋体" w:cs="仿宋_GB2312"/>
          <w:b/>
          <w:color w:val="000000" w:themeColor="text1"/>
          <w:sz w:val="24"/>
        </w:rPr>
        <w:t>否则其响应文件按无效响应处理。</w:t>
      </w:r>
    </w:p>
    <w:p w14:paraId="391D1991">
      <w:pPr>
        <w:ind w:firstLine="480"/>
        <w:rPr>
          <w:rFonts w:ascii="宋体" w:hAnsi="宋体" w:eastAsia="宋体" w:cs="仿宋_GB2312"/>
          <w:color w:val="000000" w:themeColor="text1"/>
          <w:spacing w:val="-11"/>
          <w:sz w:val="24"/>
          <w:szCs w:val="24"/>
        </w:rPr>
      </w:pPr>
      <w:r>
        <w:rPr>
          <w:rFonts w:ascii="宋体" w:hAnsi="宋体" w:eastAsia="宋体" w:cs="仿宋_GB2312"/>
          <w:color w:val="000000" w:themeColor="text1"/>
          <w:sz w:val="24"/>
          <w:szCs w:val="24"/>
        </w:rPr>
        <w:t>2.</w:t>
      </w:r>
      <w:r>
        <w:rPr>
          <w:rFonts w:hint="eastAsia" w:ascii="宋体" w:hAnsi="宋体" w:eastAsia="宋体" w:cs="仿宋_GB2312"/>
          <w:color w:val="000000" w:themeColor="text1"/>
          <w:sz w:val="24"/>
          <w:szCs w:val="24"/>
        </w:rPr>
        <w:t>法人、其他组织竞标时“我方”是指“我单位”，自然人竞标时“我方”是指“本人”。</w:t>
      </w:r>
    </w:p>
    <w:p w14:paraId="1D3861B8">
      <w:pPr>
        <w:spacing w:before="260" w:after="260" w:line="415" w:lineRule="auto"/>
        <w:ind w:firstLine="0" w:firstLineChars="0"/>
        <w:jc w:val="center"/>
        <w:rPr>
          <w:color w:val="000000" w:themeColor="text1"/>
        </w:rPr>
      </w:pPr>
      <w:r>
        <w:rPr>
          <w:color w:val="000000" w:themeColor="text1"/>
        </w:rPr>
        <w:br w:type="page"/>
      </w:r>
    </w:p>
    <w:p w14:paraId="3FE5018F">
      <w:pPr>
        <w:ind w:firstLine="420"/>
        <w:rPr>
          <w:color w:val="000000" w:themeColor="text1"/>
        </w:rPr>
      </w:pPr>
    </w:p>
    <w:p w14:paraId="77602382">
      <w:pPr>
        <w:snapToGrid w:val="0"/>
        <w:spacing w:before="50" w:after="50"/>
        <w:ind w:firstLine="0" w:firstLineChars="0"/>
        <w:jc w:val="center"/>
        <w:rPr>
          <w:rFonts w:ascii="宋体" w:hAnsi="宋体" w:eastAsia="宋体" w:cs="方正小标宋简体"/>
          <w:b/>
          <w:color w:val="000000" w:themeColor="text1"/>
          <w:sz w:val="44"/>
          <w:szCs w:val="44"/>
        </w:rPr>
      </w:pPr>
      <w:r>
        <w:rPr>
          <w:rFonts w:hint="eastAsia" w:ascii="宋体" w:hAnsi="宋体" w:eastAsia="宋体" w:cs="方正小标宋简体"/>
          <w:b/>
          <w:color w:val="000000" w:themeColor="text1"/>
          <w:sz w:val="44"/>
          <w:szCs w:val="44"/>
        </w:rPr>
        <w:t>商务要求偏离表（格式）</w:t>
      </w:r>
    </w:p>
    <w:tbl>
      <w:tblPr>
        <w:tblStyle w:val="30"/>
        <w:tblW w:w="84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3"/>
        <w:gridCol w:w="2499"/>
        <w:gridCol w:w="1731"/>
        <w:gridCol w:w="2001"/>
      </w:tblGrid>
      <w:tr w14:paraId="347F8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0069F54E">
            <w:pPr>
              <w:ind w:firstLine="0" w:firstLineChars="0"/>
              <w:jc w:val="center"/>
              <w:rPr>
                <w:rFonts w:ascii="宋体"/>
                <w:color w:val="000000" w:themeColor="text1"/>
                <w:sz w:val="24"/>
                <w:szCs w:val="24"/>
              </w:rPr>
            </w:pPr>
            <w:r>
              <w:rPr>
                <w:rFonts w:hint="eastAsia" w:ascii="宋体"/>
                <w:color w:val="000000" w:themeColor="text1"/>
                <w:sz w:val="24"/>
                <w:szCs w:val="24"/>
              </w:rPr>
              <w:t>项目</w:t>
            </w:r>
          </w:p>
        </w:tc>
        <w:tc>
          <w:tcPr>
            <w:tcW w:w="2499" w:type="dxa"/>
            <w:tcBorders>
              <w:top w:val="single" w:color="auto" w:sz="4" w:space="0"/>
              <w:left w:val="single" w:color="auto" w:sz="4" w:space="0"/>
              <w:bottom w:val="single" w:color="auto" w:sz="4" w:space="0"/>
              <w:right w:val="single" w:color="auto" w:sz="4" w:space="0"/>
            </w:tcBorders>
            <w:vAlign w:val="center"/>
          </w:tcPr>
          <w:p w14:paraId="72CB3D33">
            <w:pPr>
              <w:ind w:firstLine="0" w:firstLineChars="0"/>
              <w:jc w:val="center"/>
              <w:rPr>
                <w:rFonts w:ascii="宋体"/>
                <w:color w:val="000000" w:themeColor="text1"/>
                <w:sz w:val="24"/>
                <w:szCs w:val="24"/>
              </w:rPr>
            </w:pPr>
            <w:r>
              <w:rPr>
                <w:rFonts w:hint="eastAsia" w:ascii="宋体" w:hAnsi="宋体" w:cs="仿宋_GB2312"/>
                <w:color w:val="000000" w:themeColor="text1"/>
                <w:sz w:val="24"/>
                <w:szCs w:val="24"/>
              </w:rPr>
              <w:t>磋商文件商务要求</w:t>
            </w:r>
          </w:p>
        </w:tc>
        <w:tc>
          <w:tcPr>
            <w:tcW w:w="1731" w:type="dxa"/>
            <w:tcBorders>
              <w:top w:val="single" w:color="auto" w:sz="4" w:space="0"/>
              <w:left w:val="single" w:color="auto" w:sz="4" w:space="0"/>
              <w:bottom w:val="single" w:color="auto" w:sz="4" w:space="0"/>
              <w:right w:val="single" w:color="auto" w:sz="4" w:space="0"/>
            </w:tcBorders>
            <w:vAlign w:val="center"/>
          </w:tcPr>
          <w:p w14:paraId="6543DA8F">
            <w:pPr>
              <w:ind w:firstLine="0" w:firstLineChars="0"/>
              <w:jc w:val="center"/>
              <w:rPr>
                <w:rFonts w:ascii="宋体"/>
                <w:color w:val="000000" w:themeColor="text1"/>
                <w:sz w:val="24"/>
                <w:szCs w:val="24"/>
              </w:rPr>
            </w:pPr>
            <w:r>
              <w:rPr>
                <w:rFonts w:hint="eastAsia" w:ascii="宋体" w:hAnsi="宋体" w:cs="仿宋_GB2312"/>
                <w:color w:val="000000" w:themeColor="text1"/>
                <w:sz w:val="24"/>
                <w:szCs w:val="24"/>
              </w:rPr>
              <w:t>供应商的响应</w:t>
            </w:r>
          </w:p>
        </w:tc>
        <w:tc>
          <w:tcPr>
            <w:tcW w:w="2001" w:type="dxa"/>
            <w:tcBorders>
              <w:top w:val="single" w:color="auto" w:sz="4" w:space="0"/>
              <w:left w:val="single" w:color="auto" w:sz="4" w:space="0"/>
              <w:bottom w:val="single" w:color="auto" w:sz="4" w:space="0"/>
              <w:right w:val="single" w:color="auto" w:sz="4" w:space="0"/>
            </w:tcBorders>
            <w:vAlign w:val="center"/>
          </w:tcPr>
          <w:p w14:paraId="3A8BC5B3">
            <w:pPr>
              <w:ind w:firstLine="0" w:firstLineChars="0"/>
              <w:jc w:val="center"/>
              <w:rPr>
                <w:rFonts w:ascii="宋体"/>
                <w:color w:val="000000" w:themeColor="text1"/>
                <w:sz w:val="24"/>
                <w:szCs w:val="24"/>
              </w:rPr>
            </w:pPr>
            <w:r>
              <w:rPr>
                <w:rFonts w:hint="eastAsia" w:ascii="宋体"/>
                <w:color w:val="000000" w:themeColor="text1"/>
                <w:sz w:val="24"/>
                <w:szCs w:val="24"/>
              </w:rPr>
              <w:t>偏离说明</w:t>
            </w:r>
          </w:p>
        </w:tc>
      </w:tr>
      <w:tr w14:paraId="25F48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58B73875">
            <w:pPr>
              <w:widowControl w:val="0"/>
              <w:ind w:firstLine="0" w:firstLineChars="0"/>
              <w:jc w:val="center"/>
              <w:rPr>
                <w:rFonts w:ascii="宋体"/>
                <w:color w:val="000000" w:themeColor="text1"/>
                <w:sz w:val="24"/>
                <w:szCs w:val="24"/>
              </w:rPr>
            </w:pPr>
          </w:p>
        </w:tc>
        <w:tc>
          <w:tcPr>
            <w:tcW w:w="2499" w:type="dxa"/>
            <w:tcBorders>
              <w:top w:val="single" w:color="auto" w:sz="4" w:space="0"/>
              <w:left w:val="single" w:color="auto" w:sz="4" w:space="0"/>
              <w:bottom w:val="single" w:color="auto" w:sz="4" w:space="0"/>
              <w:right w:val="single" w:color="auto" w:sz="4" w:space="0"/>
            </w:tcBorders>
            <w:vAlign w:val="center"/>
          </w:tcPr>
          <w:p w14:paraId="4F78615F">
            <w:pPr>
              <w:ind w:firstLine="0" w:firstLineChars="0"/>
              <w:rPr>
                <w:rFonts w:ascii="宋体"/>
                <w:color w:val="000000" w:themeColor="text1"/>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73A9A9C3">
            <w:pPr>
              <w:ind w:firstLine="0" w:firstLineChars="0"/>
              <w:rPr>
                <w:rFonts w:ascii="宋体"/>
                <w:color w:val="000000" w:themeColor="text1"/>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14:paraId="00B63284">
            <w:pPr>
              <w:ind w:firstLine="0" w:firstLineChars="0"/>
              <w:rPr>
                <w:rFonts w:ascii="宋体"/>
                <w:color w:val="000000" w:themeColor="text1"/>
                <w:sz w:val="24"/>
                <w:szCs w:val="24"/>
              </w:rPr>
            </w:pPr>
          </w:p>
        </w:tc>
      </w:tr>
      <w:tr w14:paraId="18E98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974FD38">
            <w:pPr>
              <w:widowControl w:val="0"/>
              <w:ind w:firstLine="0" w:firstLineChars="0"/>
              <w:jc w:val="center"/>
              <w:rPr>
                <w:rFonts w:ascii="宋体"/>
                <w:color w:val="000000" w:themeColor="text1"/>
                <w:sz w:val="24"/>
                <w:szCs w:val="24"/>
              </w:rPr>
            </w:pPr>
          </w:p>
        </w:tc>
        <w:tc>
          <w:tcPr>
            <w:tcW w:w="2499" w:type="dxa"/>
            <w:tcBorders>
              <w:top w:val="single" w:color="auto" w:sz="4" w:space="0"/>
              <w:left w:val="single" w:color="auto" w:sz="4" w:space="0"/>
              <w:bottom w:val="single" w:color="auto" w:sz="4" w:space="0"/>
              <w:right w:val="single" w:color="auto" w:sz="4" w:space="0"/>
            </w:tcBorders>
            <w:vAlign w:val="center"/>
          </w:tcPr>
          <w:p w14:paraId="34CA11CC">
            <w:pPr>
              <w:ind w:firstLine="0" w:firstLineChars="0"/>
              <w:rPr>
                <w:rFonts w:ascii="宋体"/>
                <w:color w:val="000000" w:themeColor="text1"/>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04BD3719">
            <w:pPr>
              <w:ind w:firstLine="0" w:firstLineChars="0"/>
              <w:rPr>
                <w:rFonts w:ascii="宋体"/>
                <w:color w:val="000000" w:themeColor="text1"/>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14:paraId="105AF4D5">
            <w:pPr>
              <w:ind w:firstLine="0" w:firstLineChars="0"/>
              <w:rPr>
                <w:rFonts w:ascii="宋体"/>
                <w:color w:val="000000" w:themeColor="text1"/>
                <w:sz w:val="24"/>
                <w:szCs w:val="24"/>
              </w:rPr>
            </w:pPr>
          </w:p>
        </w:tc>
      </w:tr>
      <w:tr w14:paraId="1D335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0F422BBC">
            <w:pPr>
              <w:widowControl w:val="0"/>
              <w:ind w:firstLine="0" w:firstLineChars="0"/>
              <w:jc w:val="center"/>
              <w:rPr>
                <w:rFonts w:ascii="宋体"/>
                <w:color w:val="000000" w:themeColor="text1"/>
                <w:sz w:val="24"/>
                <w:szCs w:val="24"/>
              </w:rPr>
            </w:pPr>
          </w:p>
        </w:tc>
        <w:tc>
          <w:tcPr>
            <w:tcW w:w="2499" w:type="dxa"/>
            <w:tcBorders>
              <w:top w:val="single" w:color="auto" w:sz="4" w:space="0"/>
              <w:left w:val="single" w:color="auto" w:sz="4" w:space="0"/>
              <w:bottom w:val="single" w:color="auto" w:sz="4" w:space="0"/>
              <w:right w:val="single" w:color="auto" w:sz="4" w:space="0"/>
            </w:tcBorders>
            <w:vAlign w:val="center"/>
          </w:tcPr>
          <w:p w14:paraId="2E204E84">
            <w:pPr>
              <w:ind w:firstLine="0" w:firstLineChars="0"/>
              <w:rPr>
                <w:rFonts w:ascii="宋体"/>
                <w:color w:val="000000" w:themeColor="text1"/>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4E1E3455">
            <w:pPr>
              <w:ind w:firstLine="0" w:firstLineChars="0"/>
              <w:rPr>
                <w:rFonts w:ascii="宋体"/>
                <w:color w:val="000000" w:themeColor="text1"/>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14:paraId="2FC30386">
            <w:pPr>
              <w:ind w:firstLine="0" w:firstLineChars="0"/>
              <w:rPr>
                <w:rFonts w:ascii="宋体"/>
                <w:color w:val="000000" w:themeColor="text1"/>
                <w:sz w:val="24"/>
                <w:szCs w:val="24"/>
              </w:rPr>
            </w:pPr>
          </w:p>
        </w:tc>
      </w:tr>
      <w:tr w14:paraId="11996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1688C4FA">
            <w:pPr>
              <w:widowControl w:val="0"/>
              <w:ind w:firstLine="0" w:firstLineChars="0"/>
              <w:jc w:val="center"/>
              <w:rPr>
                <w:rFonts w:ascii="宋体"/>
                <w:color w:val="000000" w:themeColor="text1"/>
                <w:sz w:val="24"/>
                <w:szCs w:val="24"/>
              </w:rPr>
            </w:pPr>
          </w:p>
        </w:tc>
        <w:tc>
          <w:tcPr>
            <w:tcW w:w="2499" w:type="dxa"/>
            <w:tcBorders>
              <w:top w:val="single" w:color="auto" w:sz="4" w:space="0"/>
              <w:left w:val="single" w:color="auto" w:sz="4" w:space="0"/>
              <w:bottom w:val="single" w:color="auto" w:sz="4" w:space="0"/>
              <w:right w:val="single" w:color="auto" w:sz="4" w:space="0"/>
            </w:tcBorders>
            <w:vAlign w:val="center"/>
          </w:tcPr>
          <w:p w14:paraId="4A4D630D">
            <w:pPr>
              <w:ind w:firstLine="0" w:firstLineChars="0"/>
              <w:rPr>
                <w:rFonts w:ascii="宋体"/>
                <w:color w:val="000000" w:themeColor="text1"/>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1D058926">
            <w:pPr>
              <w:ind w:firstLine="0" w:firstLineChars="0"/>
              <w:rPr>
                <w:rFonts w:ascii="宋体"/>
                <w:color w:val="000000" w:themeColor="text1"/>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14:paraId="56B93F90">
            <w:pPr>
              <w:ind w:firstLine="0" w:firstLineChars="0"/>
              <w:rPr>
                <w:rFonts w:ascii="宋体"/>
                <w:color w:val="000000" w:themeColor="text1"/>
                <w:sz w:val="24"/>
                <w:szCs w:val="24"/>
              </w:rPr>
            </w:pPr>
          </w:p>
        </w:tc>
      </w:tr>
      <w:tr w14:paraId="1A350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14:paraId="636B2193">
            <w:pPr>
              <w:ind w:firstLine="0" w:firstLineChars="0"/>
              <w:jc w:val="center"/>
              <w:rPr>
                <w:rFonts w:ascii="宋体"/>
                <w:color w:val="000000" w:themeColor="text1"/>
                <w:sz w:val="24"/>
                <w:szCs w:val="24"/>
              </w:rPr>
            </w:pPr>
            <w:r>
              <w:rPr>
                <w:rFonts w:hint="eastAsia" w:ascii="宋体"/>
                <w:color w:val="000000" w:themeColor="text1"/>
                <w:sz w:val="24"/>
                <w:szCs w:val="24"/>
              </w:rPr>
              <w:t>……</w:t>
            </w:r>
          </w:p>
        </w:tc>
        <w:tc>
          <w:tcPr>
            <w:tcW w:w="2499" w:type="dxa"/>
            <w:tcBorders>
              <w:top w:val="single" w:color="auto" w:sz="4" w:space="0"/>
              <w:left w:val="single" w:color="auto" w:sz="4" w:space="0"/>
              <w:bottom w:val="single" w:color="auto" w:sz="4" w:space="0"/>
              <w:right w:val="single" w:color="auto" w:sz="4" w:space="0"/>
            </w:tcBorders>
            <w:vAlign w:val="center"/>
          </w:tcPr>
          <w:p w14:paraId="7CAA66EA">
            <w:pPr>
              <w:ind w:firstLine="0" w:firstLineChars="0"/>
              <w:rPr>
                <w:rFonts w:ascii="宋体"/>
                <w:color w:val="000000" w:themeColor="text1"/>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222A9A1F">
            <w:pPr>
              <w:ind w:firstLine="0" w:firstLineChars="0"/>
              <w:rPr>
                <w:rFonts w:ascii="宋体"/>
                <w:color w:val="000000" w:themeColor="text1"/>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14:paraId="146393B0">
            <w:pPr>
              <w:ind w:firstLine="0" w:firstLineChars="0"/>
              <w:rPr>
                <w:rFonts w:ascii="宋体"/>
                <w:color w:val="000000" w:themeColor="text1"/>
                <w:sz w:val="24"/>
                <w:szCs w:val="24"/>
              </w:rPr>
            </w:pPr>
          </w:p>
        </w:tc>
      </w:tr>
    </w:tbl>
    <w:p w14:paraId="062F8F67">
      <w:pPr>
        <w:ind w:firstLine="0" w:firstLineChars="0"/>
        <w:rPr>
          <w:rFonts w:ascii="宋体"/>
          <w:color w:val="000000" w:themeColor="text1"/>
          <w:sz w:val="24"/>
          <w:szCs w:val="24"/>
        </w:rPr>
      </w:pPr>
      <w:r>
        <w:rPr>
          <w:rFonts w:hint="eastAsia" w:ascii="宋体"/>
          <w:color w:val="000000" w:themeColor="text1"/>
          <w:sz w:val="24"/>
          <w:szCs w:val="24"/>
        </w:rPr>
        <w:t>注：</w:t>
      </w:r>
    </w:p>
    <w:p w14:paraId="4645F657">
      <w:pPr>
        <w:ind w:firstLine="424" w:firstLineChars="177"/>
        <w:rPr>
          <w:rFonts w:ascii="宋体"/>
          <w:color w:val="000000" w:themeColor="text1"/>
          <w:sz w:val="24"/>
          <w:szCs w:val="24"/>
        </w:rPr>
      </w:pPr>
      <w:r>
        <w:rPr>
          <w:rFonts w:ascii="宋体" w:eastAsia="宋体"/>
          <w:color w:val="000000" w:themeColor="text1"/>
          <w:sz w:val="24"/>
          <w:szCs w:val="24"/>
        </w:rPr>
        <w:t>1.</w:t>
      </w:r>
      <w:r>
        <w:rPr>
          <w:rFonts w:hint="eastAsia" w:ascii="宋体" w:eastAsia="宋体"/>
          <w:color w:val="000000" w:themeColor="text1"/>
          <w:sz w:val="24"/>
          <w:szCs w:val="24"/>
        </w:rPr>
        <w:t>说明：应对照磋商文件“第三章 采购需求”中的商务要求逐条作出明确响应，并作出偏离说明。</w:t>
      </w:r>
    </w:p>
    <w:p w14:paraId="625AA4AF">
      <w:pPr>
        <w:ind w:firstLine="424" w:firstLineChars="177"/>
        <w:rPr>
          <w:rFonts w:ascii="宋体"/>
          <w:b/>
          <w:bCs/>
          <w:color w:val="000000" w:themeColor="text1"/>
          <w:sz w:val="24"/>
          <w:szCs w:val="24"/>
        </w:rPr>
      </w:pPr>
      <w:r>
        <w:rPr>
          <w:rFonts w:ascii="宋体"/>
          <w:color w:val="000000" w:themeColor="text1"/>
          <w:sz w:val="24"/>
          <w:szCs w:val="24"/>
        </w:rPr>
        <w:t>2.</w:t>
      </w:r>
      <w:r>
        <w:rPr>
          <w:rFonts w:hint="eastAsia" w:ascii="宋体"/>
          <w:b/>
          <w:bCs/>
          <w:color w:val="000000" w:themeColor="text1"/>
          <w:sz w:val="24"/>
          <w:szCs w:val="24"/>
        </w:rPr>
        <w:t>供应商应根据自身的承诺，对照磋商文件要求在“偏离说明”中注明“正偏离”、“负偏离”或者“无偏离”。既不属于“正偏离”也不属于“负偏离”即为“无偏离”。</w:t>
      </w:r>
    </w:p>
    <w:p w14:paraId="16DF2FA8">
      <w:pPr>
        <w:ind w:firstLine="0" w:firstLineChars="0"/>
        <w:rPr>
          <w:rFonts w:ascii="宋体"/>
          <w:color w:val="000000" w:themeColor="text1"/>
          <w:sz w:val="24"/>
          <w:szCs w:val="24"/>
        </w:rPr>
      </w:pPr>
    </w:p>
    <w:p w14:paraId="6399B3EB">
      <w:pPr>
        <w:ind w:firstLine="0" w:firstLineChars="0"/>
        <w:rPr>
          <w:rFonts w:ascii="宋体" w:hAnsi="宋体"/>
          <w:color w:val="000000" w:themeColor="text1"/>
          <w:spacing w:val="20"/>
          <w:sz w:val="24"/>
          <w:szCs w:val="24"/>
        </w:rPr>
      </w:pPr>
      <w:r>
        <w:rPr>
          <w:rFonts w:hint="eastAsia"/>
          <w:color w:val="000000" w:themeColor="text1"/>
          <w:sz w:val="24"/>
          <w:szCs w:val="24"/>
          <w:lang w:val="zh-CN"/>
        </w:rPr>
        <w:t>供应商</w:t>
      </w:r>
      <w:r>
        <w:rPr>
          <w:rFonts w:hint="eastAsia"/>
          <w:color w:val="000000" w:themeColor="text1"/>
          <w:sz w:val="24"/>
          <w:szCs w:val="24"/>
        </w:rPr>
        <w:t>（</w:t>
      </w:r>
      <w:r>
        <w:rPr>
          <w:rFonts w:hint="eastAsia"/>
          <w:b/>
          <w:bCs/>
          <w:color w:val="000000" w:themeColor="text1"/>
          <w:sz w:val="24"/>
          <w:szCs w:val="24"/>
        </w:rPr>
        <w:t>电子签章</w:t>
      </w:r>
      <w:r>
        <w:rPr>
          <w:rFonts w:hint="eastAsia"/>
          <w:color w:val="000000" w:themeColor="text1"/>
          <w:sz w:val="24"/>
          <w:szCs w:val="24"/>
        </w:rPr>
        <w:t>）</w:t>
      </w:r>
      <w:r>
        <w:rPr>
          <w:rFonts w:hint="eastAsia" w:ascii="宋体" w:hAnsi="宋体"/>
          <w:color w:val="000000" w:themeColor="text1"/>
          <w:spacing w:val="20"/>
          <w:sz w:val="24"/>
          <w:szCs w:val="24"/>
        </w:rPr>
        <w:t>：</w:t>
      </w:r>
      <w:r>
        <w:rPr>
          <w:rFonts w:hint="eastAsia" w:ascii="宋体" w:hAnsi="宋体"/>
          <w:color w:val="000000" w:themeColor="text1"/>
          <w:spacing w:val="20"/>
          <w:sz w:val="24"/>
          <w:szCs w:val="24"/>
          <w:u w:val="single"/>
        </w:rPr>
        <w:t xml:space="preserve">           </w:t>
      </w:r>
      <w:r>
        <w:rPr>
          <w:rFonts w:ascii="宋体" w:hAnsi="宋体"/>
          <w:color w:val="000000" w:themeColor="text1"/>
          <w:spacing w:val="20"/>
          <w:sz w:val="24"/>
          <w:szCs w:val="24"/>
          <w:u w:val="single"/>
        </w:rPr>
        <w:t xml:space="preserve">  </w:t>
      </w:r>
      <w:r>
        <w:rPr>
          <w:rFonts w:hint="eastAsia" w:ascii="宋体" w:hAnsi="宋体"/>
          <w:color w:val="000000" w:themeColor="text1"/>
          <w:spacing w:val="20"/>
          <w:sz w:val="24"/>
          <w:szCs w:val="24"/>
        </w:rPr>
        <w:t xml:space="preserve">    </w:t>
      </w:r>
    </w:p>
    <w:p w14:paraId="31CC33C9">
      <w:pPr>
        <w:ind w:firstLine="0" w:firstLineChars="0"/>
        <w:rPr>
          <w:color w:val="000000" w:themeColor="text1"/>
          <w:sz w:val="24"/>
          <w:szCs w:val="24"/>
        </w:rPr>
      </w:pPr>
      <w:r>
        <w:rPr>
          <w:rFonts w:hint="eastAsia" w:ascii="宋体" w:hAnsi="宋体"/>
          <w:color w:val="000000" w:themeColor="text1"/>
          <w:spacing w:val="20"/>
          <w:sz w:val="24"/>
          <w:szCs w:val="24"/>
        </w:rPr>
        <w:t>日  期：</w:t>
      </w:r>
      <w:r>
        <w:rPr>
          <w:rFonts w:hint="eastAsia"/>
          <w:color w:val="000000" w:themeColor="text1"/>
          <w:sz w:val="24"/>
          <w:szCs w:val="24"/>
          <w:u w:val="single"/>
          <w:lang w:val="zh-CN"/>
        </w:rPr>
        <w:t xml:space="preserve">    </w:t>
      </w:r>
      <w:r>
        <w:rPr>
          <w:rFonts w:hint="eastAsia"/>
          <w:color w:val="000000" w:themeColor="text1"/>
          <w:sz w:val="24"/>
          <w:szCs w:val="24"/>
          <w:lang w:val="zh-CN"/>
        </w:rPr>
        <w:t>年</w:t>
      </w:r>
      <w:r>
        <w:rPr>
          <w:rFonts w:hint="eastAsia"/>
          <w:color w:val="000000" w:themeColor="text1"/>
          <w:sz w:val="24"/>
          <w:szCs w:val="24"/>
          <w:u w:val="single"/>
          <w:lang w:val="zh-CN"/>
        </w:rPr>
        <w:t xml:space="preserve">    </w:t>
      </w:r>
      <w:r>
        <w:rPr>
          <w:rFonts w:hint="eastAsia"/>
          <w:color w:val="000000" w:themeColor="text1"/>
          <w:sz w:val="24"/>
          <w:szCs w:val="24"/>
          <w:lang w:val="zh-CN"/>
        </w:rPr>
        <w:t>月</w:t>
      </w:r>
      <w:r>
        <w:rPr>
          <w:rFonts w:hint="eastAsia"/>
          <w:color w:val="000000" w:themeColor="text1"/>
          <w:sz w:val="24"/>
          <w:szCs w:val="24"/>
          <w:u w:val="single"/>
          <w:lang w:val="zh-CN"/>
        </w:rPr>
        <w:t xml:space="preserve">    </w:t>
      </w:r>
      <w:r>
        <w:rPr>
          <w:rFonts w:hint="eastAsia"/>
          <w:color w:val="000000" w:themeColor="text1"/>
          <w:sz w:val="24"/>
          <w:szCs w:val="24"/>
          <w:lang w:val="zh-CN"/>
        </w:rPr>
        <w:t>日</w:t>
      </w:r>
    </w:p>
    <w:p w14:paraId="627E0187">
      <w:pPr>
        <w:ind w:firstLine="0" w:firstLineChars="0"/>
        <w:rPr>
          <w:color w:val="000000" w:themeColor="text1"/>
        </w:rPr>
      </w:pPr>
    </w:p>
    <w:p w14:paraId="3523CF0D">
      <w:pPr>
        <w:spacing w:before="260" w:after="260" w:line="415" w:lineRule="auto"/>
        <w:ind w:firstLine="0" w:firstLineChars="0"/>
        <w:jc w:val="center"/>
        <w:rPr>
          <w:rFonts w:ascii="宋体" w:hAnsi="宋体" w:eastAsia="宋体"/>
          <w:b/>
          <w:color w:val="000000" w:themeColor="text1"/>
          <w:sz w:val="24"/>
          <w:szCs w:val="24"/>
        </w:rPr>
      </w:pPr>
      <w:r>
        <w:rPr>
          <w:color w:val="000000" w:themeColor="text1"/>
        </w:rPr>
        <w:br w:type="page"/>
      </w:r>
    </w:p>
    <w:p w14:paraId="4CEC689B">
      <w:pPr>
        <w:ind w:firstLine="420"/>
        <w:rPr>
          <w:color w:val="000000" w:themeColor="text1"/>
        </w:rPr>
      </w:pPr>
    </w:p>
    <w:p w14:paraId="4C9FBA70">
      <w:pPr>
        <w:snapToGrid w:val="0"/>
        <w:spacing w:before="50" w:after="50"/>
        <w:ind w:firstLine="0" w:firstLineChars="0"/>
        <w:jc w:val="center"/>
        <w:rPr>
          <w:rFonts w:ascii="宋体" w:hAnsi="宋体" w:eastAsia="宋体" w:cs="方正小标宋简体"/>
          <w:b/>
          <w:color w:val="000000" w:themeColor="text1"/>
          <w:sz w:val="44"/>
          <w:szCs w:val="44"/>
        </w:rPr>
      </w:pPr>
      <w:r>
        <w:rPr>
          <w:rFonts w:hint="eastAsia" w:ascii="宋体" w:hAnsi="宋体" w:eastAsia="宋体" w:cs="方正小标宋简体"/>
          <w:b/>
          <w:color w:val="000000" w:themeColor="text1"/>
          <w:sz w:val="44"/>
          <w:szCs w:val="44"/>
        </w:rPr>
        <w:t>技术要求偏离表（格式）</w:t>
      </w:r>
    </w:p>
    <w:p w14:paraId="3692277B">
      <w:pPr>
        <w:ind w:firstLine="0" w:firstLineChars="0"/>
        <w:rPr>
          <w:rFonts w:ascii="宋体" w:hAnsi="宋体" w:eastAsia="宋体"/>
          <w:color w:val="000000" w:themeColor="text1"/>
          <w:sz w:val="24"/>
          <w:szCs w:val="24"/>
        </w:rPr>
      </w:pPr>
    </w:p>
    <w:tbl>
      <w:tblPr>
        <w:tblStyle w:val="30"/>
        <w:tblW w:w="849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6"/>
        <w:gridCol w:w="1266"/>
        <w:gridCol w:w="2426"/>
        <w:gridCol w:w="2553"/>
        <w:gridCol w:w="1393"/>
      </w:tblGrid>
      <w:tr w14:paraId="200E8B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6" w:type="dxa"/>
            <w:vAlign w:val="center"/>
          </w:tcPr>
          <w:p w14:paraId="2A32ADB9">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1266" w:type="dxa"/>
            <w:tcBorders>
              <w:right w:val="single" w:color="auto" w:sz="4" w:space="0"/>
            </w:tcBorders>
            <w:vAlign w:val="center"/>
          </w:tcPr>
          <w:p w14:paraId="6B361FA2">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服务名称</w:t>
            </w:r>
          </w:p>
        </w:tc>
        <w:tc>
          <w:tcPr>
            <w:tcW w:w="2426" w:type="dxa"/>
            <w:tcBorders>
              <w:left w:val="single" w:color="auto" w:sz="4" w:space="0"/>
            </w:tcBorders>
            <w:vAlign w:val="center"/>
          </w:tcPr>
          <w:p w14:paraId="46167FD3">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磋商文件技术要求</w:t>
            </w:r>
          </w:p>
        </w:tc>
        <w:tc>
          <w:tcPr>
            <w:tcW w:w="2553" w:type="dxa"/>
            <w:vAlign w:val="center"/>
          </w:tcPr>
          <w:p w14:paraId="4D3BC05F">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竞标响应</w:t>
            </w:r>
          </w:p>
        </w:tc>
        <w:tc>
          <w:tcPr>
            <w:tcW w:w="1393" w:type="dxa"/>
            <w:vAlign w:val="center"/>
          </w:tcPr>
          <w:p w14:paraId="32FE56AB">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r>
      <w:tr w14:paraId="23C33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6" w:type="dxa"/>
            <w:vAlign w:val="center"/>
          </w:tcPr>
          <w:p w14:paraId="7AEE4983">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1266" w:type="dxa"/>
            <w:tcBorders>
              <w:right w:val="single" w:color="auto" w:sz="4" w:space="0"/>
            </w:tcBorders>
            <w:vAlign w:val="center"/>
          </w:tcPr>
          <w:p w14:paraId="7DC3F7E4">
            <w:pPr>
              <w:widowControl w:val="0"/>
              <w:ind w:firstLine="0" w:firstLineChars="0"/>
              <w:contextualSpacing/>
              <w:jc w:val="center"/>
              <w:rPr>
                <w:rFonts w:ascii="宋体" w:hAnsi="宋体" w:eastAsia="宋体" w:cs="仿宋_GB2312"/>
                <w:color w:val="000000" w:themeColor="text1"/>
                <w:sz w:val="24"/>
                <w:szCs w:val="24"/>
              </w:rPr>
            </w:pPr>
          </w:p>
        </w:tc>
        <w:tc>
          <w:tcPr>
            <w:tcW w:w="2426" w:type="dxa"/>
            <w:tcBorders>
              <w:left w:val="single" w:color="auto" w:sz="4" w:space="0"/>
            </w:tcBorders>
            <w:vAlign w:val="center"/>
          </w:tcPr>
          <w:p w14:paraId="355A9A48">
            <w:pPr>
              <w:widowControl w:val="0"/>
              <w:ind w:firstLine="0" w:firstLineChars="0"/>
              <w:contextualSpacing/>
              <w:jc w:val="center"/>
              <w:rPr>
                <w:rFonts w:ascii="宋体" w:hAnsi="宋体" w:eastAsia="宋体" w:cs="仿宋_GB2312"/>
                <w:color w:val="000000" w:themeColor="text1"/>
                <w:sz w:val="24"/>
                <w:szCs w:val="24"/>
              </w:rPr>
            </w:pPr>
          </w:p>
        </w:tc>
        <w:tc>
          <w:tcPr>
            <w:tcW w:w="2553" w:type="dxa"/>
            <w:vAlign w:val="center"/>
          </w:tcPr>
          <w:p w14:paraId="6DCA4589">
            <w:pPr>
              <w:widowControl w:val="0"/>
              <w:ind w:firstLine="0" w:firstLineChars="0"/>
              <w:contextualSpacing/>
              <w:jc w:val="center"/>
              <w:rPr>
                <w:rFonts w:ascii="宋体" w:hAnsi="宋体" w:eastAsia="宋体" w:cs="仿宋_GB2312"/>
                <w:color w:val="000000" w:themeColor="text1"/>
                <w:sz w:val="24"/>
                <w:szCs w:val="24"/>
              </w:rPr>
            </w:pPr>
          </w:p>
        </w:tc>
        <w:tc>
          <w:tcPr>
            <w:tcW w:w="1393" w:type="dxa"/>
            <w:vAlign w:val="center"/>
          </w:tcPr>
          <w:p w14:paraId="608BB325">
            <w:pPr>
              <w:widowControl w:val="0"/>
              <w:ind w:firstLine="0" w:firstLineChars="0"/>
              <w:contextualSpacing/>
              <w:jc w:val="center"/>
              <w:rPr>
                <w:rFonts w:ascii="宋体" w:hAnsi="宋体" w:eastAsia="宋体" w:cs="仿宋_GB2312"/>
                <w:color w:val="000000" w:themeColor="text1"/>
                <w:sz w:val="24"/>
                <w:szCs w:val="24"/>
              </w:rPr>
            </w:pPr>
          </w:p>
        </w:tc>
      </w:tr>
      <w:tr w14:paraId="3DE3B6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6" w:type="dxa"/>
            <w:vAlign w:val="center"/>
          </w:tcPr>
          <w:p w14:paraId="7AA888F6">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1266" w:type="dxa"/>
            <w:tcBorders>
              <w:right w:val="single" w:color="auto" w:sz="4" w:space="0"/>
            </w:tcBorders>
            <w:vAlign w:val="center"/>
          </w:tcPr>
          <w:p w14:paraId="197D67B8">
            <w:pPr>
              <w:widowControl w:val="0"/>
              <w:ind w:firstLine="0" w:firstLineChars="0"/>
              <w:contextualSpacing/>
              <w:jc w:val="center"/>
              <w:rPr>
                <w:rFonts w:ascii="宋体" w:hAnsi="宋体" w:eastAsia="宋体" w:cs="仿宋_GB2312"/>
                <w:color w:val="000000" w:themeColor="text1"/>
                <w:sz w:val="24"/>
                <w:szCs w:val="24"/>
              </w:rPr>
            </w:pPr>
          </w:p>
        </w:tc>
        <w:tc>
          <w:tcPr>
            <w:tcW w:w="2426" w:type="dxa"/>
            <w:tcBorders>
              <w:left w:val="single" w:color="auto" w:sz="4" w:space="0"/>
            </w:tcBorders>
            <w:vAlign w:val="center"/>
          </w:tcPr>
          <w:p w14:paraId="432BC925">
            <w:pPr>
              <w:widowControl w:val="0"/>
              <w:ind w:firstLine="0" w:firstLineChars="0"/>
              <w:contextualSpacing/>
              <w:jc w:val="center"/>
              <w:rPr>
                <w:rFonts w:ascii="宋体" w:hAnsi="宋体" w:eastAsia="宋体" w:cs="仿宋_GB2312"/>
                <w:color w:val="000000" w:themeColor="text1"/>
                <w:sz w:val="24"/>
                <w:szCs w:val="24"/>
              </w:rPr>
            </w:pPr>
          </w:p>
        </w:tc>
        <w:tc>
          <w:tcPr>
            <w:tcW w:w="2553" w:type="dxa"/>
            <w:vAlign w:val="center"/>
          </w:tcPr>
          <w:p w14:paraId="0879B82D">
            <w:pPr>
              <w:widowControl w:val="0"/>
              <w:ind w:firstLine="0" w:firstLineChars="0"/>
              <w:contextualSpacing/>
              <w:jc w:val="center"/>
              <w:rPr>
                <w:rFonts w:ascii="宋体" w:hAnsi="宋体" w:eastAsia="宋体" w:cs="仿宋_GB2312"/>
                <w:color w:val="000000" w:themeColor="text1"/>
                <w:sz w:val="24"/>
                <w:szCs w:val="24"/>
              </w:rPr>
            </w:pPr>
          </w:p>
        </w:tc>
        <w:tc>
          <w:tcPr>
            <w:tcW w:w="1393" w:type="dxa"/>
            <w:vAlign w:val="center"/>
          </w:tcPr>
          <w:p w14:paraId="337E61D9">
            <w:pPr>
              <w:widowControl w:val="0"/>
              <w:ind w:firstLine="0" w:firstLineChars="0"/>
              <w:contextualSpacing/>
              <w:jc w:val="center"/>
              <w:rPr>
                <w:rFonts w:ascii="宋体" w:hAnsi="宋体" w:eastAsia="宋体" w:cs="仿宋_GB2312"/>
                <w:color w:val="000000" w:themeColor="text1"/>
                <w:sz w:val="24"/>
                <w:szCs w:val="24"/>
              </w:rPr>
            </w:pPr>
          </w:p>
        </w:tc>
      </w:tr>
      <w:tr w14:paraId="2C26CA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6" w:type="dxa"/>
            <w:vAlign w:val="center"/>
          </w:tcPr>
          <w:p w14:paraId="3EB7C8AD">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1266" w:type="dxa"/>
            <w:tcBorders>
              <w:right w:val="single" w:color="auto" w:sz="4" w:space="0"/>
            </w:tcBorders>
            <w:vAlign w:val="center"/>
          </w:tcPr>
          <w:p w14:paraId="198A024D">
            <w:pPr>
              <w:widowControl w:val="0"/>
              <w:ind w:firstLine="0" w:firstLineChars="0"/>
              <w:contextualSpacing/>
              <w:jc w:val="center"/>
              <w:rPr>
                <w:rFonts w:ascii="宋体" w:hAnsi="宋体" w:eastAsia="宋体" w:cs="仿宋_GB2312"/>
                <w:color w:val="000000" w:themeColor="text1"/>
                <w:sz w:val="24"/>
                <w:szCs w:val="24"/>
              </w:rPr>
            </w:pPr>
          </w:p>
        </w:tc>
        <w:tc>
          <w:tcPr>
            <w:tcW w:w="2426" w:type="dxa"/>
            <w:tcBorders>
              <w:left w:val="single" w:color="auto" w:sz="4" w:space="0"/>
            </w:tcBorders>
            <w:vAlign w:val="center"/>
          </w:tcPr>
          <w:p w14:paraId="0D4B7ADC">
            <w:pPr>
              <w:widowControl w:val="0"/>
              <w:ind w:firstLine="0" w:firstLineChars="0"/>
              <w:contextualSpacing/>
              <w:jc w:val="center"/>
              <w:rPr>
                <w:rFonts w:ascii="宋体" w:hAnsi="宋体" w:eastAsia="宋体" w:cs="仿宋_GB2312"/>
                <w:color w:val="000000" w:themeColor="text1"/>
                <w:sz w:val="24"/>
                <w:szCs w:val="24"/>
              </w:rPr>
            </w:pPr>
          </w:p>
        </w:tc>
        <w:tc>
          <w:tcPr>
            <w:tcW w:w="2553" w:type="dxa"/>
            <w:vAlign w:val="center"/>
          </w:tcPr>
          <w:p w14:paraId="5C4F562E">
            <w:pPr>
              <w:widowControl w:val="0"/>
              <w:ind w:firstLine="0" w:firstLineChars="0"/>
              <w:contextualSpacing/>
              <w:jc w:val="center"/>
              <w:rPr>
                <w:rFonts w:ascii="宋体" w:hAnsi="宋体" w:eastAsia="宋体" w:cs="仿宋_GB2312"/>
                <w:color w:val="000000" w:themeColor="text1"/>
                <w:sz w:val="24"/>
                <w:szCs w:val="24"/>
              </w:rPr>
            </w:pPr>
          </w:p>
        </w:tc>
        <w:tc>
          <w:tcPr>
            <w:tcW w:w="1393" w:type="dxa"/>
            <w:vAlign w:val="center"/>
          </w:tcPr>
          <w:p w14:paraId="17EC37BA">
            <w:pPr>
              <w:widowControl w:val="0"/>
              <w:ind w:firstLine="0" w:firstLineChars="0"/>
              <w:contextualSpacing/>
              <w:jc w:val="center"/>
              <w:rPr>
                <w:rFonts w:ascii="宋体" w:hAnsi="宋体" w:eastAsia="宋体" w:cs="仿宋_GB2312"/>
                <w:color w:val="000000" w:themeColor="text1"/>
                <w:sz w:val="24"/>
                <w:szCs w:val="24"/>
              </w:rPr>
            </w:pPr>
          </w:p>
        </w:tc>
      </w:tr>
      <w:tr w14:paraId="6D7804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6" w:type="dxa"/>
            <w:vAlign w:val="center"/>
          </w:tcPr>
          <w:p w14:paraId="2E30E9F7">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1266" w:type="dxa"/>
            <w:tcBorders>
              <w:right w:val="single" w:color="auto" w:sz="4" w:space="0"/>
            </w:tcBorders>
            <w:vAlign w:val="center"/>
          </w:tcPr>
          <w:p w14:paraId="5CACFD6A">
            <w:pPr>
              <w:widowControl w:val="0"/>
              <w:ind w:firstLine="0" w:firstLineChars="0"/>
              <w:contextualSpacing/>
              <w:jc w:val="center"/>
              <w:rPr>
                <w:rFonts w:ascii="宋体" w:hAnsi="宋体" w:eastAsia="宋体" w:cs="仿宋_GB2312"/>
                <w:color w:val="000000" w:themeColor="text1"/>
                <w:sz w:val="24"/>
                <w:szCs w:val="24"/>
              </w:rPr>
            </w:pPr>
          </w:p>
        </w:tc>
        <w:tc>
          <w:tcPr>
            <w:tcW w:w="2426" w:type="dxa"/>
            <w:tcBorders>
              <w:left w:val="single" w:color="auto" w:sz="4" w:space="0"/>
            </w:tcBorders>
            <w:vAlign w:val="center"/>
          </w:tcPr>
          <w:p w14:paraId="025C87B3">
            <w:pPr>
              <w:widowControl w:val="0"/>
              <w:ind w:firstLine="0" w:firstLineChars="0"/>
              <w:contextualSpacing/>
              <w:jc w:val="center"/>
              <w:rPr>
                <w:rFonts w:ascii="宋体" w:hAnsi="宋体" w:eastAsia="宋体" w:cs="仿宋_GB2312"/>
                <w:color w:val="000000" w:themeColor="text1"/>
                <w:sz w:val="24"/>
                <w:szCs w:val="24"/>
              </w:rPr>
            </w:pPr>
          </w:p>
        </w:tc>
        <w:tc>
          <w:tcPr>
            <w:tcW w:w="2553" w:type="dxa"/>
            <w:vAlign w:val="center"/>
          </w:tcPr>
          <w:p w14:paraId="000C2CCE">
            <w:pPr>
              <w:widowControl w:val="0"/>
              <w:ind w:firstLine="0" w:firstLineChars="0"/>
              <w:contextualSpacing/>
              <w:jc w:val="center"/>
              <w:rPr>
                <w:rFonts w:ascii="宋体" w:hAnsi="宋体" w:eastAsia="宋体" w:cs="仿宋_GB2312"/>
                <w:color w:val="000000" w:themeColor="text1"/>
                <w:sz w:val="24"/>
                <w:szCs w:val="24"/>
              </w:rPr>
            </w:pPr>
          </w:p>
        </w:tc>
        <w:tc>
          <w:tcPr>
            <w:tcW w:w="1393" w:type="dxa"/>
            <w:vAlign w:val="center"/>
          </w:tcPr>
          <w:p w14:paraId="75E9E991">
            <w:pPr>
              <w:widowControl w:val="0"/>
              <w:ind w:firstLine="0" w:firstLineChars="0"/>
              <w:contextualSpacing/>
              <w:jc w:val="center"/>
              <w:rPr>
                <w:rFonts w:ascii="宋体" w:hAnsi="宋体" w:eastAsia="宋体" w:cs="仿宋_GB2312"/>
                <w:color w:val="000000" w:themeColor="text1"/>
                <w:sz w:val="24"/>
                <w:szCs w:val="24"/>
              </w:rPr>
            </w:pPr>
          </w:p>
        </w:tc>
      </w:tr>
      <w:tr w14:paraId="06B5E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6" w:type="dxa"/>
            <w:vAlign w:val="center"/>
          </w:tcPr>
          <w:p w14:paraId="6C192D45">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1266" w:type="dxa"/>
            <w:tcBorders>
              <w:right w:val="single" w:color="auto" w:sz="4" w:space="0"/>
            </w:tcBorders>
            <w:vAlign w:val="center"/>
          </w:tcPr>
          <w:p w14:paraId="5E64044C">
            <w:pPr>
              <w:widowControl w:val="0"/>
              <w:ind w:firstLine="0" w:firstLineChars="0"/>
              <w:contextualSpacing/>
              <w:jc w:val="center"/>
              <w:rPr>
                <w:rFonts w:ascii="宋体" w:hAnsi="宋体" w:eastAsia="宋体" w:cs="仿宋_GB2312"/>
                <w:color w:val="000000" w:themeColor="text1"/>
                <w:sz w:val="24"/>
                <w:szCs w:val="24"/>
              </w:rPr>
            </w:pPr>
          </w:p>
        </w:tc>
        <w:tc>
          <w:tcPr>
            <w:tcW w:w="2426" w:type="dxa"/>
            <w:tcBorders>
              <w:left w:val="single" w:color="auto" w:sz="4" w:space="0"/>
            </w:tcBorders>
            <w:vAlign w:val="center"/>
          </w:tcPr>
          <w:p w14:paraId="3C10E953">
            <w:pPr>
              <w:widowControl w:val="0"/>
              <w:ind w:firstLine="0" w:firstLineChars="0"/>
              <w:contextualSpacing/>
              <w:jc w:val="center"/>
              <w:rPr>
                <w:rFonts w:ascii="宋体" w:hAnsi="宋体" w:eastAsia="宋体" w:cs="仿宋_GB2312"/>
                <w:color w:val="000000" w:themeColor="text1"/>
                <w:sz w:val="24"/>
                <w:szCs w:val="24"/>
              </w:rPr>
            </w:pPr>
          </w:p>
        </w:tc>
        <w:tc>
          <w:tcPr>
            <w:tcW w:w="2553" w:type="dxa"/>
            <w:vAlign w:val="center"/>
          </w:tcPr>
          <w:p w14:paraId="00C223C8">
            <w:pPr>
              <w:widowControl w:val="0"/>
              <w:ind w:firstLine="0" w:firstLineChars="0"/>
              <w:contextualSpacing/>
              <w:jc w:val="center"/>
              <w:rPr>
                <w:rFonts w:ascii="宋体" w:hAnsi="宋体" w:eastAsia="宋体" w:cs="仿宋_GB2312"/>
                <w:color w:val="000000" w:themeColor="text1"/>
                <w:sz w:val="24"/>
                <w:szCs w:val="24"/>
              </w:rPr>
            </w:pPr>
          </w:p>
        </w:tc>
        <w:tc>
          <w:tcPr>
            <w:tcW w:w="1393" w:type="dxa"/>
            <w:vAlign w:val="center"/>
          </w:tcPr>
          <w:p w14:paraId="586EA081">
            <w:pPr>
              <w:widowControl w:val="0"/>
              <w:ind w:firstLine="0" w:firstLineChars="0"/>
              <w:contextualSpacing/>
              <w:jc w:val="center"/>
              <w:rPr>
                <w:rFonts w:ascii="宋体" w:hAnsi="宋体" w:eastAsia="宋体" w:cs="仿宋_GB2312"/>
                <w:color w:val="000000" w:themeColor="text1"/>
                <w:sz w:val="24"/>
                <w:szCs w:val="24"/>
              </w:rPr>
            </w:pPr>
          </w:p>
        </w:tc>
      </w:tr>
      <w:tr w14:paraId="4B2036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6" w:type="dxa"/>
            <w:vAlign w:val="center"/>
          </w:tcPr>
          <w:p w14:paraId="4A1921B7">
            <w:pPr>
              <w:widowControl w:val="0"/>
              <w:ind w:firstLine="0" w:firstLineChars="0"/>
              <w:contextualSpacing/>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1266" w:type="dxa"/>
            <w:tcBorders>
              <w:right w:val="single" w:color="auto" w:sz="4" w:space="0"/>
            </w:tcBorders>
            <w:vAlign w:val="center"/>
          </w:tcPr>
          <w:p w14:paraId="660CD523">
            <w:pPr>
              <w:widowControl w:val="0"/>
              <w:ind w:firstLine="0" w:firstLineChars="0"/>
              <w:contextualSpacing/>
              <w:jc w:val="center"/>
              <w:rPr>
                <w:rFonts w:ascii="宋体" w:hAnsi="宋体" w:eastAsia="宋体" w:cs="仿宋_GB2312"/>
                <w:color w:val="000000" w:themeColor="text1"/>
                <w:sz w:val="24"/>
                <w:szCs w:val="24"/>
              </w:rPr>
            </w:pPr>
          </w:p>
        </w:tc>
        <w:tc>
          <w:tcPr>
            <w:tcW w:w="2426" w:type="dxa"/>
            <w:tcBorders>
              <w:left w:val="single" w:color="auto" w:sz="4" w:space="0"/>
            </w:tcBorders>
            <w:vAlign w:val="center"/>
          </w:tcPr>
          <w:p w14:paraId="7F3E3161">
            <w:pPr>
              <w:widowControl w:val="0"/>
              <w:ind w:firstLine="0" w:firstLineChars="0"/>
              <w:contextualSpacing/>
              <w:jc w:val="center"/>
              <w:rPr>
                <w:rFonts w:ascii="宋体" w:hAnsi="宋体" w:eastAsia="宋体" w:cs="仿宋_GB2312"/>
                <w:color w:val="000000" w:themeColor="text1"/>
                <w:sz w:val="24"/>
                <w:szCs w:val="24"/>
              </w:rPr>
            </w:pPr>
          </w:p>
        </w:tc>
        <w:tc>
          <w:tcPr>
            <w:tcW w:w="2553" w:type="dxa"/>
            <w:vAlign w:val="center"/>
          </w:tcPr>
          <w:p w14:paraId="25812927">
            <w:pPr>
              <w:widowControl w:val="0"/>
              <w:ind w:firstLine="0" w:firstLineChars="0"/>
              <w:contextualSpacing/>
              <w:jc w:val="center"/>
              <w:rPr>
                <w:rFonts w:ascii="宋体" w:hAnsi="宋体" w:eastAsia="宋体" w:cs="仿宋_GB2312"/>
                <w:color w:val="000000" w:themeColor="text1"/>
                <w:sz w:val="24"/>
                <w:szCs w:val="24"/>
              </w:rPr>
            </w:pPr>
          </w:p>
        </w:tc>
        <w:tc>
          <w:tcPr>
            <w:tcW w:w="1393" w:type="dxa"/>
            <w:tcBorders>
              <w:right w:val="single" w:color="auto" w:sz="4" w:space="0"/>
            </w:tcBorders>
            <w:vAlign w:val="center"/>
          </w:tcPr>
          <w:p w14:paraId="1FA60547">
            <w:pPr>
              <w:widowControl w:val="0"/>
              <w:ind w:firstLine="0" w:firstLineChars="0"/>
              <w:contextualSpacing/>
              <w:jc w:val="center"/>
              <w:rPr>
                <w:rFonts w:ascii="宋体" w:hAnsi="宋体" w:eastAsia="宋体" w:cs="仿宋_GB2312"/>
                <w:color w:val="000000" w:themeColor="text1"/>
                <w:sz w:val="24"/>
                <w:szCs w:val="24"/>
              </w:rPr>
            </w:pPr>
          </w:p>
        </w:tc>
      </w:tr>
    </w:tbl>
    <w:p w14:paraId="625F1E8B">
      <w:pPr>
        <w:ind w:firstLine="0" w:firstLineChars="0"/>
        <w:rPr>
          <w:rFonts w:ascii="宋体" w:hAnsi="宋体" w:eastAsia="宋体"/>
          <w:color w:val="000000" w:themeColor="text1"/>
          <w:sz w:val="24"/>
          <w:szCs w:val="24"/>
        </w:rPr>
      </w:pPr>
      <w:r>
        <w:rPr>
          <w:rFonts w:hint="eastAsia" w:ascii="宋体" w:hAnsi="宋体" w:eastAsia="宋体"/>
          <w:color w:val="000000" w:themeColor="text1"/>
          <w:sz w:val="24"/>
          <w:szCs w:val="24"/>
        </w:rPr>
        <w:t>注：</w:t>
      </w:r>
    </w:p>
    <w:p w14:paraId="481A11C3">
      <w:pPr>
        <w:ind w:firstLine="424" w:firstLineChars="177"/>
        <w:rPr>
          <w:rFonts w:ascii="宋体" w:hAnsi="宋体" w:eastAsia="宋体"/>
          <w:color w:val="000000" w:themeColor="text1"/>
          <w:sz w:val="24"/>
          <w:szCs w:val="24"/>
        </w:rPr>
      </w:pPr>
      <w:r>
        <w:rPr>
          <w:rFonts w:hint="eastAsia" w:ascii="宋体" w:hAnsi="宋体" w:eastAsia="宋体"/>
          <w:color w:val="000000" w:themeColor="text1"/>
          <w:sz w:val="24"/>
          <w:szCs w:val="24"/>
        </w:rPr>
        <w:t>1.说明：应对照磋商文件“第三章 采购需求”中的技术要求逐条作出明确响应，并作出偏离说明。</w:t>
      </w:r>
    </w:p>
    <w:p w14:paraId="02204318">
      <w:pPr>
        <w:ind w:firstLine="424" w:firstLineChars="177"/>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b/>
          <w:bCs/>
          <w:color w:val="000000" w:themeColor="text1"/>
          <w:sz w:val="24"/>
          <w:szCs w:val="24"/>
        </w:rPr>
        <w:t>供应商应根据自身的承诺，对照磋商文件要求，在“偏离说明”中注明“正偏离”、“负偏离”或者“无偏离”。既不属于“正偏离”也不属于“负偏离”即为“无偏离”。</w:t>
      </w:r>
    </w:p>
    <w:p w14:paraId="49FCF2BD">
      <w:pPr>
        <w:ind w:firstLine="0" w:firstLineChars="0"/>
        <w:jc w:val="center"/>
        <w:rPr>
          <w:rFonts w:ascii="宋体" w:hAnsi="宋体" w:eastAsia="宋体"/>
          <w:color w:val="000000" w:themeColor="text1"/>
          <w:sz w:val="24"/>
          <w:szCs w:val="24"/>
        </w:rPr>
      </w:pPr>
    </w:p>
    <w:p w14:paraId="1CE5B3BC">
      <w:pPr>
        <w:ind w:firstLine="0" w:firstLineChars="0"/>
        <w:rPr>
          <w:rFonts w:ascii="宋体" w:hAnsi="宋体"/>
          <w:color w:val="000000" w:themeColor="text1"/>
          <w:spacing w:val="20"/>
          <w:sz w:val="24"/>
          <w:szCs w:val="24"/>
        </w:rPr>
      </w:pPr>
      <w:r>
        <w:rPr>
          <w:rFonts w:hint="eastAsia"/>
          <w:color w:val="000000" w:themeColor="text1"/>
          <w:sz w:val="24"/>
          <w:szCs w:val="24"/>
          <w:lang w:val="zh-CN"/>
        </w:rPr>
        <w:t>供应商</w:t>
      </w:r>
      <w:r>
        <w:rPr>
          <w:rFonts w:hint="eastAsia"/>
          <w:color w:val="000000" w:themeColor="text1"/>
          <w:sz w:val="24"/>
          <w:szCs w:val="24"/>
        </w:rPr>
        <w:t>（</w:t>
      </w:r>
      <w:r>
        <w:rPr>
          <w:rFonts w:hint="eastAsia"/>
          <w:b/>
          <w:bCs/>
          <w:color w:val="000000" w:themeColor="text1"/>
          <w:sz w:val="24"/>
          <w:szCs w:val="24"/>
        </w:rPr>
        <w:t>电子签章</w:t>
      </w:r>
      <w:r>
        <w:rPr>
          <w:rFonts w:hint="eastAsia"/>
          <w:color w:val="000000" w:themeColor="text1"/>
          <w:sz w:val="24"/>
          <w:szCs w:val="24"/>
        </w:rPr>
        <w:t>）</w:t>
      </w:r>
      <w:r>
        <w:rPr>
          <w:rFonts w:hint="eastAsia" w:ascii="宋体" w:hAnsi="宋体"/>
          <w:color w:val="000000" w:themeColor="text1"/>
          <w:spacing w:val="20"/>
          <w:sz w:val="24"/>
          <w:szCs w:val="24"/>
        </w:rPr>
        <w:t>：</w:t>
      </w:r>
      <w:r>
        <w:rPr>
          <w:rFonts w:hint="eastAsia" w:ascii="宋体" w:hAnsi="宋体"/>
          <w:color w:val="000000" w:themeColor="text1"/>
          <w:spacing w:val="20"/>
          <w:sz w:val="24"/>
          <w:szCs w:val="24"/>
          <w:u w:val="single"/>
        </w:rPr>
        <w:t xml:space="preserve">           </w:t>
      </w:r>
      <w:r>
        <w:rPr>
          <w:rFonts w:ascii="宋体" w:hAnsi="宋体"/>
          <w:color w:val="000000" w:themeColor="text1"/>
          <w:spacing w:val="20"/>
          <w:sz w:val="24"/>
          <w:szCs w:val="24"/>
          <w:u w:val="single"/>
        </w:rPr>
        <w:t xml:space="preserve">  </w:t>
      </w:r>
      <w:r>
        <w:rPr>
          <w:rFonts w:hint="eastAsia" w:ascii="宋体" w:hAnsi="宋体"/>
          <w:color w:val="000000" w:themeColor="text1"/>
          <w:spacing w:val="20"/>
          <w:sz w:val="24"/>
          <w:szCs w:val="24"/>
        </w:rPr>
        <w:t xml:space="preserve">    </w:t>
      </w:r>
    </w:p>
    <w:p w14:paraId="1DD66AC0">
      <w:pPr>
        <w:ind w:firstLine="0" w:firstLineChars="0"/>
        <w:rPr>
          <w:color w:val="000000" w:themeColor="text1"/>
          <w:sz w:val="24"/>
          <w:szCs w:val="24"/>
        </w:rPr>
      </w:pPr>
      <w:r>
        <w:rPr>
          <w:rFonts w:hint="eastAsia" w:ascii="宋体" w:hAnsi="宋体"/>
          <w:color w:val="000000" w:themeColor="text1"/>
          <w:spacing w:val="20"/>
          <w:sz w:val="24"/>
          <w:szCs w:val="24"/>
        </w:rPr>
        <w:t>日  期：</w:t>
      </w:r>
      <w:r>
        <w:rPr>
          <w:rFonts w:hint="eastAsia"/>
          <w:color w:val="000000" w:themeColor="text1"/>
          <w:sz w:val="24"/>
          <w:szCs w:val="24"/>
          <w:u w:val="single"/>
          <w:lang w:val="zh-CN"/>
        </w:rPr>
        <w:t xml:space="preserve">    </w:t>
      </w:r>
      <w:r>
        <w:rPr>
          <w:rFonts w:hint="eastAsia"/>
          <w:color w:val="000000" w:themeColor="text1"/>
          <w:sz w:val="24"/>
          <w:szCs w:val="24"/>
          <w:lang w:val="zh-CN"/>
        </w:rPr>
        <w:t>年</w:t>
      </w:r>
      <w:r>
        <w:rPr>
          <w:rFonts w:hint="eastAsia"/>
          <w:color w:val="000000" w:themeColor="text1"/>
          <w:sz w:val="24"/>
          <w:szCs w:val="24"/>
          <w:u w:val="single"/>
          <w:lang w:val="zh-CN"/>
        </w:rPr>
        <w:t xml:space="preserve">    </w:t>
      </w:r>
      <w:r>
        <w:rPr>
          <w:rFonts w:hint="eastAsia"/>
          <w:color w:val="000000" w:themeColor="text1"/>
          <w:sz w:val="24"/>
          <w:szCs w:val="24"/>
          <w:lang w:val="zh-CN"/>
        </w:rPr>
        <w:t>月</w:t>
      </w:r>
      <w:r>
        <w:rPr>
          <w:rFonts w:hint="eastAsia"/>
          <w:color w:val="000000" w:themeColor="text1"/>
          <w:sz w:val="24"/>
          <w:szCs w:val="24"/>
          <w:u w:val="single"/>
          <w:lang w:val="zh-CN"/>
        </w:rPr>
        <w:t xml:space="preserve">    </w:t>
      </w:r>
      <w:r>
        <w:rPr>
          <w:rFonts w:hint="eastAsia"/>
          <w:color w:val="000000" w:themeColor="text1"/>
          <w:sz w:val="24"/>
          <w:szCs w:val="24"/>
          <w:lang w:val="zh-CN"/>
        </w:rPr>
        <w:t>日</w:t>
      </w:r>
    </w:p>
    <w:p w14:paraId="463FD249">
      <w:pPr>
        <w:spacing w:before="260" w:after="260" w:line="415" w:lineRule="auto"/>
        <w:ind w:firstLine="0" w:firstLineChars="0"/>
        <w:jc w:val="center"/>
        <w:rPr>
          <w:color w:val="000000" w:themeColor="text1"/>
        </w:rPr>
      </w:pPr>
      <w:r>
        <w:rPr>
          <w:color w:val="000000" w:themeColor="text1"/>
        </w:rPr>
        <w:br w:type="page"/>
      </w:r>
    </w:p>
    <w:p w14:paraId="1D44E060">
      <w:pPr>
        <w:pStyle w:val="60"/>
        <w:rPr>
          <w:color w:val="000000" w:themeColor="text1"/>
        </w:rPr>
      </w:pPr>
      <w:r>
        <w:rPr>
          <w:color w:val="000000" w:themeColor="text1"/>
        </w:rPr>
        <w:t>8.</w:t>
      </w:r>
      <w:r>
        <w:rPr>
          <w:rFonts w:hint="eastAsia"/>
          <w:color w:val="000000" w:themeColor="text1"/>
        </w:rPr>
        <w:t>项目实施人员一览表格式</w:t>
      </w:r>
    </w:p>
    <w:p w14:paraId="49985912">
      <w:pPr>
        <w:ind w:firstLine="420"/>
        <w:rPr>
          <w:color w:val="000000" w:themeColor="text1"/>
        </w:rPr>
      </w:pPr>
    </w:p>
    <w:p w14:paraId="55789E6E">
      <w:pPr>
        <w:snapToGrid w:val="0"/>
        <w:spacing w:before="50" w:after="50"/>
        <w:ind w:firstLine="0" w:firstLineChars="0"/>
        <w:jc w:val="center"/>
        <w:rPr>
          <w:rFonts w:ascii="宋体" w:hAnsi="宋体" w:eastAsia="宋体" w:cs="方正小标宋简体"/>
          <w:b/>
          <w:color w:val="000000" w:themeColor="text1"/>
          <w:sz w:val="44"/>
          <w:szCs w:val="44"/>
        </w:rPr>
      </w:pPr>
      <w:r>
        <w:rPr>
          <w:rFonts w:hint="eastAsia" w:ascii="宋体" w:hAnsi="宋体" w:eastAsia="宋体" w:cs="方正小标宋简体"/>
          <w:b/>
          <w:color w:val="000000" w:themeColor="text1"/>
          <w:sz w:val="44"/>
          <w:szCs w:val="44"/>
        </w:rPr>
        <w:t>项目实施人员一览表（格式）</w:t>
      </w:r>
    </w:p>
    <w:p w14:paraId="52604B51">
      <w:pPr>
        <w:ind w:firstLine="0" w:firstLineChars="0"/>
        <w:rPr>
          <w:color w:val="000000" w:themeColor="text1"/>
          <w:sz w:val="24"/>
          <w:szCs w:val="24"/>
        </w:rPr>
      </w:pPr>
    </w:p>
    <w:tbl>
      <w:tblPr>
        <w:tblStyle w:val="30"/>
        <w:tblW w:w="7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823"/>
        <w:gridCol w:w="2827"/>
        <w:gridCol w:w="1430"/>
        <w:gridCol w:w="1588"/>
      </w:tblGrid>
      <w:tr w14:paraId="73F2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950" w:type="dxa"/>
            <w:vAlign w:val="center"/>
          </w:tcPr>
          <w:p w14:paraId="3B503867">
            <w:pPr>
              <w:ind w:firstLine="0" w:firstLineChars="0"/>
              <w:jc w:val="center"/>
              <w:rPr>
                <w:rFonts w:ascii="宋体" w:hAnsi="宋体"/>
                <w:color w:val="000000" w:themeColor="text1"/>
                <w:sz w:val="24"/>
                <w:szCs w:val="22"/>
              </w:rPr>
            </w:pPr>
            <w:r>
              <w:rPr>
                <w:rFonts w:hint="eastAsia" w:ascii="宋体" w:hAnsi="宋体"/>
                <w:color w:val="000000" w:themeColor="text1"/>
                <w:sz w:val="24"/>
                <w:szCs w:val="22"/>
              </w:rPr>
              <w:t>姓名</w:t>
            </w:r>
          </w:p>
        </w:tc>
        <w:tc>
          <w:tcPr>
            <w:tcW w:w="823" w:type="dxa"/>
            <w:vAlign w:val="center"/>
          </w:tcPr>
          <w:p w14:paraId="029DF733">
            <w:pPr>
              <w:ind w:firstLine="0" w:firstLineChars="0"/>
              <w:jc w:val="center"/>
              <w:rPr>
                <w:rFonts w:ascii="宋体" w:hAnsi="宋体"/>
                <w:color w:val="000000" w:themeColor="text1"/>
                <w:sz w:val="24"/>
                <w:szCs w:val="22"/>
              </w:rPr>
            </w:pPr>
            <w:r>
              <w:rPr>
                <w:rFonts w:hint="eastAsia" w:ascii="宋体" w:hAnsi="宋体"/>
                <w:color w:val="000000" w:themeColor="text1"/>
                <w:sz w:val="24"/>
                <w:szCs w:val="22"/>
              </w:rPr>
              <w:t>职务</w:t>
            </w:r>
          </w:p>
        </w:tc>
        <w:tc>
          <w:tcPr>
            <w:tcW w:w="2827" w:type="dxa"/>
            <w:vAlign w:val="center"/>
          </w:tcPr>
          <w:p w14:paraId="62569E41">
            <w:pPr>
              <w:ind w:firstLine="0" w:firstLineChars="0"/>
              <w:jc w:val="center"/>
              <w:rPr>
                <w:rFonts w:ascii="宋体" w:hAnsi="宋体"/>
                <w:color w:val="000000" w:themeColor="text1"/>
                <w:sz w:val="24"/>
                <w:szCs w:val="22"/>
              </w:rPr>
            </w:pPr>
            <w:r>
              <w:rPr>
                <w:rFonts w:hint="eastAsia" w:ascii="宋体" w:hAnsi="宋体"/>
                <w:color w:val="000000" w:themeColor="text1"/>
                <w:sz w:val="24"/>
                <w:szCs w:val="22"/>
              </w:rPr>
              <w:t>专业技术资格（职称）或者职业资格或者执业资格证或者其他证书</w:t>
            </w:r>
          </w:p>
        </w:tc>
        <w:tc>
          <w:tcPr>
            <w:tcW w:w="1430" w:type="dxa"/>
            <w:vAlign w:val="center"/>
          </w:tcPr>
          <w:p w14:paraId="6EB867A0">
            <w:pPr>
              <w:ind w:firstLine="0" w:firstLineChars="0"/>
              <w:jc w:val="center"/>
              <w:rPr>
                <w:rFonts w:ascii="宋体" w:hAnsi="宋体"/>
                <w:color w:val="000000" w:themeColor="text1"/>
                <w:sz w:val="24"/>
                <w:szCs w:val="22"/>
              </w:rPr>
            </w:pPr>
            <w:r>
              <w:rPr>
                <w:rFonts w:hint="eastAsia" w:ascii="宋体" w:hAnsi="宋体"/>
                <w:color w:val="000000" w:themeColor="text1"/>
                <w:sz w:val="24"/>
                <w:szCs w:val="22"/>
              </w:rPr>
              <w:t>证书编号</w:t>
            </w:r>
          </w:p>
        </w:tc>
        <w:tc>
          <w:tcPr>
            <w:tcW w:w="1588" w:type="dxa"/>
            <w:vAlign w:val="center"/>
          </w:tcPr>
          <w:p w14:paraId="293BE104">
            <w:pPr>
              <w:ind w:firstLine="0" w:firstLineChars="0"/>
              <w:jc w:val="center"/>
              <w:rPr>
                <w:rFonts w:ascii="宋体" w:hAnsi="宋体"/>
                <w:color w:val="000000" w:themeColor="text1"/>
                <w:sz w:val="24"/>
                <w:szCs w:val="22"/>
              </w:rPr>
            </w:pPr>
            <w:r>
              <w:rPr>
                <w:rFonts w:hint="eastAsia" w:ascii="宋体" w:hAnsi="宋体"/>
                <w:color w:val="000000" w:themeColor="text1"/>
                <w:sz w:val="24"/>
                <w:szCs w:val="22"/>
              </w:rPr>
              <w:t>参加本单位</w:t>
            </w:r>
          </w:p>
          <w:p w14:paraId="067C4144">
            <w:pPr>
              <w:ind w:firstLine="0" w:firstLineChars="0"/>
              <w:jc w:val="center"/>
              <w:rPr>
                <w:rFonts w:ascii="宋体" w:hAnsi="宋体"/>
                <w:color w:val="000000" w:themeColor="text1"/>
                <w:sz w:val="24"/>
                <w:szCs w:val="22"/>
              </w:rPr>
            </w:pPr>
            <w:r>
              <w:rPr>
                <w:rFonts w:hint="eastAsia" w:ascii="宋体" w:hAnsi="宋体"/>
                <w:color w:val="000000" w:themeColor="text1"/>
                <w:sz w:val="24"/>
                <w:szCs w:val="22"/>
              </w:rPr>
              <w:t>工作时间</w:t>
            </w:r>
          </w:p>
        </w:tc>
      </w:tr>
      <w:tr w14:paraId="67BC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50" w:type="dxa"/>
            <w:vAlign w:val="center"/>
          </w:tcPr>
          <w:p w14:paraId="025051F0">
            <w:pPr>
              <w:ind w:firstLine="0" w:firstLineChars="0"/>
              <w:jc w:val="center"/>
              <w:rPr>
                <w:rFonts w:ascii="宋体" w:hAnsi="宋体"/>
                <w:color w:val="000000" w:themeColor="text1"/>
                <w:sz w:val="24"/>
                <w:szCs w:val="22"/>
              </w:rPr>
            </w:pPr>
          </w:p>
        </w:tc>
        <w:tc>
          <w:tcPr>
            <w:tcW w:w="823" w:type="dxa"/>
            <w:vAlign w:val="center"/>
          </w:tcPr>
          <w:p w14:paraId="42BD89D1">
            <w:pPr>
              <w:ind w:firstLine="0" w:firstLineChars="0"/>
              <w:jc w:val="center"/>
              <w:rPr>
                <w:rFonts w:ascii="宋体" w:hAnsi="宋体"/>
                <w:color w:val="000000" w:themeColor="text1"/>
                <w:sz w:val="24"/>
                <w:szCs w:val="22"/>
              </w:rPr>
            </w:pPr>
          </w:p>
        </w:tc>
        <w:tc>
          <w:tcPr>
            <w:tcW w:w="2827" w:type="dxa"/>
            <w:vAlign w:val="center"/>
          </w:tcPr>
          <w:p w14:paraId="1F0500ED">
            <w:pPr>
              <w:ind w:firstLine="0" w:firstLineChars="0"/>
              <w:jc w:val="center"/>
              <w:rPr>
                <w:rFonts w:ascii="宋体" w:hAnsi="宋体"/>
                <w:color w:val="000000" w:themeColor="text1"/>
                <w:sz w:val="24"/>
                <w:szCs w:val="22"/>
              </w:rPr>
            </w:pPr>
          </w:p>
        </w:tc>
        <w:tc>
          <w:tcPr>
            <w:tcW w:w="1430" w:type="dxa"/>
            <w:vAlign w:val="center"/>
          </w:tcPr>
          <w:p w14:paraId="2B989A6E">
            <w:pPr>
              <w:ind w:firstLine="0" w:firstLineChars="0"/>
              <w:jc w:val="center"/>
              <w:rPr>
                <w:rFonts w:ascii="宋体" w:hAnsi="宋体"/>
                <w:color w:val="000000" w:themeColor="text1"/>
                <w:sz w:val="24"/>
                <w:szCs w:val="22"/>
              </w:rPr>
            </w:pPr>
          </w:p>
        </w:tc>
        <w:tc>
          <w:tcPr>
            <w:tcW w:w="1588" w:type="dxa"/>
            <w:vAlign w:val="center"/>
          </w:tcPr>
          <w:p w14:paraId="48DCE9C3">
            <w:pPr>
              <w:ind w:firstLine="0" w:firstLineChars="0"/>
              <w:jc w:val="center"/>
              <w:rPr>
                <w:rFonts w:ascii="宋体" w:hAnsi="宋体"/>
                <w:color w:val="000000" w:themeColor="text1"/>
                <w:sz w:val="24"/>
                <w:szCs w:val="22"/>
              </w:rPr>
            </w:pPr>
          </w:p>
        </w:tc>
      </w:tr>
      <w:tr w14:paraId="283F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50" w:type="dxa"/>
            <w:vAlign w:val="center"/>
          </w:tcPr>
          <w:p w14:paraId="271C3056">
            <w:pPr>
              <w:ind w:firstLine="0" w:firstLineChars="0"/>
              <w:jc w:val="center"/>
              <w:rPr>
                <w:rFonts w:ascii="宋体" w:hAnsi="宋体"/>
                <w:color w:val="000000" w:themeColor="text1"/>
                <w:sz w:val="24"/>
                <w:szCs w:val="22"/>
              </w:rPr>
            </w:pPr>
          </w:p>
        </w:tc>
        <w:tc>
          <w:tcPr>
            <w:tcW w:w="823" w:type="dxa"/>
            <w:vAlign w:val="center"/>
          </w:tcPr>
          <w:p w14:paraId="268F4253">
            <w:pPr>
              <w:ind w:firstLine="0" w:firstLineChars="0"/>
              <w:jc w:val="center"/>
              <w:rPr>
                <w:rFonts w:ascii="宋体" w:hAnsi="宋体"/>
                <w:color w:val="000000" w:themeColor="text1"/>
                <w:sz w:val="24"/>
                <w:szCs w:val="22"/>
              </w:rPr>
            </w:pPr>
          </w:p>
        </w:tc>
        <w:tc>
          <w:tcPr>
            <w:tcW w:w="2827" w:type="dxa"/>
            <w:vAlign w:val="center"/>
          </w:tcPr>
          <w:p w14:paraId="1890A779">
            <w:pPr>
              <w:ind w:firstLine="0" w:firstLineChars="0"/>
              <w:jc w:val="center"/>
              <w:rPr>
                <w:rFonts w:ascii="宋体" w:hAnsi="宋体"/>
                <w:color w:val="000000" w:themeColor="text1"/>
                <w:sz w:val="24"/>
                <w:szCs w:val="22"/>
              </w:rPr>
            </w:pPr>
          </w:p>
        </w:tc>
        <w:tc>
          <w:tcPr>
            <w:tcW w:w="1430" w:type="dxa"/>
            <w:vAlign w:val="center"/>
          </w:tcPr>
          <w:p w14:paraId="60F9421D">
            <w:pPr>
              <w:ind w:firstLine="0" w:firstLineChars="0"/>
              <w:jc w:val="center"/>
              <w:rPr>
                <w:rFonts w:ascii="宋体" w:hAnsi="宋体"/>
                <w:color w:val="000000" w:themeColor="text1"/>
                <w:sz w:val="24"/>
                <w:szCs w:val="22"/>
              </w:rPr>
            </w:pPr>
          </w:p>
        </w:tc>
        <w:tc>
          <w:tcPr>
            <w:tcW w:w="1588" w:type="dxa"/>
            <w:vAlign w:val="center"/>
          </w:tcPr>
          <w:p w14:paraId="63794E1B">
            <w:pPr>
              <w:ind w:firstLine="0" w:firstLineChars="0"/>
              <w:jc w:val="center"/>
              <w:rPr>
                <w:rFonts w:ascii="宋体" w:hAnsi="宋体"/>
                <w:color w:val="000000" w:themeColor="text1"/>
                <w:sz w:val="24"/>
                <w:szCs w:val="22"/>
              </w:rPr>
            </w:pPr>
          </w:p>
        </w:tc>
      </w:tr>
      <w:tr w14:paraId="1F52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0" w:type="dxa"/>
            <w:vAlign w:val="center"/>
          </w:tcPr>
          <w:p w14:paraId="76FCF68D">
            <w:pPr>
              <w:ind w:firstLine="0" w:firstLineChars="0"/>
              <w:jc w:val="center"/>
              <w:rPr>
                <w:rFonts w:ascii="宋体" w:hAnsi="宋体"/>
                <w:color w:val="000000" w:themeColor="text1"/>
                <w:sz w:val="24"/>
                <w:szCs w:val="22"/>
              </w:rPr>
            </w:pPr>
          </w:p>
        </w:tc>
        <w:tc>
          <w:tcPr>
            <w:tcW w:w="823" w:type="dxa"/>
            <w:vAlign w:val="center"/>
          </w:tcPr>
          <w:p w14:paraId="302E2DAE">
            <w:pPr>
              <w:ind w:firstLine="0" w:firstLineChars="0"/>
              <w:jc w:val="center"/>
              <w:rPr>
                <w:rFonts w:ascii="宋体" w:hAnsi="宋体"/>
                <w:color w:val="000000" w:themeColor="text1"/>
                <w:sz w:val="24"/>
                <w:szCs w:val="22"/>
              </w:rPr>
            </w:pPr>
          </w:p>
        </w:tc>
        <w:tc>
          <w:tcPr>
            <w:tcW w:w="2827" w:type="dxa"/>
            <w:vAlign w:val="center"/>
          </w:tcPr>
          <w:p w14:paraId="1ADC1CC0">
            <w:pPr>
              <w:ind w:firstLine="0" w:firstLineChars="0"/>
              <w:jc w:val="center"/>
              <w:rPr>
                <w:rFonts w:ascii="宋体" w:hAnsi="宋体"/>
                <w:color w:val="000000" w:themeColor="text1"/>
                <w:sz w:val="24"/>
                <w:szCs w:val="22"/>
              </w:rPr>
            </w:pPr>
          </w:p>
        </w:tc>
        <w:tc>
          <w:tcPr>
            <w:tcW w:w="1430" w:type="dxa"/>
            <w:vAlign w:val="center"/>
          </w:tcPr>
          <w:p w14:paraId="06921452">
            <w:pPr>
              <w:ind w:firstLine="0" w:firstLineChars="0"/>
              <w:jc w:val="center"/>
              <w:rPr>
                <w:rFonts w:ascii="宋体" w:hAnsi="宋体"/>
                <w:color w:val="000000" w:themeColor="text1"/>
                <w:sz w:val="24"/>
                <w:szCs w:val="22"/>
              </w:rPr>
            </w:pPr>
          </w:p>
        </w:tc>
        <w:tc>
          <w:tcPr>
            <w:tcW w:w="1588" w:type="dxa"/>
            <w:vAlign w:val="center"/>
          </w:tcPr>
          <w:p w14:paraId="1C1D0243">
            <w:pPr>
              <w:ind w:firstLine="0" w:firstLineChars="0"/>
              <w:jc w:val="center"/>
              <w:rPr>
                <w:rFonts w:ascii="宋体" w:hAnsi="宋体"/>
                <w:color w:val="000000" w:themeColor="text1"/>
                <w:sz w:val="24"/>
                <w:szCs w:val="22"/>
              </w:rPr>
            </w:pPr>
          </w:p>
        </w:tc>
      </w:tr>
    </w:tbl>
    <w:p w14:paraId="5B8AAE4E">
      <w:pPr>
        <w:ind w:firstLine="0" w:firstLineChars="0"/>
        <w:rPr>
          <w:rFonts w:ascii="宋体" w:hAnsi="宋体"/>
          <w:color w:val="000000" w:themeColor="text1"/>
          <w:sz w:val="24"/>
          <w:szCs w:val="22"/>
        </w:rPr>
      </w:pPr>
      <w:r>
        <w:rPr>
          <w:rFonts w:hint="eastAsia" w:ascii="宋体" w:hAnsi="宋体"/>
          <w:color w:val="000000" w:themeColor="text1"/>
          <w:sz w:val="24"/>
          <w:szCs w:val="22"/>
        </w:rPr>
        <w:t>注：在填写时，如本表格不适合供应商的实际情况，可根据本表格式自行制表填写。</w:t>
      </w:r>
    </w:p>
    <w:p w14:paraId="000BF00A">
      <w:pPr>
        <w:pStyle w:val="21"/>
        <w:ind w:firstLine="480"/>
        <w:rPr>
          <w:rFonts w:ascii="宋体" w:hAnsi="宋体"/>
          <w:color w:val="000000" w:themeColor="text1"/>
          <w:sz w:val="24"/>
          <w:szCs w:val="22"/>
        </w:rPr>
      </w:pPr>
    </w:p>
    <w:p w14:paraId="44619F11">
      <w:pPr>
        <w:pStyle w:val="21"/>
        <w:ind w:firstLine="480"/>
        <w:rPr>
          <w:rFonts w:ascii="宋体" w:hAnsi="宋体"/>
          <w:color w:val="000000" w:themeColor="text1"/>
          <w:sz w:val="24"/>
          <w:szCs w:val="22"/>
        </w:rPr>
      </w:pPr>
      <w:r>
        <w:rPr>
          <w:rFonts w:hint="eastAsia" w:ascii="宋体" w:hAnsi="宋体"/>
          <w:color w:val="000000" w:themeColor="text1"/>
          <w:sz w:val="24"/>
          <w:szCs w:val="22"/>
        </w:rPr>
        <w:t>附件：拟投入人员身份证、职称证书、资格或注册证书（如有）、投标人为其缴纳的投标文件提交截止时间前半年内任意一个月的社保证明材料。</w:t>
      </w:r>
    </w:p>
    <w:p w14:paraId="229E93CF">
      <w:pPr>
        <w:pStyle w:val="21"/>
        <w:ind w:firstLine="480"/>
        <w:rPr>
          <w:rFonts w:ascii="宋体" w:hAnsi="宋体"/>
          <w:color w:val="000000" w:themeColor="text1"/>
          <w:sz w:val="24"/>
          <w:szCs w:val="22"/>
        </w:rPr>
      </w:pPr>
    </w:p>
    <w:p w14:paraId="09414A00">
      <w:pPr>
        <w:ind w:firstLine="0" w:firstLineChars="0"/>
        <w:rPr>
          <w:rFonts w:ascii="宋体" w:hAnsi="宋体"/>
          <w:color w:val="000000" w:themeColor="text1"/>
          <w:spacing w:val="20"/>
          <w:sz w:val="24"/>
          <w:szCs w:val="24"/>
        </w:rPr>
      </w:pPr>
      <w:r>
        <w:rPr>
          <w:rFonts w:hint="eastAsia"/>
          <w:color w:val="000000" w:themeColor="text1"/>
          <w:sz w:val="24"/>
          <w:szCs w:val="24"/>
          <w:lang w:val="zh-CN"/>
        </w:rPr>
        <w:t>供应商</w:t>
      </w:r>
      <w:r>
        <w:rPr>
          <w:rFonts w:hint="eastAsia"/>
          <w:color w:val="000000" w:themeColor="text1"/>
          <w:sz w:val="24"/>
          <w:szCs w:val="24"/>
        </w:rPr>
        <w:t>（</w:t>
      </w:r>
      <w:r>
        <w:rPr>
          <w:rFonts w:hint="eastAsia"/>
          <w:b/>
          <w:bCs/>
          <w:color w:val="000000" w:themeColor="text1"/>
          <w:sz w:val="24"/>
          <w:szCs w:val="24"/>
        </w:rPr>
        <w:t>电子签章</w:t>
      </w:r>
      <w:r>
        <w:rPr>
          <w:rFonts w:hint="eastAsia"/>
          <w:color w:val="000000" w:themeColor="text1"/>
          <w:sz w:val="24"/>
          <w:szCs w:val="24"/>
        </w:rPr>
        <w:t>）</w:t>
      </w:r>
      <w:r>
        <w:rPr>
          <w:rFonts w:hint="eastAsia" w:ascii="宋体" w:hAnsi="宋体"/>
          <w:color w:val="000000" w:themeColor="text1"/>
          <w:spacing w:val="20"/>
          <w:sz w:val="24"/>
          <w:szCs w:val="24"/>
        </w:rPr>
        <w:t>：</w:t>
      </w:r>
      <w:r>
        <w:rPr>
          <w:rFonts w:hint="eastAsia" w:ascii="宋体" w:hAnsi="宋体"/>
          <w:color w:val="000000" w:themeColor="text1"/>
          <w:spacing w:val="20"/>
          <w:sz w:val="24"/>
          <w:szCs w:val="24"/>
          <w:u w:val="single"/>
        </w:rPr>
        <w:t xml:space="preserve">           </w:t>
      </w:r>
      <w:r>
        <w:rPr>
          <w:rFonts w:ascii="宋体" w:hAnsi="宋体"/>
          <w:color w:val="000000" w:themeColor="text1"/>
          <w:spacing w:val="20"/>
          <w:sz w:val="24"/>
          <w:szCs w:val="24"/>
          <w:u w:val="single"/>
        </w:rPr>
        <w:t xml:space="preserve">  </w:t>
      </w:r>
      <w:r>
        <w:rPr>
          <w:rFonts w:hint="eastAsia" w:ascii="宋体" w:hAnsi="宋体"/>
          <w:color w:val="000000" w:themeColor="text1"/>
          <w:spacing w:val="20"/>
          <w:sz w:val="24"/>
          <w:szCs w:val="24"/>
        </w:rPr>
        <w:t xml:space="preserve">    </w:t>
      </w:r>
    </w:p>
    <w:p w14:paraId="25B07388">
      <w:pPr>
        <w:ind w:firstLine="0" w:firstLineChars="0"/>
        <w:rPr>
          <w:color w:val="000000" w:themeColor="text1"/>
          <w:sz w:val="24"/>
          <w:szCs w:val="24"/>
          <w:lang w:val="zh-CN"/>
        </w:rPr>
      </w:pPr>
      <w:r>
        <w:rPr>
          <w:rFonts w:hint="eastAsia" w:ascii="宋体" w:hAnsi="宋体"/>
          <w:color w:val="000000" w:themeColor="text1"/>
          <w:spacing w:val="20"/>
          <w:sz w:val="24"/>
          <w:szCs w:val="24"/>
        </w:rPr>
        <w:t>日  期：</w:t>
      </w:r>
      <w:r>
        <w:rPr>
          <w:rFonts w:hint="eastAsia"/>
          <w:color w:val="000000" w:themeColor="text1"/>
          <w:sz w:val="24"/>
          <w:szCs w:val="24"/>
          <w:u w:val="single"/>
          <w:lang w:val="zh-CN"/>
        </w:rPr>
        <w:t xml:space="preserve">    </w:t>
      </w:r>
      <w:r>
        <w:rPr>
          <w:rFonts w:hint="eastAsia"/>
          <w:color w:val="000000" w:themeColor="text1"/>
          <w:sz w:val="24"/>
          <w:szCs w:val="24"/>
          <w:lang w:val="zh-CN"/>
        </w:rPr>
        <w:t>年</w:t>
      </w:r>
      <w:r>
        <w:rPr>
          <w:rFonts w:hint="eastAsia"/>
          <w:color w:val="000000" w:themeColor="text1"/>
          <w:sz w:val="24"/>
          <w:szCs w:val="24"/>
          <w:u w:val="single"/>
          <w:lang w:val="zh-CN"/>
        </w:rPr>
        <w:t xml:space="preserve">    </w:t>
      </w:r>
      <w:r>
        <w:rPr>
          <w:rFonts w:hint="eastAsia"/>
          <w:color w:val="000000" w:themeColor="text1"/>
          <w:sz w:val="24"/>
          <w:szCs w:val="24"/>
          <w:lang w:val="zh-CN"/>
        </w:rPr>
        <w:t>月</w:t>
      </w:r>
      <w:r>
        <w:rPr>
          <w:rFonts w:hint="eastAsia"/>
          <w:color w:val="000000" w:themeColor="text1"/>
          <w:sz w:val="24"/>
          <w:szCs w:val="24"/>
          <w:u w:val="single"/>
          <w:lang w:val="zh-CN"/>
        </w:rPr>
        <w:t xml:space="preserve">    </w:t>
      </w:r>
      <w:r>
        <w:rPr>
          <w:rFonts w:hint="eastAsia"/>
          <w:color w:val="000000" w:themeColor="text1"/>
          <w:sz w:val="24"/>
          <w:szCs w:val="24"/>
          <w:lang w:val="zh-CN"/>
        </w:rPr>
        <w:t>日</w:t>
      </w:r>
    </w:p>
    <w:p w14:paraId="436B4CA1">
      <w:pPr>
        <w:ind w:firstLine="0" w:firstLineChars="0"/>
        <w:rPr>
          <w:color w:val="000000" w:themeColor="text1"/>
          <w:sz w:val="24"/>
          <w:szCs w:val="24"/>
          <w:lang w:val="zh-CN"/>
        </w:rPr>
      </w:pPr>
      <w:r>
        <w:rPr>
          <w:rFonts w:hint="eastAsia"/>
          <w:color w:val="000000" w:themeColor="text1"/>
          <w:sz w:val="24"/>
          <w:szCs w:val="24"/>
          <w:lang w:val="zh-CN"/>
        </w:rPr>
        <w:br w:type="page"/>
      </w:r>
    </w:p>
    <w:p w14:paraId="34FEBEF2">
      <w:pPr>
        <w:pStyle w:val="14"/>
        <w:ind w:left="-2" w:firstLine="480"/>
        <w:rPr>
          <w:color w:val="auto"/>
        </w:rPr>
      </w:pPr>
      <w:r>
        <w:rPr>
          <w:rFonts w:hint="eastAsia" w:ascii="宋体" w:hAnsiTheme="minorEastAsia" w:cstheme="minorBidi"/>
          <w:b/>
          <w:bCs/>
          <w:color w:val="auto"/>
          <w:kern w:val="2"/>
          <w:sz w:val="28"/>
          <w:szCs w:val="44"/>
          <w:lang w:val="en-US"/>
        </w:rPr>
        <w:t>四、其他文书、文件格式</w:t>
      </w:r>
    </w:p>
    <w:p w14:paraId="4EDE566B">
      <w:pPr>
        <w:pStyle w:val="60"/>
        <w:rPr>
          <w:color w:val="auto"/>
        </w:rPr>
      </w:pPr>
    </w:p>
    <w:p w14:paraId="28226078">
      <w:pPr>
        <w:pStyle w:val="60"/>
        <w:rPr>
          <w:color w:val="auto"/>
        </w:rPr>
      </w:pPr>
      <w:r>
        <w:rPr>
          <w:rFonts w:hint="eastAsia"/>
          <w:color w:val="auto"/>
        </w:rPr>
        <w:t>1.联合体竞标协议书格式</w:t>
      </w:r>
    </w:p>
    <w:p w14:paraId="656809E8">
      <w:pPr>
        <w:snapToGrid w:val="0"/>
        <w:spacing w:before="50" w:after="50"/>
        <w:ind w:firstLine="0" w:firstLineChars="0"/>
        <w:jc w:val="center"/>
        <w:rPr>
          <w:rFonts w:ascii="宋体" w:hAnsi="宋体" w:eastAsia="宋体" w:cs="方正小标宋简体"/>
          <w:b/>
          <w:color w:val="auto"/>
          <w:sz w:val="44"/>
          <w:szCs w:val="44"/>
        </w:rPr>
      </w:pPr>
      <w:r>
        <w:rPr>
          <w:rFonts w:hint="eastAsia" w:ascii="宋体" w:hAnsi="宋体" w:eastAsia="宋体" w:cs="方正小标宋简体"/>
          <w:b/>
          <w:color w:val="auto"/>
          <w:sz w:val="44"/>
          <w:szCs w:val="44"/>
        </w:rPr>
        <w:t>联合体竞标协议书</w:t>
      </w:r>
    </w:p>
    <w:p w14:paraId="09CE594E">
      <w:pPr>
        <w:ind w:firstLine="480"/>
        <w:rPr>
          <w:color w:val="auto"/>
          <w:sz w:val="24"/>
          <w:szCs w:val="24"/>
        </w:rPr>
      </w:pPr>
      <w:r>
        <w:rPr>
          <w:rFonts w:hint="eastAsia"/>
          <w:color w:val="auto"/>
          <w:sz w:val="24"/>
          <w:szCs w:val="24"/>
          <w:u w:val="single"/>
        </w:rPr>
        <w:tab/>
      </w:r>
      <w:r>
        <w:rPr>
          <w:rFonts w:hint="eastAsia"/>
          <w:color w:val="auto"/>
          <w:sz w:val="24"/>
          <w:szCs w:val="24"/>
          <w:u w:val="single"/>
        </w:rPr>
        <w:t xml:space="preserve">（所有成员单位名称） </w:t>
      </w:r>
      <w:r>
        <w:rPr>
          <w:rFonts w:hint="eastAsia"/>
          <w:color w:val="auto"/>
          <w:sz w:val="24"/>
          <w:szCs w:val="24"/>
        </w:rPr>
        <w:t>自愿组成</w:t>
      </w:r>
      <w:r>
        <w:rPr>
          <w:rFonts w:hint="eastAsia"/>
          <w:color w:val="auto"/>
          <w:sz w:val="24"/>
          <w:szCs w:val="24"/>
          <w:u w:val="single"/>
        </w:rPr>
        <w:t xml:space="preserve">（联合体名称） </w:t>
      </w:r>
      <w:r>
        <w:rPr>
          <w:rFonts w:hint="eastAsia"/>
          <w:color w:val="auto"/>
          <w:sz w:val="24"/>
          <w:szCs w:val="24"/>
        </w:rPr>
        <w:t xml:space="preserve">联合体，共同参加 </w:t>
      </w:r>
      <w:r>
        <w:rPr>
          <w:rFonts w:hint="eastAsia"/>
          <w:color w:val="auto"/>
          <w:sz w:val="24"/>
          <w:szCs w:val="24"/>
          <w:u w:val="single"/>
        </w:rPr>
        <w:tab/>
      </w:r>
      <w:r>
        <w:rPr>
          <w:rFonts w:hint="eastAsia"/>
          <w:color w:val="auto"/>
          <w:sz w:val="24"/>
          <w:szCs w:val="24"/>
          <w:u w:val="single"/>
        </w:rPr>
        <w:t>（项目名称）</w:t>
      </w:r>
      <w:r>
        <w:rPr>
          <w:rFonts w:hint="eastAsia"/>
          <w:color w:val="auto"/>
          <w:sz w:val="24"/>
          <w:szCs w:val="24"/>
        </w:rPr>
        <w:t>采购项目竞标。现就联合体投标事宜订立如下协议。</w:t>
      </w:r>
    </w:p>
    <w:p w14:paraId="4C23918B">
      <w:pPr>
        <w:ind w:firstLine="480"/>
        <w:rPr>
          <w:color w:val="auto"/>
          <w:sz w:val="24"/>
          <w:szCs w:val="24"/>
        </w:rPr>
      </w:pPr>
      <w:r>
        <w:rPr>
          <w:rFonts w:hint="eastAsia"/>
          <w:color w:val="auto"/>
          <w:sz w:val="24"/>
          <w:szCs w:val="24"/>
        </w:rPr>
        <w:t>1.</w:t>
      </w:r>
      <w:r>
        <w:rPr>
          <w:rFonts w:hint="eastAsia"/>
          <w:color w:val="auto"/>
          <w:sz w:val="24"/>
          <w:szCs w:val="24"/>
          <w:u w:val="single"/>
        </w:rPr>
        <w:t xml:space="preserve">（某成员单位名称） </w:t>
      </w:r>
      <w:r>
        <w:rPr>
          <w:rFonts w:hint="eastAsia"/>
          <w:color w:val="auto"/>
          <w:sz w:val="24"/>
          <w:szCs w:val="24"/>
        </w:rPr>
        <w:t>为</w:t>
      </w:r>
      <w:r>
        <w:rPr>
          <w:rFonts w:hint="eastAsia"/>
          <w:color w:val="auto"/>
          <w:sz w:val="24"/>
          <w:szCs w:val="24"/>
          <w:u w:val="single"/>
        </w:rPr>
        <w:tab/>
      </w:r>
      <w:r>
        <w:rPr>
          <w:rFonts w:hint="eastAsia"/>
          <w:color w:val="auto"/>
          <w:sz w:val="24"/>
          <w:szCs w:val="24"/>
          <w:u w:val="single"/>
        </w:rPr>
        <w:t xml:space="preserve">（联合体名称） </w:t>
      </w:r>
      <w:r>
        <w:rPr>
          <w:rFonts w:hint="eastAsia"/>
          <w:color w:val="auto"/>
          <w:sz w:val="24"/>
          <w:szCs w:val="24"/>
        </w:rPr>
        <w:t>牵头人。</w:t>
      </w:r>
    </w:p>
    <w:p w14:paraId="43B97780">
      <w:pPr>
        <w:ind w:firstLine="480"/>
        <w:rPr>
          <w:color w:val="auto"/>
          <w:sz w:val="24"/>
          <w:szCs w:val="24"/>
        </w:rPr>
      </w:pPr>
      <w:r>
        <w:rPr>
          <w:rFonts w:hint="eastAsia"/>
          <w:color w:val="auto"/>
          <w:sz w:val="24"/>
          <w:szCs w:val="24"/>
        </w:rPr>
        <w:t>2.联合体各成员授权牵头人代表联合体参加竞标活动，签署文件及对文件的盖章，提交和接收相关的资料、 信息及指示，进行合同磋商活动，负责合同实施阶段的组织和协调工作，以及处理与本招标项 目有关的一切事宜。</w:t>
      </w:r>
    </w:p>
    <w:p w14:paraId="4CA83081">
      <w:pPr>
        <w:ind w:firstLine="480"/>
        <w:rPr>
          <w:color w:val="auto"/>
          <w:sz w:val="24"/>
          <w:szCs w:val="24"/>
        </w:rPr>
      </w:pPr>
      <w:r>
        <w:rPr>
          <w:rFonts w:hint="eastAsia"/>
          <w:color w:val="auto"/>
          <w:sz w:val="24"/>
          <w:szCs w:val="24"/>
        </w:rPr>
        <w:t>3.联合体牵头人在本项目中签署和盖章的一切文件和处理的一切事宜，联合体各成员均予以承认。 联合体各成员将严格按照采购文件、响应文件和合同的要求全面履行义务，并向采购人承担连带责任。</w:t>
      </w:r>
    </w:p>
    <w:p w14:paraId="40C12BCD">
      <w:pPr>
        <w:ind w:firstLine="480"/>
        <w:rPr>
          <w:color w:val="auto"/>
          <w:sz w:val="24"/>
          <w:szCs w:val="24"/>
        </w:rPr>
      </w:pPr>
      <w:r>
        <w:rPr>
          <w:rFonts w:hint="eastAsia"/>
          <w:color w:val="auto"/>
          <w:sz w:val="24"/>
          <w:szCs w:val="24"/>
        </w:rPr>
        <w:t>4.联合体各成员单位内部的职责分工如下：</w:t>
      </w:r>
      <w:r>
        <w:rPr>
          <w:rFonts w:hint="eastAsia"/>
          <w:color w:val="auto"/>
          <w:sz w:val="24"/>
          <w:szCs w:val="24"/>
          <w:u w:val="single"/>
        </w:rPr>
        <w:tab/>
      </w:r>
      <w:r>
        <w:rPr>
          <w:rFonts w:hint="eastAsia"/>
          <w:color w:val="auto"/>
          <w:sz w:val="24"/>
          <w:szCs w:val="24"/>
        </w:rPr>
        <w:t>。</w:t>
      </w:r>
    </w:p>
    <w:p w14:paraId="2DB74859">
      <w:pPr>
        <w:ind w:firstLine="480"/>
        <w:rPr>
          <w:color w:val="auto"/>
          <w:sz w:val="24"/>
          <w:szCs w:val="24"/>
        </w:rPr>
      </w:pPr>
      <w:r>
        <w:rPr>
          <w:rFonts w:hint="eastAsia"/>
          <w:color w:val="auto"/>
          <w:sz w:val="24"/>
          <w:szCs w:val="24"/>
        </w:rPr>
        <w:t>5.本协议书自所有成员单位法定代表人或者其委托代理人签字或者盖公章之日起生效，合同履行完毕后自动失效。</w:t>
      </w:r>
    </w:p>
    <w:p w14:paraId="5594A7C9">
      <w:pPr>
        <w:ind w:firstLine="480"/>
        <w:rPr>
          <w:color w:val="auto"/>
          <w:sz w:val="24"/>
          <w:szCs w:val="24"/>
        </w:rPr>
      </w:pPr>
      <w:r>
        <w:rPr>
          <w:rFonts w:hint="eastAsia"/>
          <w:color w:val="auto"/>
          <w:sz w:val="24"/>
          <w:szCs w:val="24"/>
        </w:rPr>
        <w:t>6.本协议书一式</w:t>
      </w:r>
      <w:r>
        <w:rPr>
          <w:rFonts w:hint="eastAsia"/>
          <w:color w:val="auto"/>
          <w:sz w:val="24"/>
          <w:szCs w:val="24"/>
          <w:u w:val="single"/>
        </w:rPr>
        <w:tab/>
      </w:r>
      <w:r>
        <w:rPr>
          <w:rFonts w:hint="eastAsia"/>
          <w:color w:val="auto"/>
          <w:sz w:val="24"/>
          <w:szCs w:val="24"/>
        </w:rPr>
        <w:t>份，联合体成员和招标人各执一份。</w:t>
      </w:r>
    </w:p>
    <w:p w14:paraId="2EEA0CFE">
      <w:pPr>
        <w:ind w:firstLine="480"/>
        <w:rPr>
          <w:color w:val="auto"/>
          <w:sz w:val="24"/>
          <w:szCs w:val="24"/>
        </w:rPr>
      </w:pPr>
      <w:r>
        <w:rPr>
          <w:rFonts w:hint="eastAsia"/>
          <w:color w:val="auto"/>
          <w:sz w:val="24"/>
          <w:szCs w:val="24"/>
        </w:rPr>
        <w:t>注：</w:t>
      </w:r>
      <w:r>
        <w:rPr>
          <w:rFonts w:hint="eastAsia" w:ascii="宋体" w:hAnsi="宋体" w:cs="仿宋_GB2312"/>
          <w:color w:val="auto"/>
          <w:sz w:val="24"/>
          <w:szCs w:val="24"/>
        </w:rPr>
        <w:t>本协议书应附法定代表人身份证明书；有委托代理的，应附</w:t>
      </w:r>
      <w:r>
        <w:rPr>
          <w:rFonts w:hint="eastAsia" w:ascii="宋体" w:hAnsi="宋体" w:cs="仿宋_GB2312"/>
          <w:color w:val="auto"/>
          <w:sz w:val="24"/>
          <w:szCs w:val="24"/>
          <w:lang w:val="en-US" w:eastAsia="zh-CN"/>
        </w:rPr>
        <w:t>授</w:t>
      </w:r>
      <w:r>
        <w:rPr>
          <w:rFonts w:hint="eastAsia" w:ascii="宋体" w:hAnsi="宋体" w:cs="仿宋_GB2312"/>
          <w:color w:val="auto"/>
          <w:sz w:val="24"/>
          <w:szCs w:val="24"/>
        </w:rPr>
        <w:t>权委托书（格式自拟）</w:t>
      </w:r>
      <w:r>
        <w:rPr>
          <w:rFonts w:hint="eastAsia"/>
          <w:color w:val="auto"/>
          <w:sz w:val="24"/>
          <w:szCs w:val="24"/>
        </w:rPr>
        <w:t>。</w:t>
      </w:r>
    </w:p>
    <w:p w14:paraId="19E8D0D0">
      <w:pPr>
        <w:ind w:firstLine="480"/>
        <w:rPr>
          <w:color w:val="auto"/>
          <w:sz w:val="24"/>
          <w:szCs w:val="24"/>
        </w:rPr>
      </w:pPr>
    </w:p>
    <w:p w14:paraId="547E954F">
      <w:pPr>
        <w:ind w:firstLine="480"/>
        <w:rPr>
          <w:color w:val="auto"/>
          <w:sz w:val="24"/>
          <w:szCs w:val="24"/>
        </w:rPr>
      </w:pPr>
      <w:r>
        <w:rPr>
          <w:rFonts w:hint="eastAsia"/>
          <w:color w:val="auto"/>
          <w:sz w:val="24"/>
          <w:szCs w:val="24"/>
        </w:rPr>
        <w:t>联合体牵头人名称（</w:t>
      </w:r>
      <w:r>
        <w:rPr>
          <w:rFonts w:hint="eastAsia" w:ascii="宋体" w:hAnsi="宋体" w:cs="仿宋_GB2312"/>
          <w:b/>
          <w:bCs/>
          <w:color w:val="auto"/>
          <w:sz w:val="24"/>
          <w:szCs w:val="24"/>
        </w:rPr>
        <w:t>电子签章</w:t>
      </w:r>
      <w:r>
        <w:rPr>
          <w:rFonts w:hint="eastAsia"/>
          <w:color w:val="auto"/>
          <w:sz w:val="24"/>
          <w:szCs w:val="24"/>
        </w:rPr>
        <w:t>）：</w:t>
      </w:r>
    </w:p>
    <w:p w14:paraId="37B1C656">
      <w:pPr>
        <w:ind w:firstLine="480"/>
        <w:rPr>
          <w:color w:val="auto"/>
          <w:sz w:val="24"/>
          <w:szCs w:val="24"/>
        </w:rPr>
      </w:pPr>
      <w:r>
        <w:rPr>
          <w:rFonts w:hint="eastAsia"/>
          <w:color w:val="auto"/>
          <w:sz w:val="24"/>
          <w:szCs w:val="24"/>
        </w:rPr>
        <w:t>法定代表人或者其委托代理人（</w:t>
      </w:r>
      <w:r>
        <w:rPr>
          <w:rFonts w:hint="eastAsia"/>
          <w:b/>
          <w:bCs/>
          <w:color w:val="auto"/>
          <w:sz w:val="24"/>
          <w:szCs w:val="24"/>
        </w:rPr>
        <w:t>签字或者盖章或者电子签名</w:t>
      </w:r>
      <w:r>
        <w:rPr>
          <w:rFonts w:hint="eastAsia"/>
          <w:color w:val="auto"/>
          <w:sz w:val="24"/>
          <w:szCs w:val="24"/>
        </w:rPr>
        <w:t>）：</w:t>
      </w:r>
    </w:p>
    <w:p w14:paraId="1955EBEB">
      <w:pPr>
        <w:ind w:firstLine="480"/>
        <w:rPr>
          <w:color w:val="auto"/>
          <w:sz w:val="24"/>
          <w:szCs w:val="24"/>
        </w:rPr>
      </w:pPr>
    </w:p>
    <w:p w14:paraId="3896BC40">
      <w:pPr>
        <w:ind w:firstLine="480"/>
        <w:rPr>
          <w:color w:val="auto"/>
          <w:sz w:val="24"/>
          <w:szCs w:val="24"/>
        </w:rPr>
      </w:pPr>
      <w:r>
        <w:rPr>
          <w:rFonts w:hint="eastAsia"/>
          <w:color w:val="auto"/>
          <w:sz w:val="24"/>
          <w:szCs w:val="24"/>
        </w:rPr>
        <w:t>联合体成员名称（</w:t>
      </w:r>
      <w:r>
        <w:rPr>
          <w:rFonts w:hint="eastAsia" w:ascii="宋体" w:hAnsi="宋体" w:cs="仿宋_GB2312"/>
          <w:b/>
          <w:bCs/>
          <w:color w:val="auto"/>
          <w:sz w:val="24"/>
          <w:szCs w:val="24"/>
        </w:rPr>
        <w:t>盖公章或者电子签章</w:t>
      </w:r>
      <w:r>
        <w:rPr>
          <w:rFonts w:hint="eastAsia"/>
          <w:color w:val="auto"/>
          <w:sz w:val="24"/>
          <w:szCs w:val="24"/>
        </w:rPr>
        <w:t>）：</w:t>
      </w:r>
    </w:p>
    <w:p w14:paraId="15CC0BAD">
      <w:pPr>
        <w:ind w:firstLine="480"/>
        <w:rPr>
          <w:color w:val="auto"/>
          <w:sz w:val="24"/>
          <w:szCs w:val="24"/>
        </w:rPr>
      </w:pPr>
      <w:r>
        <w:rPr>
          <w:rFonts w:hint="eastAsia"/>
          <w:color w:val="auto"/>
          <w:sz w:val="24"/>
          <w:szCs w:val="24"/>
        </w:rPr>
        <w:t>法定代表人或者其委托代理人（</w:t>
      </w:r>
      <w:r>
        <w:rPr>
          <w:rFonts w:hint="eastAsia"/>
          <w:b/>
          <w:bCs/>
          <w:color w:val="auto"/>
          <w:sz w:val="24"/>
          <w:szCs w:val="24"/>
        </w:rPr>
        <w:t>签字或者盖章或者电子签名</w:t>
      </w:r>
      <w:r>
        <w:rPr>
          <w:rFonts w:hint="eastAsia"/>
          <w:color w:val="auto"/>
          <w:sz w:val="24"/>
          <w:szCs w:val="24"/>
        </w:rPr>
        <w:t>）：</w:t>
      </w:r>
    </w:p>
    <w:p w14:paraId="7088BEC7">
      <w:pPr>
        <w:ind w:firstLine="480"/>
        <w:rPr>
          <w:color w:val="auto"/>
          <w:sz w:val="24"/>
          <w:szCs w:val="24"/>
        </w:rPr>
      </w:pPr>
      <w:r>
        <w:rPr>
          <w:rFonts w:hint="eastAsia"/>
          <w:color w:val="auto"/>
          <w:sz w:val="24"/>
          <w:szCs w:val="24"/>
        </w:rPr>
        <w:t>……</w:t>
      </w:r>
    </w:p>
    <w:p w14:paraId="7CA433EC">
      <w:pPr>
        <w:ind w:firstLine="480"/>
        <w:jc w:val="right"/>
        <w:rPr>
          <w:color w:val="auto"/>
          <w:sz w:val="24"/>
          <w:szCs w:val="24"/>
        </w:rPr>
      </w:pPr>
      <w:r>
        <w:rPr>
          <w:rFonts w:hint="eastAsia"/>
          <w:color w:val="auto"/>
          <w:sz w:val="24"/>
          <w:szCs w:val="24"/>
        </w:rPr>
        <w:tab/>
      </w:r>
      <w:r>
        <w:rPr>
          <w:rFonts w:hint="eastAsia"/>
          <w:color w:val="auto"/>
          <w:sz w:val="24"/>
          <w:szCs w:val="24"/>
        </w:rPr>
        <w:t xml:space="preserve">年 </w:t>
      </w:r>
      <w:r>
        <w:rPr>
          <w:rFonts w:hint="eastAsia"/>
          <w:color w:val="auto"/>
          <w:sz w:val="24"/>
          <w:szCs w:val="24"/>
        </w:rPr>
        <w:tab/>
      </w:r>
      <w:r>
        <w:rPr>
          <w:rFonts w:hint="eastAsia"/>
          <w:color w:val="auto"/>
          <w:sz w:val="24"/>
          <w:szCs w:val="24"/>
        </w:rPr>
        <w:t xml:space="preserve">月 </w:t>
      </w:r>
      <w:r>
        <w:rPr>
          <w:rFonts w:hint="eastAsia"/>
          <w:color w:val="auto"/>
          <w:sz w:val="24"/>
          <w:szCs w:val="24"/>
        </w:rPr>
        <w:tab/>
      </w:r>
      <w:r>
        <w:rPr>
          <w:rFonts w:hint="eastAsia"/>
          <w:color w:val="auto"/>
          <w:sz w:val="24"/>
          <w:szCs w:val="24"/>
        </w:rPr>
        <w:t>日</w:t>
      </w:r>
    </w:p>
    <w:p w14:paraId="1712105C">
      <w:pPr>
        <w:ind w:firstLine="480"/>
        <w:rPr>
          <w:color w:val="auto"/>
          <w:sz w:val="24"/>
          <w:szCs w:val="24"/>
        </w:rPr>
      </w:pPr>
    </w:p>
    <w:p w14:paraId="647B5584">
      <w:pPr>
        <w:pStyle w:val="60"/>
        <w:rPr>
          <w:color w:val="auto"/>
        </w:rPr>
      </w:pPr>
    </w:p>
    <w:p w14:paraId="5EE3FDBD">
      <w:pPr>
        <w:pStyle w:val="60"/>
        <w:rPr>
          <w:color w:val="auto"/>
        </w:rPr>
      </w:pPr>
      <w:r>
        <w:rPr>
          <w:rFonts w:hint="eastAsia"/>
          <w:color w:val="auto"/>
        </w:rPr>
        <w:t>2.中小企业声明函格式</w:t>
      </w:r>
    </w:p>
    <w:p w14:paraId="75C68CEF">
      <w:pPr>
        <w:ind w:firstLine="420"/>
        <w:rPr>
          <w:color w:val="auto"/>
        </w:rPr>
      </w:pPr>
    </w:p>
    <w:p w14:paraId="661341AC">
      <w:pPr>
        <w:snapToGrid w:val="0"/>
        <w:spacing w:before="50" w:after="50"/>
        <w:ind w:firstLine="0" w:firstLineChars="0"/>
        <w:jc w:val="center"/>
        <w:rPr>
          <w:rFonts w:ascii="宋体" w:hAnsi="宋体" w:eastAsia="宋体" w:cs="方正小标宋简体"/>
          <w:b/>
          <w:color w:val="auto"/>
          <w:sz w:val="44"/>
          <w:szCs w:val="44"/>
        </w:rPr>
      </w:pPr>
      <w:r>
        <w:rPr>
          <w:rFonts w:hint="eastAsia" w:ascii="宋体" w:hAnsi="宋体" w:eastAsia="宋体" w:cs="方正小标宋简体"/>
          <w:b/>
          <w:color w:val="auto"/>
          <w:sz w:val="44"/>
          <w:szCs w:val="44"/>
        </w:rPr>
        <w:t>中小企业声明函（工程、服务）</w:t>
      </w:r>
    </w:p>
    <w:p w14:paraId="5164A1DB">
      <w:pPr>
        <w:ind w:firstLine="420"/>
        <w:rPr>
          <w:color w:val="auto"/>
        </w:rPr>
      </w:pPr>
    </w:p>
    <w:p w14:paraId="158A1938">
      <w:pPr>
        <w:pStyle w:val="14"/>
        <w:spacing w:line="360" w:lineRule="auto"/>
        <w:ind w:firstLine="480"/>
        <w:contextualSpacing/>
        <w:jc w:val="left"/>
        <w:rPr>
          <w:rFonts w:ascii="宋体" w:hAnsi="宋体"/>
          <w:color w:val="auto"/>
          <w:kern w:val="24"/>
        </w:rPr>
      </w:pPr>
      <w:r>
        <w:rPr>
          <w:rFonts w:ascii="宋体" w:hAnsi="宋体"/>
          <w:color w:val="auto"/>
          <w:kern w:val="24"/>
        </w:rPr>
        <w:t>本公司（联合体）郑重声明，根据《政府采购促进中小企业发展管理办法》（财库﹝2020﹞46号）的规定，本公司（联合体）参加</w:t>
      </w:r>
      <w:r>
        <w:rPr>
          <w:rFonts w:ascii="宋体" w:hAnsi="宋体"/>
          <w:color w:val="auto"/>
          <w:kern w:val="24"/>
          <w:u w:val="single"/>
        </w:rPr>
        <w:t>（单位名称）</w:t>
      </w:r>
      <w:r>
        <w:rPr>
          <w:rFonts w:ascii="宋体" w:hAnsi="宋体"/>
          <w:color w:val="auto"/>
          <w:kern w:val="24"/>
        </w:rPr>
        <w:t>的</w:t>
      </w:r>
      <w:r>
        <w:rPr>
          <w:rFonts w:ascii="宋体" w:hAnsi="宋体"/>
          <w:color w:val="auto"/>
          <w:kern w:val="24"/>
          <w:u w:val="single"/>
        </w:rPr>
        <w:t>（项目名称）</w:t>
      </w:r>
      <w:r>
        <w:rPr>
          <w:rFonts w:ascii="宋体" w:hAnsi="宋体"/>
          <w:color w:val="auto"/>
          <w:kern w:val="24"/>
        </w:rPr>
        <w:t>采购活动，</w:t>
      </w:r>
      <w:r>
        <w:rPr>
          <w:rFonts w:hint="eastAsia" w:ascii="宋体" w:hAnsi="宋体"/>
          <w:color w:val="auto"/>
          <w:kern w:val="24"/>
        </w:rPr>
        <w:t>服务全部由符合政策要求的中小企业承接。相关企业（含联合体中的中小企业、签订分包意向协议的中小企业）的具体情况如下</w:t>
      </w:r>
      <w:r>
        <w:rPr>
          <w:rFonts w:ascii="宋体" w:hAnsi="宋体"/>
          <w:color w:val="auto"/>
          <w:kern w:val="24"/>
        </w:rPr>
        <w:t>：</w:t>
      </w:r>
    </w:p>
    <w:p w14:paraId="35619105">
      <w:pPr>
        <w:tabs>
          <w:tab w:val="left" w:pos="1384"/>
          <w:tab w:val="left" w:pos="4562"/>
          <w:tab w:val="left" w:pos="6803"/>
        </w:tabs>
        <w:ind w:firstLine="480"/>
        <w:contextualSpacing/>
        <w:rPr>
          <w:rFonts w:ascii="宋体" w:hAnsi="宋体"/>
          <w:color w:val="auto"/>
          <w:kern w:val="24"/>
          <w:sz w:val="24"/>
          <w:szCs w:val="24"/>
        </w:rPr>
      </w:pPr>
      <w:r>
        <w:rPr>
          <w:rFonts w:ascii="宋体" w:hAnsi="宋体"/>
          <w:color w:val="auto"/>
          <w:kern w:val="24"/>
          <w:sz w:val="24"/>
          <w:szCs w:val="24"/>
        </w:rPr>
        <w:t>1.</w:t>
      </w:r>
      <w:r>
        <w:rPr>
          <w:rFonts w:ascii="宋体" w:hAnsi="宋体"/>
          <w:color w:val="auto"/>
          <w:kern w:val="24"/>
          <w:sz w:val="24"/>
          <w:szCs w:val="24"/>
          <w:u w:val="single"/>
        </w:rPr>
        <w:t xml:space="preserve"> （标的名称）</w:t>
      </w:r>
      <w:r>
        <w:rPr>
          <w:rFonts w:ascii="宋体" w:hAnsi="宋体"/>
          <w:color w:val="auto"/>
          <w:kern w:val="24"/>
          <w:sz w:val="24"/>
          <w:szCs w:val="24"/>
        </w:rPr>
        <w:t>，属于</w:t>
      </w:r>
      <w:r>
        <w:rPr>
          <w:rFonts w:ascii="宋体" w:hAnsi="宋体"/>
          <w:color w:val="auto"/>
          <w:kern w:val="24"/>
          <w:sz w:val="24"/>
          <w:szCs w:val="24"/>
          <w:u w:val="single"/>
        </w:rPr>
        <w:t>（采购文件中明确的所属行业）</w:t>
      </w:r>
      <w:r>
        <w:rPr>
          <w:rFonts w:ascii="宋体" w:hAnsi="宋体"/>
          <w:color w:val="auto"/>
          <w:kern w:val="24"/>
          <w:sz w:val="24"/>
          <w:szCs w:val="24"/>
        </w:rPr>
        <w:t>行业；</w:t>
      </w:r>
      <w:r>
        <w:rPr>
          <w:rFonts w:hint="eastAsia" w:ascii="宋体" w:hAnsi="宋体"/>
          <w:color w:val="auto"/>
          <w:kern w:val="24"/>
          <w:sz w:val="24"/>
          <w:szCs w:val="24"/>
        </w:rPr>
        <w:t>承接企业为</w:t>
      </w:r>
      <w:r>
        <w:rPr>
          <w:rFonts w:ascii="宋体" w:hAnsi="宋体"/>
          <w:color w:val="auto"/>
          <w:kern w:val="24"/>
          <w:sz w:val="24"/>
          <w:szCs w:val="24"/>
          <w:u w:val="single"/>
        </w:rPr>
        <w:t>（企业名称）</w:t>
      </w:r>
      <w:r>
        <w:rPr>
          <w:rFonts w:ascii="宋体" w:hAnsi="宋体"/>
          <w:color w:val="auto"/>
          <w:kern w:val="24"/>
          <w:sz w:val="24"/>
          <w:szCs w:val="24"/>
        </w:rPr>
        <w:t>，从业人员人，营业收入为万元，资产总额为万元，属于</w:t>
      </w:r>
      <w:r>
        <w:rPr>
          <w:rFonts w:ascii="宋体" w:hAnsi="宋体"/>
          <w:color w:val="auto"/>
          <w:kern w:val="24"/>
          <w:sz w:val="24"/>
          <w:szCs w:val="24"/>
          <w:u w:val="single"/>
        </w:rPr>
        <w:t>（中型企业、小型企业、微型企业）</w:t>
      </w:r>
      <w:r>
        <w:rPr>
          <w:rFonts w:ascii="宋体" w:hAnsi="宋体"/>
          <w:color w:val="auto"/>
          <w:kern w:val="24"/>
          <w:sz w:val="24"/>
          <w:szCs w:val="24"/>
        </w:rPr>
        <w:t>；</w:t>
      </w:r>
    </w:p>
    <w:p w14:paraId="152ED08B">
      <w:pPr>
        <w:tabs>
          <w:tab w:val="left" w:pos="1384"/>
          <w:tab w:val="left" w:pos="4562"/>
          <w:tab w:val="left" w:pos="6803"/>
        </w:tabs>
        <w:ind w:firstLine="480"/>
        <w:contextualSpacing/>
        <w:rPr>
          <w:rFonts w:ascii="宋体" w:hAnsi="宋体"/>
          <w:color w:val="auto"/>
          <w:kern w:val="24"/>
          <w:sz w:val="24"/>
          <w:szCs w:val="24"/>
        </w:rPr>
      </w:pPr>
      <w:r>
        <w:rPr>
          <w:rFonts w:ascii="宋体" w:hAnsi="宋体"/>
          <w:color w:val="auto"/>
          <w:kern w:val="24"/>
          <w:sz w:val="24"/>
          <w:szCs w:val="24"/>
        </w:rPr>
        <w:t>2.</w:t>
      </w:r>
      <w:r>
        <w:rPr>
          <w:rFonts w:ascii="宋体" w:hAnsi="宋体"/>
          <w:color w:val="auto"/>
          <w:kern w:val="24"/>
          <w:sz w:val="24"/>
          <w:szCs w:val="24"/>
          <w:u w:val="single"/>
        </w:rPr>
        <w:t xml:space="preserve"> （标的名称）</w:t>
      </w:r>
      <w:r>
        <w:rPr>
          <w:rFonts w:ascii="宋体" w:hAnsi="宋体"/>
          <w:color w:val="auto"/>
          <w:kern w:val="24"/>
          <w:sz w:val="24"/>
          <w:szCs w:val="24"/>
        </w:rPr>
        <w:t>，属于</w:t>
      </w:r>
      <w:r>
        <w:rPr>
          <w:rFonts w:ascii="宋体" w:hAnsi="宋体"/>
          <w:color w:val="auto"/>
          <w:kern w:val="24"/>
          <w:sz w:val="24"/>
          <w:szCs w:val="24"/>
          <w:u w:val="single"/>
        </w:rPr>
        <w:t>（采购文件中明确的所属行业）</w:t>
      </w:r>
      <w:r>
        <w:rPr>
          <w:rFonts w:ascii="宋体" w:hAnsi="宋体"/>
          <w:color w:val="auto"/>
          <w:kern w:val="24"/>
          <w:sz w:val="24"/>
          <w:szCs w:val="24"/>
        </w:rPr>
        <w:t>行业；</w:t>
      </w:r>
      <w:r>
        <w:rPr>
          <w:rFonts w:hint="eastAsia" w:ascii="宋体" w:hAnsi="宋体"/>
          <w:color w:val="auto"/>
          <w:kern w:val="24"/>
          <w:sz w:val="24"/>
          <w:szCs w:val="24"/>
        </w:rPr>
        <w:t>承接企业为</w:t>
      </w:r>
      <w:r>
        <w:rPr>
          <w:rFonts w:ascii="宋体" w:hAnsi="宋体"/>
          <w:color w:val="auto"/>
          <w:kern w:val="24"/>
          <w:sz w:val="24"/>
          <w:szCs w:val="24"/>
          <w:u w:val="single"/>
        </w:rPr>
        <w:t>（企业名称）</w:t>
      </w:r>
      <w:r>
        <w:rPr>
          <w:rFonts w:ascii="宋体" w:hAnsi="宋体"/>
          <w:color w:val="auto"/>
          <w:kern w:val="24"/>
          <w:sz w:val="24"/>
          <w:szCs w:val="24"/>
        </w:rPr>
        <w:t>，从业人员人，营业收入为万元，资产总额为万元，属于</w:t>
      </w:r>
      <w:r>
        <w:rPr>
          <w:rFonts w:ascii="宋体" w:hAnsi="宋体"/>
          <w:color w:val="auto"/>
          <w:kern w:val="24"/>
          <w:sz w:val="24"/>
          <w:szCs w:val="24"/>
          <w:u w:val="single"/>
        </w:rPr>
        <w:t>（中型企业、小型企业、微型企业）</w:t>
      </w:r>
      <w:r>
        <w:rPr>
          <w:rFonts w:ascii="宋体" w:hAnsi="宋体"/>
          <w:color w:val="auto"/>
          <w:kern w:val="24"/>
          <w:sz w:val="24"/>
          <w:szCs w:val="24"/>
        </w:rPr>
        <w:t>；</w:t>
      </w:r>
    </w:p>
    <w:p w14:paraId="390B0D42">
      <w:pPr>
        <w:pStyle w:val="14"/>
        <w:spacing w:line="360" w:lineRule="auto"/>
        <w:ind w:firstLine="480"/>
        <w:contextualSpacing/>
        <w:jc w:val="left"/>
        <w:rPr>
          <w:rFonts w:ascii="宋体" w:hAnsi="宋体"/>
          <w:color w:val="auto"/>
          <w:kern w:val="24"/>
        </w:rPr>
      </w:pPr>
      <w:r>
        <w:rPr>
          <w:rFonts w:ascii="宋体" w:hAnsi="宋体"/>
          <w:color w:val="auto"/>
          <w:kern w:val="24"/>
        </w:rPr>
        <w:t xml:space="preserve">…… </w:t>
      </w:r>
    </w:p>
    <w:p w14:paraId="49A19EB6">
      <w:pPr>
        <w:pStyle w:val="14"/>
        <w:spacing w:line="360" w:lineRule="auto"/>
        <w:ind w:firstLine="453" w:firstLineChars="189"/>
        <w:contextualSpacing/>
        <w:jc w:val="left"/>
        <w:rPr>
          <w:rFonts w:ascii="宋体" w:hAnsi="宋体"/>
          <w:color w:val="auto"/>
          <w:kern w:val="24"/>
        </w:rPr>
      </w:pPr>
      <w:r>
        <w:rPr>
          <w:rFonts w:ascii="宋体" w:hAnsi="宋体"/>
          <w:color w:val="auto"/>
          <w:kern w:val="24"/>
        </w:rPr>
        <w:t>以上企业，不属于大企业的分支机构，不存在控股股东为大企业的情形，也不存在与大企业的负责人为同一人的情形。</w:t>
      </w:r>
    </w:p>
    <w:p w14:paraId="170755BA">
      <w:pPr>
        <w:pStyle w:val="14"/>
        <w:spacing w:line="360" w:lineRule="auto"/>
        <w:ind w:firstLine="480"/>
        <w:contextualSpacing/>
        <w:jc w:val="left"/>
        <w:rPr>
          <w:rFonts w:ascii="宋体" w:hAnsi="宋体"/>
          <w:color w:val="auto"/>
          <w:kern w:val="24"/>
        </w:rPr>
      </w:pPr>
      <w:r>
        <w:rPr>
          <w:rFonts w:ascii="宋体" w:hAnsi="宋体"/>
          <w:color w:val="auto"/>
          <w:kern w:val="24"/>
        </w:rPr>
        <w:t>本企业对上述声明内容的真实性负责。如有虚假，将依法承担相应责任。</w:t>
      </w:r>
    </w:p>
    <w:p w14:paraId="7D87B3A1">
      <w:pPr>
        <w:pStyle w:val="14"/>
        <w:spacing w:line="360" w:lineRule="auto"/>
        <w:ind w:firstLine="480"/>
        <w:contextualSpacing/>
        <w:jc w:val="left"/>
        <w:rPr>
          <w:rFonts w:ascii="宋体" w:hAnsi="宋体"/>
          <w:color w:val="auto"/>
          <w:kern w:val="24"/>
        </w:rPr>
      </w:pPr>
    </w:p>
    <w:p w14:paraId="64BAF3D3">
      <w:pPr>
        <w:pStyle w:val="14"/>
        <w:spacing w:line="360" w:lineRule="auto"/>
        <w:ind w:firstLine="0" w:firstLineChars="0"/>
        <w:contextualSpacing/>
        <w:jc w:val="center"/>
        <w:rPr>
          <w:rFonts w:ascii="宋体" w:hAnsi="宋体"/>
          <w:color w:val="auto"/>
          <w:kern w:val="24"/>
        </w:rPr>
      </w:pPr>
      <w:r>
        <w:rPr>
          <w:rFonts w:ascii="宋体" w:hAnsi="宋体"/>
          <w:color w:val="auto"/>
          <w:kern w:val="24"/>
        </w:rPr>
        <w:t>企业名称（章）：</w:t>
      </w:r>
    </w:p>
    <w:p w14:paraId="7871D049">
      <w:pPr>
        <w:pStyle w:val="14"/>
        <w:spacing w:line="360" w:lineRule="auto"/>
        <w:ind w:firstLine="0" w:firstLineChars="0"/>
        <w:contextualSpacing/>
        <w:jc w:val="center"/>
        <w:rPr>
          <w:rFonts w:ascii="宋体" w:hAnsi="宋体"/>
          <w:color w:val="auto"/>
          <w:kern w:val="24"/>
        </w:rPr>
      </w:pPr>
      <w:r>
        <w:rPr>
          <w:rFonts w:ascii="宋体" w:hAnsi="宋体"/>
          <w:color w:val="auto"/>
          <w:kern w:val="24"/>
        </w:rPr>
        <w:t>日期：</w:t>
      </w:r>
    </w:p>
    <w:p w14:paraId="1442BD33">
      <w:pPr>
        <w:pStyle w:val="14"/>
        <w:spacing w:line="360" w:lineRule="auto"/>
        <w:ind w:firstLine="0" w:firstLineChars="0"/>
        <w:contextualSpacing/>
        <w:jc w:val="left"/>
        <w:rPr>
          <w:rFonts w:ascii="宋体" w:hAnsi="宋体"/>
          <w:color w:val="auto"/>
          <w:kern w:val="24"/>
        </w:rPr>
      </w:pPr>
    </w:p>
    <w:p w14:paraId="52B73C65">
      <w:pPr>
        <w:pStyle w:val="14"/>
        <w:spacing w:line="360" w:lineRule="auto"/>
        <w:ind w:firstLine="0" w:firstLineChars="0"/>
        <w:contextualSpacing/>
        <w:jc w:val="left"/>
        <w:rPr>
          <w:rFonts w:ascii="宋体" w:hAnsi="宋体"/>
          <w:color w:val="auto"/>
          <w:kern w:val="24"/>
        </w:rPr>
      </w:pPr>
      <w:r>
        <w:rPr>
          <w:rFonts w:hint="eastAsia" w:ascii="宋体" w:hAnsi="宋体"/>
          <w:color w:val="auto"/>
          <w:kern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4E45DD5">
      <w:pPr>
        <w:spacing w:before="260" w:after="260" w:line="415" w:lineRule="auto"/>
        <w:ind w:firstLine="0" w:firstLineChars="0"/>
        <w:jc w:val="center"/>
        <w:rPr>
          <w:rFonts w:ascii="Times New Roman" w:hAnsi="Times New Roman" w:eastAsia="宋体" w:cs="Times New Roman"/>
          <w:b/>
          <w:color w:val="auto"/>
          <w:kern w:val="0"/>
          <w:sz w:val="24"/>
          <w:szCs w:val="24"/>
          <w:lang w:val="zh-CN"/>
        </w:rPr>
      </w:pPr>
      <w:r>
        <w:rPr>
          <w:b/>
          <w:color w:val="auto"/>
        </w:rPr>
        <w:br w:type="page"/>
      </w:r>
    </w:p>
    <w:p w14:paraId="54AED005">
      <w:pPr>
        <w:pStyle w:val="60"/>
        <w:rPr>
          <w:color w:val="auto"/>
        </w:rPr>
      </w:pPr>
      <w:r>
        <w:rPr>
          <w:rFonts w:hint="eastAsia"/>
          <w:color w:val="auto"/>
        </w:rPr>
        <w:t>3.残疾人福利性单位声明函格式</w:t>
      </w:r>
    </w:p>
    <w:p w14:paraId="20E79C4F">
      <w:pPr>
        <w:ind w:firstLine="420"/>
        <w:rPr>
          <w:color w:val="auto"/>
        </w:rPr>
      </w:pPr>
    </w:p>
    <w:p w14:paraId="12942572">
      <w:pPr>
        <w:snapToGrid w:val="0"/>
        <w:spacing w:before="50" w:after="50"/>
        <w:ind w:firstLine="0" w:firstLineChars="0"/>
        <w:jc w:val="center"/>
        <w:rPr>
          <w:rFonts w:ascii="宋体" w:hAnsi="宋体" w:eastAsia="宋体" w:cs="方正小标宋简体"/>
          <w:b/>
          <w:color w:val="auto"/>
          <w:sz w:val="44"/>
          <w:szCs w:val="44"/>
        </w:rPr>
      </w:pPr>
      <w:r>
        <w:rPr>
          <w:rFonts w:hint="eastAsia" w:ascii="宋体" w:hAnsi="宋体" w:eastAsia="宋体" w:cs="方正小标宋简体"/>
          <w:b/>
          <w:color w:val="auto"/>
          <w:sz w:val="44"/>
          <w:szCs w:val="44"/>
        </w:rPr>
        <w:t>残疾人福利性单位声明函</w:t>
      </w:r>
    </w:p>
    <w:p w14:paraId="42DFAB64">
      <w:pPr>
        <w:ind w:firstLine="420"/>
        <w:rPr>
          <w:color w:val="auto"/>
        </w:rPr>
      </w:pPr>
    </w:p>
    <w:p w14:paraId="12B0FED9">
      <w:pPr>
        <w:widowControl w:val="0"/>
        <w:ind w:firstLine="504"/>
        <w:contextualSpacing/>
        <w:jc w:val="both"/>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本单位郑重声明，根据《财政部 民政部 中国残疾人联合会关于促进残疾人就业政府采购政策的通知》（财库</w:t>
      </w:r>
      <w:r>
        <w:rPr>
          <w:rFonts w:hint="eastAsia" w:ascii="宋体" w:hAnsi="宋体" w:eastAsia="宋体" w:cs="Times New Roman"/>
          <w:color w:val="auto"/>
          <w:sz w:val="24"/>
          <w:szCs w:val="24"/>
        </w:rPr>
        <w:t>〔2017〕 141</w:t>
      </w:r>
      <w:r>
        <w:rPr>
          <w:rFonts w:hint="eastAsia" w:ascii="宋体" w:hAnsi="宋体" w:eastAsia="宋体" w:cs="Times New Roman"/>
          <w:color w:val="auto"/>
          <w:spacing w:val="6"/>
          <w:sz w:val="24"/>
          <w:szCs w:val="24"/>
        </w:rPr>
        <w:t>号）的规定，本单位为符合条件的残疾人福利性单位，且本单位参加</w:t>
      </w:r>
      <w:r>
        <w:rPr>
          <w:rFonts w:hint="eastAsia" w:ascii="宋体" w:hAnsi="宋体" w:eastAsia="宋体" w:cs="Times New Roman"/>
          <w:color w:val="auto"/>
          <w:spacing w:val="6"/>
          <w:sz w:val="24"/>
          <w:szCs w:val="24"/>
          <w:u w:val="single"/>
        </w:rPr>
        <w:t>______</w:t>
      </w:r>
      <w:r>
        <w:rPr>
          <w:rFonts w:hint="eastAsia" w:ascii="宋体" w:hAnsi="宋体" w:eastAsia="宋体" w:cs="Times New Roman"/>
          <w:color w:val="auto"/>
          <w:spacing w:val="6"/>
          <w:sz w:val="24"/>
          <w:szCs w:val="24"/>
        </w:rPr>
        <w:t>单位的</w:t>
      </w:r>
      <w:r>
        <w:rPr>
          <w:rFonts w:hint="eastAsia" w:ascii="宋体" w:hAnsi="宋体" w:eastAsia="宋体" w:cs="Times New Roman"/>
          <w:color w:val="auto"/>
          <w:spacing w:val="6"/>
          <w:sz w:val="24"/>
          <w:szCs w:val="24"/>
          <w:u w:val="single"/>
        </w:rPr>
        <w:t>______</w:t>
      </w:r>
      <w:r>
        <w:rPr>
          <w:rFonts w:hint="eastAsia" w:ascii="宋体" w:hAnsi="宋体" w:eastAsia="宋体" w:cs="Times New Roman"/>
          <w:color w:val="auto"/>
          <w:spacing w:val="6"/>
          <w:sz w:val="24"/>
          <w:szCs w:val="24"/>
        </w:rPr>
        <w:t>项目采购活动提供本单位制造的货物（由本单位承担工程/提供服务），或者提供其他残</w:t>
      </w:r>
      <w:r>
        <w:rPr>
          <w:rFonts w:hint="eastAsia" w:ascii="宋体" w:hAnsi="宋体" w:eastAsia="宋体" w:cs="Times New Roman"/>
          <w:color w:val="auto"/>
          <w:spacing w:val="-6"/>
          <w:sz w:val="24"/>
          <w:szCs w:val="24"/>
        </w:rPr>
        <w:t>疾人福利性单位制造的货物（不包括使用非残疾人福利性单位注册商标的货物）。</w:t>
      </w:r>
    </w:p>
    <w:p w14:paraId="4F3B90FD">
      <w:pPr>
        <w:widowControl w:val="0"/>
        <w:ind w:firstLine="504"/>
        <w:contextualSpacing/>
        <w:jc w:val="both"/>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本单位对上述声明的真实性负责。如有虚假，将依法承担相应责任。</w:t>
      </w:r>
    </w:p>
    <w:p w14:paraId="11DFA759">
      <w:pPr>
        <w:widowControl w:val="0"/>
        <w:ind w:firstLine="504"/>
        <w:contextualSpacing/>
        <w:jc w:val="both"/>
        <w:rPr>
          <w:rFonts w:ascii="宋体" w:hAnsi="宋体" w:eastAsia="宋体" w:cs="Times New Roman"/>
          <w:color w:val="auto"/>
          <w:spacing w:val="6"/>
          <w:sz w:val="24"/>
          <w:szCs w:val="24"/>
        </w:rPr>
      </w:pPr>
    </w:p>
    <w:p w14:paraId="5B3793CC">
      <w:pPr>
        <w:widowControl w:val="0"/>
        <w:ind w:firstLine="504"/>
        <w:contextualSpacing/>
        <w:jc w:val="both"/>
        <w:rPr>
          <w:rFonts w:ascii="宋体" w:hAnsi="宋体" w:eastAsia="宋体" w:cs="Times New Roman"/>
          <w:color w:val="auto"/>
          <w:spacing w:val="6"/>
          <w:sz w:val="24"/>
          <w:szCs w:val="24"/>
        </w:rPr>
      </w:pPr>
    </w:p>
    <w:p w14:paraId="610F5D4E">
      <w:pPr>
        <w:widowControl w:val="0"/>
        <w:tabs>
          <w:tab w:val="left" w:pos="4860"/>
        </w:tabs>
        <w:ind w:right="1560" w:firstLine="504"/>
        <w:contextualSpacing/>
        <w:jc w:val="center"/>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单位名称（盖章）：</w:t>
      </w:r>
    </w:p>
    <w:p w14:paraId="7911386D">
      <w:pPr>
        <w:widowControl w:val="0"/>
        <w:tabs>
          <w:tab w:val="left" w:pos="4860"/>
        </w:tabs>
        <w:ind w:right="1560" w:firstLine="504"/>
        <w:contextualSpacing/>
        <w:jc w:val="center"/>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日  期：</w:t>
      </w:r>
    </w:p>
    <w:p w14:paraId="31F31C24">
      <w:pPr>
        <w:widowControl w:val="0"/>
        <w:ind w:firstLine="0" w:firstLineChars="0"/>
        <w:contextualSpacing/>
        <w:jc w:val="both"/>
        <w:rPr>
          <w:rFonts w:ascii="宋体" w:hAnsi="宋体" w:eastAsia="宋体" w:cs="Times New Roman"/>
          <w:color w:val="auto"/>
          <w:sz w:val="24"/>
          <w:szCs w:val="24"/>
        </w:rPr>
      </w:pPr>
    </w:p>
    <w:p w14:paraId="2BA1C41E">
      <w:pPr>
        <w:widowControl w:val="0"/>
        <w:ind w:firstLine="0" w:firstLineChars="0"/>
        <w:contextualSpacing/>
        <w:jc w:val="both"/>
        <w:rPr>
          <w:rFonts w:ascii="宋体" w:hAnsi="宋体" w:eastAsia="宋体" w:cs="Times New Roman"/>
          <w:color w:val="auto"/>
          <w:sz w:val="24"/>
          <w:szCs w:val="24"/>
        </w:rPr>
      </w:pPr>
    </w:p>
    <w:p w14:paraId="76291FA9">
      <w:pPr>
        <w:widowControl w:val="0"/>
        <w:ind w:firstLine="0" w:firstLineChars="0"/>
        <w:contextualSpacing/>
        <w:jc w:val="both"/>
        <w:rPr>
          <w:rFonts w:ascii="宋体" w:hAnsi="宋体" w:eastAsia="宋体" w:cs="Times New Roman"/>
          <w:color w:val="auto"/>
          <w:sz w:val="24"/>
          <w:szCs w:val="24"/>
        </w:rPr>
      </w:pPr>
    </w:p>
    <w:p w14:paraId="14AFF0E7">
      <w:pPr>
        <w:widowControl w:val="0"/>
        <w:ind w:firstLine="0" w:firstLineChars="0"/>
        <w:contextualSpacing/>
        <w:jc w:val="both"/>
        <w:rPr>
          <w:rFonts w:ascii="宋体" w:hAnsi="宋体" w:eastAsia="宋体" w:cs="Times New Roman"/>
          <w:color w:val="auto"/>
          <w:sz w:val="24"/>
          <w:szCs w:val="24"/>
        </w:rPr>
      </w:pPr>
      <w:r>
        <w:rPr>
          <w:rFonts w:hint="eastAsia" w:ascii="宋体" w:hAnsi="宋体" w:eastAsia="宋体" w:cs="Times New Roman"/>
          <w:color w:val="auto"/>
          <w:sz w:val="24"/>
          <w:szCs w:val="24"/>
        </w:rPr>
        <w:t>注：请根据自己的真实情况出具《残疾人福利性单位声明函》。依法享受中小企业优惠政策的，采购人或者采购代理机构在公告成交结果时，同时公告其《残疾人福利性单位声明函》，接受社会监督。</w:t>
      </w:r>
    </w:p>
    <w:p w14:paraId="54E94519">
      <w:pPr>
        <w:spacing w:before="260" w:after="260" w:line="415" w:lineRule="auto"/>
        <w:ind w:firstLine="0" w:firstLineChars="0"/>
        <w:jc w:val="center"/>
        <w:rPr>
          <w:rFonts w:ascii="宋体" w:hAnsi="宋体" w:eastAsia="宋体" w:cs="Times New Roman"/>
          <w:color w:val="auto"/>
          <w:sz w:val="24"/>
          <w:szCs w:val="24"/>
        </w:rPr>
      </w:pPr>
      <w:r>
        <w:rPr>
          <w:rFonts w:ascii="宋体" w:hAnsi="宋体" w:eastAsia="宋体" w:cs="Times New Roman"/>
          <w:color w:val="auto"/>
          <w:sz w:val="24"/>
          <w:szCs w:val="24"/>
        </w:rPr>
        <w:br w:type="page"/>
      </w:r>
    </w:p>
    <w:p w14:paraId="79CA2ACD">
      <w:pPr>
        <w:pStyle w:val="60"/>
        <w:rPr>
          <w:color w:val="auto"/>
        </w:rPr>
      </w:pPr>
      <w:r>
        <w:rPr>
          <w:rFonts w:hint="eastAsia"/>
          <w:color w:val="auto"/>
        </w:rPr>
        <w:t>4.质疑函（格式）</w:t>
      </w:r>
    </w:p>
    <w:p w14:paraId="0B664525">
      <w:pPr>
        <w:snapToGrid w:val="0"/>
        <w:spacing w:before="50" w:after="50"/>
        <w:ind w:firstLine="0" w:firstLineChars="0"/>
        <w:jc w:val="center"/>
        <w:rPr>
          <w:rFonts w:ascii="宋体" w:hAnsi="宋体" w:eastAsia="宋体" w:cs="方正小标宋简体"/>
          <w:b/>
          <w:color w:val="auto"/>
          <w:sz w:val="44"/>
          <w:szCs w:val="44"/>
        </w:rPr>
      </w:pPr>
      <w:r>
        <w:rPr>
          <w:rFonts w:hint="eastAsia" w:ascii="宋体" w:hAnsi="宋体" w:eastAsia="宋体" w:cs="方正小标宋简体"/>
          <w:b/>
          <w:color w:val="auto"/>
          <w:sz w:val="44"/>
          <w:szCs w:val="44"/>
        </w:rPr>
        <w:t>质疑函（格式）</w:t>
      </w:r>
    </w:p>
    <w:p w14:paraId="29E3CA36">
      <w:pPr>
        <w:widowControl w:val="0"/>
        <w:snapToGrid w:val="0"/>
        <w:ind w:firstLine="482"/>
        <w:jc w:val="both"/>
        <w:rPr>
          <w:rFonts w:ascii="宋体" w:hAnsi="宋体" w:eastAsia="宋体" w:cs="Times New Roman"/>
          <w:b/>
          <w:bCs/>
          <w:color w:val="auto"/>
          <w:kern w:val="0"/>
          <w:sz w:val="24"/>
          <w:szCs w:val="24"/>
          <w:lang w:val="zh-CN"/>
        </w:rPr>
      </w:pPr>
      <w:r>
        <w:rPr>
          <w:rFonts w:hint="eastAsia" w:ascii="宋体" w:hAnsi="宋体" w:eastAsia="宋体" w:cs="Times New Roman"/>
          <w:b/>
          <w:bCs/>
          <w:color w:val="auto"/>
          <w:kern w:val="0"/>
          <w:sz w:val="24"/>
          <w:szCs w:val="24"/>
          <w:lang w:val="zh-CN"/>
        </w:rPr>
        <w:t>一、质疑供应商基本信息：</w:t>
      </w:r>
    </w:p>
    <w:p w14:paraId="62838CDB">
      <w:pPr>
        <w:widowControl w:val="0"/>
        <w:snapToGrid w:val="0"/>
        <w:ind w:firstLine="480"/>
        <w:jc w:val="both"/>
        <w:rPr>
          <w:rFonts w:ascii="宋体" w:hAnsi="宋体" w:eastAsia="宋体" w:cs="Times New Roman"/>
          <w:bCs/>
          <w:color w:val="auto"/>
          <w:kern w:val="0"/>
          <w:sz w:val="24"/>
          <w:szCs w:val="24"/>
          <w:u w:val="single"/>
          <w:lang w:val="zh-CN"/>
        </w:rPr>
      </w:pPr>
      <w:r>
        <w:rPr>
          <w:rFonts w:hint="eastAsia" w:ascii="宋体" w:hAnsi="宋体" w:eastAsia="宋体" w:cs="Times New Roman"/>
          <w:bCs/>
          <w:color w:val="auto"/>
          <w:kern w:val="0"/>
          <w:sz w:val="24"/>
          <w:szCs w:val="24"/>
          <w:lang w:val="zh-CN"/>
        </w:rPr>
        <w:t>质疑供应商：</w:t>
      </w:r>
    </w:p>
    <w:p w14:paraId="5BEFAE7F">
      <w:pPr>
        <w:widowControl w:val="0"/>
        <w:snapToGrid w:val="0"/>
        <w:ind w:firstLine="480"/>
        <w:jc w:val="both"/>
        <w:rPr>
          <w:rFonts w:ascii="宋体" w:hAnsi="宋体" w:eastAsia="宋体" w:cs="Times New Roman"/>
          <w:bCs/>
          <w:color w:val="auto"/>
          <w:kern w:val="0"/>
          <w:sz w:val="24"/>
          <w:szCs w:val="24"/>
          <w:lang w:val="zh-CN"/>
        </w:rPr>
      </w:pPr>
      <w:r>
        <w:rPr>
          <w:rFonts w:ascii="宋体" w:hAnsi="宋体" w:eastAsia="宋体" w:cs="Times New Roman"/>
          <w:bCs/>
          <w:color w:val="auto"/>
          <w:kern w:val="0"/>
          <w:sz w:val="24"/>
          <w:szCs w:val="24"/>
          <w:lang w:val="zh-CN"/>
        </w:rPr>
        <w:t>地址</w:t>
      </w:r>
      <w:r>
        <w:rPr>
          <w:rFonts w:hint="eastAsia" w:ascii="宋体" w:hAnsi="宋体" w:eastAsia="宋体" w:cs="Times New Roman"/>
          <w:bCs/>
          <w:color w:val="auto"/>
          <w:kern w:val="0"/>
          <w:sz w:val="24"/>
          <w:szCs w:val="24"/>
          <w:lang w:val="zh-CN"/>
        </w:rPr>
        <w:t>：</w:t>
      </w:r>
      <w:r>
        <w:rPr>
          <w:rFonts w:ascii="宋体" w:hAnsi="宋体" w:eastAsia="宋体" w:cs="Times New Roman"/>
          <w:bCs/>
          <w:color w:val="auto"/>
          <w:kern w:val="0"/>
          <w:sz w:val="24"/>
          <w:szCs w:val="24"/>
          <w:lang w:val="zh-CN"/>
        </w:rPr>
        <w:t>邮编</w:t>
      </w:r>
      <w:r>
        <w:rPr>
          <w:rFonts w:hint="eastAsia" w:ascii="宋体" w:hAnsi="宋体" w:eastAsia="宋体" w:cs="Times New Roman"/>
          <w:bCs/>
          <w:color w:val="auto"/>
          <w:kern w:val="0"/>
          <w:sz w:val="24"/>
          <w:szCs w:val="24"/>
          <w:lang w:val="zh-CN"/>
        </w:rPr>
        <w:t>：</w:t>
      </w:r>
    </w:p>
    <w:p w14:paraId="7553D060">
      <w:pPr>
        <w:widowControl w:val="0"/>
        <w:snapToGrid w:val="0"/>
        <w:ind w:firstLine="480"/>
        <w:jc w:val="both"/>
        <w:rPr>
          <w:rFonts w:ascii="宋体" w:hAnsi="宋体" w:eastAsia="宋体" w:cs="Times New Roman"/>
          <w:bCs/>
          <w:color w:val="auto"/>
          <w:kern w:val="0"/>
          <w:sz w:val="24"/>
          <w:szCs w:val="24"/>
          <w:lang w:val="zh-CN"/>
        </w:rPr>
      </w:pPr>
      <w:r>
        <w:rPr>
          <w:rFonts w:ascii="宋体" w:hAnsi="宋体" w:eastAsia="宋体" w:cs="Times New Roman"/>
          <w:bCs/>
          <w:color w:val="auto"/>
          <w:kern w:val="0"/>
          <w:sz w:val="24"/>
          <w:szCs w:val="24"/>
          <w:lang w:val="zh-CN"/>
        </w:rPr>
        <w:t>联系人</w:t>
      </w:r>
      <w:r>
        <w:rPr>
          <w:rFonts w:hint="eastAsia" w:ascii="宋体" w:hAnsi="宋体" w:eastAsia="宋体" w:cs="Times New Roman"/>
          <w:bCs/>
          <w:color w:val="auto"/>
          <w:kern w:val="0"/>
          <w:sz w:val="24"/>
          <w:szCs w:val="24"/>
          <w:lang w:val="zh-CN"/>
        </w:rPr>
        <w:t>：</w:t>
      </w:r>
      <w:r>
        <w:rPr>
          <w:rFonts w:ascii="宋体" w:hAnsi="宋体" w:eastAsia="宋体" w:cs="Times New Roman"/>
          <w:bCs/>
          <w:color w:val="auto"/>
          <w:kern w:val="0"/>
          <w:sz w:val="24"/>
          <w:szCs w:val="24"/>
          <w:lang w:val="zh-CN"/>
        </w:rPr>
        <w:t>联系电话</w:t>
      </w:r>
      <w:r>
        <w:rPr>
          <w:rFonts w:hint="eastAsia" w:ascii="宋体" w:hAnsi="宋体" w:eastAsia="宋体" w:cs="Times New Roman"/>
          <w:bCs/>
          <w:color w:val="auto"/>
          <w:kern w:val="0"/>
          <w:sz w:val="24"/>
          <w:szCs w:val="24"/>
          <w:lang w:val="zh-CN"/>
        </w:rPr>
        <w:t>：</w:t>
      </w:r>
    </w:p>
    <w:p w14:paraId="78210909">
      <w:pPr>
        <w:widowControl w:val="0"/>
        <w:snapToGrid w:val="0"/>
        <w:ind w:firstLine="480"/>
        <w:jc w:val="both"/>
        <w:rPr>
          <w:rFonts w:ascii="宋体" w:hAnsi="宋体" w:eastAsia="宋体" w:cs="Times New Roman"/>
          <w:bCs/>
          <w:color w:val="auto"/>
          <w:kern w:val="0"/>
          <w:sz w:val="24"/>
          <w:szCs w:val="24"/>
          <w:lang w:val="zh-CN"/>
        </w:rPr>
      </w:pPr>
      <w:r>
        <w:rPr>
          <w:rFonts w:hint="eastAsia" w:ascii="宋体" w:hAnsi="宋体" w:eastAsia="宋体" w:cs="Times New Roman"/>
          <w:bCs/>
          <w:color w:val="auto"/>
          <w:kern w:val="0"/>
          <w:sz w:val="24"/>
          <w:szCs w:val="24"/>
          <w:lang w:val="zh-CN"/>
        </w:rPr>
        <w:t>授权代表：</w:t>
      </w:r>
    </w:p>
    <w:p w14:paraId="0B5FC3F9">
      <w:pPr>
        <w:widowControl w:val="0"/>
        <w:snapToGrid w:val="0"/>
        <w:ind w:firstLine="480"/>
        <w:jc w:val="both"/>
        <w:rPr>
          <w:rFonts w:ascii="宋体" w:hAnsi="宋体" w:eastAsia="宋体" w:cs="Times New Roman"/>
          <w:bCs/>
          <w:color w:val="auto"/>
          <w:kern w:val="0"/>
          <w:sz w:val="24"/>
          <w:szCs w:val="24"/>
          <w:u w:val="single"/>
          <w:lang w:val="zh-CN"/>
        </w:rPr>
      </w:pPr>
      <w:r>
        <w:rPr>
          <w:rFonts w:ascii="宋体" w:hAnsi="宋体" w:eastAsia="宋体" w:cs="Times New Roman"/>
          <w:bCs/>
          <w:color w:val="auto"/>
          <w:kern w:val="0"/>
          <w:sz w:val="24"/>
          <w:szCs w:val="24"/>
          <w:lang w:val="zh-CN"/>
        </w:rPr>
        <w:t>联系</w:t>
      </w:r>
      <w:r>
        <w:rPr>
          <w:rFonts w:hint="eastAsia" w:ascii="宋体" w:hAnsi="宋体" w:eastAsia="宋体" w:cs="Times New Roman"/>
          <w:bCs/>
          <w:color w:val="auto"/>
          <w:kern w:val="0"/>
          <w:sz w:val="24"/>
          <w:szCs w:val="24"/>
          <w:lang w:val="zh-CN"/>
        </w:rPr>
        <w:t>电话：</w:t>
      </w:r>
    </w:p>
    <w:p w14:paraId="0BBAD9E5">
      <w:pPr>
        <w:widowControl w:val="0"/>
        <w:snapToGrid w:val="0"/>
        <w:ind w:firstLine="480"/>
        <w:jc w:val="both"/>
        <w:rPr>
          <w:rFonts w:ascii="宋体" w:hAnsi="宋体" w:eastAsia="宋体" w:cs="Times New Roman"/>
          <w:bCs/>
          <w:color w:val="auto"/>
          <w:kern w:val="0"/>
          <w:sz w:val="24"/>
          <w:szCs w:val="24"/>
          <w:lang w:val="zh-CN"/>
        </w:rPr>
      </w:pPr>
      <w:r>
        <w:rPr>
          <w:rFonts w:ascii="宋体" w:hAnsi="宋体" w:eastAsia="宋体" w:cs="Times New Roman"/>
          <w:bCs/>
          <w:color w:val="auto"/>
          <w:kern w:val="0"/>
          <w:sz w:val="24"/>
          <w:szCs w:val="24"/>
          <w:lang w:val="zh-CN"/>
        </w:rPr>
        <w:t>地址</w:t>
      </w:r>
      <w:r>
        <w:rPr>
          <w:rFonts w:hint="eastAsia" w:ascii="宋体" w:hAnsi="宋体" w:eastAsia="宋体" w:cs="Times New Roman"/>
          <w:bCs/>
          <w:color w:val="auto"/>
          <w:kern w:val="0"/>
          <w:sz w:val="24"/>
          <w:szCs w:val="24"/>
          <w:lang w:val="zh-CN"/>
        </w:rPr>
        <w:t>：</w:t>
      </w:r>
      <w:r>
        <w:rPr>
          <w:rFonts w:ascii="宋体" w:hAnsi="宋体" w:eastAsia="宋体" w:cs="Times New Roman"/>
          <w:bCs/>
          <w:color w:val="auto"/>
          <w:kern w:val="0"/>
          <w:sz w:val="24"/>
          <w:szCs w:val="24"/>
          <w:lang w:val="zh-CN"/>
        </w:rPr>
        <w:t>邮编</w:t>
      </w:r>
      <w:r>
        <w:rPr>
          <w:rFonts w:hint="eastAsia" w:ascii="宋体" w:hAnsi="宋体" w:eastAsia="宋体" w:cs="Times New Roman"/>
          <w:bCs/>
          <w:color w:val="auto"/>
          <w:kern w:val="0"/>
          <w:sz w:val="24"/>
          <w:szCs w:val="24"/>
          <w:lang w:val="zh-CN"/>
        </w:rPr>
        <w:t>：</w:t>
      </w:r>
    </w:p>
    <w:p w14:paraId="0CE0FE74">
      <w:pPr>
        <w:widowControl w:val="0"/>
        <w:snapToGrid w:val="0"/>
        <w:ind w:firstLine="482"/>
        <w:jc w:val="both"/>
        <w:rPr>
          <w:rFonts w:ascii="宋体" w:hAnsi="宋体" w:eastAsia="宋体" w:cs="Times New Roman"/>
          <w:b/>
          <w:bCs/>
          <w:color w:val="auto"/>
          <w:kern w:val="0"/>
          <w:sz w:val="24"/>
          <w:szCs w:val="24"/>
          <w:lang w:val="zh-CN"/>
        </w:rPr>
      </w:pPr>
      <w:r>
        <w:rPr>
          <w:rFonts w:hint="eastAsia" w:ascii="宋体" w:hAnsi="宋体" w:eastAsia="宋体" w:cs="Times New Roman"/>
          <w:b/>
          <w:bCs/>
          <w:color w:val="auto"/>
          <w:kern w:val="0"/>
          <w:sz w:val="24"/>
          <w:szCs w:val="24"/>
          <w:lang w:val="zh-CN"/>
        </w:rPr>
        <w:t>二、质疑项目基本情况：</w:t>
      </w:r>
    </w:p>
    <w:p w14:paraId="4AEED668">
      <w:pPr>
        <w:widowControl w:val="0"/>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bCs/>
          <w:color w:val="auto"/>
          <w:kern w:val="0"/>
          <w:sz w:val="24"/>
          <w:szCs w:val="24"/>
          <w:lang w:val="zh-CN"/>
        </w:rPr>
        <w:t>质疑</w:t>
      </w:r>
      <w:r>
        <w:rPr>
          <w:rFonts w:hint="eastAsia" w:ascii="宋体" w:hAnsi="宋体" w:eastAsia="宋体" w:cs="Times New Roman"/>
          <w:color w:val="auto"/>
          <w:kern w:val="0"/>
          <w:sz w:val="24"/>
          <w:szCs w:val="24"/>
          <w:lang w:val="zh-CN"/>
        </w:rPr>
        <w:t>项目的名称：</w:t>
      </w:r>
    </w:p>
    <w:p w14:paraId="788B661F">
      <w:pPr>
        <w:widowControl w:val="0"/>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bCs/>
          <w:color w:val="auto"/>
          <w:kern w:val="0"/>
          <w:sz w:val="24"/>
          <w:szCs w:val="24"/>
          <w:lang w:val="zh-CN"/>
        </w:rPr>
        <w:t>质疑</w:t>
      </w:r>
      <w:r>
        <w:rPr>
          <w:rFonts w:hint="eastAsia" w:ascii="宋体" w:hAnsi="宋体" w:eastAsia="宋体" w:cs="Times New Roman"/>
          <w:color w:val="auto"/>
          <w:kern w:val="0"/>
          <w:sz w:val="24"/>
          <w:szCs w:val="24"/>
          <w:lang w:val="zh-CN"/>
        </w:rPr>
        <w:t>项目的编号：</w:t>
      </w:r>
    </w:p>
    <w:p w14:paraId="7FB9BDBC">
      <w:pPr>
        <w:widowControl w:val="0"/>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采购人名称：</w:t>
      </w:r>
    </w:p>
    <w:p w14:paraId="3884B88C">
      <w:pPr>
        <w:widowControl w:val="0"/>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质疑事项：</w:t>
      </w:r>
    </w:p>
    <w:p w14:paraId="62D358A4">
      <w:pPr>
        <w:widowControl w:val="0"/>
        <w:ind w:firstLine="424" w:firstLineChars="17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□采购文件   采购文件获取日期：</w:t>
      </w:r>
    </w:p>
    <w:p w14:paraId="5BCB3208">
      <w:pPr>
        <w:widowControl w:val="0"/>
        <w:ind w:firstLine="424" w:firstLineChars="17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 xml:space="preserve">□采购过程   </w:t>
      </w:r>
    </w:p>
    <w:p w14:paraId="22FD8D1F">
      <w:pPr>
        <w:widowControl w:val="0"/>
        <w:ind w:firstLine="424" w:firstLineChars="177"/>
        <w:jc w:val="both"/>
        <w:rPr>
          <w:rFonts w:ascii="宋体" w:hAnsi="宋体" w:eastAsia="宋体" w:cs="Times New Roman"/>
          <w:bCs/>
          <w:color w:val="auto"/>
          <w:kern w:val="0"/>
          <w:sz w:val="24"/>
          <w:szCs w:val="24"/>
          <w:u w:val="single"/>
          <w:lang w:val="zh-CN"/>
        </w:rPr>
      </w:pPr>
      <w:r>
        <w:rPr>
          <w:rFonts w:hint="eastAsia" w:ascii="宋体" w:hAnsi="宋体" w:eastAsia="宋体" w:cs="Times New Roman"/>
          <w:color w:val="auto"/>
          <w:kern w:val="0"/>
          <w:sz w:val="24"/>
          <w:szCs w:val="24"/>
          <w:lang w:val="zh-CN"/>
        </w:rPr>
        <w:t xml:space="preserve">□成交结果   </w:t>
      </w:r>
    </w:p>
    <w:p w14:paraId="2770E568">
      <w:pPr>
        <w:widowControl w:val="0"/>
        <w:ind w:firstLine="472" w:firstLineChars="196"/>
        <w:jc w:val="both"/>
        <w:rPr>
          <w:rFonts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三、质疑事项具体内容</w:t>
      </w:r>
    </w:p>
    <w:p w14:paraId="0EB38780">
      <w:pPr>
        <w:widowControl w:val="0"/>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质疑事项1：</w:t>
      </w:r>
    </w:p>
    <w:p w14:paraId="4A1B848B">
      <w:pPr>
        <w:widowControl w:val="0"/>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事实依据：</w:t>
      </w:r>
    </w:p>
    <w:p w14:paraId="6844704F">
      <w:pPr>
        <w:widowControl w:val="0"/>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法律依据：</w:t>
      </w:r>
    </w:p>
    <w:p w14:paraId="0148CD70">
      <w:pPr>
        <w:widowControl w:val="0"/>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质疑事项2</w:t>
      </w:r>
    </w:p>
    <w:p w14:paraId="78B1E9AC">
      <w:pPr>
        <w:widowControl w:val="0"/>
        <w:ind w:firstLine="472" w:firstLineChars="197"/>
        <w:jc w:val="both"/>
        <w:rPr>
          <w:rFonts w:ascii="宋体" w:hAnsi="宋体" w:eastAsia="宋体" w:cs="Times New Roman"/>
          <w:color w:val="auto"/>
          <w:kern w:val="0"/>
          <w:sz w:val="24"/>
          <w:szCs w:val="24"/>
          <w:lang w:val="zh-CN"/>
        </w:rPr>
      </w:pPr>
      <w:r>
        <w:rPr>
          <w:rFonts w:ascii="宋体" w:hAnsi="宋体" w:eastAsia="宋体" w:cs="Times New Roman"/>
          <w:color w:val="auto"/>
          <w:kern w:val="0"/>
          <w:sz w:val="24"/>
          <w:szCs w:val="24"/>
          <w:lang w:val="zh-CN"/>
        </w:rPr>
        <w:t>……</w:t>
      </w:r>
    </w:p>
    <w:p w14:paraId="147C37DC">
      <w:pPr>
        <w:widowControl w:val="0"/>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四、与质疑事项相关的质疑请求：</w:t>
      </w:r>
    </w:p>
    <w:p w14:paraId="65A1C090">
      <w:pPr>
        <w:widowControl w:val="0"/>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请求：</w:t>
      </w:r>
    </w:p>
    <w:p w14:paraId="5517B3D5">
      <w:pPr>
        <w:widowControl w:val="0"/>
        <w:spacing w:line="600" w:lineRule="auto"/>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签字（签章）：                                       公章：</w:t>
      </w:r>
    </w:p>
    <w:p w14:paraId="1E9456CF">
      <w:pPr>
        <w:widowControl w:val="0"/>
        <w:spacing w:line="600" w:lineRule="auto"/>
        <w:ind w:firstLine="472" w:firstLineChars="197"/>
        <w:jc w:val="both"/>
        <w:rPr>
          <w:rFonts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日期：</w:t>
      </w:r>
    </w:p>
    <w:p w14:paraId="3782BD26">
      <w:pPr>
        <w:widowControl w:val="0"/>
        <w:snapToGrid w:val="0"/>
        <w:ind w:firstLine="0" w:firstLineChars="0"/>
        <w:jc w:val="both"/>
        <w:rPr>
          <w:rFonts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说明：</w:t>
      </w:r>
    </w:p>
    <w:p w14:paraId="378B23F0">
      <w:pPr>
        <w:widowControl w:val="0"/>
        <w:ind w:left="25" w:leftChars="12" w:firstLine="354" w:firstLineChars="147"/>
        <w:jc w:val="both"/>
        <w:rPr>
          <w:rFonts w:ascii="宋体" w:hAnsi="宋体" w:eastAsia="宋体" w:cs="Times New Roman"/>
          <w:b/>
          <w:bCs/>
          <w:color w:val="auto"/>
          <w:kern w:val="0"/>
          <w:sz w:val="24"/>
          <w:szCs w:val="24"/>
          <w:lang w:val="zh-CN"/>
        </w:rPr>
      </w:pPr>
      <w:r>
        <w:rPr>
          <w:rFonts w:hint="eastAsia" w:ascii="宋体" w:hAnsi="宋体" w:eastAsia="宋体" w:cs="Times New Roman"/>
          <w:b/>
          <w:color w:val="auto"/>
          <w:kern w:val="0"/>
          <w:sz w:val="24"/>
          <w:szCs w:val="24"/>
          <w:lang w:val="zh-CN"/>
        </w:rPr>
        <w:t>1.供应商提出质疑时，应提交质疑函和必要的证明材料</w:t>
      </w:r>
      <w:r>
        <w:rPr>
          <w:rFonts w:hint="eastAsia" w:ascii="宋体" w:hAnsi="宋体" w:eastAsia="宋体" w:cs="Times New Roman"/>
          <w:b/>
          <w:bCs/>
          <w:color w:val="auto"/>
          <w:kern w:val="0"/>
          <w:sz w:val="24"/>
          <w:szCs w:val="24"/>
          <w:lang w:val="zh-CN"/>
        </w:rPr>
        <w:t>。</w:t>
      </w:r>
    </w:p>
    <w:p w14:paraId="511D4267">
      <w:pPr>
        <w:widowControl w:val="0"/>
        <w:ind w:left="25" w:leftChars="12" w:firstLine="354" w:firstLineChars="147"/>
        <w:jc w:val="both"/>
        <w:rPr>
          <w:rFonts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336CF9">
      <w:pPr>
        <w:widowControl w:val="0"/>
        <w:ind w:left="25" w:leftChars="12" w:firstLine="354" w:firstLineChars="147"/>
        <w:jc w:val="both"/>
        <w:rPr>
          <w:rFonts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3.质疑函的质疑事项应具体、明确，并有必要的事实依据和法律依据。</w:t>
      </w:r>
    </w:p>
    <w:p w14:paraId="59FD6BE2">
      <w:pPr>
        <w:widowControl w:val="0"/>
        <w:ind w:left="25" w:leftChars="12" w:firstLine="354" w:firstLineChars="147"/>
        <w:jc w:val="both"/>
        <w:rPr>
          <w:rFonts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4.质疑函的质疑请求应与质疑事项相关。</w:t>
      </w:r>
    </w:p>
    <w:p w14:paraId="6867B75C">
      <w:pPr>
        <w:widowControl w:val="0"/>
        <w:ind w:left="25" w:leftChars="12" w:firstLine="354" w:firstLineChars="147"/>
        <w:jc w:val="both"/>
        <w:rPr>
          <w:rFonts w:ascii="宋体" w:hAnsi="宋体" w:eastAsia="宋体" w:cs="Times New Roman"/>
          <w:b/>
          <w:color w:val="auto"/>
          <w:kern w:val="0"/>
          <w:sz w:val="20"/>
          <w:lang w:val="zh-CN"/>
        </w:rPr>
      </w:pPr>
      <w:r>
        <w:rPr>
          <w:rFonts w:hint="eastAsia" w:ascii="宋体" w:hAnsi="宋体" w:eastAsia="宋体" w:cs="Times New Roman"/>
          <w:b/>
          <w:color w:val="auto"/>
          <w:kern w:val="0"/>
          <w:sz w:val="24"/>
          <w:szCs w:val="24"/>
          <w:lang w:val="zh-CN"/>
        </w:rPr>
        <w:t>5.质疑供应商为法人或者其他组织的，质疑函应由法定代表人、主要负责人，或者其授权代表签字或者盖章，并加盖公章。</w:t>
      </w:r>
    </w:p>
    <w:p w14:paraId="6EF09FA5">
      <w:pPr>
        <w:widowControl w:val="0"/>
        <w:snapToGrid w:val="0"/>
        <w:spacing w:line="240" w:lineRule="auto"/>
        <w:ind w:firstLine="0" w:firstLineChars="0"/>
        <w:jc w:val="both"/>
        <w:rPr>
          <w:rFonts w:ascii="宋体" w:hAnsi="Courier New" w:eastAsia="宋体" w:cs="Times New Roman"/>
          <w:b/>
          <w:color w:val="auto"/>
          <w:kern w:val="0"/>
          <w:sz w:val="24"/>
          <w:szCs w:val="24"/>
          <w:lang w:val="zh-CN"/>
        </w:rPr>
      </w:pPr>
    </w:p>
    <w:p w14:paraId="5250B895">
      <w:pPr>
        <w:pStyle w:val="60"/>
        <w:rPr>
          <w:bCs/>
          <w:color w:val="auto"/>
          <w:sz w:val="32"/>
          <w:szCs w:val="32"/>
        </w:rPr>
      </w:pPr>
      <w:r>
        <w:rPr>
          <w:rFonts w:ascii="Times New Roman" w:hAnsi="Times New Roman" w:eastAsia="隶书"/>
          <w:color w:val="auto"/>
          <w:sz w:val="44"/>
        </w:rPr>
        <w:br w:type="page"/>
      </w:r>
      <w:r>
        <w:rPr>
          <w:rFonts w:hint="eastAsia"/>
          <w:color w:val="auto"/>
        </w:rPr>
        <w:t>5.投诉书（格式）</w:t>
      </w:r>
    </w:p>
    <w:p w14:paraId="3DB911EE">
      <w:pPr>
        <w:snapToGrid w:val="0"/>
        <w:spacing w:before="50" w:after="50"/>
        <w:ind w:firstLine="0" w:firstLineChars="0"/>
        <w:jc w:val="center"/>
        <w:rPr>
          <w:rFonts w:ascii="宋体" w:hAnsi="宋体" w:eastAsia="宋体" w:cs="方正小标宋简体"/>
          <w:b/>
          <w:color w:val="auto"/>
          <w:sz w:val="44"/>
          <w:szCs w:val="44"/>
        </w:rPr>
      </w:pPr>
      <w:r>
        <w:rPr>
          <w:rFonts w:hint="eastAsia" w:ascii="宋体" w:hAnsi="宋体" w:eastAsia="宋体" w:cs="方正小标宋简体"/>
          <w:b/>
          <w:color w:val="auto"/>
          <w:sz w:val="44"/>
          <w:szCs w:val="44"/>
        </w:rPr>
        <w:t>投诉书（格式）</w:t>
      </w:r>
    </w:p>
    <w:p w14:paraId="73416D8E">
      <w:pPr>
        <w:widowControl w:val="0"/>
        <w:snapToGrid w:val="0"/>
        <w:ind w:firstLine="482"/>
        <w:rPr>
          <w:rFonts w:cs="Times New Roman" w:hAnsiTheme="minorEastAsia"/>
          <w:b/>
          <w:bCs/>
          <w:color w:val="auto"/>
          <w:kern w:val="0"/>
          <w:sz w:val="24"/>
          <w:szCs w:val="24"/>
          <w:lang w:val="zh-CN"/>
        </w:rPr>
      </w:pPr>
      <w:r>
        <w:rPr>
          <w:rFonts w:hint="eastAsia" w:cs="Times New Roman" w:hAnsiTheme="minorEastAsia"/>
          <w:b/>
          <w:bCs/>
          <w:color w:val="auto"/>
          <w:kern w:val="0"/>
          <w:sz w:val="24"/>
          <w:szCs w:val="24"/>
          <w:lang w:val="zh-CN"/>
        </w:rPr>
        <w:t>一、投诉相关主体基本情况：</w:t>
      </w:r>
    </w:p>
    <w:p w14:paraId="5A05EEB5">
      <w:pPr>
        <w:widowControl w:val="0"/>
        <w:snapToGrid w:val="0"/>
        <w:ind w:firstLine="480"/>
        <w:rPr>
          <w:rFonts w:cs="Times New Roman" w:hAnsiTheme="minorEastAsia"/>
          <w:bCs/>
          <w:color w:val="auto"/>
          <w:kern w:val="0"/>
          <w:sz w:val="24"/>
          <w:szCs w:val="24"/>
          <w:u w:val="single"/>
          <w:lang w:val="zh-CN"/>
        </w:rPr>
      </w:pPr>
      <w:r>
        <w:rPr>
          <w:rFonts w:hint="eastAsia" w:cs="Times New Roman" w:hAnsiTheme="minorEastAsia"/>
          <w:bCs/>
          <w:color w:val="auto"/>
          <w:kern w:val="0"/>
          <w:sz w:val="24"/>
          <w:szCs w:val="24"/>
          <w:lang w:val="zh-CN"/>
        </w:rPr>
        <w:t>投标人：</w:t>
      </w:r>
    </w:p>
    <w:p w14:paraId="45A83DDC">
      <w:pPr>
        <w:widowControl w:val="0"/>
        <w:snapToGrid w:val="0"/>
        <w:ind w:firstLine="480"/>
        <w:rPr>
          <w:rFonts w:cs="Times New Roman" w:hAnsiTheme="minorEastAsia"/>
          <w:bCs/>
          <w:color w:val="auto"/>
          <w:kern w:val="0"/>
          <w:sz w:val="24"/>
          <w:szCs w:val="24"/>
          <w:lang w:val="zh-CN"/>
        </w:rPr>
      </w:pPr>
      <w:r>
        <w:rPr>
          <w:rFonts w:cs="Times New Roman" w:hAnsiTheme="minorEastAsia"/>
          <w:bCs/>
          <w:color w:val="auto"/>
          <w:kern w:val="0"/>
          <w:sz w:val="24"/>
          <w:szCs w:val="24"/>
          <w:lang w:val="zh-CN"/>
        </w:rPr>
        <w:t>地址</w:t>
      </w:r>
      <w:r>
        <w:rPr>
          <w:rFonts w:hint="eastAsia" w:cs="Times New Roman" w:hAnsiTheme="minorEastAsia"/>
          <w:bCs/>
          <w:color w:val="auto"/>
          <w:kern w:val="0"/>
          <w:sz w:val="24"/>
          <w:szCs w:val="24"/>
          <w:lang w:val="zh-CN"/>
        </w:rPr>
        <w:t>：</w:t>
      </w:r>
      <w:r>
        <w:rPr>
          <w:rFonts w:cs="Times New Roman" w:hAnsiTheme="minorEastAsia"/>
          <w:bCs/>
          <w:color w:val="auto"/>
          <w:kern w:val="0"/>
          <w:sz w:val="24"/>
          <w:szCs w:val="24"/>
          <w:lang w:val="zh-CN"/>
        </w:rPr>
        <w:t>邮编</w:t>
      </w:r>
      <w:r>
        <w:rPr>
          <w:rFonts w:hint="eastAsia" w:cs="Times New Roman" w:hAnsiTheme="minorEastAsia"/>
          <w:bCs/>
          <w:color w:val="auto"/>
          <w:kern w:val="0"/>
          <w:sz w:val="24"/>
          <w:szCs w:val="24"/>
          <w:lang w:val="zh-CN"/>
        </w:rPr>
        <w:t>：</w:t>
      </w:r>
    </w:p>
    <w:p w14:paraId="34E63AB0">
      <w:pPr>
        <w:widowControl w:val="0"/>
        <w:snapToGrid w:val="0"/>
        <w:ind w:firstLine="480"/>
        <w:rPr>
          <w:rFonts w:cs="Times New Roman" w:hAnsiTheme="minorEastAsia"/>
          <w:bCs/>
          <w:color w:val="auto"/>
          <w:kern w:val="0"/>
          <w:sz w:val="24"/>
          <w:szCs w:val="24"/>
          <w:u w:val="single"/>
          <w:lang w:val="zh-CN"/>
        </w:rPr>
      </w:pPr>
      <w:r>
        <w:rPr>
          <w:rFonts w:hint="eastAsia" w:cs="Times New Roman" w:hAnsiTheme="minorEastAsia"/>
          <w:bCs/>
          <w:color w:val="auto"/>
          <w:kern w:val="0"/>
          <w:sz w:val="24"/>
          <w:szCs w:val="24"/>
          <w:lang w:val="zh-CN"/>
        </w:rPr>
        <w:t>法定代表人/主要负责人：</w:t>
      </w:r>
    </w:p>
    <w:p w14:paraId="183C06DC">
      <w:pPr>
        <w:widowControl w:val="0"/>
        <w:snapToGrid w:val="0"/>
        <w:ind w:firstLine="480"/>
        <w:rPr>
          <w:rFonts w:cs="Times New Roman" w:hAnsiTheme="minorEastAsia"/>
          <w:bCs/>
          <w:color w:val="auto"/>
          <w:kern w:val="0"/>
          <w:sz w:val="24"/>
          <w:szCs w:val="24"/>
          <w:lang w:val="zh-CN"/>
        </w:rPr>
      </w:pPr>
      <w:r>
        <w:rPr>
          <w:rFonts w:cs="Times New Roman" w:hAnsiTheme="minorEastAsia"/>
          <w:bCs/>
          <w:color w:val="auto"/>
          <w:kern w:val="0"/>
          <w:sz w:val="24"/>
          <w:szCs w:val="24"/>
          <w:lang w:val="zh-CN"/>
        </w:rPr>
        <w:t>联系电话</w:t>
      </w:r>
      <w:r>
        <w:rPr>
          <w:rFonts w:hint="eastAsia" w:cs="Times New Roman" w:hAnsiTheme="minorEastAsia"/>
          <w:bCs/>
          <w:color w:val="auto"/>
          <w:kern w:val="0"/>
          <w:sz w:val="24"/>
          <w:szCs w:val="24"/>
          <w:lang w:val="zh-CN"/>
        </w:rPr>
        <w:t>：</w:t>
      </w:r>
    </w:p>
    <w:p w14:paraId="6A0DE3B0">
      <w:pPr>
        <w:widowControl w:val="0"/>
        <w:snapToGrid w:val="0"/>
        <w:ind w:firstLine="480"/>
        <w:rPr>
          <w:rFonts w:cs="Times New Roman" w:hAnsiTheme="minorEastAsia"/>
          <w:bCs/>
          <w:color w:val="auto"/>
          <w:kern w:val="0"/>
          <w:sz w:val="24"/>
          <w:szCs w:val="24"/>
          <w:u w:val="single"/>
          <w:lang w:val="zh-CN"/>
        </w:rPr>
      </w:pPr>
      <w:r>
        <w:rPr>
          <w:rFonts w:hint="eastAsia" w:cs="Times New Roman" w:hAnsiTheme="minorEastAsia"/>
          <w:bCs/>
          <w:color w:val="auto"/>
          <w:kern w:val="0"/>
          <w:sz w:val="24"/>
          <w:szCs w:val="24"/>
          <w:lang w:val="zh-CN"/>
        </w:rPr>
        <w:t>授权代表：</w:t>
      </w:r>
      <w:r>
        <w:rPr>
          <w:rFonts w:cs="Times New Roman" w:hAnsiTheme="minorEastAsia"/>
          <w:bCs/>
          <w:color w:val="auto"/>
          <w:kern w:val="0"/>
          <w:sz w:val="24"/>
          <w:szCs w:val="24"/>
          <w:lang w:val="zh-CN"/>
        </w:rPr>
        <w:t>联系</w:t>
      </w:r>
      <w:r>
        <w:rPr>
          <w:rFonts w:hint="eastAsia" w:cs="Times New Roman" w:hAnsiTheme="minorEastAsia"/>
          <w:bCs/>
          <w:color w:val="auto"/>
          <w:kern w:val="0"/>
          <w:sz w:val="24"/>
          <w:szCs w:val="24"/>
          <w:lang w:val="zh-CN"/>
        </w:rPr>
        <w:t>电话：</w:t>
      </w:r>
    </w:p>
    <w:p w14:paraId="77A6E06E">
      <w:pPr>
        <w:widowControl w:val="0"/>
        <w:snapToGrid w:val="0"/>
        <w:ind w:firstLine="480"/>
        <w:rPr>
          <w:rFonts w:cs="Times New Roman" w:hAnsiTheme="minorEastAsia"/>
          <w:bCs/>
          <w:color w:val="auto"/>
          <w:kern w:val="0"/>
          <w:sz w:val="24"/>
          <w:szCs w:val="24"/>
          <w:u w:val="single"/>
          <w:lang w:val="zh-CN"/>
        </w:rPr>
      </w:pPr>
      <w:r>
        <w:rPr>
          <w:rFonts w:cs="Times New Roman" w:hAnsiTheme="minorEastAsia"/>
          <w:bCs/>
          <w:color w:val="auto"/>
          <w:kern w:val="0"/>
          <w:sz w:val="24"/>
          <w:szCs w:val="24"/>
          <w:lang w:val="zh-CN"/>
        </w:rPr>
        <w:t>地址</w:t>
      </w:r>
      <w:r>
        <w:rPr>
          <w:rFonts w:hint="eastAsia" w:cs="Times New Roman" w:hAnsiTheme="minorEastAsia"/>
          <w:bCs/>
          <w:color w:val="auto"/>
          <w:kern w:val="0"/>
          <w:sz w:val="24"/>
          <w:szCs w:val="24"/>
          <w:lang w:val="zh-CN"/>
        </w:rPr>
        <w:t>：</w:t>
      </w:r>
    </w:p>
    <w:p w14:paraId="441419A8">
      <w:pPr>
        <w:widowControl w:val="0"/>
        <w:snapToGrid w:val="0"/>
        <w:ind w:firstLine="480"/>
        <w:rPr>
          <w:rFonts w:cs="Times New Roman" w:hAnsiTheme="minorEastAsia"/>
          <w:bCs/>
          <w:color w:val="auto"/>
          <w:kern w:val="0"/>
          <w:sz w:val="24"/>
          <w:szCs w:val="24"/>
          <w:lang w:val="zh-CN"/>
        </w:rPr>
      </w:pPr>
      <w:r>
        <w:rPr>
          <w:rFonts w:cs="Times New Roman" w:hAnsiTheme="minorEastAsia"/>
          <w:bCs/>
          <w:color w:val="auto"/>
          <w:kern w:val="0"/>
          <w:sz w:val="24"/>
          <w:szCs w:val="24"/>
          <w:lang w:val="zh-CN"/>
        </w:rPr>
        <w:t>邮编</w:t>
      </w:r>
      <w:r>
        <w:rPr>
          <w:rFonts w:hint="eastAsia" w:cs="Times New Roman" w:hAnsiTheme="minorEastAsia"/>
          <w:bCs/>
          <w:color w:val="auto"/>
          <w:kern w:val="0"/>
          <w:sz w:val="24"/>
          <w:szCs w:val="24"/>
          <w:lang w:val="zh-CN"/>
        </w:rPr>
        <w:t>：</w:t>
      </w:r>
    </w:p>
    <w:p w14:paraId="02A9DDDE">
      <w:pPr>
        <w:widowControl w:val="0"/>
        <w:snapToGrid w:val="0"/>
        <w:ind w:firstLine="480"/>
        <w:rPr>
          <w:rFonts w:cs="Times New Roman" w:hAnsiTheme="minorEastAsia"/>
          <w:bCs/>
          <w:color w:val="auto"/>
          <w:kern w:val="0"/>
          <w:sz w:val="24"/>
          <w:szCs w:val="24"/>
          <w:lang w:val="zh-CN"/>
        </w:rPr>
      </w:pPr>
      <w:r>
        <w:rPr>
          <w:rFonts w:hint="eastAsia" w:cs="Times New Roman" w:hAnsiTheme="minorEastAsia"/>
          <w:bCs/>
          <w:color w:val="auto"/>
          <w:kern w:val="0"/>
          <w:sz w:val="24"/>
          <w:szCs w:val="24"/>
          <w:lang w:val="zh-CN"/>
        </w:rPr>
        <w:t>被投诉人1：</w:t>
      </w:r>
    </w:p>
    <w:p w14:paraId="6644892A">
      <w:pPr>
        <w:widowControl w:val="0"/>
        <w:snapToGrid w:val="0"/>
        <w:ind w:firstLine="480"/>
        <w:rPr>
          <w:rFonts w:cs="Times New Roman" w:hAnsiTheme="minorEastAsia"/>
          <w:bCs/>
          <w:color w:val="auto"/>
          <w:kern w:val="0"/>
          <w:sz w:val="24"/>
          <w:szCs w:val="24"/>
          <w:u w:val="single"/>
          <w:lang w:val="zh-CN"/>
        </w:rPr>
      </w:pPr>
      <w:r>
        <w:rPr>
          <w:rFonts w:hint="eastAsia" w:cs="Times New Roman" w:hAnsiTheme="minorEastAsia"/>
          <w:bCs/>
          <w:color w:val="auto"/>
          <w:kern w:val="0"/>
          <w:sz w:val="24"/>
          <w:szCs w:val="24"/>
          <w:lang w:val="zh-CN"/>
        </w:rPr>
        <w:t>地址：</w:t>
      </w:r>
    </w:p>
    <w:p w14:paraId="7A21DE01">
      <w:pPr>
        <w:widowControl w:val="0"/>
        <w:snapToGrid w:val="0"/>
        <w:ind w:firstLine="480"/>
        <w:rPr>
          <w:rFonts w:cs="Times New Roman" w:hAnsiTheme="minorEastAsia"/>
          <w:bCs/>
          <w:color w:val="auto"/>
          <w:kern w:val="0"/>
          <w:sz w:val="24"/>
          <w:szCs w:val="24"/>
          <w:lang w:val="zh-CN"/>
        </w:rPr>
      </w:pPr>
      <w:r>
        <w:rPr>
          <w:rFonts w:cs="Times New Roman" w:hAnsiTheme="minorEastAsia"/>
          <w:bCs/>
          <w:color w:val="auto"/>
          <w:kern w:val="0"/>
          <w:sz w:val="24"/>
          <w:szCs w:val="24"/>
          <w:lang w:val="zh-CN"/>
        </w:rPr>
        <w:t>邮编</w:t>
      </w:r>
      <w:r>
        <w:rPr>
          <w:rFonts w:hint="eastAsia" w:cs="Times New Roman" w:hAnsiTheme="minorEastAsia"/>
          <w:bCs/>
          <w:color w:val="auto"/>
          <w:kern w:val="0"/>
          <w:sz w:val="24"/>
          <w:szCs w:val="24"/>
          <w:lang w:val="zh-CN"/>
        </w:rPr>
        <w:t>：</w:t>
      </w:r>
    </w:p>
    <w:p w14:paraId="49F30B45">
      <w:pPr>
        <w:widowControl w:val="0"/>
        <w:snapToGrid w:val="0"/>
        <w:ind w:firstLine="480"/>
        <w:rPr>
          <w:rFonts w:cs="Times New Roman" w:hAnsiTheme="minorEastAsia"/>
          <w:bCs/>
          <w:color w:val="auto"/>
          <w:kern w:val="0"/>
          <w:sz w:val="24"/>
          <w:szCs w:val="24"/>
          <w:u w:val="single"/>
          <w:lang w:val="zh-CN"/>
        </w:rPr>
      </w:pPr>
      <w:r>
        <w:rPr>
          <w:rFonts w:hint="eastAsia" w:cs="Times New Roman" w:hAnsiTheme="minorEastAsia"/>
          <w:bCs/>
          <w:color w:val="auto"/>
          <w:kern w:val="0"/>
          <w:sz w:val="24"/>
          <w:szCs w:val="24"/>
          <w:lang w:val="zh-CN"/>
        </w:rPr>
        <w:t>联系人：</w:t>
      </w:r>
      <w:r>
        <w:rPr>
          <w:rFonts w:cs="Times New Roman" w:hAnsiTheme="minorEastAsia"/>
          <w:bCs/>
          <w:color w:val="auto"/>
          <w:kern w:val="0"/>
          <w:sz w:val="24"/>
          <w:szCs w:val="24"/>
          <w:lang w:val="zh-CN"/>
        </w:rPr>
        <w:t>联系</w:t>
      </w:r>
      <w:r>
        <w:rPr>
          <w:rFonts w:hint="eastAsia" w:cs="Times New Roman" w:hAnsiTheme="minorEastAsia"/>
          <w:bCs/>
          <w:color w:val="auto"/>
          <w:kern w:val="0"/>
          <w:sz w:val="24"/>
          <w:szCs w:val="24"/>
          <w:lang w:val="zh-CN"/>
        </w:rPr>
        <w:t>电话：</w:t>
      </w:r>
    </w:p>
    <w:p w14:paraId="77086955">
      <w:pPr>
        <w:widowControl w:val="0"/>
        <w:snapToGrid w:val="0"/>
        <w:ind w:firstLine="480"/>
        <w:rPr>
          <w:rFonts w:cs="Times New Roman" w:hAnsiTheme="minorEastAsia"/>
          <w:bCs/>
          <w:color w:val="auto"/>
          <w:kern w:val="0"/>
          <w:sz w:val="24"/>
          <w:szCs w:val="24"/>
          <w:lang w:val="zh-CN"/>
        </w:rPr>
      </w:pPr>
      <w:r>
        <w:rPr>
          <w:rFonts w:hint="eastAsia" w:cs="Times New Roman" w:hAnsiTheme="minorEastAsia"/>
          <w:bCs/>
          <w:color w:val="auto"/>
          <w:kern w:val="0"/>
          <w:sz w:val="24"/>
          <w:szCs w:val="24"/>
          <w:lang w:val="zh-CN"/>
        </w:rPr>
        <w:t>被投诉人2：</w:t>
      </w:r>
    </w:p>
    <w:p w14:paraId="3D4F8C8D">
      <w:pPr>
        <w:widowControl w:val="0"/>
        <w:snapToGrid w:val="0"/>
        <w:ind w:firstLine="480"/>
        <w:rPr>
          <w:rFonts w:cs="Times New Roman" w:hAnsiTheme="minorEastAsia"/>
          <w:bCs/>
          <w:color w:val="auto"/>
          <w:kern w:val="0"/>
          <w:sz w:val="24"/>
          <w:szCs w:val="24"/>
          <w:lang w:val="zh-CN"/>
        </w:rPr>
      </w:pPr>
      <w:r>
        <w:rPr>
          <w:rFonts w:cs="Times New Roman" w:hAnsiTheme="minorEastAsia"/>
          <w:bCs/>
          <w:color w:val="auto"/>
          <w:kern w:val="0"/>
          <w:sz w:val="24"/>
          <w:szCs w:val="24"/>
          <w:lang w:val="zh-CN"/>
        </w:rPr>
        <w:t>……</w:t>
      </w:r>
    </w:p>
    <w:p w14:paraId="409F886B">
      <w:pPr>
        <w:widowControl w:val="0"/>
        <w:snapToGrid w:val="0"/>
        <w:ind w:firstLine="480"/>
        <w:rPr>
          <w:rFonts w:cs="Times New Roman" w:hAnsiTheme="minorEastAsia"/>
          <w:bCs/>
          <w:color w:val="auto"/>
          <w:kern w:val="0"/>
          <w:sz w:val="24"/>
          <w:szCs w:val="24"/>
          <w:u w:val="single"/>
          <w:lang w:val="zh-CN"/>
        </w:rPr>
      </w:pPr>
      <w:r>
        <w:rPr>
          <w:rFonts w:hint="eastAsia" w:cs="Times New Roman" w:hAnsiTheme="minorEastAsia"/>
          <w:bCs/>
          <w:color w:val="auto"/>
          <w:kern w:val="0"/>
          <w:sz w:val="24"/>
          <w:szCs w:val="24"/>
          <w:lang w:val="zh-CN"/>
        </w:rPr>
        <w:t>相关供应商：</w:t>
      </w:r>
    </w:p>
    <w:p w14:paraId="57C28781">
      <w:pPr>
        <w:widowControl w:val="0"/>
        <w:snapToGrid w:val="0"/>
        <w:ind w:firstLine="480"/>
        <w:rPr>
          <w:rFonts w:cs="Times New Roman" w:hAnsiTheme="minorEastAsia"/>
          <w:bCs/>
          <w:color w:val="auto"/>
          <w:kern w:val="0"/>
          <w:sz w:val="24"/>
          <w:szCs w:val="24"/>
          <w:u w:val="single"/>
          <w:lang w:val="zh-CN"/>
        </w:rPr>
      </w:pPr>
      <w:r>
        <w:rPr>
          <w:rFonts w:cs="Times New Roman" w:hAnsiTheme="minorEastAsia"/>
          <w:bCs/>
          <w:color w:val="auto"/>
          <w:kern w:val="0"/>
          <w:sz w:val="24"/>
          <w:szCs w:val="24"/>
          <w:lang w:val="zh-CN"/>
        </w:rPr>
        <w:t>地址</w:t>
      </w:r>
      <w:r>
        <w:rPr>
          <w:rFonts w:hint="eastAsia" w:cs="Times New Roman" w:hAnsiTheme="minorEastAsia"/>
          <w:bCs/>
          <w:color w:val="auto"/>
          <w:kern w:val="0"/>
          <w:sz w:val="24"/>
          <w:szCs w:val="24"/>
          <w:lang w:val="zh-CN"/>
        </w:rPr>
        <w:t>：</w:t>
      </w:r>
      <w:r>
        <w:rPr>
          <w:rFonts w:cs="Times New Roman" w:hAnsiTheme="minorEastAsia"/>
          <w:bCs/>
          <w:color w:val="auto"/>
          <w:kern w:val="0"/>
          <w:sz w:val="24"/>
          <w:szCs w:val="24"/>
          <w:lang w:val="zh-CN"/>
        </w:rPr>
        <w:t>邮编</w:t>
      </w:r>
      <w:r>
        <w:rPr>
          <w:rFonts w:hint="eastAsia" w:cs="Times New Roman" w:hAnsiTheme="minorEastAsia"/>
          <w:bCs/>
          <w:color w:val="auto"/>
          <w:kern w:val="0"/>
          <w:sz w:val="24"/>
          <w:szCs w:val="24"/>
          <w:lang w:val="zh-CN"/>
        </w:rPr>
        <w:t>：</w:t>
      </w:r>
    </w:p>
    <w:p w14:paraId="5DE52DF2">
      <w:pPr>
        <w:widowControl w:val="0"/>
        <w:snapToGrid w:val="0"/>
        <w:ind w:firstLine="480"/>
        <w:rPr>
          <w:rFonts w:cs="Times New Roman" w:hAnsiTheme="minorEastAsia"/>
          <w:bCs/>
          <w:color w:val="auto"/>
          <w:kern w:val="0"/>
          <w:sz w:val="24"/>
          <w:szCs w:val="24"/>
          <w:lang w:val="zh-CN"/>
        </w:rPr>
      </w:pPr>
      <w:r>
        <w:rPr>
          <w:rFonts w:hint="eastAsia" w:cs="Times New Roman" w:hAnsiTheme="minorEastAsia"/>
          <w:bCs/>
          <w:color w:val="auto"/>
          <w:kern w:val="0"/>
          <w:sz w:val="24"/>
          <w:szCs w:val="24"/>
          <w:lang w:val="zh-CN"/>
        </w:rPr>
        <w:t>联系人：</w:t>
      </w:r>
      <w:r>
        <w:rPr>
          <w:rFonts w:cs="Times New Roman" w:hAnsiTheme="minorEastAsia"/>
          <w:bCs/>
          <w:color w:val="auto"/>
          <w:kern w:val="0"/>
          <w:sz w:val="24"/>
          <w:szCs w:val="24"/>
          <w:lang w:val="zh-CN"/>
        </w:rPr>
        <w:t>联系</w:t>
      </w:r>
      <w:r>
        <w:rPr>
          <w:rFonts w:hint="eastAsia" w:cs="Times New Roman" w:hAnsiTheme="minorEastAsia"/>
          <w:bCs/>
          <w:color w:val="auto"/>
          <w:kern w:val="0"/>
          <w:sz w:val="24"/>
          <w:szCs w:val="24"/>
          <w:lang w:val="zh-CN"/>
        </w:rPr>
        <w:t>电话：</w:t>
      </w:r>
    </w:p>
    <w:p w14:paraId="397AB3CC">
      <w:pPr>
        <w:widowControl w:val="0"/>
        <w:snapToGrid w:val="0"/>
        <w:ind w:firstLine="482"/>
        <w:rPr>
          <w:rFonts w:cs="Times New Roman" w:hAnsiTheme="minorEastAsia"/>
          <w:b/>
          <w:bCs/>
          <w:color w:val="auto"/>
          <w:kern w:val="0"/>
          <w:sz w:val="24"/>
          <w:szCs w:val="24"/>
          <w:lang w:val="zh-CN"/>
        </w:rPr>
      </w:pPr>
      <w:r>
        <w:rPr>
          <w:rFonts w:hint="eastAsia" w:cs="Times New Roman" w:hAnsiTheme="minorEastAsia"/>
          <w:b/>
          <w:bCs/>
          <w:color w:val="auto"/>
          <w:kern w:val="0"/>
          <w:sz w:val="24"/>
          <w:szCs w:val="24"/>
          <w:lang w:val="zh-CN"/>
        </w:rPr>
        <w:t>二、投诉项目基本情况：</w:t>
      </w:r>
    </w:p>
    <w:p w14:paraId="433264C4">
      <w:pPr>
        <w:widowControl w:val="0"/>
        <w:ind w:firstLine="472" w:firstLineChars="197"/>
        <w:rPr>
          <w:rFonts w:cs="Times New Roman" w:hAnsiTheme="minorEastAsia"/>
          <w:color w:val="auto"/>
          <w:kern w:val="0"/>
          <w:sz w:val="24"/>
          <w:szCs w:val="24"/>
          <w:lang w:val="zh-CN"/>
        </w:rPr>
      </w:pPr>
      <w:r>
        <w:rPr>
          <w:rFonts w:hint="eastAsia" w:cs="Times New Roman" w:hAnsiTheme="minorEastAsia"/>
          <w:bCs/>
          <w:color w:val="auto"/>
          <w:kern w:val="0"/>
          <w:sz w:val="24"/>
          <w:szCs w:val="24"/>
          <w:lang w:val="zh-CN"/>
        </w:rPr>
        <w:t>采购</w:t>
      </w:r>
      <w:r>
        <w:rPr>
          <w:rFonts w:hint="eastAsia" w:cs="Times New Roman" w:hAnsiTheme="minorEastAsia"/>
          <w:color w:val="auto"/>
          <w:kern w:val="0"/>
          <w:sz w:val="24"/>
          <w:szCs w:val="24"/>
          <w:lang w:val="zh-CN"/>
        </w:rPr>
        <w:t>项目的名称：</w:t>
      </w:r>
    </w:p>
    <w:p w14:paraId="7F0B03A6">
      <w:pPr>
        <w:widowControl w:val="0"/>
        <w:ind w:firstLine="472" w:firstLineChars="197"/>
        <w:rPr>
          <w:rFonts w:cs="Times New Roman" w:hAnsiTheme="minorEastAsia"/>
          <w:color w:val="auto"/>
          <w:kern w:val="0"/>
          <w:sz w:val="24"/>
          <w:szCs w:val="24"/>
          <w:lang w:val="zh-CN"/>
        </w:rPr>
      </w:pPr>
      <w:r>
        <w:rPr>
          <w:rFonts w:hint="eastAsia" w:cs="Times New Roman" w:hAnsiTheme="minorEastAsia"/>
          <w:bCs/>
          <w:color w:val="auto"/>
          <w:kern w:val="0"/>
          <w:sz w:val="24"/>
          <w:szCs w:val="24"/>
          <w:lang w:val="zh-CN"/>
        </w:rPr>
        <w:t>采购</w:t>
      </w:r>
      <w:r>
        <w:rPr>
          <w:rFonts w:hint="eastAsia" w:cs="Times New Roman" w:hAnsiTheme="minorEastAsia"/>
          <w:color w:val="auto"/>
          <w:kern w:val="0"/>
          <w:sz w:val="24"/>
          <w:szCs w:val="24"/>
          <w:lang w:val="zh-CN"/>
        </w:rPr>
        <w:t>项目的编号：</w:t>
      </w:r>
    </w:p>
    <w:p w14:paraId="794D5705">
      <w:pPr>
        <w:widowControl w:val="0"/>
        <w:ind w:firstLine="472" w:firstLineChars="197"/>
        <w:rPr>
          <w:rFonts w:cs="Times New Roman" w:hAnsiTheme="minorEastAsia"/>
          <w:bCs/>
          <w:color w:val="auto"/>
          <w:kern w:val="0"/>
          <w:sz w:val="24"/>
          <w:szCs w:val="24"/>
          <w:u w:val="single"/>
          <w:lang w:val="zh-CN"/>
        </w:rPr>
      </w:pPr>
      <w:r>
        <w:rPr>
          <w:rFonts w:hint="eastAsia" w:cs="Times New Roman" w:hAnsiTheme="minorEastAsia"/>
          <w:color w:val="auto"/>
          <w:kern w:val="0"/>
          <w:sz w:val="24"/>
          <w:szCs w:val="24"/>
          <w:lang w:val="zh-CN"/>
        </w:rPr>
        <w:t>采购人名称：</w:t>
      </w:r>
    </w:p>
    <w:p w14:paraId="37ACA93A">
      <w:pPr>
        <w:widowControl w:val="0"/>
        <w:ind w:firstLine="472" w:firstLineChars="197"/>
        <w:rPr>
          <w:rFonts w:cs="Times New Roman" w:hAnsiTheme="minorEastAsia"/>
          <w:bCs/>
          <w:color w:val="auto"/>
          <w:kern w:val="0"/>
          <w:sz w:val="24"/>
          <w:szCs w:val="24"/>
          <w:u w:val="single"/>
          <w:lang w:val="zh-CN"/>
        </w:rPr>
      </w:pPr>
      <w:r>
        <w:rPr>
          <w:rFonts w:hint="eastAsia" w:cs="Times New Roman" w:hAnsiTheme="minorEastAsia"/>
          <w:color w:val="auto"/>
          <w:kern w:val="0"/>
          <w:sz w:val="24"/>
          <w:szCs w:val="24"/>
          <w:lang w:val="zh-CN"/>
        </w:rPr>
        <w:t>代理机构名称：</w:t>
      </w:r>
    </w:p>
    <w:p w14:paraId="0479AB35">
      <w:pPr>
        <w:widowControl w:val="0"/>
        <w:ind w:firstLine="472" w:firstLineChars="197"/>
        <w:rPr>
          <w:rFonts w:cs="Times New Roman" w:hAnsiTheme="minorEastAsia"/>
          <w:bCs/>
          <w:color w:val="auto"/>
          <w:kern w:val="0"/>
          <w:sz w:val="24"/>
          <w:szCs w:val="24"/>
          <w:u w:val="single"/>
          <w:lang w:val="zh-CN"/>
        </w:rPr>
      </w:pPr>
      <w:r>
        <w:rPr>
          <w:rFonts w:hint="eastAsia" w:cs="Times New Roman" w:hAnsiTheme="minorEastAsia"/>
          <w:bCs/>
          <w:color w:val="auto"/>
          <w:kern w:val="0"/>
          <w:sz w:val="24"/>
          <w:szCs w:val="24"/>
          <w:lang w:val="zh-CN"/>
        </w:rPr>
        <w:t>招标文件公告：</w:t>
      </w:r>
      <w:r>
        <w:rPr>
          <w:rFonts w:hint="eastAsia" w:cs="Times New Roman" w:hAnsiTheme="minorEastAsia"/>
          <w:bCs/>
          <w:color w:val="auto"/>
          <w:kern w:val="0"/>
          <w:sz w:val="24"/>
          <w:szCs w:val="24"/>
          <w:u w:val="single"/>
          <w:lang w:val="zh-CN"/>
        </w:rPr>
        <w:t>是/否</w:t>
      </w:r>
      <w:r>
        <w:rPr>
          <w:rFonts w:hint="eastAsia" w:cs="Times New Roman" w:hAnsiTheme="minorEastAsia"/>
          <w:bCs/>
          <w:color w:val="auto"/>
          <w:kern w:val="0"/>
          <w:sz w:val="24"/>
          <w:szCs w:val="24"/>
          <w:lang w:val="zh-CN"/>
        </w:rPr>
        <w:t>公告期限：</w:t>
      </w:r>
    </w:p>
    <w:p w14:paraId="762379CB">
      <w:pPr>
        <w:widowControl w:val="0"/>
        <w:ind w:firstLine="472" w:firstLineChars="197"/>
        <w:rPr>
          <w:rFonts w:cs="Times New Roman" w:hAnsiTheme="minorEastAsia"/>
          <w:b/>
          <w:color w:val="auto"/>
          <w:kern w:val="0"/>
          <w:sz w:val="24"/>
          <w:szCs w:val="24"/>
          <w:lang w:val="zh-CN"/>
        </w:rPr>
      </w:pPr>
      <w:r>
        <w:rPr>
          <w:rFonts w:hint="eastAsia" w:cs="Times New Roman" w:hAnsiTheme="minorEastAsia"/>
          <w:bCs/>
          <w:color w:val="auto"/>
          <w:kern w:val="0"/>
          <w:sz w:val="24"/>
          <w:szCs w:val="24"/>
          <w:lang w:val="zh-CN"/>
        </w:rPr>
        <w:t>采购结果公告：</w:t>
      </w:r>
      <w:r>
        <w:rPr>
          <w:rFonts w:hint="eastAsia" w:cs="Times New Roman" w:hAnsiTheme="minorEastAsia"/>
          <w:bCs/>
          <w:color w:val="auto"/>
          <w:kern w:val="0"/>
          <w:sz w:val="24"/>
          <w:szCs w:val="24"/>
          <w:u w:val="single"/>
          <w:lang w:val="zh-CN"/>
        </w:rPr>
        <w:t>是/否</w:t>
      </w:r>
      <w:r>
        <w:rPr>
          <w:rFonts w:hint="eastAsia" w:cs="Times New Roman" w:hAnsiTheme="minorEastAsia"/>
          <w:bCs/>
          <w:color w:val="auto"/>
          <w:kern w:val="0"/>
          <w:sz w:val="24"/>
          <w:szCs w:val="24"/>
          <w:lang w:val="zh-CN"/>
        </w:rPr>
        <w:t>公告期限：</w:t>
      </w:r>
    </w:p>
    <w:p w14:paraId="203B986B">
      <w:pPr>
        <w:widowControl w:val="0"/>
        <w:ind w:firstLine="472" w:firstLineChars="196"/>
        <w:rPr>
          <w:rFonts w:cs="Times New Roman" w:hAnsiTheme="minorEastAsia"/>
          <w:b/>
          <w:color w:val="auto"/>
          <w:kern w:val="0"/>
          <w:sz w:val="24"/>
          <w:szCs w:val="24"/>
          <w:lang w:val="zh-CN"/>
        </w:rPr>
      </w:pPr>
      <w:r>
        <w:rPr>
          <w:rFonts w:hint="eastAsia" w:cs="Times New Roman" w:hAnsiTheme="minorEastAsia"/>
          <w:b/>
          <w:color w:val="auto"/>
          <w:kern w:val="0"/>
          <w:sz w:val="24"/>
          <w:szCs w:val="24"/>
          <w:lang w:val="zh-CN"/>
        </w:rPr>
        <w:t>三、质疑基本情况</w:t>
      </w:r>
    </w:p>
    <w:p w14:paraId="032B8179">
      <w:pPr>
        <w:widowControl w:val="0"/>
        <w:ind w:firstLine="480"/>
        <w:rPr>
          <w:rFonts w:cs="Times New Roman" w:hAnsiTheme="minorEastAsia"/>
          <w:color w:val="auto"/>
          <w:kern w:val="0"/>
          <w:sz w:val="24"/>
          <w:szCs w:val="24"/>
          <w:lang w:val="zh-CN"/>
        </w:rPr>
      </w:pPr>
      <w:r>
        <w:rPr>
          <w:rFonts w:hint="eastAsia" w:cs="Times New Roman" w:hAnsiTheme="minorEastAsia"/>
          <w:color w:val="auto"/>
          <w:kern w:val="0"/>
          <w:sz w:val="24"/>
          <w:szCs w:val="24"/>
          <w:lang w:val="zh-CN"/>
        </w:rPr>
        <w:t>投诉人于年月日，向提出质疑，质疑事项为：</w:t>
      </w:r>
    </w:p>
    <w:p w14:paraId="1CCAA262">
      <w:pPr>
        <w:widowControl w:val="0"/>
        <w:ind w:firstLineChars="0"/>
        <w:rPr>
          <w:rFonts w:cs="Times New Roman" w:hAnsiTheme="minorEastAsia"/>
          <w:bCs/>
          <w:color w:val="auto"/>
          <w:kern w:val="0"/>
          <w:sz w:val="24"/>
          <w:szCs w:val="24"/>
          <w:u w:val="single"/>
          <w:lang w:val="zh-CN"/>
        </w:rPr>
      </w:pPr>
    </w:p>
    <w:p w14:paraId="7A381D3A">
      <w:pPr>
        <w:widowControl w:val="0"/>
        <w:ind w:firstLineChars="0"/>
        <w:rPr>
          <w:rFonts w:cs="Times New Roman" w:hAnsiTheme="minorEastAsia"/>
          <w:bCs/>
          <w:color w:val="auto"/>
          <w:kern w:val="0"/>
          <w:sz w:val="24"/>
          <w:szCs w:val="24"/>
          <w:u w:val="single"/>
          <w:lang w:val="zh-CN"/>
        </w:rPr>
      </w:pPr>
    </w:p>
    <w:p w14:paraId="3025355B">
      <w:pPr>
        <w:widowControl w:val="0"/>
        <w:ind w:firstLine="480"/>
        <w:rPr>
          <w:rFonts w:cs="Times New Roman" w:hAnsiTheme="minorEastAsia"/>
          <w:color w:val="auto"/>
          <w:kern w:val="0"/>
          <w:sz w:val="24"/>
          <w:szCs w:val="24"/>
          <w:lang w:val="zh-CN"/>
        </w:rPr>
      </w:pPr>
      <w:r>
        <w:rPr>
          <w:rFonts w:hint="eastAsia" w:cs="Times New Roman" w:hAnsiTheme="minorEastAsia"/>
          <w:bCs/>
          <w:color w:val="auto"/>
          <w:kern w:val="0"/>
          <w:sz w:val="24"/>
          <w:szCs w:val="24"/>
          <w:u w:val="single"/>
          <w:lang w:val="zh-CN"/>
        </w:rPr>
        <w:t>采购人/代理机构</w:t>
      </w:r>
      <w:r>
        <w:rPr>
          <w:rFonts w:hint="eastAsia" w:cs="Times New Roman" w:hAnsiTheme="minorEastAsia"/>
          <w:bCs/>
          <w:color w:val="auto"/>
          <w:kern w:val="0"/>
          <w:sz w:val="24"/>
          <w:szCs w:val="24"/>
          <w:lang w:val="zh-CN"/>
        </w:rPr>
        <w:t>于</w:t>
      </w:r>
      <w:r>
        <w:rPr>
          <w:rFonts w:hint="eastAsia" w:cs="Times New Roman" w:hAnsiTheme="minorEastAsia"/>
          <w:color w:val="auto"/>
          <w:kern w:val="0"/>
          <w:sz w:val="24"/>
          <w:szCs w:val="24"/>
          <w:lang w:val="zh-CN"/>
        </w:rPr>
        <w:t>年月日，</w:t>
      </w:r>
      <w:r>
        <w:rPr>
          <w:rFonts w:hint="eastAsia" w:cs="Times New Roman" w:hAnsiTheme="minorEastAsia"/>
          <w:bCs/>
          <w:color w:val="auto"/>
          <w:kern w:val="0"/>
          <w:sz w:val="24"/>
          <w:szCs w:val="24"/>
          <w:lang w:val="zh-CN"/>
        </w:rPr>
        <w:t xml:space="preserve">就质疑事项作出了答复/没有在法定期限内作出答复。                                                                                             </w:t>
      </w:r>
    </w:p>
    <w:p w14:paraId="40B8A426">
      <w:pPr>
        <w:widowControl w:val="0"/>
        <w:ind w:firstLine="472" w:firstLineChars="196"/>
        <w:rPr>
          <w:rFonts w:cs="Times New Roman" w:hAnsiTheme="minorEastAsia"/>
          <w:b/>
          <w:color w:val="auto"/>
          <w:kern w:val="0"/>
          <w:sz w:val="24"/>
          <w:szCs w:val="24"/>
          <w:lang w:val="zh-CN"/>
        </w:rPr>
      </w:pPr>
      <w:r>
        <w:rPr>
          <w:rFonts w:hint="eastAsia" w:cs="Times New Roman" w:hAnsiTheme="minorEastAsia"/>
          <w:b/>
          <w:color w:val="auto"/>
          <w:kern w:val="0"/>
          <w:sz w:val="24"/>
          <w:szCs w:val="24"/>
          <w:lang w:val="zh-CN"/>
        </w:rPr>
        <w:t>四、投诉事项具体内容</w:t>
      </w:r>
    </w:p>
    <w:p w14:paraId="1B323DFB">
      <w:pPr>
        <w:widowControl w:val="0"/>
        <w:ind w:firstLine="472" w:firstLineChars="197"/>
        <w:rPr>
          <w:rFonts w:cs="Times New Roman" w:hAnsiTheme="minorEastAsia"/>
          <w:bCs/>
          <w:color w:val="auto"/>
          <w:kern w:val="0"/>
          <w:sz w:val="24"/>
          <w:szCs w:val="24"/>
          <w:u w:val="single"/>
          <w:lang w:val="zh-CN"/>
        </w:rPr>
      </w:pPr>
      <w:r>
        <w:rPr>
          <w:rFonts w:hint="eastAsia" w:cs="Times New Roman" w:hAnsiTheme="minorEastAsia"/>
          <w:color w:val="auto"/>
          <w:kern w:val="0"/>
          <w:sz w:val="24"/>
          <w:szCs w:val="24"/>
          <w:lang w:val="zh-CN"/>
        </w:rPr>
        <w:t>投诉事项1：</w:t>
      </w:r>
    </w:p>
    <w:p w14:paraId="71A46C5A">
      <w:pPr>
        <w:widowControl w:val="0"/>
        <w:ind w:firstLine="480"/>
        <w:rPr>
          <w:rFonts w:cs="Times New Roman" w:hAnsiTheme="minorEastAsia"/>
          <w:bCs/>
          <w:color w:val="auto"/>
          <w:kern w:val="0"/>
          <w:sz w:val="24"/>
          <w:szCs w:val="24"/>
          <w:u w:val="single"/>
          <w:lang w:val="zh-CN"/>
        </w:rPr>
      </w:pPr>
      <w:r>
        <w:rPr>
          <w:rFonts w:hint="eastAsia" w:cs="Times New Roman" w:hAnsiTheme="minorEastAsia"/>
          <w:bCs/>
          <w:color w:val="auto"/>
          <w:kern w:val="0"/>
          <w:sz w:val="24"/>
          <w:szCs w:val="24"/>
          <w:lang w:val="zh-CN"/>
        </w:rPr>
        <w:t>事实依据：</w:t>
      </w:r>
    </w:p>
    <w:p w14:paraId="544A791C">
      <w:pPr>
        <w:widowControl w:val="0"/>
        <w:ind w:firstLine="472" w:firstLineChars="197"/>
        <w:rPr>
          <w:rFonts w:cs="Times New Roman" w:hAnsiTheme="minorEastAsia"/>
          <w:color w:val="auto"/>
          <w:kern w:val="0"/>
          <w:sz w:val="24"/>
          <w:szCs w:val="24"/>
          <w:lang w:val="zh-CN"/>
        </w:rPr>
      </w:pPr>
    </w:p>
    <w:p w14:paraId="61392F7F">
      <w:pPr>
        <w:widowControl w:val="0"/>
        <w:ind w:firstLine="480"/>
        <w:rPr>
          <w:rFonts w:cs="Times New Roman" w:hAnsiTheme="minorEastAsia"/>
          <w:bCs/>
          <w:color w:val="auto"/>
          <w:kern w:val="0"/>
          <w:sz w:val="24"/>
          <w:szCs w:val="24"/>
          <w:u w:val="single"/>
          <w:lang w:val="zh-CN"/>
        </w:rPr>
      </w:pPr>
      <w:r>
        <w:rPr>
          <w:rFonts w:hint="eastAsia" w:cs="Times New Roman" w:hAnsiTheme="minorEastAsia"/>
          <w:bCs/>
          <w:color w:val="auto"/>
          <w:kern w:val="0"/>
          <w:sz w:val="24"/>
          <w:szCs w:val="24"/>
          <w:lang w:val="zh-CN"/>
        </w:rPr>
        <w:t>法律依据：</w:t>
      </w:r>
    </w:p>
    <w:p w14:paraId="29DED4FC">
      <w:pPr>
        <w:widowControl w:val="0"/>
        <w:ind w:firstLine="352" w:firstLineChars="147"/>
        <w:rPr>
          <w:rFonts w:cs="Times New Roman" w:hAnsiTheme="minorEastAsia"/>
          <w:bCs/>
          <w:color w:val="auto"/>
          <w:kern w:val="0"/>
          <w:sz w:val="24"/>
          <w:szCs w:val="24"/>
          <w:u w:val="single"/>
          <w:lang w:val="zh-CN"/>
        </w:rPr>
      </w:pPr>
    </w:p>
    <w:p w14:paraId="4F28030D">
      <w:pPr>
        <w:widowControl w:val="0"/>
        <w:ind w:firstLine="472" w:firstLineChars="197"/>
        <w:rPr>
          <w:rFonts w:cs="Times New Roman" w:hAnsiTheme="minorEastAsia"/>
          <w:bCs/>
          <w:color w:val="auto"/>
          <w:kern w:val="0"/>
          <w:sz w:val="24"/>
          <w:szCs w:val="24"/>
          <w:lang w:val="zh-CN"/>
        </w:rPr>
      </w:pPr>
      <w:r>
        <w:rPr>
          <w:rFonts w:hint="eastAsia" w:cs="Times New Roman" w:hAnsiTheme="minorEastAsia"/>
          <w:color w:val="auto"/>
          <w:kern w:val="0"/>
          <w:sz w:val="24"/>
          <w:szCs w:val="24"/>
          <w:lang w:val="zh-CN"/>
        </w:rPr>
        <w:t xml:space="preserve">投诉事项2  </w:t>
      </w:r>
    </w:p>
    <w:p w14:paraId="37F87646">
      <w:pPr>
        <w:widowControl w:val="0"/>
        <w:ind w:firstLine="472" w:firstLineChars="197"/>
        <w:rPr>
          <w:rFonts w:cs="Times New Roman" w:hAnsiTheme="minorEastAsia"/>
          <w:bCs/>
          <w:color w:val="auto"/>
          <w:kern w:val="0"/>
          <w:sz w:val="24"/>
          <w:szCs w:val="24"/>
          <w:lang w:val="zh-CN"/>
        </w:rPr>
      </w:pPr>
      <w:r>
        <w:rPr>
          <w:rFonts w:cs="Times New Roman" w:hAnsiTheme="minorEastAsia"/>
          <w:bCs/>
          <w:color w:val="auto"/>
          <w:kern w:val="0"/>
          <w:sz w:val="24"/>
          <w:szCs w:val="24"/>
          <w:lang w:val="zh-CN"/>
        </w:rPr>
        <w:t>……</w:t>
      </w:r>
    </w:p>
    <w:p w14:paraId="484678ED">
      <w:pPr>
        <w:widowControl w:val="0"/>
        <w:ind w:firstLine="472" w:firstLineChars="196"/>
        <w:rPr>
          <w:rFonts w:cs="Times New Roman" w:hAnsiTheme="minorEastAsia"/>
          <w:b/>
          <w:color w:val="auto"/>
          <w:kern w:val="0"/>
          <w:sz w:val="24"/>
          <w:szCs w:val="24"/>
          <w:lang w:val="zh-CN"/>
        </w:rPr>
      </w:pPr>
      <w:r>
        <w:rPr>
          <w:rFonts w:hint="eastAsia" w:cs="Times New Roman" w:hAnsiTheme="minorEastAsia"/>
          <w:b/>
          <w:color w:val="auto"/>
          <w:kern w:val="0"/>
          <w:sz w:val="24"/>
          <w:szCs w:val="24"/>
          <w:lang w:val="zh-CN"/>
        </w:rPr>
        <w:t>五、与投诉事项相关的投诉请求：</w:t>
      </w:r>
    </w:p>
    <w:p w14:paraId="0278F163">
      <w:pPr>
        <w:widowControl w:val="0"/>
        <w:ind w:firstLine="472" w:firstLineChars="197"/>
        <w:rPr>
          <w:rFonts w:cs="Times New Roman" w:hAnsiTheme="minorEastAsia"/>
          <w:color w:val="auto"/>
          <w:kern w:val="0"/>
          <w:sz w:val="24"/>
          <w:szCs w:val="24"/>
          <w:lang w:val="zh-CN"/>
        </w:rPr>
      </w:pPr>
      <w:r>
        <w:rPr>
          <w:rFonts w:hint="eastAsia" w:cs="Times New Roman" w:hAnsiTheme="minorEastAsia"/>
          <w:color w:val="auto"/>
          <w:kern w:val="0"/>
          <w:sz w:val="24"/>
          <w:szCs w:val="24"/>
          <w:lang w:val="zh-CN"/>
        </w:rPr>
        <w:t>请求：</w:t>
      </w:r>
    </w:p>
    <w:p w14:paraId="42C0D665">
      <w:pPr>
        <w:widowControl w:val="0"/>
        <w:spacing w:line="480" w:lineRule="auto"/>
        <w:ind w:firstLine="472" w:firstLineChars="197"/>
        <w:rPr>
          <w:rFonts w:cs="Times New Roman" w:hAnsiTheme="minorEastAsia"/>
          <w:color w:val="auto"/>
          <w:kern w:val="0"/>
          <w:sz w:val="24"/>
          <w:szCs w:val="24"/>
          <w:lang w:val="zh-CN"/>
        </w:rPr>
      </w:pPr>
      <w:r>
        <w:rPr>
          <w:rFonts w:hint="eastAsia" w:cs="Times New Roman" w:hAnsiTheme="minorEastAsia"/>
          <w:color w:val="auto"/>
          <w:kern w:val="0"/>
          <w:sz w:val="24"/>
          <w:szCs w:val="24"/>
          <w:lang w:val="zh-CN"/>
        </w:rPr>
        <w:t>签字（签章）：                                       公章：</w:t>
      </w:r>
    </w:p>
    <w:p w14:paraId="2513153A">
      <w:pPr>
        <w:widowControl w:val="0"/>
        <w:spacing w:line="480" w:lineRule="auto"/>
        <w:ind w:firstLine="472" w:firstLineChars="197"/>
        <w:rPr>
          <w:rFonts w:cs="Times New Roman" w:hAnsiTheme="minorEastAsia"/>
          <w:color w:val="auto"/>
          <w:kern w:val="0"/>
          <w:sz w:val="24"/>
          <w:szCs w:val="24"/>
          <w:lang w:val="zh-CN"/>
        </w:rPr>
      </w:pPr>
      <w:r>
        <w:rPr>
          <w:rFonts w:hint="eastAsia" w:cs="Times New Roman" w:hAnsiTheme="minorEastAsia"/>
          <w:color w:val="auto"/>
          <w:kern w:val="0"/>
          <w:sz w:val="24"/>
          <w:szCs w:val="24"/>
          <w:lang w:val="zh-CN"/>
        </w:rPr>
        <w:t>日期：</w:t>
      </w:r>
    </w:p>
    <w:p w14:paraId="76733C4C">
      <w:pPr>
        <w:widowControl w:val="0"/>
        <w:snapToGrid w:val="0"/>
        <w:ind w:firstLine="0" w:firstLineChars="0"/>
        <w:jc w:val="both"/>
        <w:rPr>
          <w:rFonts w:cs="Times New Roman" w:hAnsiTheme="minorEastAsia"/>
          <w:b/>
          <w:color w:val="auto"/>
          <w:kern w:val="0"/>
          <w:sz w:val="24"/>
          <w:szCs w:val="24"/>
          <w:lang w:val="zh-CN"/>
        </w:rPr>
      </w:pPr>
      <w:r>
        <w:rPr>
          <w:rFonts w:hint="eastAsia" w:cs="Times New Roman" w:hAnsiTheme="minorEastAsia"/>
          <w:b/>
          <w:color w:val="auto"/>
          <w:kern w:val="0"/>
          <w:sz w:val="24"/>
          <w:szCs w:val="24"/>
          <w:lang w:val="zh-CN"/>
        </w:rPr>
        <w:t>说明：</w:t>
      </w:r>
    </w:p>
    <w:p w14:paraId="0D95F38D">
      <w:pPr>
        <w:widowControl w:val="0"/>
        <w:ind w:left="25" w:leftChars="12" w:firstLine="354" w:firstLineChars="147"/>
        <w:jc w:val="both"/>
        <w:rPr>
          <w:rFonts w:cs="Times New Roman" w:hAnsiTheme="minorEastAsia"/>
          <w:b/>
          <w:bCs/>
          <w:color w:val="auto"/>
          <w:kern w:val="0"/>
          <w:sz w:val="24"/>
          <w:szCs w:val="24"/>
          <w:lang w:val="zh-CN"/>
        </w:rPr>
      </w:pPr>
      <w:r>
        <w:rPr>
          <w:rFonts w:hint="eastAsia" w:cs="Times New Roman" w:hAnsiTheme="minorEastAsia"/>
          <w:b/>
          <w:color w:val="auto"/>
          <w:kern w:val="0"/>
          <w:sz w:val="24"/>
          <w:szCs w:val="24"/>
          <w:lang w:val="zh-CN"/>
        </w:rPr>
        <w:t>1.投诉人提起投诉时，应当提交投诉书和必要的证明材料，并按照被投诉人和与投诉事项有关的供应商数量提供投诉书副本</w:t>
      </w:r>
      <w:r>
        <w:rPr>
          <w:rFonts w:hint="eastAsia" w:cs="Times New Roman" w:hAnsiTheme="minorEastAsia"/>
          <w:b/>
          <w:bCs/>
          <w:color w:val="auto"/>
          <w:kern w:val="0"/>
          <w:sz w:val="24"/>
          <w:szCs w:val="24"/>
          <w:lang w:val="zh-CN"/>
        </w:rPr>
        <w:t>。</w:t>
      </w:r>
    </w:p>
    <w:p w14:paraId="6ECC549F">
      <w:pPr>
        <w:widowControl w:val="0"/>
        <w:ind w:left="25" w:leftChars="12" w:firstLine="354" w:firstLineChars="147"/>
        <w:jc w:val="both"/>
        <w:rPr>
          <w:rFonts w:cs="Times New Roman" w:hAnsiTheme="minorEastAsia"/>
          <w:b/>
          <w:color w:val="auto"/>
          <w:kern w:val="0"/>
          <w:sz w:val="24"/>
          <w:szCs w:val="24"/>
          <w:lang w:val="zh-CN"/>
        </w:rPr>
      </w:pPr>
      <w:r>
        <w:rPr>
          <w:rFonts w:hint="eastAsia" w:cs="Times New Roman" w:hAnsiTheme="minorEastAsia"/>
          <w:b/>
          <w:color w:val="auto"/>
          <w:kern w:val="0"/>
          <w:sz w:val="24"/>
          <w:szCs w:val="24"/>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B155843">
      <w:pPr>
        <w:widowControl w:val="0"/>
        <w:ind w:left="25" w:leftChars="12" w:firstLine="354" w:firstLineChars="147"/>
        <w:jc w:val="both"/>
        <w:rPr>
          <w:rFonts w:cs="Times New Roman" w:hAnsiTheme="minorEastAsia"/>
          <w:b/>
          <w:color w:val="auto"/>
          <w:kern w:val="0"/>
          <w:sz w:val="24"/>
          <w:szCs w:val="24"/>
          <w:lang w:val="zh-CN"/>
        </w:rPr>
      </w:pPr>
      <w:r>
        <w:rPr>
          <w:rFonts w:hint="eastAsia" w:cs="Times New Roman" w:hAnsiTheme="minorEastAsia"/>
          <w:b/>
          <w:color w:val="auto"/>
          <w:kern w:val="0"/>
          <w:sz w:val="24"/>
          <w:szCs w:val="24"/>
          <w:lang w:val="zh-CN"/>
        </w:rPr>
        <w:t>3.投诉书应简要列明质疑事项，质疑函、质疑答复等作为附件材料提供。</w:t>
      </w:r>
    </w:p>
    <w:p w14:paraId="2B5B23F3">
      <w:pPr>
        <w:widowControl w:val="0"/>
        <w:ind w:left="25" w:leftChars="12" w:firstLine="354" w:firstLineChars="147"/>
        <w:jc w:val="both"/>
        <w:rPr>
          <w:rFonts w:cs="Times New Roman" w:hAnsiTheme="minorEastAsia"/>
          <w:b/>
          <w:color w:val="auto"/>
          <w:kern w:val="0"/>
          <w:sz w:val="24"/>
          <w:szCs w:val="24"/>
          <w:lang w:val="zh-CN"/>
        </w:rPr>
      </w:pPr>
      <w:r>
        <w:rPr>
          <w:rFonts w:hint="eastAsia" w:cs="Times New Roman" w:hAnsiTheme="minorEastAsia"/>
          <w:b/>
          <w:color w:val="auto"/>
          <w:kern w:val="0"/>
          <w:sz w:val="24"/>
          <w:szCs w:val="24"/>
          <w:lang w:val="zh-CN"/>
        </w:rPr>
        <w:t>4.投诉书的投诉事项应具体、明确，并有必要的事实依据和法律依据。</w:t>
      </w:r>
    </w:p>
    <w:p w14:paraId="1566B7DF">
      <w:pPr>
        <w:widowControl w:val="0"/>
        <w:ind w:left="25" w:leftChars="12" w:firstLine="354" w:firstLineChars="147"/>
        <w:jc w:val="both"/>
        <w:rPr>
          <w:rFonts w:cs="Times New Roman" w:hAnsiTheme="minorEastAsia"/>
          <w:b/>
          <w:color w:val="auto"/>
          <w:kern w:val="0"/>
          <w:sz w:val="24"/>
          <w:szCs w:val="24"/>
          <w:lang w:val="zh-CN"/>
        </w:rPr>
      </w:pPr>
      <w:r>
        <w:rPr>
          <w:rFonts w:hint="eastAsia" w:cs="Times New Roman" w:hAnsiTheme="minorEastAsia"/>
          <w:b/>
          <w:color w:val="auto"/>
          <w:kern w:val="0"/>
          <w:sz w:val="24"/>
          <w:szCs w:val="24"/>
          <w:lang w:val="zh-CN"/>
        </w:rPr>
        <w:t>5.投诉书的投诉请求应与投诉事项相关。</w:t>
      </w:r>
    </w:p>
    <w:p w14:paraId="33E45160">
      <w:pPr>
        <w:widowControl w:val="0"/>
        <w:ind w:left="25" w:leftChars="12" w:firstLine="354" w:firstLineChars="147"/>
        <w:jc w:val="both"/>
        <w:rPr>
          <w:rFonts w:cs="Times New Roman" w:hAnsiTheme="minorEastAsia"/>
          <w:b/>
          <w:color w:val="auto"/>
          <w:kern w:val="0"/>
          <w:sz w:val="24"/>
          <w:szCs w:val="24"/>
          <w:lang w:val="zh-CN"/>
        </w:rPr>
        <w:sectPr>
          <w:footerReference r:id="rId11" w:type="default"/>
          <w:pgSz w:w="11906" w:h="16838"/>
          <w:pgMar w:top="1440" w:right="1080" w:bottom="1440" w:left="1080" w:header="851" w:footer="992" w:gutter="0"/>
          <w:pgNumType w:start="1"/>
          <w:cols w:space="425" w:num="1"/>
          <w:docGrid w:linePitch="312" w:charSpace="0"/>
        </w:sectPr>
      </w:pPr>
      <w:r>
        <w:rPr>
          <w:rFonts w:hint="eastAsia" w:cs="Times New Roman" w:hAnsiTheme="minorEastAsia"/>
          <w:b/>
          <w:color w:val="auto"/>
          <w:kern w:val="0"/>
          <w:sz w:val="24"/>
          <w:szCs w:val="24"/>
          <w:lang w:val="zh-CN"/>
        </w:rPr>
        <w:t>6.投诉人为法人或者其他组织的，投诉书应由法定代表人、主要负责人，或者其授权代表签字或者盖章，并加盖公章。</w:t>
      </w:r>
    </w:p>
    <w:p w14:paraId="2D3DA94E">
      <w:pPr>
        <w:pStyle w:val="49"/>
        <w:rPr>
          <w:rFonts w:ascii="仿宋" w:hAnsi="仿宋" w:eastAsia="仿宋" w:cs="仿宋"/>
          <w:color w:val="auto"/>
        </w:rPr>
      </w:pPr>
      <w:bookmarkStart w:id="20" w:name="_Toc76480570"/>
    </w:p>
    <w:p w14:paraId="79DF8A4D">
      <w:pPr>
        <w:pStyle w:val="49"/>
        <w:rPr>
          <w:rFonts w:ascii="仿宋" w:hAnsi="仿宋" w:eastAsia="仿宋" w:cs="仿宋"/>
          <w:color w:val="auto"/>
        </w:rPr>
      </w:pPr>
    </w:p>
    <w:p w14:paraId="331A50B0">
      <w:pPr>
        <w:pStyle w:val="49"/>
        <w:rPr>
          <w:rFonts w:ascii="仿宋" w:hAnsi="仿宋" w:eastAsia="仿宋" w:cs="仿宋"/>
          <w:color w:val="auto"/>
        </w:rPr>
      </w:pPr>
    </w:p>
    <w:p w14:paraId="3DEF4CE5">
      <w:pPr>
        <w:pStyle w:val="49"/>
        <w:rPr>
          <w:rFonts w:ascii="仿宋" w:hAnsi="仿宋" w:eastAsia="仿宋" w:cs="仿宋"/>
          <w:color w:val="auto"/>
        </w:rPr>
      </w:pPr>
      <w:r>
        <w:rPr>
          <w:rFonts w:hint="eastAsia" w:ascii="仿宋" w:hAnsi="仿宋" w:eastAsia="仿宋" w:cs="仿宋"/>
          <w:color w:val="auto"/>
        </w:rPr>
        <w:t>第六章 合同文本</w:t>
      </w:r>
      <w:bookmarkEnd w:id="20"/>
    </w:p>
    <w:p w14:paraId="1683F681">
      <w:pPr>
        <w:ind w:firstLine="420"/>
        <w:rPr>
          <w:rFonts w:ascii="仿宋" w:hAnsi="仿宋" w:eastAsia="仿宋" w:cs="仿宋"/>
          <w:color w:val="auto"/>
        </w:rPr>
      </w:pPr>
      <w:r>
        <w:rPr>
          <w:rFonts w:hint="eastAsia" w:ascii="仿宋" w:hAnsi="仿宋" w:eastAsia="仿宋" w:cs="仿宋"/>
          <w:color w:val="auto"/>
        </w:rPr>
        <w:br w:type="page"/>
      </w:r>
    </w:p>
    <w:p w14:paraId="5FCCCFE4">
      <w:pPr>
        <w:snapToGrid w:val="0"/>
        <w:spacing w:line="400" w:lineRule="exact"/>
        <w:jc w:val="center"/>
      </w:pPr>
      <w:r>
        <w:rPr>
          <w:rFonts w:hint="eastAsia" w:ascii="宋体" w:hAnsi="宋体" w:cs="宋体"/>
          <w:b/>
          <w:bCs/>
          <w:sz w:val="32"/>
          <w:szCs w:val="32"/>
        </w:rPr>
        <w:t>广西壮族自治区政府采购合同》</w:t>
      </w:r>
      <w:r>
        <w:rPr>
          <w:rFonts w:hint="eastAsia" w:ascii="宋体" w:hAnsi="宋体" w:cs="宋体"/>
          <w:b/>
          <w:sz w:val="32"/>
          <w:szCs w:val="32"/>
        </w:rPr>
        <w:t>文本</w:t>
      </w:r>
    </w:p>
    <w:p w14:paraId="72F77623">
      <w:pPr>
        <w:spacing w:line="360" w:lineRule="auto"/>
        <w:ind w:right="800"/>
        <w:rPr>
          <w:rFonts w:hint="eastAsia" w:ascii="宋体" w:hAnsi="宋体" w:cs="宋体"/>
          <w:bCs/>
          <w:color w:val="000000"/>
          <w:szCs w:val="21"/>
        </w:rPr>
      </w:pPr>
    </w:p>
    <w:p w14:paraId="4382C570">
      <w:pPr>
        <w:spacing w:line="360" w:lineRule="auto"/>
        <w:ind w:right="800"/>
        <w:rPr>
          <w:rFonts w:hint="eastAsia" w:ascii="宋体" w:hAnsi="宋体" w:cs="宋体"/>
          <w:color w:val="000000"/>
          <w:szCs w:val="21"/>
          <w:u w:val="single"/>
        </w:rPr>
      </w:pPr>
      <w:r>
        <w:rPr>
          <w:rFonts w:hint="eastAsia" w:ascii="宋体" w:hAnsi="宋体" w:cs="宋体"/>
          <w:bCs/>
          <w:color w:val="000000"/>
          <w:szCs w:val="21"/>
        </w:rPr>
        <w:t>合同编号：</w:t>
      </w:r>
      <w:r>
        <w:rPr>
          <w:rFonts w:hint="eastAsia" w:ascii="宋体" w:hAnsi="宋体" w:cs="宋体"/>
          <w:color w:val="000000"/>
          <w:szCs w:val="21"/>
          <w:u w:val="single"/>
        </w:rPr>
        <w:t xml:space="preserve">               </w:t>
      </w:r>
    </w:p>
    <w:p w14:paraId="0A02B0E0">
      <w:pPr>
        <w:spacing w:line="360" w:lineRule="auto"/>
        <w:ind w:right="800"/>
        <w:rPr>
          <w:rFonts w:hint="eastAsia" w:ascii="宋体" w:hAnsi="宋体" w:cs="宋体"/>
          <w:color w:val="000000"/>
          <w:szCs w:val="21"/>
        </w:rPr>
      </w:pPr>
      <w:r>
        <w:rPr>
          <w:rFonts w:hint="eastAsia" w:ascii="宋体" w:hAnsi="宋体" w:cs="宋体"/>
          <w:color w:val="000000"/>
          <w:szCs w:val="21"/>
        </w:rPr>
        <w:t>采购计划号：</w:t>
      </w:r>
      <w:r>
        <w:rPr>
          <w:rFonts w:hint="eastAsia" w:ascii="宋体" w:hAnsi="宋体" w:cs="宋体"/>
          <w:color w:val="000000"/>
          <w:szCs w:val="21"/>
          <w:u w:val="single"/>
        </w:rPr>
        <w:t xml:space="preserve">               </w:t>
      </w:r>
    </w:p>
    <w:p w14:paraId="223429F4">
      <w:pPr>
        <w:spacing w:line="360" w:lineRule="auto"/>
        <w:rPr>
          <w:rFonts w:hint="eastAsia" w:ascii="宋体" w:hAnsi="宋体" w:cs="宋体"/>
          <w:color w:val="000000"/>
          <w:szCs w:val="21"/>
        </w:rPr>
      </w:pPr>
      <w:r>
        <w:rPr>
          <w:rFonts w:hint="eastAsia" w:ascii="宋体" w:hAnsi="宋体" w:cs="宋体"/>
          <w:color w:val="000000"/>
          <w:szCs w:val="21"/>
        </w:rPr>
        <w:t>采购人（甲方）：</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34ED9E90">
      <w:pPr>
        <w:spacing w:line="360" w:lineRule="auto"/>
        <w:rPr>
          <w:rFonts w:hint="eastAsia" w:ascii="宋体" w:hAnsi="宋体" w:cs="宋体"/>
          <w:color w:val="000000"/>
          <w:szCs w:val="21"/>
          <w:u w:val="single"/>
        </w:rPr>
      </w:pPr>
      <w:r>
        <w:rPr>
          <w:rFonts w:hint="eastAsia" w:ascii="宋体" w:hAnsi="宋体" w:cs="宋体"/>
          <w:color w:val="000000"/>
          <w:szCs w:val="21"/>
        </w:rPr>
        <w:t>成交供应商（乙方）：</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7642A925">
      <w:pPr>
        <w:spacing w:line="360" w:lineRule="auto"/>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C295251">
      <w:pPr>
        <w:spacing w:line="360" w:lineRule="auto"/>
        <w:rPr>
          <w:rFonts w:hint="eastAsia" w:ascii="宋体" w:hAnsi="宋体" w:cs="宋体"/>
          <w:color w:val="000000"/>
          <w:szCs w:val="21"/>
          <w:u w:val="single"/>
        </w:rPr>
      </w:pPr>
      <w:r>
        <w:rPr>
          <w:rFonts w:hint="eastAsia" w:ascii="宋体" w:hAnsi="宋体" w:cs="宋体"/>
          <w:color w:val="000000"/>
          <w:szCs w:val="21"/>
        </w:rPr>
        <w:t>项目编号：</w:t>
      </w:r>
      <w:r>
        <w:rPr>
          <w:rFonts w:hint="eastAsia" w:ascii="宋体" w:hAnsi="宋体" w:cs="宋体"/>
          <w:color w:val="000000"/>
          <w:szCs w:val="21"/>
          <w:u w:val="single"/>
        </w:rPr>
        <w:t xml:space="preserve">                             </w:t>
      </w:r>
    </w:p>
    <w:p w14:paraId="3F7AE2C8">
      <w:pPr>
        <w:spacing w:line="360" w:lineRule="auto"/>
        <w:rPr>
          <w:rFonts w:hint="eastAsia" w:ascii="宋体" w:hAnsi="宋体" w:cs="宋体"/>
          <w:color w:val="000000"/>
          <w:szCs w:val="21"/>
          <w:u w:val="single"/>
        </w:rPr>
      </w:pPr>
      <w:r>
        <w:rPr>
          <w:rFonts w:hint="eastAsia" w:ascii="宋体" w:hAnsi="宋体" w:cs="宋体"/>
          <w:color w:val="000000"/>
          <w:szCs w:val="21"/>
        </w:rPr>
        <w:t>签订地点：</w:t>
      </w:r>
      <w:r>
        <w:rPr>
          <w:rFonts w:hint="eastAsia" w:ascii="宋体" w:hAnsi="宋体" w:cs="宋体"/>
          <w:color w:val="000000"/>
          <w:szCs w:val="21"/>
          <w:u w:val="single"/>
        </w:rPr>
        <w:t xml:space="preserve">                             </w:t>
      </w:r>
      <w:r>
        <w:rPr>
          <w:rFonts w:hint="eastAsia" w:ascii="宋体" w:hAnsi="宋体" w:cs="宋体"/>
          <w:color w:val="000000"/>
          <w:szCs w:val="21"/>
        </w:rPr>
        <w:t xml:space="preserve">                    签订时间：</w:t>
      </w:r>
      <w:r>
        <w:rPr>
          <w:rFonts w:hint="eastAsia" w:ascii="宋体" w:hAnsi="宋体" w:cs="宋体"/>
          <w:color w:val="000000"/>
          <w:szCs w:val="21"/>
          <w:u w:val="single"/>
        </w:rPr>
        <w:t xml:space="preserve">               </w:t>
      </w:r>
    </w:p>
    <w:p w14:paraId="04D56893">
      <w:pPr>
        <w:spacing w:line="360" w:lineRule="auto"/>
        <w:rPr>
          <w:rFonts w:hint="eastAsia" w:ascii="宋体" w:hAnsi="宋体" w:cs="宋体"/>
          <w:color w:val="000000"/>
          <w:szCs w:val="21"/>
          <w:u w:val="single"/>
        </w:rPr>
      </w:pPr>
    </w:p>
    <w:p w14:paraId="7798BA7E">
      <w:pPr>
        <w:spacing w:line="360" w:lineRule="auto"/>
        <w:ind w:firstLine="420" w:firstLineChars="200"/>
        <w:rPr>
          <w:rFonts w:hint="eastAsia" w:ascii="宋体" w:hAnsi="宋体" w:cs="宋体"/>
          <w:color w:val="000000"/>
          <w:szCs w:val="21"/>
        </w:rPr>
      </w:pPr>
    </w:p>
    <w:p w14:paraId="79B089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根据《中华人民共和国政府采购法》《中华人民共和国民法典》等法律、法规规定，按照竞争性</w:t>
      </w:r>
      <w:r>
        <w:rPr>
          <w:rFonts w:hint="eastAsia" w:ascii="宋体" w:hAnsi="宋体"/>
          <w:color w:val="000000"/>
          <w:szCs w:val="21"/>
        </w:rPr>
        <w:t>磋商文件规定条款和乙方响应文件及其承诺，甲乙双方签订本合同。</w:t>
      </w:r>
    </w:p>
    <w:p w14:paraId="09FAC114">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第一条　合同标的</w:t>
      </w:r>
    </w:p>
    <w:p w14:paraId="30C20E7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1、合同总金额：</w:t>
      </w:r>
      <w:r>
        <w:rPr>
          <w:rFonts w:hint="eastAsia" w:ascii="宋体" w:hAnsi="宋体" w:cs="宋体"/>
          <w:color w:val="000000"/>
          <w:szCs w:val="21"/>
          <w:u w:val="single"/>
        </w:rPr>
        <w:t xml:space="preserve">（大写）人民币                （小写）¥                </w:t>
      </w:r>
      <w:r>
        <w:rPr>
          <w:rFonts w:hint="eastAsia" w:ascii="宋体" w:hAnsi="宋体" w:cs="宋体"/>
          <w:color w:val="000000"/>
          <w:szCs w:val="21"/>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45"/>
        <w:gridCol w:w="773"/>
        <w:gridCol w:w="888"/>
        <w:gridCol w:w="1200"/>
        <w:gridCol w:w="2458"/>
        <w:gridCol w:w="1146"/>
        <w:gridCol w:w="932"/>
        <w:gridCol w:w="743"/>
      </w:tblGrid>
      <w:tr w14:paraId="20CA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669" w:type="dxa"/>
            <w:noWrap w:val="0"/>
            <w:vAlign w:val="center"/>
          </w:tcPr>
          <w:p w14:paraId="514EEA61">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序号</w:t>
            </w:r>
          </w:p>
        </w:tc>
        <w:tc>
          <w:tcPr>
            <w:tcW w:w="1045" w:type="dxa"/>
            <w:noWrap w:val="0"/>
            <w:vAlign w:val="center"/>
          </w:tcPr>
          <w:p w14:paraId="36D6732D">
            <w:pPr>
              <w:keepNext w:val="0"/>
              <w:keepLines w:val="0"/>
              <w:widowControl/>
              <w:suppressLineNumbers w:val="0"/>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岗位</w:t>
            </w:r>
          </w:p>
        </w:tc>
        <w:tc>
          <w:tcPr>
            <w:tcW w:w="773" w:type="dxa"/>
            <w:noWrap w:val="0"/>
            <w:vAlign w:val="center"/>
          </w:tcPr>
          <w:p w14:paraId="7EE5A56A">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数量（人）</w:t>
            </w:r>
          </w:p>
        </w:tc>
        <w:tc>
          <w:tcPr>
            <w:tcW w:w="888" w:type="dxa"/>
            <w:noWrap w:val="0"/>
            <w:vAlign w:val="center"/>
          </w:tcPr>
          <w:p w14:paraId="3C359599">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1年服务期限（月）</w:t>
            </w:r>
          </w:p>
        </w:tc>
        <w:tc>
          <w:tcPr>
            <w:tcW w:w="1200" w:type="dxa"/>
            <w:noWrap w:val="0"/>
            <w:vAlign w:val="center"/>
          </w:tcPr>
          <w:p w14:paraId="4838286C">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 xml:space="preserve">人员工资 </w:t>
            </w:r>
            <w:r>
              <w:rPr>
                <w:rFonts w:hint="eastAsia" w:ascii="宋体" w:hAnsi="宋体" w:eastAsia="宋体" w:cs="宋体"/>
                <w:b w:val="0"/>
                <w:bCs w:val="0"/>
                <w:color w:val="auto"/>
                <w:sz w:val="21"/>
                <w:szCs w:val="21"/>
                <w:highlight w:val="none"/>
              </w:rPr>
              <w:t>（元/人/ 月）</w:t>
            </w:r>
          </w:p>
        </w:tc>
        <w:tc>
          <w:tcPr>
            <w:tcW w:w="2458" w:type="dxa"/>
            <w:noWrap w:val="0"/>
            <w:vAlign w:val="center"/>
          </w:tcPr>
          <w:p w14:paraId="7CB17007">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其他费用（</w:t>
            </w:r>
            <w:r>
              <w:rPr>
                <w:rFonts w:hint="eastAsia" w:ascii="宋体" w:hAnsi="宋体" w:eastAsia="宋体" w:cs="宋体"/>
                <w:b w:val="0"/>
                <w:bCs w:val="0"/>
                <w:color w:val="auto"/>
                <w:sz w:val="21"/>
                <w:szCs w:val="21"/>
                <w:highlight w:val="none"/>
                <w:lang w:val="en-US" w:eastAsia="zh-CN"/>
              </w:rPr>
              <w:t>包含</w:t>
            </w:r>
            <w:r>
              <w:rPr>
                <w:rFonts w:hint="eastAsia" w:ascii="宋体" w:hAnsi="宋体" w:eastAsia="宋体" w:cs="宋体"/>
                <w:b w:val="0"/>
                <w:bCs w:val="0"/>
                <w:color w:val="auto"/>
                <w:sz w:val="21"/>
                <w:szCs w:val="21"/>
                <w:highlight w:val="none"/>
              </w:rPr>
              <w:t>社保费、福利待遇、节假日、加班人员意外伤亡赔偿抚恤金，工作服装等，必须的保险费用和各项税费） （每月/人）</w:t>
            </w:r>
          </w:p>
        </w:tc>
        <w:tc>
          <w:tcPr>
            <w:tcW w:w="1146" w:type="dxa"/>
            <w:noWrap w:val="0"/>
            <w:vAlign w:val="center"/>
          </w:tcPr>
          <w:p w14:paraId="3EE421D4">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其中，服务管理费 （元/人/ 月）</w:t>
            </w:r>
          </w:p>
        </w:tc>
        <w:tc>
          <w:tcPr>
            <w:tcW w:w="932" w:type="dxa"/>
            <w:noWrap w:val="0"/>
            <w:vAlign w:val="center"/>
          </w:tcPr>
          <w:p w14:paraId="1527769A">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合计 （元 ）</w:t>
            </w:r>
          </w:p>
        </w:tc>
        <w:tc>
          <w:tcPr>
            <w:tcW w:w="743" w:type="dxa"/>
            <w:noWrap w:val="0"/>
            <w:vAlign w:val="center"/>
          </w:tcPr>
          <w:p w14:paraId="427C2D3E">
            <w:pPr>
              <w:keepNext w:val="0"/>
              <w:keepLines w:val="0"/>
              <w:widowControl/>
              <w:suppressLineNumbers w:val="0"/>
              <w:snapToGrid w:val="0"/>
              <w:spacing w:before="50" w:after="50" w:line="400" w:lineRule="exact"/>
              <w:ind w:left="0" w:leftChars="0" w:firstLine="0" w:firstLineChars="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备注</w:t>
            </w:r>
          </w:p>
        </w:tc>
      </w:tr>
      <w:tr w14:paraId="2FFB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9" w:type="dxa"/>
            <w:noWrap w:val="0"/>
            <w:vAlign w:val="center"/>
          </w:tcPr>
          <w:p w14:paraId="09023F60">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045" w:type="dxa"/>
            <w:noWrap w:val="0"/>
            <w:vAlign w:val="center"/>
          </w:tcPr>
          <w:p w14:paraId="2A27F047">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队长</w:t>
            </w:r>
          </w:p>
        </w:tc>
        <w:tc>
          <w:tcPr>
            <w:tcW w:w="773" w:type="dxa"/>
            <w:noWrap w:val="0"/>
            <w:vAlign w:val="center"/>
          </w:tcPr>
          <w:p w14:paraId="15AF192C">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888" w:type="dxa"/>
            <w:noWrap w:val="0"/>
            <w:vAlign w:val="center"/>
          </w:tcPr>
          <w:p w14:paraId="183B9994">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200" w:type="dxa"/>
            <w:noWrap w:val="0"/>
            <w:vAlign w:val="center"/>
          </w:tcPr>
          <w:p w14:paraId="7B9355A7">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2458" w:type="dxa"/>
            <w:noWrap w:val="0"/>
            <w:vAlign w:val="center"/>
          </w:tcPr>
          <w:p w14:paraId="6E727FC9">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146" w:type="dxa"/>
            <w:noWrap w:val="0"/>
            <w:vAlign w:val="center"/>
          </w:tcPr>
          <w:p w14:paraId="0CE0B227">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932" w:type="dxa"/>
            <w:noWrap w:val="0"/>
            <w:vAlign w:val="center"/>
          </w:tcPr>
          <w:p w14:paraId="58F8FF68">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743" w:type="dxa"/>
            <w:noWrap w:val="0"/>
            <w:vAlign w:val="center"/>
          </w:tcPr>
          <w:p w14:paraId="39218E66">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r>
      <w:tr w14:paraId="7204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9" w:type="dxa"/>
            <w:noWrap w:val="0"/>
            <w:vAlign w:val="center"/>
          </w:tcPr>
          <w:p w14:paraId="0040AF8F">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1045" w:type="dxa"/>
            <w:noWrap w:val="0"/>
            <w:vAlign w:val="center"/>
          </w:tcPr>
          <w:p w14:paraId="27216A8B">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cs="宋体"/>
                <w:color w:val="auto"/>
                <w:szCs w:val="21"/>
              </w:rPr>
              <w:t>副队长</w:t>
            </w:r>
          </w:p>
        </w:tc>
        <w:tc>
          <w:tcPr>
            <w:tcW w:w="773" w:type="dxa"/>
            <w:noWrap w:val="0"/>
            <w:vAlign w:val="center"/>
          </w:tcPr>
          <w:p w14:paraId="7DFC6DFD">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888" w:type="dxa"/>
            <w:noWrap w:val="0"/>
            <w:vAlign w:val="center"/>
          </w:tcPr>
          <w:p w14:paraId="0EC6413E">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200" w:type="dxa"/>
            <w:noWrap w:val="0"/>
            <w:vAlign w:val="center"/>
          </w:tcPr>
          <w:p w14:paraId="3C3A4307">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2458" w:type="dxa"/>
            <w:noWrap w:val="0"/>
            <w:vAlign w:val="center"/>
          </w:tcPr>
          <w:p w14:paraId="69716768">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146" w:type="dxa"/>
            <w:noWrap w:val="0"/>
            <w:vAlign w:val="center"/>
          </w:tcPr>
          <w:p w14:paraId="7FD3248A">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932" w:type="dxa"/>
            <w:noWrap w:val="0"/>
            <w:vAlign w:val="center"/>
          </w:tcPr>
          <w:p w14:paraId="3DC57E7E">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743" w:type="dxa"/>
            <w:noWrap w:val="0"/>
            <w:vAlign w:val="center"/>
          </w:tcPr>
          <w:p w14:paraId="38015BAE">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r>
      <w:tr w14:paraId="2327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9" w:type="dxa"/>
            <w:noWrap w:val="0"/>
            <w:vAlign w:val="center"/>
          </w:tcPr>
          <w:p w14:paraId="0F8C8DF1">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1045" w:type="dxa"/>
            <w:noWrap w:val="0"/>
            <w:vAlign w:val="center"/>
          </w:tcPr>
          <w:p w14:paraId="238F1F09">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cs="宋体"/>
                <w:color w:val="auto"/>
                <w:szCs w:val="21"/>
              </w:rPr>
              <w:t>班长</w:t>
            </w:r>
          </w:p>
        </w:tc>
        <w:tc>
          <w:tcPr>
            <w:tcW w:w="773" w:type="dxa"/>
            <w:noWrap w:val="0"/>
            <w:vAlign w:val="center"/>
          </w:tcPr>
          <w:p w14:paraId="64ED0AF4">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888" w:type="dxa"/>
            <w:noWrap w:val="0"/>
            <w:vAlign w:val="center"/>
          </w:tcPr>
          <w:p w14:paraId="3257989D">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200" w:type="dxa"/>
            <w:noWrap w:val="0"/>
            <w:vAlign w:val="center"/>
          </w:tcPr>
          <w:p w14:paraId="09082897">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2458" w:type="dxa"/>
            <w:noWrap w:val="0"/>
            <w:vAlign w:val="center"/>
          </w:tcPr>
          <w:p w14:paraId="5149A47E">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146" w:type="dxa"/>
            <w:noWrap w:val="0"/>
            <w:vAlign w:val="center"/>
          </w:tcPr>
          <w:p w14:paraId="19F8F6DF">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932" w:type="dxa"/>
            <w:noWrap w:val="0"/>
            <w:vAlign w:val="center"/>
          </w:tcPr>
          <w:p w14:paraId="76275717">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743" w:type="dxa"/>
            <w:noWrap w:val="0"/>
            <w:vAlign w:val="center"/>
          </w:tcPr>
          <w:p w14:paraId="5A88E0D3">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r>
      <w:tr w14:paraId="4465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9" w:type="dxa"/>
            <w:noWrap w:val="0"/>
            <w:vAlign w:val="center"/>
          </w:tcPr>
          <w:p w14:paraId="29179BAF">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1045" w:type="dxa"/>
            <w:noWrap w:val="0"/>
            <w:vAlign w:val="center"/>
          </w:tcPr>
          <w:p w14:paraId="37CA0616">
            <w:pPr>
              <w:snapToGrid w:val="0"/>
              <w:spacing w:before="50" w:after="50" w:line="400" w:lineRule="exact"/>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普通教官</w:t>
            </w:r>
          </w:p>
        </w:tc>
        <w:tc>
          <w:tcPr>
            <w:tcW w:w="773" w:type="dxa"/>
            <w:noWrap w:val="0"/>
            <w:vAlign w:val="center"/>
          </w:tcPr>
          <w:p w14:paraId="74E92ACF">
            <w:pPr>
              <w:snapToGrid w:val="0"/>
              <w:spacing w:before="50" w:after="50" w:line="400" w:lineRule="exact"/>
              <w:ind w:left="0" w:leftChars="0" w:firstLine="0" w:firstLineChars="0"/>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22</w:t>
            </w:r>
          </w:p>
        </w:tc>
        <w:tc>
          <w:tcPr>
            <w:tcW w:w="888" w:type="dxa"/>
            <w:noWrap w:val="0"/>
            <w:vAlign w:val="center"/>
          </w:tcPr>
          <w:p w14:paraId="706BA632">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200" w:type="dxa"/>
            <w:noWrap w:val="0"/>
            <w:vAlign w:val="center"/>
          </w:tcPr>
          <w:p w14:paraId="79A07667">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2458" w:type="dxa"/>
            <w:noWrap w:val="0"/>
            <w:vAlign w:val="center"/>
          </w:tcPr>
          <w:p w14:paraId="7243B9DD">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1146" w:type="dxa"/>
            <w:noWrap w:val="0"/>
            <w:vAlign w:val="center"/>
          </w:tcPr>
          <w:p w14:paraId="375CF249">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932" w:type="dxa"/>
            <w:noWrap w:val="0"/>
            <w:vAlign w:val="center"/>
          </w:tcPr>
          <w:p w14:paraId="391D9F80">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c>
          <w:tcPr>
            <w:tcW w:w="743" w:type="dxa"/>
            <w:noWrap w:val="0"/>
            <w:vAlign w:val="center"/>
          </w:tcPr>
          <w:p w14:paraId="5E4C77EF">
            <w:pPr>
              <w:snapToGrid w:val="0"/>
              <w:spacing w:before="50" w:after="50" w:line="400" w:lineRule="exact"/>
              <w:jc w:val="center"/>
              <w:rPr>
                <w:rFonts w:hint="eastAsia" w:ascii="宋体" w:hAnsi="宋体" w:eastAsia="宋体" w:cs="宋体"/>
                <w:b w:val="0"/>
                <w:bCs w:val="0"/>
                <w:color w:val="auto"/>
                <w:sz w:val="21"/>
                <w:szCs w:val="21"/>
                <w:highlight w:val="none"/>
                <w:vertAlign w:val="baseline"/>
              </w:rPr>
            </w:pPr>
          </w:p>
        </w:tc>
      </w:tr>
      <w:tr w14:paraId="3EF3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854" w:type="dxa"/>
            <w:gridSpan w:val="9"/>
            <w:noWrap w:val="0"/>
            <w:vAlign w:val="top"/>
          </w:tcPr>
          <w:p w14:paraId="116182B8">
            <w:pPr>
              <w:snapToGrid w:val="0"/>
              <w:spacing w:before="50" w:after="50" w:line="400" w:lineRule="exact"/>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1年</w:t>
            </w:r>
            <w:r>
              <w:rPr>
                <w:rFonts w:hint="eastAsia" w:ascii="宋体" w:hAnsi="宋体" w:eastAsia="宋体" w:cs="宋体"/>
                <w:b w:val="0"/>
                <w:bCs w:val="0"/>
                <w:color w:val="auto"/>
                <w:sz w:val="21"/>
                <w:szCs w:val="21"/>
                <w:highlight w:val="none"/>
                <w:vertAlign w:val="baseline"/>
              </w:rPr>
              <w:t xml:space="preserve">总金额：人民币 </w:t>
            </w:r>
            <w:r>
              <w:rPr>
                <w:rFonts w:hint="eastAsia" w:ascii="宋体" w:hAnsi="宋体" w:eastAsia="宋体" w:cs="宋体"/>
                <w:b w:val="0"/>
                <w:bCs w:val="0"/>
                <w:color w:val="auto"/>
                <w:sz w:val="21"/>
                <w:szCs w:val="21"/>
                <w:highlight w:val="none"/>
                <w:vertAlign w:val="baseline"/>
                <w:lang w:val="en-US" w:eastAsia="zh-CN"/>
              </w:rPr>
              <w:t xml:space="preserve">                         </w:t>
            </w:r>
            <w:r>
              <w:rPr>
                <w:rFonts w:hint="eastAsia" w:ascii="宋体" w:hAnsi="宋体" w:eastAsia="宋体" w:cs="宋体"/>
                <w:b w:val="0"/>
                <w:bCs w:val="0"/>
                <w:color w:val="auto"/>
                <w:sz w:val="21"/>
                <w:szCs w:val="21"/>
                <w:highlight w:val="none"/>
                <w:vertAlign w:val="baseline"/>
              </w:rPr>
              <w:t xml:space="preserve">（¥ </w:t>
            </w:r>
            <w:r>
              <w:rPr>
                <w:rFonts w:hint="eastAsia" w:ascii="宋体" w:hAnsi="宋体" w:eastAsia="宋体" w:cs="宋体"/>
                <w:b w:val="0"/>
                <w:bCs w:val="0"/>
                <w:color w:val="auto"/>
                <w:sz w:val="21"/>
                <w:szCs w:val="21"/>
                <w:highlight w:val="none"/>
                <w:vertAlign w:val="baseline"/>
                <w:lang w:val="en-US" w:eastAsia="zh-CN"/>
              </w:rPr>
              <w:t xml:space="preserve">                     </w:t>
            </w:r>
            <w:r>
              <w:rPr>
                <w:rFonts w:hint="eastAsia" w:ascii="宋体" w:hAnsi="宋体" w:eastAsia="宋体" w:cs="宋体"/>
                <w:b w:val="0"/>
                <w:bCs w:val="0"/>
                <w:color w:val="auto"/>
                <w:sz w:val="21"/>
                <w:szCs w:val="21"/>
                <w:highlight w:val="none"/>
                <w:vertAlign w:val="baseline"/>
              </w:rPr>
              <w:t>）</w:t>
            </w:r>
          </w:p>
        </w:tc>
      </w:tr>
    </w:tbl>
    <w:p w14:paraId="7966735D">
      <w:pPr>
        <w:spacing w:line="360" w:lineRule="auto"/>
        <w:ind w:firstLine="422" w:firstLineChars="200"/>
        <w:rPr>
          <w:rFonts w:hint="eastAsia" w:ascii="宋体" w:hAnsi="宋体" w:cs="宋体" w:eastAsiaTheme="minorEastAsia"/>
          <w:b/>
          <w:bCs/>
          <w:color w:val="000000"/>
          <w:szCs w:val="21"/>
          <w:lang w:val="en-US" w:eastAsia="zh-CN"/>
        </w:rPr>
      </w:pPr>
      <w:r>
        <w:rPr>
          <w:rFonts w:hint="eastAsia" w:ascii="宋体" w:hAnsi="宋体" w:cs="宋体"/>
          <w:b/>
          <w:bCs/>
          <w:color w:val="000000"/>
          <w:szCs w:val="21"/>
          <w:lang w:val="en-US" w:eastAsia="zh-CN"/>
        </w:rPr>
        <w:t>注：在服务期间，采购人根据学生人数变更有需求增加或减少派驻人员，双方可按照本次合同签订补充协议增加或减少派驻人员数量，服务费相应增加或减少，增加的服务费最多增加本项目合同总金额的10%。</w:t>
      </w:r>
    </w:p>
    <w:p w14:paraId="00EBF299">
      <w:pPr>
        <w:spacing w:line="360" w:lineRule="auto"/>
        <w:ind w:firstLine="420" w:firstLineChars="200"/>
        <w:rPr>
          <w:rFonts w:hint="eastAsia" w:ascii="宋体" w:hAnsi="宋体" w:cs="宋体" w:eastAsiaTheme="minorEastAsia"/>
          <w:color w:val="000000"/>
          <w:szCs w:val="21"/>
          <w:lang w:eastAsia="zh-CN"/>
        </w:rPr>
      </w:pPr>
      <w:r>
        <w:rPr>
          <w:rFonts w:hint="eastAsia" w:ascii="宋体" w:hAnsi="宋体" w:cs="宋体"/>
          <w:color w:val="000000"/>
          <w:szCs w:val="21"/>
        </w:rPr>
        <w:t>2、</w:t>
      </w:r>
      <w:r>
        <w:rPr>
          <w:rFonts w:hint="eastAsia" w:ascii="宋体" w:hAnsi="宋体" w:cs="宋体"/>
          <w:color w:val="000000"/>
          <w:szCs w:val="21"/>
          <w:lang w:val="en-US" w:eastAsia="zh-CN"/>
        </w:rPr>
        <w:t>服务内容：详见《需求一览表》</w:t>
      </w:r>
    </w:p>
    <w:p w14:paraId="1053B3F8">
      <w:pPr>
        <w:spacing w:line="420" w:lineRule="exact"/>
        <w:rPr>
          <w:rFonts w:hint="eastAsia" w:ascii="宋体" w:hAnsi="宋体" w:cs="宋体"/>
          <w:szCs w:val="21"/>
        </w:rPr>
      </w:pPr>
      <w:r>
        <w:rPr>
          <w:rFonts w:hint="eastAsia" w:ascii="宋体" w:hAnsi="宋体" w:cs="宋体"/>
          <w:color w:val="000000"/>
          <w:szCs w:val="21"/>
        </w:rPr>
        <w:t>3、合同总金额包含但不限于人员的工资、相关的福利待遇和社会保险金、就餐费、高温补贴、法定节假日和公休假加班费以及国家规定的所有相关费用、管理费（包含人员意外伤害保险差额补偿等风险管理费）、人员服装费、人员各种培训费、成交供应商合理利润及其他所有成本费用的总和。</w:t>
      </w:r>
    </w:p>
    <w:p w14:paraId="08C99FC7">
      <w:pPr>
        <w:rPr>
          <w:rFonts w:hint="eastAsia"/>
        </w:rPr>
      </w:pPr>
    </w:p>
    <w:p w14:paraId="1699D920">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第二条　质量保证</w:t>
      </w:r>
    </w:p>
    <w:p w14:paraId="2EF8DEDA">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175DD99E">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第三条　权利保证</w:t>
      </w:r>
    </w:p>
    <w:p w14:paraId="69432916">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1、乙方应保证所提供服务在使用时不会侵犯任何第三方的专利权、商标权、工业设计权等知识产权及其他合法权利，且所有权、处分权等没有受到任何限制。</w:t>
      </w:r>
    </w:p>
    <w:p w14:paraId="660E3247">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BA54439">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第四条　交付和验收</w:t>
      </w:r>
    </w:p>
    <w:p w14:paraId="76329F0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1、服务期限：</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rPr>
        <w:t>，服务地点：</w:t>
      </w:r>
      <w:r>
        <w:rPr>
          <w:rFonts w:hint="eastAsia" w:ascii="宋体" w:hAnsi="宋体" w:cs="宋体"/>
          <w:color w:val="000000"/>
          <w:szCs w:val="21"/>
          <w:u w:val="single"/>
        </w:rPr>
        <w:t xml:space="preserve"> 由甲方指定</w:t>
      </w:r>
      <w:r>
        <w:rPr>
          <w:rFonts w:ascii="宋体" w:hAnsi="宋体" w:cs="宋体"/>
          <w:color w:val="000000"/>
          <w:szCs w:val="21"/>
          <w:u w:val="single"/>
        </w:rPr>
        <w:t xml:space="preserve">   </w:t>
      </w:r>
      <w:r>
        <w:rPr>
          <w:rFonts w:hint="eastAsia" w:ascii="宋体" w:hAnsi="宋体" w:cs="宋体"/>
          <w:color w:val="000000"/>
          <w:szCs w:val="21"/>
        </w:rPr>
        <w:t>。</w:t>
      </w:r>
    </w:p>
    <w:p w14:paraId="7616A42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2、乙方应按响应文件的承诺向甲方提供相应的服务，并提供所服务内容的相关技术资料。</w:t>
      </w:r>
    </w:p>
    <w:p w14:paraId="689F485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3、乙方提供不符合响应文件和本合同规定的服务成果，甲方有权拒绝接受。</w:t>
      </w:r>
    </w:p>
    <w:p w14:paraId="629A9380">
      <w:pPr>
        <w:spacing w:line="360" w:lineRule="auto"/>
        <w:ind w:firstLine="420" w:firstLineChars="200"/>
        <w:rPr>
          <w:rFonts w:hint="eastAsia" w:ascii="宋体" w:hAnsi="宋体"/>
          <w:color w:val="000000"/>
          <w:szCs w:val="21"/>
        </w:rPr>
      </w:pPr>
      <w:r>
        <w:rPr>
          <w:rFonts w:hint="eastAsia" w:ascii="宋体" w:hAnsi="宋体"/>
          <w:color w:val="000000"/>
          <w:szCs w:val="21"/>
        </w:rPr>
        <w:t>4、乙方完成服务后应及时书面通知甲方进行验收，甲方应在收到通知后七个工作日内进行验收。验收合格后由甲乙双方签署验收单并加盖甲方公章，甲乙双方各执一份。</w:t>
      </w:r>
    </w:p>
    <w:p w14:paraId="2E22A164">
      <w:pPr>
        <w:spacing w:line="360" w:lineRule="auto"/>
        <w:ind w:firstLine="420" w:firstLineChars="200"/>
        <w:rPr>
          <w:rFonts w:hint="eastAsia" w:ascii="宋体" w:hAnsi="宋体"/>
          <w:color w:val="000000"/>
          <w:szCs w:val="21"/>
        </w:rPr>
      </w:pPr>
      <w:r>
        <w:rPr>
          <w:rFonts w:hint="eastAsia" w:ascii="宋体" w:hAnsi="宋体" w:cs="宋体"/>
          <w:color w:val="000000"/>
          <w:szCs w:val="21"/>
        </w:rPr>
        <w:t>5、甲乙双方应按照《</w:t>
      </w:r>
      <w:r>
        <w:rPr>
          <w:rFonts w:ascii="宋体" w:hAnsi="宋体" w:cs="宋体"/>
          <w:color w:val="000000"/>
          <w:szCs w:val="21"/>
        </w:rPr>
        <w:t>广西壮族自治区政府采购项目履约验收管理办法</w:t>
      </w:r>
      <w:r>
        <w:rPr>
          <w:rFonts w:hint="eastAsia" w:ascii="宋体" w:hAnsi="宋体" w:cs="宋体"/>
          <w:color w:val="000000"/>
          <w:szCs w:val="21"/>
        </w:rPr>
        <w:t>》、双方合同、响应文件验收。</w:t>
      </w:r>
    </w:p>
    <w:p w14:paraId="15E4CFC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3997154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7、甲方验收时以书面形式提出异议的，乙方应自收到甲方书面异议后五个工作日内及时予以解决，否则甲方有权不出具服务验收合格单。</w:t>
      </w:r>
    </w:p>
    <w:p w14:paraId="1D7C8F92">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第五条  售后服务及培训</w:t>
      </w:r>
    </w:p>
    <w:p w14:paraId="7F152DBC">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1、乙方应按照国家有关法律法规和本合同所附的《售后服务承诺》要求为甲方提供相应的售后服务。</w:t>
      </w:r>
    </w:p>
    <w:p w14:paraId="217E9F0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2、甲方应提供必要测试条件（如场地、电源、水源等）。</w:t>
      </w:r>
    </w:p>
    <w:p w14:paraId="7214F5E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3、乙方负责甲方有关人员的培训。培训时间、地点：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rPr>
        <w:t>。</w:t>
      </w:r>
    </w:p>
    <w:p w14:paraId="593C202E">
      <w:pPr>
        <w:snapToGrid w:val="0"/>
        <w:spacing w:line="360" w:lineRule="auto"/>
        <w:ind w:firstLine="422" w:firstLineChars="200"/>
        <w:rPr>
          <w:rFonts w:hint="eastAsia" w:ascii="宋体" w:hAnsi="宋体" w:cs="宋体"/>
          <w:color w:val="000000"/>
          <w:szCs w:val="21"/>
          <w:u w:val="single"/>
        </w:rPr>
      </w:pPr>
      <w:r>
        <w:rPr>
          <w:rFonts w:hint="eastAsia" w:ascii="宋体" w:hAnsi="宋体" w:cs="宋体"/>
          <w:b/>
          <w:color w:val="000000"/>
          <w:szCs w:val="21"/>
        </w:rPr>
        <w:t>第六条　付款方式</w:t>
      </w:r>
    </w:p>
    <w:p w14:paraId="3707059E">
      <w:pPr>
        <w:snapToGrid w:val="0"/>
        <w:spacing w:line="360" w:lineRule="auto"/>
        <w:ind w:firstLine="440" w:firstLineChars="200"/>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1、本服务项目无预付</w:t>
      </w:r>
      <w:r>
        <w:rPr>
          <w:rFonts w:hint="eastAsia" w:ascii="宋体" w:hAnsi="宋体" w:eastAsia="宋体" w:cs="宋体"/>
          <w:color w:val="000000"/>
          <w:kern w:val="0"/>
          <w:sz w:val="22"/>
          <w:szCs w:val="22"/>
          <w:lang w:val="en-US" w:eastAsia="zh-CN" w:bidi="ar"/>
        </w:rPr>
        <w:t>款</w:t>
      </w:r>
      <w:r>
        <w:rPr>
          <w:rFonts w:hint="eastAsia" w:ascii="宋体" w:hAnsi="宋体" w:eastAsia="宋体" w:cs="宋体"/>
          <w:color w:val="000000"/>
          <w:kern w:val="0"/>
          <w:sz w:val="22"/>
          <w:szCs w:val="22"/>
          <w:lang w:bidi="ar"/>
        </w:rPr>
        <w:t>；</w:t>
      </w:r>
    </w:p>
    <w:p w14:paraId="2AF892FC">
      <w:pPr>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000000"/>
          <w:kern w:val="0"/>
          <w:sz w:val="22"/>
          <w:szCs w:val="22"/>
          <w:lang w:bidi="ar"/>
        </w:rPr>
        <w:t>2、合同款</w:t>
      </w:r>
      <w:r>
        <w:rPr>
          <w:rFonts w:hint="eastAsia" w:ascii="宋体" w:hAnsi="宋体" w:eastAsia="宋体" w:cs="宋体"/>
          <w:sz w:val="22"/>
          <w:szCs w:val="22"/>
        </w:rPr>
        <w:t>按月</w:t>
      </w:r>
      <w:r>
        <w:rPr>
          <w:rFonts w:hint="eastAsia" w:ascii="宋体" w:hAnsi="宋体" w:eastAsia="宋体" w:cs="宋体"/>
          <w:color w:val="auto"/>
          <w:sz w:val="22"/>
          <w:szCs w:val="22"/>
        </w:rPr>
        <w:t>支付，</w:t>
      </w:r>
      <w:r>
        <w:rPr>
          <w:rFonts w:hint="eastAsia" w:ascii="宋体" w:hAnsi="宋体" w:eastAsia="宋体" w:cs="宋体"/>
          <w:b/>
          <w:bCs/>
          <w:color w:val="auto"/>
          <w:sz w:val="22"/>
          <w:szCs w:val="22"/>
          <w:lang w:val="en-US" w:eastAsia="zh-CN"/>
        </w:rPr>
        <w:t>每月支付金额以实际配置人员数量计算为准。</w:t>
      </w:r>
      <w:r>
        <w:rPr>
          <w:rFonts w:hint="eastAsia" w:ascii="宋体" w:hAnsi="宋体" w:eastAsia="宋体" w:cs="宋体"/>
          <w:bCs/>
          <w:color w:val="auto"/>
          <w:sz w:val="22"/>
          <w:szCs w:val="22"/>
        </w:rPr>
        <w:t>由</w:t>
      </w:r>
      <w:r>
        <w:rPr>
          <w:rFonts w:hint="eastAsia" w:ascii="宋体" w:hAnsi="宋体" w:eastAsia="宋体" w:cs="宋体"/>
          <w:bCs/>
          <w:color w:val="auto"/>
          <w:sz w:val="22"/>
          <w:szCs w:val="22"/>
          <w:lang w:val="en-US" w:eastAsia="zh-CN"/>
        </w:rPr>
        <w:t>学校</w:t>
      </w:r>
      <w:r>
        <w:rPr>
          <w:rFonts w:hint="eastAsia" w:ascii="宋体" w:hAnsi="宋体" w:eastAsia="宋体" w:cs="宋体"/>
          <w:bCs/>
          <w:color w:val="auto"/>
          <w:sz w:val="22"/>
          <w:szCs w:val="22"/>
        </w:rPr>
        <w:t>收到</w:t>
      </w:r>
      <w:r>
        <w:rPr>
          <w:rFonts w:hint="eastAsia" w:ascii="宋体" w:hAnsi="宋体" w:eastAsia="宋体" w:cs="宋体"/>
          <w:color w:val="auto"/>
          <w:sz w:val="22"/>
          <w:szCs w:val="22"/>
        </w:rPr>
        <w:t>成交供应商开具的合法正规的、内容为学生管理服务费的增值税普通发票及付款报告后</w:t>
      </w:r>
      <w:r>
        <w:rPr>
          <w:rFonts w:hint="eastAsia" w:ascii="宋体" w:hAnsi="宋体" w:eastAsia="宋体" w:cs="宋体"/>
          <w:bCs/>
          <w:color w:val="auto"/>
          <w:sz w:val="22"/>
          <w:szCs w:val="22"/>
        </w:rPr>
        <w:t>于第二个月的15日前以转账方式支付到</w:t>
      </w:r>
      <w:r>
        <w:rPr>
          <w:rFonts w:hint="eastAsia" w:ascii="宋体" w:hAnsi="宋体" w:eastAsia="宋体" w:cs="宋体"/>
          <w:color w:val="auto"/>
          <w:sz w:val="22"/>
          <w:szCs w:val="22"/>
        </w:rPr>
        <w:t>成交供应商指定的对公银行账户。</w:t>
      </w:r>
    </w:p>
    <w:p w14:paraId="7348E8DE">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第七条　履约保证金</w:t>
      </w:r>
    </w:p>
    <w:p w14:paraId="651E8F5F">
      <w:pPr>
        <w:spacing w:line="360" w:lineRule="auto"/>
        <w:rPr>
          <w:rFonts w:hint="eastAsia" w:ascii="宋体" w:hAnsi="宋体" w:cs="宋体"/>
          <w:b/>
          <w:bCs/>
          <w:color w:val="auto"/>
          <w:szCs w:val="21"/>
        </w:rPr>
      </w:pPr>
      <w:r>
        <w:rPr>
          <w:rFonts w:hint="eastAsia" w:ascii="宋体" w:hAnsi="宋体" w:cs="宋体"/>
          <w:b/>
          <w:bCs/>
          <w:color w:val="auto"/>
          <w:szCs w:val="21"/>
          <w:lang w:eastAsia="zh-CN"/>
        </w:rPr>
        <w:t>□</w:t>
      </w:r>
      <w:r>
        <w:rPr>
          <w:rFonts w:hint="eastAsia" w:ascii="宋体" w:hAnsi="宋体" w:cs="宋体"/>
          <w:b/>
          <w:bCs/>
          <w:color w:val="auto"/>
          <w:szCs w:val="21"/>
        </w:rPr>
        <w:t xml:space="preserve"> 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p w14:paraId="776001B2">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lang w:eastAsia="zh-CN"/>
        </w:rPr>
        <w:t>☑</w:t>
      </w:r>
      <w:r>
        <w:rPr>
          <w:rFonts w:hint="eastAsia" w:ascii="宋体" w:hAnsi="宋体" w:cs="宋体"/>
          <w:b/>
          <w:bCs/>
          <w:color w:val="auto"/>
          <w:szCs w:val="21"/>
        </w:rPr>
        <w:t xml:space="preserve"> 本项目需要缴</w:t>
      </w:r>
      <w:r>
        <w:rPr>
          <w:rFonts w:hint="eastAsia" w:ascii="宋体" w:hAnsi="宋体" w:cs="宋体"/>
          <w:b/>
          <w:bCs/>
          <w:color w:val="auto"/>
          <w:kern w:val="0"/>
          <w:szCs w:val="21"/>
        </w:rPr>
        <w:t>纳</w:t>
      </w:r>
      <w:r>
        <w:rPr>
          <w:rFonts w:hint="eastAsia" w:ascii="宋体" w:hAnsi="宋体" w:cs="宋体"/>
          <w:b/>
          <w:bCs/>
          <w:color w:val="auto"/>
          <w:szCs w:val="21"/>
        </w:rPr>
        <w:t>履约保证金，相关要求如下：</w:t>
      </w:r>
    </w:p>
    <w:p w14:paraId="01A1B1F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1、履约保证金金额：按项目成交总金额的</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w:t>
      </w:r>
      <w:r>
        <w:rPr>
          <w:rFonts w:hint="eastAsia" w:ascii="宋体" w:hAnsi="宋体" w:cs="宋体"/>
          <w:color w:val="auto"/>
          <w:szCs w:val="21"/>
          <w:u w:val="single"/>
        </w:rPr>
        <w:t xml:space="preserve"> %</w:t>
      </w:r>
      <w:r>
        <w:rPr>
          <w:rFonts w:hint="eastAsia" w:ascii="宋体" w:hAnsi="宋体" w:cs="宋体"/>
          <w:color w:val="auto"/>
          <w:szCs w:val="21"/>
        </w:rPr>
        <w:t>。</w:t>
      </w:r>
    </w:p>
    <w:p w14:paraId="15A8C7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2、履约保证金递交方式：成交供应商在签订合同前以银行转账、支票、汇票、本票或者金融机构、担保机构出具的保函等非现金方式向采购人提交。</w:t>
      </w:r>
    </w:p>
    <w:p w14:paraId="3065EB26">
      <w:pPr>
        <w:spacing w:line="360" w:lineRule="auto"/>
        <w:ind w:firstLine="420" w:firstLineChars="200"/>
        <w:rPr>
          <w:rFonts w:hint="eastAsia" w:ascii="宋体" w:hAnsi="宋体" w:cs="宋体"/>
          <w:color w:val="000000"/>
          <w:szCs w:val="21"/>
        </w:rPr>
      </w:pPr>
      <w:r>
        <w:rPr>
          <w:rFonts w:hint="eastAsia" w:ascii="宋体" w:hAnsi="宋体" w:cs="宋体"/>
          <w:color w:val="auto"/>
          <w:szCs w:val="21"/>
        </w:rPr>
        <w:t>3、履约保证金退付方式、时间及条件：</w:t>
      </w:r>
      <w:r>
        <w:rPr>
          <w:rFonts w:hint="eastAsia" w:ascii="宋体" w:hAnsi="宋体" w:cs="宋体"/>
          <w:color w:val="auto"/>
          <w:szCs w:val="21"/>
          <w:lang w:eastAsia="zh-CN"/>
        </w:rPr>
        <w:t>服务期</w:t>
      </w:r>
      <w:r>
        <w:rPr>
          <w:rFonts w:hint="eastAsia" w:ascii="宋体" w:hAnsi="宋体" w:cs="宋体"/>
          <w:color w:val="auto"/>
          <w:szCs w:val="21"/>
        </w:rPr>
        <w:t>满1年，期间提供的服务能够</w:t>
      </w:r>
      <w:r>
        <w:rPr>
          <w:rFonts w:hint="eastAsia" w:ascii="宋体" w:hAnsi="宋体" w:cs="宋体"/>
          <w:color w:val="000000"/>
          <w:szCs w:val="21"/>
        </w:rPr>
        <w:t>满足甲方需求且未发生严重问题，由乙方提出申请，甲方5个工作日内无息退还。签订合同后，如乙方不按双方签订的合同规定履约，则其全部履约保证金不予退还，履约保证金不足以赔偿损失的，按实际损失赔偿。</w:t>
      </w:r>
    </w:p>
    <w:p w14:paraId="7DEBAAD7">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4、缴纳履约保证金指定账户的信息：</w:t>
      </w:r>
    </w:p>
    <w:p w14:paraId="2F321D1E">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开户名称：</w:t>
      </w:r>
      <w:r>
        <w:rPr>
          <w:rFonts w:hint="eastAsia" w:ascii="宋体" w:hAnsi="宋体" w:eastAsia="宋体" w:cs="宋体"/>
          <w:color w:val="000000"/>
          <w:szCs w:val="21"/>
          <w:lang w:val="en-US" w:eastAsia="zh-CN"/>
        </w:rPr>
        <w:t>广西轻工技师学院</w:t>
      </w:r>
    </w:p>
    <w:p w14:paraId="5DE76CAC">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开户银行：</w:t>
      </w:r>
      <w:r>
        <w:rPr>
          <w:rFonts w:hint="eastAsia" w:ascii="宋体" w:hAnsi="宋体" w:eastAsia="宋体" w:cs="宋体"/>
          <w:color w:val="000000"/>
          <w:szCs w:val="21"/>
          <w:lang w:val="en-US" w:eastAsia="zh-CN"/>
        </w:rPr>
        <w:t>中国银行南宁市江南中支行</w:t>
      </w:r>
    </w:p>
    <w:p w14:paraId="296BD42D">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银行账号：</w:t>
      </w:r>
      <w:r>
        <w:rPr>
          <w:rFonts w:hint="eastAsia" w:ascii="宋体" w:hAnsi="宋体" w:eastAsia="宋体" w:cs="宋体"/>
          <w:color w:val="000000"/>
          <w:szCs w:val="21"/>
          <w:lang w:val="en-US" w:eastAsia="zh-CN"/>
        </w:rPr>
        <w:t>614559617384</w:t>
      </w:r>
    </w:p>
    <w:p w14:paraId="10D64D61">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第八条  税费</w:t>
      </w:r>
    </w:p>
    <w:p w14:paraId="612A508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本合同执行中相关的一切税费均由乙方负担，合同另有约定的除外。</w:t>
      </w:r>
    </w:p>
    <w:p w14:paraId="04E8D6E5">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第九条　违约责任</w:t>
      </w:r>
    </w:p>
    <w:p w14:paraId="07F2A12C">
      <w:pPr>
        <w:snapToGrid w:val="0"/>
        <w:spacing w:line="360" w:lineRule="auto"/>
        <w:ind w:firstLine="420" w:firstLineChars="200"/>
        <w:rPr>
          <w:rFonts w:hint="eastAsia" w:ascii="宋体" w:hAnsi="宋体" w:cs="宋体"/>
          <w:color w:val="000000"/>
          <w:szCs w:val="21"/>
        </w:rPr>
      </w:pPr>
      <w:r>
        <w:rPr>
          <w:rFonts w:hint="eastAsia" w:ascii="宋体" w:hAnsi="宋体"/>
          <w:color w:val="000000"/>
          <w:szCs w:val="21"/>
        </w:rPr>
        <w:t>1、除不可抗力原因外，乙方没有按照合同规定的时间提供服务的，甲方可要求乙方支付违约金。每推迟一天按合同总金额的3‰支付违约金，该违约金累计不超过合同总金额的10%。</w:t>
      </w:r>
      <w:r>
        <w:rPr>
          <w:rFonts w:hint="eastAsia" w:ascii="宋体" w:hAnsi="宋体" w:cs="宋体"/>
          <w:color w:val="000000"/>
          <w:szCs w:val="21"/>
        </w:rPr>
        <w:t xml:space="preserve">                                  </w:t>
      </w:r>
    </w:p>
    <w:p w14:paraId="4D440594">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2、乙方提供的服务如侵犯了第三方合法权益而引发的任何纠纷或者诉讼，均由乙方负责交涉并承担全部责任。</w:t>
      </w:r>
    </w:p>
    <w:p w14:paraId="29EC1547">
      <w:pPr>
        <w:snapToGrid w:val="0"/>
        <w:spacing w:line="360" w:lineRule="auto"/>
        <w:ind w:firstLine="420" w:firstLineChars="200"/>
        <w:rPr>
          <w:rFonts w:hint="eastAsia" w:ascii="宋体" w:hAnsi="宋体" w:cs="宋体"/>
          <w:color w:val="000000"/>
          <w:szCs w:val="21"/>
        </w:rPr>
      </w:pPr>
      <w:r>
        <w:rPr>
          <w:rFonts w:ascii="宋体" w:hAnsi="宋体"/>
          <w:color w:val="000000"/>
          <w:szCs w:val="21"/>
        </w:rPr>
        <w:t>3</w:t>
      </w:r>
      <w:r>
        <w:rPr>
          <w:rFonts w:hint="eastAsia" w:ascii="宋体" w:hAnsi="宋体"/>
          <w:color w:val="000000"/>
          <w:szCs w:val="21"/>
        </w:rPr>
        <w:t>、甲方延期付款的，每天向乙方偿付延期款额3‰滞纳金，但滞纳金累计不得超过延期款额5%。</w:t>
      </w:r>
    </w:p>
    <w:p w14:paraId="44BF2388">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第十条  不可抗力事件处理</w:t>
      </w:r>
    </w:p>
    <w:p w14:paraId="29BC8C9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1、在合同有效期内，任何一方因不可抗力事件导致不能履行合同，则合同履行期可延长，其延长期与不可抗力影响期相同。</w:t>
      </w:r>
    </w:p>
    <w:p w14:paraId="30B97F2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2、不可抗力事件发生后，应立即通知对方，并寄送有关权威机构出具的证明。</w:t>
      </w:r>
    </w:p>
    <w:p w14:paraId="3904EB9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3、不可抗力事件延续一百二十天以上，双方应通过友好协商，确定是否继续履行合同。</w:t>
      </w:r>
    </w:p>
    <w:p w14:paraId="74C38DE1">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第十一条  合同争议解决</w:t>
      </w:r>
    </w:p>
    <w:p w14:paraId="07D4845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1、因服务质量问题发生争议的，应邀请国家认可的质量检测机构进行鉴定。服务符合标准的，鉴定费由甲方承担；服务不符合标准的，鉴定费由乙方承担。</w:t>
      </w:r>
    </w:p>
    <w:p w14:paraId="675AD055">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因履行本合同引起的或者与本合同有关的争议，甲乙双方应首先通过友好协商解决，如果协商不能解决，可向甲方所在地有管辖权的人民法院提起诉讼。包括但不限于案件受理费、调查取证、鉴定费、差旅费、律师费等由败诉方承担。</w:t>
      </w:r>
    </w:p>
    <w:p w14:paraId="3BC98B08">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3、诉讼期间，本合同继续履行。</w:t>
      </w:r>
    </w:p>
    <w:p w14:paraId="3E69FDDF">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第十二条  合同生效及其他</w:t>
      </w:r>
    </w:p>
    <w:p w14:paraId="0E64B31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1、合同经双方法定代表人或者授权代表签字并加盖单位公章后生效（委托代理人签字的需后附法定代表人授权委托书，格式自拟）。</w:t>
      </w:r>
    </w:p>
    <w:p w14:paraId="730D14B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2、合同执行中涉及采购资金和采购内容修改或者补充的，须经财政部门审批，并签书面补充协议报财政部门备案，方可作为主合同不可分割的一部分。</w:t>
      </w:r>
    </w:p>
    <w:p w14:paraId="689004B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3、本合同未尽事宜，遵照《中华人民共和国民法典》有关条文执行。</w:t>
      </w:r>
    </w:p>
    <w:p w14:paraId="1612B2F1">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第十三条　合同的变更、终止与转让</w:t>
      </w:r>
    </w:p>
    <w:p w14:paraId="3F73419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1、除《中华人民共和国政府采购法》第五十条规定的情形外，本合同一经签订，甲乙双方不得擅自变更、中止或者终止。</w:t>
      </w:r>
    </w:p>
    <w:p w14:paraId="0B77ED6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2、乙方不得擅自转让其应履行的合同义务。</w:t>
      </w:r>
    </w:p>
    <w:p w14:paraId="4A8350A1">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第十四条　签订本合同依据</w:t>
      </w:r>
    </w:p>
    <w:p w14:paraId="53CAB8E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olor w:val="000000"/>
          <w:szCs w:val="21"/>
        </w:rPr>
        <w:t>成交通知书</w:t>
      </w:r>
      <w:r>
        <w:rPr>
          <w:rFonts w:hint="eastAsia" w:ascii="宋体" w:hAnsi="宋体" w:cs="宋体"/>
          <w:color w:val="000000"/>
          <w:szCs w:val="21"/>
        </w:rPr>
        <w:t>；</w:t>
      </w:r>
    </w:p>
    <w:p w14:paraId="4AC803D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竞标报价表</w:t>
      </w:r>
      <w:r>
        <w:rPr>
          <w:rFonts w:hint="eastAsia" w:ascii="宋体" w:hAnsi="宋体" w:cs="宋体"/>
          <w:color w:val="000000"/>
          <w:szCs w:val="21"/>
        </w:rPr>
        <w:t>；</w:t>
      </w:r>
    </w:p>
    <w:p w14:paraId="50A5F4ED">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商务要求</w:t>
      </w:r>
      <w:r>
        <w:rPr>
          <w:rFonts w:hint="eastAsia" w:ascii="宋体" w:hAnsi="宋体" w:cs="宋体"/>
          <w:color w:val="000000"/>
          <w:szCs w:val="21"/>
        </w:rPr>
        <w:t>偏离表和</w:t>
      </w:r>
      <w:r>
        <w:rPr>
          <w:rFonts w:hint="eastAsia" w:ascii="宋体" w:hAnsi="宋体" w:cs="宋体"/>
          <w:color w:val="000000"/>
          <w:szCs w:val="21"/>
          <w:lang w:val="en-US" w:eastAsia="zh-CN"/>
        </w:rPr>
        <w:t>技术要求</w:t>
      </w:r>
      <w:r>
        <w:rPr>
          <w:rFonts w:hint="eastAsia" w:ascii="宋体" w:hAnsi="宋体" w:cs="宋体"/>
          <w:color w:val="000000"/>
          <w:szCs w:val="21"/>
        </w:rPr>
        <w:t>偏离表；</w:t>
      </w:r>
    </w:p>
    <w:p w14:paraId="75B62477">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hAnsi="宋体" w:cs="宋体"/>
        </w:rPr>
        <w:t>其他合同文件</w:t>
      </w:r>
      <w:r>
        <w:rPr>
          <w:rFonts w:hint="eastAsia" w:ascii="宋体" w:hAnsi="宋体" w:cs="宋体"/>
          <w:color w:val="000000"/>
          <w:szCs w:val="21"/>
        </w:rPr>
        <w:t>。</w:t>
      </w:r>
    </w:p>
    <w:p w14:paraId="433C236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8、上述合同文件互相补充和解释。如果合同文件之间存在矛盾或者不一致之处，以上述文件的排列顺序在先者为准。</w:t>
      </w:r>
    </w:p>
    <w:p w14:paraId="518812AF">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第十五条　</w:t>
      </w:r>
      <w:r>
        <w:rPr>
          <w:rFonts w:hint="eastAsia" w:ascii="宋体" w:hAnsi="宋体" w:cs="宋体"/>
          <w:color w:val="000000"/>
          <w:szCs w:val="21"/>
        </w:rPr>
        <w:t>本合同一式六份，具有同等法律效力，财政部门（政府采购监管部门）、采购代理机构各一份，甲方三份，乙方一份（可根据需要另增加）。</w:t>
      </w:r>
    </w:p>
    <w:p w14:paraId="158CD45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本合同甲乙双方签字盖章后生效，自签订之日起七个工作日内，甲方应当将合同副本报同级财政部门备案。</w:t>
      </w:r>
    </w:p>
    <w:p w14:paraId="200B8AA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本合同自签订之日起2个工作日内，甲方应当将采购合同在广西壮族自治区财政厅指定的媒体上公告。</w:t>
      </w:r>
    </w:p>
    <w:tbl>
      <w:tblPr>
        <w:tblStyle w:val="30"/>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8E0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C96F96C">
            <w:pPr>
              <w:snapToGrid w:val="0"/>
              <w:spacing w:line="360" w:lineRule="auto"/>
              <w:rPr>
                <w:rFonts w:hint="eastAsia" w:ascii="宋体" w:hAnsi="宋体" w:cs="宋体"/>
                <w:color w:val="000000"/>
                <w:szCs w:val="21"/>
              </w:rPr>
            </w:pPr>
            <w:r>
              <w:rPr>
                <w:rFonts w:hint="eastAsia" w:ascii="宋体" w:hAnsi="宋体" w:cs="宋体"/>
                <w:color w:val="000000"/>
                <w:szCs w:val="21"/>
              </w:rPr>
              <w:t>甲方：（章）</w:t>
            </w:r>
          </w:p>
          <w:p w14:paraId="08035E4C">
            <w:pPr>
              <w:snapToGrid w:val="0"/>
              <w:spacing w:line="360" w:lineRule="auto"/>
              <w:rPr>
                <w:rFonts w:hint="eastAsia" w:ascii="宋体" w:hAnsi="宋体" w:cs="宋体"/>
                <w:color w:val="000000"/>
                <w:szCs w:val="21"/>
              </w:rPr>
            </w:pPr>
          </w:p>
          <w:p w14:paraId="3B41BB70">
            <w:pPr>
              <w:snapToGrid w:val="0"/>
              <w:spacing w:line="360" w:lineRule="auto"/>
              <w:rPr>
                <w:rFonts w:hint="eastAsia" w:ascii="宋体" w:hAnsi="宋体" w:cs="宋体"/>
                <w:color w:val="000000"/>
                <w:szCs w:val="21"/>
              </w:rPr>
            </w:pPr>
          </w:p>
          <w:p w14:paraId="22F4FFB9">
            <w:pPr>
              <w:snapToGrid w:val="0"/>
              <w:spacing w:line="360" w:lineRule="auto"/>
              <w:ind w:firstLine="945" w:firstLineChars="450"/>
              <w:jc w:val="right"/>
              <w:rPr>
                <w:rFonts w:hint="eastAsia" w:ascii="宋体" w:hAnsi="宋体" w:cs="宋体"/>
                <w:color w:val="000000"/>
                <w:szCs w:val="21"/>
              </w:rPr>
            </w:pPr>
          </w:p>
          <w:p w14:paraId="37A6534A">
            <w:pPr>
              <w:snapToGrid w:val="0"/>
              <w:spacing w:line="360" w:lineRule="auto"/>
              <w:ind w:firstLine="945" w:firstLineChars="450"/>
              <w:jc w:val="right"/>
              <w:rPr>
                <w:rFonts w:ascii="宋体" w:hAnsi="宋体" w:cs="宋体"/>
                <w:color w:val="000000"/>
                <w:szCs w:val="21"/>
              </w:rPr>
            </w:pPr>
            <w:r>
              <w:rPr>
                <w:rFonts w:hint="eastAsia" w:ascii="宋体" w:hAnsi="宋体" w:cs="宋体"/>
                <w:color w:val="000000"/>
                <w:szCs w:val="21"/>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A85E776">
            <w:pPr>
              <w:snapToGrid w:val="0"/>
              <w:spacing w:line="360" w:lineRule="auto"/>
              <w:rPr>
                <w:rFonts w:hint="eastAsia" w:ascii="宋体" w:hAnsi="宋体" w:cs="宋体"/>
                <w:color w:val="000000"/>
                <w:szCs w:val="21"/>
              </w:rPr>
            </w:pPr>
            <w:r>
              <w:rPr>
                <w:rFonts w:hint="eastAsia" w:ascii="宋体" w:hAnsi="宋体" w:cs="宋体"/>
                <w:color w:val="000000"/>
                <w:szCs w:val="21"/>
              </w:rPr>
              <w:t xml:space="preserve">乙方：（章）       </w:t>
            </w:r>
          </w:p>
          <w:p w14:paraId="6E6C1202">
            <w:pPr>
              <w:snapToGrid w:val="0"/>
              <w:spacing w:line="360" w:lineRule="auto"/>
              <w:rPr>
                <w:rFonts w:hint="eastAsia" w:ascii="宋体" w:hAnsi="宋体" w:cs="宋体"/>
                <w:color w:val="000000"/>
                <w:szCs w:val="21"/>
              </w:rPr>
            </w:pPr>
          </w:p>
          <w:p w14:paraId="68022BE0">
            <w:pPr>
              <w:snapToGrid w:val="0"/>
              <w:spacing w:line="360" w:lineRule="auto"/>
              <w:rPr>
                <w:rFonts w:hint="eastAsia" w:ascii="宋体" w:hAnsi="宋体" w:cs="宋体"/>
                <w:color w:val="000000"/>
                <w:szCs w:val="21"/>
              </w:rPr>
            </w:pPr>
            <w:r>
              <w:rPr>
                <w:rFonts w:hint="eastAsia" w:ascii="宋体" w:hAnsi="宋体" w:cs="宋体"/>
                <w:color w:val="000000"/>
                <w:szCs w:val="21"/>
              </w:rPr>
              <w:t xml:space="preserve">       </w:t>
            </w:r>
          </w:p>
          <w:p w14:paraId="35CEF449">
            <w:pPr>
              <w:snapToGrid w:val="0"/>
              <w:spacing w:line="360" w:lineRule="auto"/>
              <w:jc w:val="right"/>
              <w:rPr>
                <w:rFonts w:hint="eastAsia" w:ascii="宋体" w:hAnsi="宋体" w:cs="宋体"/>
                <w:color w:val="000000"/>
                <w:szCs w:val="21"/>
              </w:rPr>
            </w:pPr>
          </w:p>
          <w:p w14:paraId="0A1AE97F">
            <w:pPr>
              <w:snapToGrid w:val="0"/>
              <w:spacing w:line="360" w:lineRule="auto"/>
              <w:jc w:val="right"/>
              <w:rPr>
                <w:rFonts w:ascii="宋体" w:hAnsi="宋体" w:cs="宋体"/>
                <w:color w:val="000000"/>
                <w:szCs w:val="21"/>
              </w:rPr>
            </w:pPr>
            <w:r>
              <w:rPr>
                <w:rFonts w:hint="eastAsia" w:ascii="宋体" w:hAnsi="宋体" w:cs="宋体"/>
                <w:color w:val="000000"/>
                <w:szCs w:val="21"/>
              </w:rPr>
              <w:t xml:space="preserve"> 年   月   日</w:t>
            </w:r>
          </w:p>
        </w:tc>
      </w:tr>
      <w:tr w14:paraId="6495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054A1B3">
            <w:pPr>
              <w:snapToGrid w:val="0"/>
              <w:spacing w:line="360" w:lineRule="auto"/>
              <w:rPr>
                <w:rFonts w:ascii="宋体" w:hAnsi="宋体" w:cs="宋体"/>
                <w:color w:val="000000"/>
                <w:szCs w:val="21"/>
              </w:rPr>
            </w:pPr>
            <w:r>
              <w:rPr>
                <w:rFonts w:hint="eastAsia" w:ascii="宋体" w:hAnsi="宋体" w:cs="宋体"/>
                <w:color w:val="000000"/>
                <w:szCs w:val="21"/>
              </w:rPr>
              <w:t>单位地址：</w:t>
            </w:r>
            <w:r>
              <w:rPr>
                <w:rFonts w:ascii="宋体" w:hAnsi="宋体" w:cs="宋体"/>
                <w:color w:val="000000"/>
                <w:szCs w:val="21"/>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D381460">
            <w:pPr>
              <w:snapToGrid w:val="0"/>
              <w:spacing w:line="360" w:lineRule="auto"/>
              <w:rPr>
                <w:rFonts w:ascii="宋体" w:hAnsi="宋体" w:cs="宋体"/>
                <w:color w:val="000000"/>
                <w:szCs w:val="21"/>
              </w:rPr>
            </w:pPr>
            <w:r>
              <w:rPr>
                <w:rFonts w:hint="eastAsia" w:ascii="宋体" w:hAnsi="宋体" w:cs="宋体"/>
                <w:color w:val="000000"/>
                <w:szCs w:val="21"/>
              </w:rPr>
              <w:t xml:space="preserve">单位地址： </w:t>
            </w:r>
          </w:p>
        </w:tc>
      </w:tr>
      <w:tr w14:paraId="13E9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0EE70F1">
            <w:pPr>
              <w:snapToGrid w:val="0"/>
              <w:spacing w:line="360" w:lineRule="auto"/>
              <w:rPr>
                <w:rFonts w:ascii="宋体" w:hAnsi="宋体" w:cs="宋体"/>
                <w:color w:val="000000"/>
                <w:szCs w:val="21"/>
              </w:rPr>
            </w:pPr>
            <w:r>
              <w:rPr>
                <w:rFonts w:hint="eastAsia" w:ascii="宋体" w:hAnsi="宋体" w:cs="宋体"/>
                <w:color w:val="000000"/>
                <w:szCs w:val="21"/>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1CC54F0">
            <w:pPr>
              <w:snapToGrid w:val="0"/>
              <w:spacing w:line="360" w:lineRule="auto"/>
              <w:rPr>
                <w:rFonts w:ascii="宋体" w:hAnsi="宋体" w:cs="宋体"/>
                <w:color w:val="000000"/>
                <w:szCs w:val="21"/>
              </w:rPr>
            </w:pPr>
            <w:r>
              <w:rPr>
                <w:rFonts w:hint="eastAsia" w:ascii="宋体" w:hAnsi="宋体" w:cs="宋体"/>
                <w:color w:val="000000"/>
                <w:szCs w:val="21"/>
              </w:rPr>
              <w:t>法定代表人：</w:t>
            </w:r>
          </w:p>
        </w:tc>
      </w:tr>
      <w:tr w14:paraId="24AB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690FB25">
            <w:pPr>
              <w:snapToGrid w:val="0"/>
              <w:spacing w:line="360" w:lineRule="auto"/>
              <w:rPr>
                <w:rFonts w:ascii="宋体" w:hAnsi="宋体" w:cs="宋体"/>
                <w:color w:val="000000"/>
                <w:szCs w:val="21"/>
              </w:rPr>
            </w:pPr>
            <w:r>
              <w:rPr>
                <w:rFonts w:hint="eastAsia" w:ascii="宋体" w:hAnsi="宋体" w:cs="宋体"/>
                <w:color w:val="000000"/>
                <w:szCs w:val="21"/>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8DE9FD0">
            <w:pPr>
              <w:snapToGrid w:val="0"/>
              <w:spacing w:line="360" w:lineRule="auto"/>
              <w:rPr>
                <w:rFonts w:ascii="宋体" w:hAnsi="宋体" w:cs="宋体"/>
                <w:color w:val="000000"/>
                <w:szCs w:val="21"/>
              </w:rPr>
            </w:pPr>
            <w:r>
              <w:rPr>
                <w:rFonts w:hint="eastAsia" w:ascii="宋体" w:hAnsi="宋体" w:cs="宋体"/>
                <w:color w:val="000000"/>
                <w:szCs w:val="21"/>
              </w:rPr>
              <w:t>委托代理人：</w:t>
            </w:r>
          </w:p>
        </w:tc>
      </w:tr>
      <w:tr w14:paraId="02BF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499368F">
            <w:pPr>
              <w:snapToGrid w:val="0"/>
              <w:spacing w:line="360" w:lineRule="auto"/>
              <w:rPr>
                <w:rFonts w:ascii="宋体" w:hAnsi="宋体" w:cs="宋体"/>
                <w:color w:val="000000"/>
                <w:szCs w:val="21"/>
              </w:rPr>
            </w:pPr>
            <w:r>
              <w:rPr>
                <w:rFonts w:hint="eastAsia" w:ascii="宋体" w:hAnsi="宋体" w:cs="宋体"/>
                <w:color w:val="000000"/>
                <w:szCs w:val="21"/>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9065BEA">
            <w:pPr>
              <w:snapToGrid w:val="0"/>
              <w:spacing w:line="360" w:lineRule="auto"/>
              <w:rPr>
                <w:rFonts w:ascii="宋体" w:hAnsi="宋体" w:cs="宋体"/>
                <w:color w:val="000000"/>
                <w:szCs w:val="21"/>
              </w:rPr>
            </w:pPr>
            <w:r>
              <w:rPr>
                <w:rFonts w:hint="eastAsia" w:ascii="宋体" w:hAnsi="宋体" w:cs="宋体"/>
                <w:color w:val="000000"/>
                <w:szCs w:val="21"/>
              </w:rPr>
              <w:t>电话：</w:t>
            </w:r>
          </w:p>
        </w:tc>
      </w:tr>
      <w:tr w14:paraId="7444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66D1796">
            <w:pPr>
              <w:snapToGrid w:val="0"/>
              <w:spacing w:line="360" w:lineRule="auto"/>
              <w:rPr>
                <w:rFonts w:ascii="宋体" w:hAnsi="宋体" w:cs="宋体"/>
                <w:color w:val="000000"/>
                <w:szCs w:val="21"/>
              </w:rPr>
            </w:pPr>
            <w:r>
              <w:rPr>
                <w:rFonts w:hint="eastAsia" w:ascii="宋体" w:hAnsi="宋体" w:cs="宋体"/>
                <w:color w:val="000000"/>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0DBF4EB">
            <w:pPr>
              <w:snapToGrid w:val="0"/>
              <w:spacing w:line="360" w:lineRule="auto"/>
              <w:rPr>
                <w:rFonts w:ascii="宋体" w:hAnsi="宋体" w:cs="宋体"/>
                <w:color w:val="000000"/>
                <w:szCs w:val="21"/>
              </w:rPr>
            </w:pPr>
            <w:r>
              <w:rPr>
                <w:rFonts w:hint="eastAsia" w:ascii="宋体" w:hAnsi="宋体" w:cs="宋体"/>
                <w:color w:val="000000"/>
                <w:szCs w:val="21"/>
              </w:rPr>
              <w:t xml:space="preserve">开户银行： </w:t>
            </w:r>
          </w:p>
        </w:tc>
      </w:tr>
      <w:tr w14:paraId="07D5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865B92C">
            <w:pPr>
              <w:snapToGrid w:val="0"/>
              <w:spacing w:line="360" w:lineRule="auto"/>
              <w:rPr>
                <w:rFonts w:ascii="宋体" w:hAnsi="宋体" w:cs="宋体"/>
                <w:color w:val="000000"/>
                <w:szCs w:val="21"/>
              </w:rPr>
            </w:pPr>
            <w:r>
              <w:rPr>
                <w:rFonts w:hint="eastAsia" w:ascii="宋体" w:hAnsi="宋体" w:cs="宋体"/>
                <w:color w:val="000000"/>
                <w:szCs w:val="21"/>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A3DF68B">
            <w:pPr>
              <w:snapToGrid w:val="0"/>
              <w:spacing w:line="360" w:lineRule="auto"/>
              <w:rPr>
                <w:rFonts w:ascii="宋体" w:hAnsi="宋体" w:cs="宋体"/>
                <w:color w:val="000000"/>
                <w:szCs w:val="21"/>
              </w:rPr>
            </w:pPr>
            <w:r>
              <w:rPr>
                <w:rFonts w:hint="eastAsia" w:ascii="宋体" w:hAnsi="宋体" w:cs="宋体"/>
                <w:color w:val="000000"/>
                <w:szCs w:val="21"/>
              </w:rPr>
              <w:t>账号：</w:t>
            </w:r>
          </w:p>
        </w:tc>
      </w:tr>
      <w:tr w14:paraId="6960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FF2FA33">
            <w:pPr>
              <w:snapToGrid w:val="0"/>
              <w:spacing w:line="360" w:lineRule="auto"/>
              <w:rPr>
                <w:rFonts w:ascii="宋体" w:hAnsi="宋体" w:cs="宋体"/>
                <w:color w:val="000000"/>
                <w:szCs w:val="21"/>
              </w:rPr>
            </w:pPr>
            <w:r>
              <w:rPr>
                <w:rFonts w:hint="eastAsia" w:ascii="宋体" w:hAnsi="宋体" w:cs="宋体"/>
                <w:color w:val="000000"/>
                <w:szCs w:val="21"/>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9D17793">
            <w:pPr>
              <w:snapToGrid w:val="0"/>
              <w:spacing w:line="360" w:lineRule="auto"/>
              <w:rPr>
                <w:rFonts w:ascii="宋体" w:hAnsi="宋体" w:cs="宋体"/>
                <w:color w:val="000000"/>
                <w:szCs w:val="21"/>
              </w:rPr>
            </w:pPr>
            <w:r>
              <w:rPr>
                <w:rFonts w:hint="eastAsia" w:ascii="宋体" w:hAnsi="宋体" w:cs="宋体"/>
                <w:color w:val="000000"/>
                <w:szCs w:val="21"/>
              </w:rPr>
              <w:t>邮政编码：</w:t>
            </w:r>
          </w:p>
        </w:tc>
      </w:tr>
    </w:tbl>
    <w:p w14:paraId="03C413C6">
      <w:pPr>
        <w:snapToGrid w:val="0"/>
        <w:spacing w:line="360" w:lineRule="auto"/>
        <w:jc w:val="center"/>
        <w:rPr>
          <w:rFonts w:hint="eastAsia" w:ascii="宋体" w:hAnsi="宋体"/>
          <w:b/>
          <w:color w:val="000000"/>
          <w:szCs w:val="21"/>
        </w:rPr>
      </w:pPr>
      <w:r>
        <w:rPr>
          <w:rFonts w:hint="eastAsia" w:ascii="宋体" w:hAnsi="宋体" w:cs="Courier New"/>
          <w:b/>
          <w:color w:val="000000"/>
          <w:szCs w:val="21"/>
        </w:rPr>
        <w:br w:type="page"/>
      </w:r>
      <w:r>
        <w:rPr>
          <w:rFonts w:hint="eastAsia" w:ascii="宋体" w:hAnsi="宋体"/>
          <w:b/>
          <w:color w:val="000000"/>
          <w:szCs w:val="21"/>
        </w:rPr>
        <w:t>合 同 附 件</w:t>
      </w:r>
    </w:p>
    <w:p w14:paraId="39A84576">
      <w:pPr>
        <w:snapToGrid w:val="0"/>
        <w:spacing w:line="360" w:lineRule="auto"/>
        <w:rPr>
          <w:rFonts w:hint="eastAsia" w:ascii="宋体" w:hAnsi="宋体"/>
          <w:color w:val="000000"/>
          <w:szCs w:val="21"/>
        </w:rPr>
      </w:pPr>
    </w:p>
    <w:tbl>
      <w:tblPr>
        <w:tblStyle w:val="30"/>
        <w:tblW w:w="0" w:type="auto"/>
        <w:tblInd w:w="0" w:type="dxa"/>
        <w:tblLayout w:type="fixed"/>
        <w:tblCellMar>
          <w:top w:w="0" w:type="dxa"/>
          <w:left w:w="108" w:type="dxa"/>
          <w:bottom w:w="0" w:type="dxa"/>
          <w:right w:w="108" w:type="dxa"/>
        </w:tblCellMar>
      </w:tblPr>
      <w:tblGrid>
        <w:gridCol w:w="4248"/>
        <w:gridCol w:w="4274"/>
      </w:tblGrid>
      <w:tr w14:paraId="4BDE1080">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1825811A">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1. 供应商承诺具体事项：</w:t>
            </w:r>
          </w:p>
        </w:tc>
      </w:tr>
      <w:tr w14:paraId="60275F89">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07454A8B">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2. 服务具体事项：</w:t>
            </w:r>
          </w:p>
        </w:tc>
      </w:tr>
      <w:tr w14:paraId="24E4A0E9">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20AF117A">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3. 其他具体事项：</w:t>
            </w:r>
          </w:p>
        </w:tc>
      </w:tr>
      <w:tr w14:paraId="1BAC4C6E">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1A39F519">
            <w:pPr>
              <w:snapToGrid w:val="0"/>
              <w:spacing w:line="360" w:lineRule="auto"/>
              <w:rPr>
                <w:rFonts w:hint="eastAsia" w:ascii="宋体" w:hAnsi="宋体"/>
                <w:b/>
                <w:color w:val="000000"/>
                <w:szCs w:val="21"/>
              </w:rPr>
            </w:pPr>
            <w:r>
              <w:rPr>
                <w:rFonts w:hint="eastAsia" w:ascii="宋体" w:hAnsi="宋体"/>
                <w:b/>
                <w:color w:val="000000"/>
                <w:szCs w:val="21"/>
              </w:rPr>
              <w:t>甲方（章）</w:t>
            </w:r>
          </w:p>
          <w:p w14:paraId="415BD3B0">
            <w:pPr>
              <w:snapToGrid w:val="0"/>
              <w:spacing w:line="360" w:lineRule="auto"/>
              <w:ind w:firstLine="422" w:firstLineChars="200"/>
              <w:rPr>
                <w:rFonts w:hint="eastAsia" w:ascii="宋体" w:hAnsi="宋体"/>
                <w:b/>
                <w:color w:val="000000"/>
                <w:szCs w:val="21"/>
              </w:rPr>
            </w:pPr>
          </w:p>
          <w:p w14:paraId="2E5F7E16">
            <w:pPr>
              <w:snapToGrid w:val="0"/>
              <w:spacing w:line="360" w:lineRule="auto"/>
              <w:rPr>
                <w:rFonts w:hint="eastAsia" w:ascii="宋体" w:hAnsi="宋体"/>
                <w:b/>
                <w:color w:val="000000"/>
                <w:szCs w:val="21"/>
              </w:rPr>
            </w:pPr>
          </w:p>
          <w:p w14:paraId="139E486F">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05C14329">
            <w:pPr>
              <w:snapToGrid w:val="0"/>
              <w:spacing w:line="360" w:lineRule="auto"/>
              <w:rPr>
                <w:rFonts w:hint="eastAsia" w:ascii="宋体" w:hAnsi="宋体"/>
                <w:b/>
                <w:color w:val="000000"/>
                <w:szCs w:val="21"/>
              </w:rPr>
            </w:pPr>
            <w:r>
              <w:rPr>
                <w:rFonts w:hint="eastAsia" w:ascii="宋体" w:hAnsi="宋体"/>
                <w:b/>
                <w:color w:val="000000"/>
                <w:szCs w:val="21"/>
              </w:rPr>
              <w:t>乙方（章）</w:t>
            </w:r>
          </w:p>
          <w:p w14:paraId="6FBF0653">
            <w:pPr>
              <w:snapToGrid w:val="0"/>
              <w:spacing w:line="360" w:lineRule="auto"/>
              <w:ind w:firstLine="422" w:firstLineChars="200"/>
              <w:rPr>
                <w:rFonts w:hint="eastAsia" w:ascii="宋体" w:hAnsi="宋体"/>
                <w:b/>
                <w:color w:val="000000"/>
                <w:szCs w:val="21"/>
              </w:rPr>
            </w:pPr>
          </w:p>
          <w:p w14:paraId="579323DF">
            <w:pPr>
              <w:snapToGrid w:val="0"/>
              <w:spacing w:line="360" w:lineRule="auto"/>
              <w:rPr>
                <w:rFonts w:hint="eastAsia" w:ascii="宋体" w:hAnsi="宋体"/>
                <w:b/>
                <w:color w:val="000000"/>
                <w:szCs w:val="21"/>
              </w:rPr>
            </w:pPr>
          </w:p>
          <w:p w14:paraId="067AD468">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 xml:space="preserve">                年   月   日</w:t>
            </w:r>
          </w:p>
        </w:tc>
      </w:tr>
    </w:tbl>
    <w:p w14:paraId="12B9EB20">
      <w:pPr>
        <w:snapToGrid w:val="0"/>
        <w:spacing w:line="360" w:lineRule="auto"/>
        <w:jc w:val="left"/>
        <w:rPr>
          <w:rFonts w:hint="eastAsia" w:ascii="宋体" w:hAnsi="宋体"/>
          <w:color w:val="000000"/>
          <w:szCs w:val="21"/>
        </w:rPr>
      </w:pPr>
      <w:r>
        <w:rPr>
          <w:rFonts w:hint="eastAsia" w:ascii="宋体" w:hAnsi="宋体"/>
          <w:color w:val="000000"/>
          <w:szCs w:val="21"/>
        </w:rPr>
        <w:t xml:space="preserve">   注：服务事项填不下时可另加附页</w:t>
      </w:r>
    </w:p>
    <w:p w14:paraId="3CB2D2D5">
      <w:pPr>
        <w:pStyle w:val="21"/>
        <w:rPr>
          <w:rFonts w:hint="eastAsia"/>
        </w:rPr>
      </w:pPr>
    </w:p>
    <w:p w14:paraId="4AE0B719">
      <w:pPr>
        <w:spacing w:line="520" w:lineRule="exact"/>
        <w:rPr>
          <w:rFonts w:hint="eastAsia" w:ascii="宋体" w:hAnsi="宋体" w:cs="宋体"/>
          <w:b/>
          <w:sz w:val="32"/>
          <w:szCs w:val="32"/>
        </w:rPr>
      </w:pPr>
    </w:p>
    <w:p w14:paraId="6FAB6E37">
      <w:pPr>
        <w:pStyle w:val="21"/>
        <w:rPr>
          <w:rFonts w:hint="eastAsia" w:ascii="宋体" w:hAnsi="宋体" w:cs="宋体"/>
          <w:b/>
          <w:sz w:val="32"/>
          <w:szCs w:val="32"/>
        </w:rPr>
      </w:pPr>
    </w:p>
    <w:p w14:paraId="220DD4DC">
      <w:pPr>
        <w:ind w:left="0" w:leftChars="0" w:firstLine="0" w:firstLineChars="0"/>
        <w:rPr>
          <w:color w:val="auto"/>
        </w:rPr>
      </w:pPr>
    </w:p>
    <w:sectPr>
      <w:headerReference r:id="rId12" w:type="default"/>
      <w:footerReference r:id="rId13" w:type="default"/>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18A7F5-F9B8-47D1-BBB9-3A8988DA355F}"/>
  </w:font>
  <w:font w:name="黑体">
    <w:panose1 w:val="02010609060101010101"/>
    <w:charset w:val="86"/>
    <w:family w:val="auto"/>
    <w:pitch w:val="default"/>
    <w:sig w:usb0="800002BF" w:usb1="38CF7CFA" w:usb2="00000016" w:usb3="00000000" w:csb0="00040001" w:csb1="00000000"/>
    <w:embedRegular r:id="rId2" w:fontKey="{69F2AE30-B242-4AA2-AD71-E74A2897E2EB}"/>
  </w:font>
  <w:font w:name="Courier New">
    <w:panose1 w:val="02070309020205020404"/>
    <w:charset w:val="01"/>
    <w:family w:val="modern"/>
    <w:pitch w:val="default"/>
    <w:sig w:usb0="E0002EFF" w:usb1="C0007843" w:usb2="00000009" w:usb3="00000000" w:csb0="400001FF" w:csb1="FFFF0000"/>
    <w:embedRegular r:id="rId3" w:fontKey="{975E6841-4B3C-47F1-ACAF-BEC5A23E411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C2A2A17A-FF13-4689-9329-DD97EB0BCF5A}"/>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embedRegular r:id="rId5" w:fontKey="{3676951F-69D5-4B24-BB04-B1D9D825EBAC}"/>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embedRegular r:id="rId6" w:fontKey="{FA51378F-4E05-4545-9474-28661272AAC8}"/>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7" w:fontKey="{DBB95DD4-9B3F-4C77-8A59-F8DBD026F7A6}"/>
  </w:font>
  <w:font w:name="方正大标宋简体">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8" w:fontKey="{832BED34-137D-4578-A604-C3EEB4F5123B}"/>
  </w:font>
  <w:font w:name="新宋体">
    <w:panose1 w:val="02010609030101010101"/>
    <w:charset w:val="86"/>
    <w:family w:val="modern"/>
    <w:pitch w:val="default"/>
    <w:sig w:usb0="00000283" w:usb1="288F0000" w:usb2="00000006" w:usb3="00000000" w:csb0="00040001" w:csb1="00000000"/>
    <w:embedRegular r:id="rId9" w:fontKey="{E8666BB0-ED66-4E1E-967D-C0912587B4E5}"/>
  </w:font>
  <w:font w:name="Arial Unicode MS">
    <w:panose1 w:val="020B0604020202020204"/>
    <w:charset w:val="86"/>
    <w:family w:val="swiss"/>
    <w:pitch w:val="default"/>
    <w:sig w:usb0="FFFFFFFF" w:usb1="E9FFFFFF" w:usb2="0000003F" w:usb3="00000000" w:csb0="603F01FF" w:csb1="FFFF0000"/>
    <w:embedRegular r:id="rId10" w:fontKey="{5BFB8899-DD6E-44F3-B79B-D8D55E492D39}"/>
  </w:font>
  <w:font w:name="Segoe UI Symbol">
    <w:panose1 w:val="020B0502040204020203"/>
    <w:charset w:val="00"/>
    <w:family w:val="swiss"/>
    <w:pitch w:val="default"/>
    <w:sig w:usb0="800001E3" w:usb1="1200FFEF" w:usb2="00040000" w:usb3="04000000" w:csb0="00000001" w:csb1="40000000"/>
    <w:embedRegular r:id="rId11" w:fontKey="{CD4661CE-3571-4E34-86BE-63C0182C7D4A}"/>
  </w:font>
  <w:font w:name="SimSun-Identity-H">
    <w:altName w:val="宋体"/>
    <w:panose1 w:val="00000000000000000000"/>
    <w:charset w:val="86"/>
    <w:family w:val="auto"/>
    <w:pitch w:val="default"/>
    <w:sig w:usb0="00000000" w:usb1="00000000" w:usb2="00000010" w:usb3="00000000" w:csb0="00040000" w:csb1="00000000"/>
    <w:embedRegular r:id="rId12" w:fontKey="{CFF838CB-4D08-4DF3-BC10-BA1A0C7275A8}"/>
  </w:font>
  <w:font w:name="隶书">
    <w:panose1 w:val="02010509060101010101"/>
    <w:charset w:val="86"/>
    <w:family w:val="modern"/>
    <w:pitch w:val="default"/>
    <w:sig w:usb0="00000001" w:usb1="080E0000" w:usb2="00000000" w:usb3="00000000" w:csb0="00040000" w:csb1="00000000"/>
    <w:embedRegular r:id="rId13" w:fontKey="{9B8DFA95-A37E-47E2-B28D-8010CCD9298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5CE7C">
    <w:pPr>
      <w:pStyle w:val="21"/>
      <w:ind w:firstLine="360"/>
      <w:jc w:val="center"/>
    </w:pPr>
  </w:p>
  <w:p w14:paraId="3AA77DC6">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AF54E">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4D82">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F313">
    <w:pPr>
      <w:pStyle w:val="21"/>
      <w:ind w:firstLine="360"/>
    </w:pPr>
    <w:r>
      <w:pict>
        <v:shape id="_x0000_s1026" o:spid="_x0000_s1026" o:spt="202" type="#_x0000_t202" style="position:absolute;left:0pt;margin-left:237.65pt;margin-top:-0.85pt;height:144pt;width:37.5pt;mso-position-horizontal-relative:margin;z-index:251659264;mso-width-relative:page;mso-height-relative:page;" filled="f" stroked="f" coordsize="21600,21600" o:gfxdata="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F0sptkAAAAKAQAADwAAAAAAAAABACAAAAAiAAAAZHJzL2Rvd25yZXYueG1s&#10;UEsBAhQAFAAAAAgAh07iQJuCL5EwAgAAVgQAAA4AAAAAAAAAAQAgAAAAKAEAAGRycy9lMm9Eb2Mu&#10;eG1sUEsFBgAAAAAGAAYAWQEAAMoFAAAAAA==&#10;">
          <v:path/>
          <v:fill on="f" focussize="0,0"/>
          <v:stroke on="f" weight="0.5pt" joinstyle="miter"/>
          <v:imagedata o:title=""/>
          <o:lock v:ext="edit"/>
          <v:textbox inset="0mm,0mm,0mm,0mm" style="mso-fit-shape-to-text:t;">
            <w:txbxContent>
              <w:p w14:paraId="5E9784BE">
                <w:pPr>
                  <w:pStyle w:val="21"/>
                  <w:ind w:firstLine="360"/>
                </w:pPr>
                <w:r>
                  <w:fldChar w:fldCharType="begin"/>
                </w:r>
                <w:r>
                  <w:instrText xml:space="preserve"> PAGE  \* MERGEFORMAT </w:instrText>
                </w:r>
                <w:r>
                  <w:fldChar w:fldCharType="separate"/>
                </w:r>
                <w: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26F4">
    <w:pPr>
      <w:pStyle w:val="21"/>
      <w:ind w:firstLine="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14:paraId="22E798E1">
                <w:pPr>
                  <w:pStyle w:val="21"/>
                  <w:ind w:firstLine="360"/>
                </w:pPr>
                <w:r>
                  <w:fldChar w:fldCharType="begin"/>
                </w:r>
                <w:r>
                  <w:instrText xml:space="preserve"> PAGE  \* MERGEFORMAT </w:instrText>
                </w:r>
                <w:r>
                  <w:fldChar w:fldCharType="separate"/>
                </w:r>
                <w:r>
                  <w:t>104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D677">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AFF9">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36D44">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6441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71B01"/>
    <w:multiLevelType w:val="singleLevel"/>
    <w:tmpl w:val="F9671B01"/>
    <w:lvl w:ilvl="0" w:tentative="0">
      <w:start w:val="5"/>
      <w:numFmt w:val="chineseCounting"/>
      <w:suff w:val="space"/>
      <w:lvlText w:val="第%1章"/>
      <w:lvlJc w:val="left"/>
      <w:rPr>
        <w:rFonts w:hint="eastAsia"/>
      </w:rPr>
    </w:lvl>
  </w:abstractNum>
  <w:abstractNum w:abstractNumId="1">
    <w:nsid w:val="6D20391C"/>
    <w:multiLevelType w:val="multilevel"/>
    <w:tmpl w:val="6D20391C"/>
    <w:lvl w:ilvl="0" w:tentative="0">
      <w:start w:val="1"/>
      <w:numFmt w:val="decimal"/>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dit="readOnly" w:formatting="1"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mOTY3ZDUyNDIwMThiMThhMzMyNjk3OTQwM2M1Y2YifQ=="/>
    <w:docVar w:name="KSO_WPS_MARK_KEY" w:val="72447ab6-6675-469a-9cbb-15c0511be473"/>
  </w:docVars>
  <w:rsids>
    <w:rsidRoot w:val="00864FE5"/>
    <w:rsid w:val="0000153C"/>
    <w:rsid w:val="00003F7A"/>
    <w:rsid w:val="00006B33"/>
    <w:rsid w:val="0001018F"/>
    <w:rsid w:val="00010922"/>
    <w:rsid w:val="00012C35"/>
    <w:rsid w:val="0001586C"/>
    <w:rsid w:val="0002126E"/>
    <w:rsid w:val="0002236F"/>
    <w:rsid w:val="000310FB"/>
    <w:rsid w:val="00031308"/>
    <w:rsid w:val="00031634"/>
    <w:rsid w:val="000336C0"/>
    <w:rsid w:val="00034A37"/>
    <w:rsid w:val="00037543"/>
    <w:rsid w:val="00055338"/>
    <w:rsid w:val="0005702D"/>
    <w:rsid w:val="000602DB"/>
    <w:rsid w:val="00060D51"/>
    <w:rsid w:val="0006323E"/>
    <w:rsid w:val="00065248"/>
    <w:rsid w:val="0007045D"/>
    <w:rsid w:val="00073726"/>
    <w:rsid w:val="00075EF0"/>
    <w:rsid w:val="0007749C"/>
    <w:rsid w:val="00077A4B"/>
    <w:rsid w:val="00080119"/>
    <w:rsid w:val="00085121"/>
    <w:rsid w:val="000851F9"/>
    <w:rsid w:val="00085323"/>
    <w:rsid w:val="000861E4"/>
    <w:rsid w:val="00094EE3"/>
    <w:rsid w:val="000A0EB9"/>
    <w:rsid w:val="000A2B10"/>
    <w:rsid w:val="000A3943"/>
    <w:rsid w:val="000A68BC"/>
    <w:rsid w:val="000B2CBD"/>
    <w:rsid w:val="000B3B8D"/>
    <w:rsid w:val="000B6959"/>
    <w:rsid w:val="000B7D1F"/>
    <w:rsid w:val="000C03B3"/>
    <w:rsid w:val="000C1B19"/>
    <w:rsid w:val="000C1D97"/>
    <w:rsid w:val="000C5E98"/>
    <w:rsid w:val="000C797D"/>
    <w:rsid w:val="000D3F8C"/>
    <w:rsid w:val="000D56E4"/>
    <w:rsid w:val="000D5E6C"/>
    <w:rsid w:val="000E10BC"/>
    <w:rsid w:val="000E1628"/>
    <w:rsid w:val="000F0122"/>
    <w:rsid w:val="000F5413"/>
    <w:rsid w:val="00103476"/>
    <w:rsid w:val="00104730"/>
    <w:rsid w:val="00105010"/>
    <w:rsid w:val="001101AF"/>
    <w:rsid w:val="00111331"/>
    <w:rsid w:val="001126F2"/>
    <w:rsid w:val="00112AB4"/>
    <w:rsid w:val="00113123"/>
    <w:rsid w:val="00116016"/>
    <w:rsid w:val="00116C57"/>
    <w:rsid w:val="00122FDD"/>
    <w:rsid w:val="00123143"/>
    <w:rsid w:val="001231EF"/>
    <w:rsid w:val="00123D21"/>
    <w:rsid w:val="00124A6C"/>
    <w:rsid w:val="00127D61"/>
    <w:rsid w:val="00130B86"/>
    <w:rsid w:val="001337EC"/>
    <w:rsid w:val="001339B1"/>
    <w:rsid w:val="001411B3"/>
    <w:rsid w:val="00142003"/>
    <w:rsid w:val="00143F6F"/>
    <w:rsid w:val="001516C3"/>
    <w:rsid w:val="00154D31"/>
    <w:rsid w:val="00156044"/>
    <w:rsid w:val="001567AA"/>
    <w:rsid w:val="001567E2"/>
    <w:rsid w:val="00156B58"/>
    <w:rsid w:val="00157BCA"/>
    <w:rsid w:val="00160885"/>
    <w:rsid w:val="00162AF4"/>
    <w:rsid w:val="001734F6"/>
    <w:rsid w:val="001739D3"/>
    <w:rsid w:val="001754D1"/>
    <w:rsid w:val="00177BE4"/>
    <w:rsid w:val="00180804"/>
    <w:rsid w:val="0018623A"/>
    <w:rsid w:val="00191851"/>
    <w:rsid w:val="00194DE6"/>
    <w:rsid w:val="0019786C"/>
    <w:rsid w:val="001A040E"/>
    <w:rsid w:val="001A10A1"/>
    <w:rsid w:val="001A1284"/>
    <w:rsid w:val="001A40FB"/>
    <w:rsid w:val="001A4E69"/>
    <w:rsid w:val="001B1B52"/>
    <w:rsid w:val="001B57A6"/>
    <w:rsid w:val="001C402A"/>
    <w:rsid w:val="001C48B6"/>
    <w:rsid w:val="001D2093"/>
    <w:rsid w:val="001D3A9C"/>
    <w:rsid w:val="001D40A4"/>
    <w:rsid w:val="001D746B"/>
    <w:rsid w:val="001E01FD"/>
    <w:rsid w:val="001E23E9"/>
    <w:rsid w:val="001E34F5"/>
    <w:rsid w:val="001F105F"/>
    <w:rsid w:val="001F29AC"/>
    <w:rsid w:val="002041FC"/>
    <w:rsid w:val="00207E48"/>
    <w:rsid w:val="00223CA2"/>
    <w:rsid w:val="0023120B"/>
    <w:rsid w:val="00232C03"/>
    <w:rsid w:val="002345DE"/>
    <w:rsid w:val="0023505B"/>
    <w:rsid w:val="002351A3"/>
    <w:rsid w:val="00235AEB"/>
    <w:rsid w:val="00241520"/>
    <w:rsid w:val="00244073"/>
    <w:rsid w:val="0024482D"/>
    <w:rsid w:val="00245108"/>
    <w:rsid w:val="0024570E"/>
    <w:rsid w:val="00245719"/>
    <w:rsid w:val="002520C3"/>
    <w:rsid w:val="002530A4"/>
    <w:rsid w:val="00256137"/>
    <w:rsid w:val="002579C1"/>
    <w:rsid w:val="00261615"/>
    <w:rsid w:val="00270CF7"/>
    <w:rsid w:val="00272DDD"/>
    <w:rsid w:val="00276843"/>
    <w:rsid w:val="00284762"/>
    <w:rsid w:val="00287AD7"/>
    <w:rsid w:val="002902FA"/>
    <w:rsid w:val="00292A28"/>
    <w:rsid w:val="00294CFC"/>
    <w:rsid w:val="002A1FAA"/>
    <w:rsid w:val="002A3D99"/>
    <w:rsid w:val="002A6083"/>
    <w:rsid w:val="002B532F"/>
    <w:rsid w:val="002B67AC"/>
    <w:rsid w:val="002B75AF"/>
    <w:rsid w:val="002C1931"/>
    <w:rsid w:val="002C3D6A"/>
    <w:rsid w:val="002C6A4A"/>
    <w:rsid w:val="002C7780"/>
    <w:rsid w:val="002D00D8"/>
    <w:rsid w:val="002D3D64"/>
    <w:rsid w:val="002D51C6"/>
    <w:rsid w:val="002E1472"/>
    <w:rsid w:val="002E1A1F"/>
    <w:rsid w:val="002E29EB"/>
    <w:rsid w:val="002E39ED"/>
    <w:rsid w:val="002E4BE4"/>
    <w:rsid w:val="002E7842"/>
    <w:rsid w:val="002E7A52"/>
    <w:rsid w:val="002E7BF2"/>
    <w:rsid w:val="002F1618"/>
    <w:rsid w:val="002F1BE6"/>
    <w:rsid w:val="002F4D6C"/>
    <w:rsid w:val="002F57DE"/>
    <w:rsid w:val="002F5CB7"/>
    <w:rsid w:val="00307146"/>
    <w:rsid w:val="003105EA"/>
    <w:rsid w:val="00312FF9"/>
    <w:rsid w:val="0032632F"/>
    <w:rsid w:val="003266BD"/>
    <w:rsid w:val="00335138"/>
    <w:rsid w:val="00341823"/>
    <w:rsid w:val="00344952"/>
    <w:rsid w:val="003471AB"/>
    <w:rsid w:val="00347B67"/>
    <w:rsid w:val="003538F7"/>
    <w:rsid w:val="003663CF"/>
    <w:rsid w:val="00367A65"/>
    <w:rsid w:val="003709BE"/>
    <w:rsid w:val="00376C3F"/>
    <w:rsid w:val="0037701B"/>
    <w:rsid w:val="003837EE"/>
    <w:rsid w:val="003916D1"/>
    <w:rsid w:val="003A1920"/>
    <w:rsid w:val="003A1B37"/>
    <w:rsid w:val="003A4DB1"/>
    <w:rsid w:val="003B004F"/>
    <w:rsid w:val="003B2820"/>
    <w:rsid w:val="003B59F2"/>
    <w:rsid w:val="003C3906"/>
    <w:rsid w:val="003C4E1B"/>
    <w:rsid w:val="003C52EA"/>
    <w:rsid w:val="003C78A5"/>
    <w:rsid w:val="003C7A5C"/>
    <w:rsid w:val="003D293E"/>
    <w:rsid w:val="003D7FA7"/>
    <w:rsid w:val="003E0E15"/>
    <w:rsid w:val="003E1200"/>
    <w:rsid w:val="003E4D3B"/>
    <w:rsid w:val="003E6C09"/>
    <w:rsid w:val="003E6F12"/>
    <w:rsid w:val="003E76B2"/>
    <w:rsid w:val="003F0C19"/>
    <w:rsid w:val="003F2623"/>
    <w:rsid w:val="003F2C4F"/>
    <w:rsid w:val="003F2CAB"/>
    <w:rsid w:val="003F3CC9"/>
    <w:rsid w:val="003F40BF"/>
    <w:rsid w:val="003F49C5"/>
    <w:rsid w:val="003F7081"/>
    <w:rsid w:val="004026CB"/>
    <w:rsid w:val="00403A61"/>
    <w:rsid w:val="0041233F"/>
    <w:rsid w:val="00414AD0"/>
    <w:rsid w:val="00421BC6"/>
    <w:rsid w:val="00421DEA"/>
    <w:rsid w:val="00431761"/>
    <w:rsid w:val="00445EC8"/>
    <w:rsid w:val="00447D72"/>
    <w:rsid w:val="00452753"/>
    <w:rsid w:val="00455654"/>
    <w:rsid w:val="00463295"/>
    <w:rsid w:val="00463E89"/>
    <w:rsid w:val="00465475"/>
    <w:rsid w:val="004702D4"/>
    <w:rsid w:val="00470EA2"/>
    <w:rsid w:val="0047116D"/>
    <w:rsid w:val="0047431D"/>
    <w:rsid w:val="004755CD"/>
    <w:rsid w:val="004757AA"/>
    <w:rsid w:val="004800D0"/>
    <w:rsid w:val="00483C03"/>
    <w:rsid w:val="00483FC5"/>
    <w:rsid w:val="004844C3"/>
    <w:rsid w:val="004872DE"/>
    <w:rsid w:val="0049006D"/>
    <w:rsid w:val="00497BB4"/>
    <w:rsid w:val="004A2BA9"/>
    <w:rsid w:val="004A4310"/>
    <w:rsid w:val="004A52BE"/>
    <w:rsid w:val="004B4572"/>
    <w:rsid w:val="004B47AA"/>
    <w:rsid w:val="004B542C"/>
    <w:rsid w:val="004B5ECE"/>
    <w:rsid w:val="004B78DE"/>
    <w:rsid w:val="004C32B8"/>
    <w:rsid w:val="004D3A33"/>
    <w:rsid w:val="004D4BE4"/>
    <w:rsid w:val="004D4C2C"/>
    <w:rsid w:val="004D4E0E"/>
    <w:rsid w:val="004D637B"/>
    <w:rsid w:val="004D6E09"/>
    <w:rsid w:val="004E14E3"/>
    <w:rsid w:val="004E2E4C"/>
    <w:rsid w:val="004E425C"/>
    <w:rsid w:val="004E4A3D"/>
    <w:rsid w:val="004F1FED"/>
    <w:rsid w:val="004F2378"/>
    <w:rsid w:val="004F4E33"/>
    <w:rsid w:val="00500183"/>
    <w:rsid w:val="00500DA5"/>
    <w:rsid w:val="00502802"/>
    <w:rsid w:val="0050307E"/>
    <w:rsid w:val="0050669A"/>
    <w:rsid w:val="00511763"/>
    <w:rsid w:val="005154B6"/>
    <w:rsid w:val="00517956"/>
    <w:rsid w:val="0052073E"/>
    <w:rsid w:val="00521F87"/>
    <w:rsid w:val="00522288"/>
    <w:rsid w:val="005226F9"/>
    <w:rsid w:val="0052306B"/>
    <w:rsid w:val="005243B5"/>
    <w:rsid w:val="0052496E"/>
    <w:rsid w:val="005347B7"/>
    <w:rsid w:val="00535CAA"/>
    <w:rsid w:val="005366DA"/>
    <w:rsid w:val="00536B5E"/>
    <w:rsid w:val="005412A1"/>
    <w:rsid w:val="00543981"/>
    <w:rsid w:val="0054606F"/>
    <w:rsid w:val="00550D29"/>
    <w:rsid w:val="00556938"/>
    <w:rsid w:val="00556AA5"/>
    <w:rsid w:val="00557A8C"/>
    <w:rsid w:val="00560613"/>
    <w:rsid w:val="00561BAE"/>
    <w:rsid w:val="0056520E"/>
    <w:rsid w:val="00570179"/>
    <w:rsid w:val="00573FF5"/>
    <w:rsid w:val="00577AE9"/>
    <w:rsid w:val="00577BF3"/>
    <w:rsid w:val="00577C94"/>
    <w:rsid w:val="00581776"/>
    <w:rsid w:val="00583939"/>
    <w:rsid w:val="00586FCF"/>
    <w:rsid w:val="0059221E"/>
    <w:rsid w:val="005944F2"/>
    <w:rsid w:val="005A0D5E"/>
    <w:rsid w:val="005A44D9"/>
    <w:rsid w:val="005A788C"/>
    <w:rsid w:val="005B16EE"/>
    <w:rsid w:val="005B43F7"/>
    <w:rsid w:val="005B478B"/>
    <w:rsid w:val="005B665B"/>
    <w:rsid w:val="005B7F23"/>
    <w:rsid w:val="005C0420"/>
    <w:rsid w:val="005C22B1"/>
    <w:rsid w:val="005C6BB4"/>
    <w:rsid w:val="005C7CC4"/>
    <w:rsid w:val="005D0654"/>
    <w:rsid w:val="005D1592"/>
    <w:rsid w:val="005D2F60"/>
    <w:rsid w:val="005D7621"/>
    <w:rsid w:val="005D7BBB"/>
    <w:rsid w:val="005E13E0"/>
    <w:rsid w:val="005E3A0A"/>
    <w:rsid w:val="005E5F38"/>
    <w:rsid w:val="005E60CB"/>
    <w:rsid w:val="005E73F1"/>
    <w:rsid w:val="005F2730"/>
    <w:rsid w:val="005F46C0"/>
    <w:rsid w:val="005F4AD3"/>
    <w:rsid w:val="00600D18"/>
    <w:rsid w:val="00605619"/>
    <w:rsid w:val="00612220"/>
    <w:rsid w:val="00613CBA"/>
    <w:rsid w:val="006145B4"/>
    <w:rsid w:val="00620902"/>
    <w:rsid w:val="006223F2"/>
    <w:rsid w:val="00623282"/>
    <w:rsid w:val="0063119D"/>
    <w:rsid w:val="00633055"/>
    <w:rsid w:val="00645886"/>
    <w:rsid w:val="006469BD"/>
    <w:rsid w:val="0065224F"/>
    <w:rsid w:val="00652CFE"/>
    <w:rsid w:val="00656A88"/>
    <w:rsid w:val="006625C5"/>
    <w:rsid w:val="00665E42"/>
    <w:rsid w:val="00685FCB"/>
    <w:rsid w:val="00687BE8"/>
    <w:rsid w:val="00690ECB"/>
    <w:rsid w:val="00695677"/>
    <w:rsid w:val="006958F8"/>
    <w:rsid w:val="00695FBE"/>
    <w:rsid w:val="00696D30"/>
    <w:rsid w:val="006A38A0"/>
    <w:rsid w:val="006B1D7A"/>
    <w:rsid w:val="006B2A81"/>
    <w:rsid w:val="006C5942"/>
    <w:rsid w:val="006C7BFF"/>
    <w:rsid w:val="006C7EA3"/>
    <w:rsid w:val="006D6087"/>
    <w:rsid w:val="006E647F"/>
    <w:rsid w:val="006E6A3E"/>
    <w:rsid w:val="006F1723"/>
    <w:rsid w:val="006F2211"/>
    <w:rsid w:val="00703CFE"/>
    <w:rsid w:val="00704DC5"/>
    <w:rsid w:val="0070619F"/>
    <w:rsid w:val="007139E7"/>
    <w:rsid w:val="00715588"/>
    <w:rsid w:val="007155BC"/>
    <w:rsid w:val="00715E08"/>
    <w:rsid w:val="00716E32"/>
    <w:rsid w:val="0072361B"/>
    <w:rsid w:val="00724C3C"/>
    <w:rsid w:val="00726786"/>
    <w:rsid w:val="00732904"/>
    <w:rsid w:val="00737F44"/>
    <w:rsid w:val="00740CBB"/>
    <w:rsid w:val="007411FD"/>
    <w:rsid w:val="00741A53"/>
    <w:rsid w:val="00742019"/>
    <w:rsid w:val="007462A2"/>
    <w:rsid w:val="00747DEF"/>
    <w:rsid w:val="00750958"/>
    <w:rsid w:val="00753A21"/>
    <w:rsid w:val="00754415"/>
    <w:rsid w:val="00756692"/>
    <w:rsid w:val="00756C52"/>
    <w:rsid w:val="007642BA"/>
    <w:rsid w:val="00771EDA"/>
    <w:rsid w:val="00782F6A"/>
    <w:rsid w:val="00784238"/>
    <w:rsid w:val="0078533D"/>
    <w:rsid w:val="00785F41"/>
    <w:rsid w:val="00786384"/>
    <w:rsid w:val="00787266"/>
    <w:rsid w:val="00787A8E"/>
    <w:rsid w:val="007919C8"/>
    <w:rsid w:val="00792385"/>
    <w:rsid w:val="00793532"/>
    <w:rsid w:val="00793827"/>
    <w:rsid w:val="00794899"/>
    <w:rsid w:val="00794C77"/>
    <w:rsid w:val="00795AA3"/>
    <w:rsid w:val="007A0B7F"/>
    <w:rsid w:val="007A0E2F"/>
    <w:rsid w:val="007A3DE4"/>
    <w:rsid w:val="007B108C"/>
    <w:rsid w:val="007B6174"/>
    <w:rsid w:val="007B6EFC"/>
    <w:rsid w:val="007C12D8"/>
    <w:rsid w:val="007C1D1F"/>
    <w:rsid w:val="007C3EE3"/>
    <w:rsid w:val="007C4478"/>
    <w:rsid w:val="007C44C8"/>
    <w:rsid w:val="007C7FE3"/>
    <w:rsid w:val="007E582E"/>
    <w:rsid w:val="007E5963"/>
    <w:rsid w:val="007E73E2"/>
    <w:rsid w:val="007E7CFD"/>
    <w:rsid w:val="007F1EF6"/>
    <w:rsid w:val="007F4772"/>
    <w:rsid w:val="007F67BF"/>
    <w:rsid w:val="007F7237"/>
    <w:rsid w:val="007F7359"/>
    <w:rsid w:val="00802393"/>
    <w:rsid w:val="00803DB9"/>
    <w:rsid w:val="00803FB2"/>
    <w:rsid w:val="008045B4"/>
    <w:rsid w:val="0081006E"/>
    <w:rsid w:val="00810E55"/>
    <w:rsid w:val="00810F1F"/>
    <w:rsid w:val="0082249C"/>
    <w:rsid w:val="00823835"/>
    <w:rsid w:val="00835730"/>
    <w:rsid w:val="008360DB"/>
    <w:rsid w:val="0083774E"/>
    <w:rsid w:val="008411B7"/>
    <w:rsid w:val="00842F92"/>
    <w:rsid w:val="0084619A"/>
    <w:rsid w:val="008463D6"/>
    <w:rsid w:val="00846588"/>
    <w:rsid w:val="00846E34"/>
    <w:rsid w:val="0084718B"/>
    <w:rsid w:val="0085442C"/>
    <w:rsid w:val="0085752A"/>
    <w:rsid w:val="00857BCE"/>
    <w:rsid w:val="0086156B"/>
    <w:rsid w:val="00863956"/>
    <w:rsid w:val="00864FE5"/>
    <w:rsid w:val="00871837"/>
    <w:rsid w:val="00871F24"/>
    <w:rsid w:val="008754AE"/>
    <w:rsid w:val="00876356"/>
    <w:rsid w:val="00880C39"/>
    <w:rsid w:val="00881579"/>
    <w:rsid w:val="008871A9"/>
    <w:rsid w:val="00895894"/>
    <w:rsid w:val="008A1FF0"/>
    <w:rsid w:val="008A2777"/>
    <w:rsid w:val="008A5272"/>
    <w:rsid w:val="008B095B"/>
    <w:rsid w:val="008B6E80"/>
    <w:rsid w:val="008C00FE"/>
    <w:rsid w:val="008C3F62"/>
    <w:rsid w:val="008C3F7E"/>
    <w:rsid w:val="008C402C"/>
    <w:rsid w:val="008C4E83"/>
    <w:rsid w:val="008D1F10"/>
    <w:rsid w:val="008E071F"/>
    <w:rsid w:val="008E0A4F"/>
    <w:rsid w:val="008E1D0F"/>
    <w:rsid w:val="008F0A23"/>
    <w:rsid w:val="008F16F8"/>
    <w:rsid w:val="008F20B3"/>
    <w:rsid w:val="008F2B2C"/>
    <w:rsid w:val="008F300D"/>
    <w:rsid w:val="008F5E79"/>
    <w:rsid w:val="00902031"/>
    <w:rsid w:val="00905B29"/>
    <w:rsid w:val="00912345"/>
    <w:rsid w:val="009169B8"/>
    <w:rsid w:val="009174B3"/>
    <w:rsid w:val="009245F9"/>
    <w:rsid w:val="00925EF1"/>
    <w:rsid w:val="009273F5"/>
    <w:rsid w:val="00927C0A"/>
    <w:rsid w:val="00933267"/>
    <w:rsid w:val="0093388D"/>
    <w:rsid w:val="00933E30"/>
    <w:rsid w:val="009358DE"/>
    <w:rsid w:val="0093598E"/>
    <w:rsid w:val="00936D84"/>
    <w:rsid w:val="009374CD"/>
    <w:rsid w:val="009401B4"/>
    <w:rsid w:val="00943CEC"/>
    <w:rsid w:val="00943EBB"/>
    <w:rsid w:val="00947F73"/>
    <w:rsid w:val="009507BF"/>
    <w:rsid w:val="00950FB2"/>
    <w:rsid w:val="00952025"/>
    <w:rsid w:val="00957496"/>
    <w:rsid w:val="00961BEE"/>
    <w:rsid w:val="009625D6"/>
    <w:rsid w:val="00963297"/>
    <w:rsid w:val="0096542C"/>
    <w:rsid w:val="00971175"/>
    <w:rsid w:val="0097140F"/>
    <w:rsid w:val="009719BE"/>
    <w:rsid w:val="00976A60"/>
    <w:rsid w:val="00977BD5"/>
    <w:rsid w:val="009812B3"/>
    <w:rsid w:val="00983F1F"/>
    <w:rsid w:val="00993085"/>
    <w:rsid w:val="00995648"/>
    <w:rsid w:val="009A002E"/>
    <w:rsid w:val="009C40D4"/>
    <w:rsid w:val="009C6CB6"/>
    <w:rsid w:val="009D00CF"/>
    <w:rsid w:val="009D18C7"/>
    <w:rsid w:val="009D354F"/>
    <w:rsid w:val="009D41DF"/>
    <w:rsid w:val="009D4768"/>
    <w:rsid w:val="009D58E7"/>
    <w:rsid w:val="009D6723"/>
    <w:rsid w:val="009D7422"/>
    <w:rsid w:val="009E06B2"/>
    <w:rsid w:val="009E5B39"/>
    <w:rsid w:val="009F4D75"/>
    <w:rsid w:val="00A00DBE"/>
    <w:rsid w:val="00A02325"/>
    <w:rsid w:val="00A03CF0"/>
    <w:rsid w:val="00A03D69"/>
    <w:rsid w:val="00A061E4"/>
    <w:rsid w:val="00A07D21"/>
    <w:rsid w:val="00A158FC"/>
    <w:rsid w:val="00A17778"/>
    <w:rsid w:val="00A2175E"/>
    <w:rsid w:val="00A2423A"/>
    <w:rsid w:val="00A27A00"/>
    <w:rsid w:val="00A31794"/>
    <w:rsid w:val="00A4078C"/>
    <w:rsid w:val="00A41B56"/>
    <w:rsid w:val="00A42D05"/>
    <w:rsid w:val="00A4430B"/>
    <w:rsid w:val="00A51A92"/>
    <w:rsid w:val="00A542BF"/>
    <w:rsid w:val="00A54422"/>
    <w:rsid w:val="00A54769"/>
    <w:rsid w:val="00A60AA5"/>
    <w:rsid w:val="00A63A09"/>
    <w:rsid w:val="00A66D36"/>
    <w:rsid w:val="00A71586"/>
    <w:rsid w:val="00A77169"/>
    <w:rsid w:val="00A8177A"/>
    <w:rsid w:val="00A833E5"/>
    <w:rsid w:val="00A9101F"/>
    <w:rsid w:val="00A921F5"/>
    <w:rsid w:val="00A9593C"/>
    <w:rsid w:val="00A96E15"/>
    <w:rsid w:val="00AA1FE4"/>
    <w:rsid w:val="00AA47EA"/>
    <w:rsid w:val="00AA5D1C"/>
    <w:rsid w:val="00AB6A4D"/>
    <w:rsid w:val="00AC1CA6"/>
    <w:rsid w:val="00AC433A"/>
    <w:rsid w:val="00AC4871"/>
    <w:rsid w:val="00AD025F"/>
    <w:rsid w:val="00AD0CAD"/>
    <w:rsid w:val="00AD1BBF"/>
    <w:rsid w:val="00AD2926"/>
    <w:rsid w:val="00AD507F"/>
    <w:rsid w:val="00AD6E4D"/>
    <w:rsid w:val="00AF18A4"/>
    <w:rsid w:val="00AF3124"/>
    <w:rsid w:val="00AF52CD"/>
    <w:rsid w:val="00B01C61"/>
    <w:rsid w:val="00B02A95"/>
    <w:rsid w:val="00B02BBD"/>
    <w:rsid w:val="00B03C14"/>
    <w:rsid w:val="00B07DE5"/>
    <w:rsid w:val="00B13D4C"/>
    <w:rsid w:val="00B16134"/>
    <w:rsid w:val="00B163BB"/>
    <w:rsid w:val="00B207BF"/>
    <w:rsid w:val="00B21193"/>
    <w:rsid w:val="00B21B93"/>
    <w:rsid w:val="00B22BBC"/>
    <w:rsid w:val="00B27947"/>
    <w:rsid w:val="00B35209"/>
    <w:rsid w:val="00B352B6"/>
    <w:rsid w:val="00B368DD"/>
    <w:rsid w:val="00B41A7B"/>
    <w:rsid w:val="00B43608"/>
    <w:rsid w:val="00B43EE7"/>
    <w:rsid w:val="00B44131"/>
    <w:rsid w:val="00B4436B"/>
    <w:rsid w:val="00B50CA0"/>
    <w:rsid w:val="00B516EA"/>
    <w:rsid w:val="00B51AAC"/>
    <w:rsid w:val="00B51C70"/>
    <w:rsid w:val="00B5420F"/>
    <w:rsid w:val="00B54949"/>
    <w:rsid w:val="00B55739"/>
    <w:rsid w:val="00B55B4A"/>
    <w:rsid w:val="00B5689C"/>
    <w:rsid w:val="00B573AD"/>
    <w:rsid w:val="00B648BF"/>
    <w:rsid w:val="00B71280"/>
    <w:rsid w:val="00B71588"/>
    <w:rsid w:val="00B722D9"/>
    <w:rsid w:val="00B74538"/>
    <w:rsid w:val="00B74CEF"/>
    <w:rsid w:val="00B774AA"/>
    <w:rsid w:val="00B81D18"/>
    <w:rsid w:val="00B82DAC"/>
    <w:rsid w:val="00B83DD6"/>
    <w:rsid w:val="00B90E74"/>
    <w:rsid w:val="00B936AF"/>
    <w:rsid w:val="00B95058"/>
    <w:rsid w:val="00BA089B"/>
    <w:rsid w:val="00BA150F"/>
    <w:rsid w:val="00BA59F8"/>
    <w:rsid w:val="00BA779E"/>
    <w:rsid w:val="00BA7DE4"/>
    <w:rsid w:val="00BB0414"/>
    <w:rsid w:val="00BB0851"/>
    <w:rsid w:val="00BB35CD"/>
    <w:rsid w:val="00BB54E1"/>
    <w:rsid w:val="00BB56CA"/>
    <w:rsid w:val="00BB735C"/>
    <w:rsid w:val="00BC33C0"/>
    <w:rsid w:val="00BD09BA"/>
    <w:rsid w:val="00BD416C"/>
    <w:rsid w:val="00BD6E94"/>
    <w:rsid w:val="00BE26FC"/>
    <w:rsid w:val="00BE28D8"/>
    <w:rsid w:val="00BE2EF4"/>
    <w:rsid w:val="00BE33C1"/>
    <w:rsid w:val="00BE56B6"/>
    <w:rsid w:val="00BF1D7C"/>
    <w:rsid w:val="00BF4A18"/>
    <w:rsid w:val="00BF7523"/>
    <w:rsid w:val="00BF7733"/>
    <w:rsid w:val="00BF7CA9"/>
    <w:rsid w:val="00C00C5B"/>
    <w:rsid w:val="00C028E4"/>
    <w:rsid w:val="00C03198"/>
    <w:rsid w:val="00C042A2"/>
    <w:rsid w:val="00C04E76"/>
    <w:rsid w:val="00C05D8E"/>
    <w:rsid w:val="00C07553"/>
    <w:rsid w:val="00C16967"/>
    <w:rsid w:val="00C21903"/>
    <w:rsid w:val="00C3528E"/>
    <w:rsid w:val="00C35298"/>
    <w:rsid w:val="00C35942"/>
    <w:rsid w:val="00C368D8"/>
    <w:rsid w:val="00C449C0"/>
    <w:rsid w:val="00C4538E"/>
    <w:rsid w:val="00C45B52"/>
    <w:rsid w:val="00C46C63"/>
    <w:rsid w:val="00C557F2"/>
    <w:rsid w:val="00C5727F"/>
    <w:rsid w:val="00C6085C"/>
    <w:rsid w:val="00C61604"/>
    <w:rsid w:val="00C62083"/>
    <w:rsid w:val="00C645C5"/>
    <w:rsid w:val="00C675E9"/>
    <w:rsid w:val="00C733FA"/>
    <w:rsid w:val="00C75F66"/>
    <w:rsid w:val="00C80094"/>
    <w:rsid w:val="00C86A5A"/>
    <w:rsid w:val="00C90A65"/>
    <w:rsid w:val="00C929D0"/>
    <w:rsid w:val="00C95A7A"/>
    <w:rsid w:val="00C95D3E"/>
    <w:rsid w:val="00CA0DCC"/>
    <w:rsid w:val="00CA0F28"/>
    <w:rsid w:val="00CA2429"/>
    <w:rsid w:val="00CA3111"/>
    <w:rsid w:val="00CA3F65"/>
    <w:rsid w:val="00CA41EE"/>
    <w:rsid w:val="00CA5344"/>
    <w:rsid w:val="00CB070D"/>
    <w:rsid w:val="00CC1B0A"/>
    <w:rsid w:val="00CC3591"/>
    <w:rsid w:val="00CD1D7F"/>
    <w:rsid w:val="00CD452F"/>
    <w:rsid w:val="00CD4CF4"/>
    <w:rsid w:val="00CD6641"/>
    <w:rsid w:val="00CD6892"/>
    <w:rsid w:val="00CD7CE0"/>
    <w:rsid w:val="00CE1761"/>
    <w:rsid w:val="00CE2BBE"/>
    <w:rsid w:val="00CE370E"/>
    <w:rsid w:val="00CE3870"/>
    <w:rsid w:val="00CE47B6"/>
    <w:rsid w:val="00CE57B2"/>
    <w:rsid w:val="00CF1880"/>
    <w:rsid w:val="00CF4711"/>
    <w:rsid w:val="00CF4806"/>
    <w:rsid w:val="00CF4F1E"/>
    <w:rsid w:val="00D03CFA"/>
    <w:rsid w:val="00D05BE1"/>
    <w:rsid w:val="00D10A92"/>
    <w:rsid w:val="00D132D5"/>
    <w:rsid w:val="00D14D88"/>
    <w:rsid w:val="00D214A6"/>
    <w:rsid w:val="00D21B2C"/>
    <w:rsid w:val="00D25E0C"/>
    <w:rsid w:val="00D3503D"/>
    <w:rsid w:val="00D37A89"/>
    <w:rsid w:val="00D45860"/>
    <w:rsid w:val="00D50A66"/>
    <w:rsid w:val="00D529EA"/>
    <w:rsid w:val="00D529FB"/>
    <w:rsid w:val="00D553B2"/>
    <w:rsid w:val="00D56321"/>
    <w:rsid w:val="00D60A6D"/>
    <w:rsid w:val="00D62BF0"/>
    <w:rsid w:val="00D66C0A"/>
    <w:rsid w:val="00D67723"/>
    <w:rsid w:val="00D70BA4"/>
    <w:rsid w:val="00D71383"/>
    <w:rsid w:val="00D729B0"/>
    <w:rsid w:val="00D74BAE"/>
    <w:rsid w:val="00D75EF1"/>
    <w:rsid w:val="00D82040"/>
    <w:rsid w:val="00D86224"/>
    <w:rsid w:val="00D87017"/>
    <w:rsid w:val="00D945A1"/>
    <w:rsid w:val="00D958E1"/>
    <w:rsid w:val="00DA27A8"/>
    <w:rsid w:val="00DA360C"/>
    <w:rsid w:val="00DB255E"/>
    <w:rsid w:val="00DB2FF9"/>
    <w:rsid w:val="00DB7267"/>
    <w:rsid w:val="00DC5FE2"/>
    <w:rsid w:val="00DC64F4"/>
    <w:rsid w:val="00DD15A6"/>
    <w:rsid w:val="00DD2E72"/>
    <w:rsid w:val="00DD5C89"/>
    <w:rsid w:val="00DD7EBE"/>
    <w:rsid w:val="00DE17C7"/>
    <w:rsid w:val="00DE34E6"/>
    <w:rsid w:val="00DE53FE"/>
    <w:rsid w:val="00DF0938"/>
    <w:rsid w:val="00DF2B9B"/>
    <w:rsid w:val="00DF398C"/>
    <w:rsid w:val="00DF5758"/>
    <w:rsid w:val="00E00073"/>
    <w:rsid w:val="00E11659"/>
    <w:rsid w:val="00E21332"/>
    <w:rsid w:val="00E27E49"/>
    <w:rsid w:val="00E329DC"/>
    <w:rsid w:val="00E33E86"/>
    <w:rsid w:val="00E3551D"/>
    <w:rsid w:val="00E37E75"/>
    <w:rsid w:val="00E41659"/>
    <w:rsid w:val="00E4403F"/>
    <w:rsid w:val="00E51AC1"/>
    <w:rsid w:val="00E51E09"/>
    <w:rsid w:val="00E5394C"/>
    <w:rsid w:val="00E539E7"/>
    <w:rsid w:val="00E56F8E"/>
    <w:rsid w:val="00E64FD4"/>
    <w:rsid w:val="00E74581"/>
    <w:rsid w:val="00E76343"/>
    <w:rsid w:val="00E77296"/>
    <w:rsid w:val="00E8174F"/>
    <w:rsid w:val="00E83E20"/>
    <w:rsid w:val="00E86B62"/>
    <w:rsid w:val="00E90783"/>
    <w:rsid w:val="00E95330"/>
    <w:rsid w:val="00E96CE5"/>
    <w:rsid w:val="00EA4E73"/>
    <w:rsid w:val="00EB3CC8"/>
    <w:rsid w:val="00EB6523"/>
    <w:rsid w:val="00EB7EE4"/>
    <w:rsid w:val="00EC4EF1"/>
    <w:rsid w:val="00ED2177"/>
    <w:rsid w:val="00ED2876"/>
    <w:rsid w:val="00ED3178"/>
    <w:rsid w:val="00ED45D2"/>
    <w:rsid w:val="00ED7FA0"/>
    <w:rsid w:val="00EE0DEA"/>
    <w:rsid w:val="00EE1A79"/>
    <w:rsid w:val="00EE3E7B"/>
    <w:rsid w:val="00EF19FE"/>
    <w:rsid w:val="00EF3B84"/>
    <w:rsid w:val="00EF70C4"/>
    <w:rsid w:val="00EF741C"/>
    <w:rsid w:val="00EF7F70"/>
    <w:rsid w:val="00F02252"/>
    <w:rsid w:val="00F0409B"/>
    <w:rsid w:val="00F110AC"/>
    <w:rsid w:val="00F168A0"/>
    <w:rsid w:val="00F23F8E"/>
    <w:rsid w:val="00F26970"/>
    <w:rsid w:val="00F30E16"/>
    <w:rsid w:val="00F315A4"/>
    <w:rsid w:val="00F31AE3"/>
    <w:rsid w:val="00F3223F"/>
    <w:rsid w:val="00F41CD1"/>
    <w:rsid w:val="00F43200"/>
    <w:rsid w:val="00F531A8"/>
    <w:rsid w:val="00F53279"/>
    <w:rsid w:val="00F540D0"/>
    <w:rsid w:val="00F54A9E"/>
    <w:rsid w:val="00F54E1C"/>
    <w:rsid w:val="00F5593E"/>
    <w:rsid w:val="00F571C9"/>
    <w:rsid w:val="00F60650"/>
    <w:rsid w:val="00F611B6"/>
    <w:rsid w:val="00F652D7"/>
    <w:rsid w:val="00F65347"/>
    <w:rsid w:val="00F6577D"/>
    <w:rsid w:val="00F657A2"/>
    <w:rsid w:val="00F65992"/>
    <w:rsid w:val="00F70320"/>
    <w:rsid w:val="00F7265E"/>
    <w:rsid w:val="00F72989"/>
    <w:rsid w:val="00F73C9F"/>
    <w:rsid w:val="00F81CA3"/>
    <w:rsid w:val="00F82FD2"/>
    <w:rsid w:val="00F86866"/>
    <w:rsid w:val="00F92525"/>
    <w:rsid w:val="00F95B23"/>
    <w:rsid w:val="00FA1048"/>
    <w:rsid w:val="00FA1433"/>
    <w:rsid w:val="00FA5DB8"/>
    <w:rsid w:val="00FA6989"/>
    <w:rsid w:val="00FA7468"/>
    <w:rsid w:val="00FA7B86"/>
    <w:rsid w:val="00FB178F"/>
    <w:rsid w:val="00FB5488"/>
    <w:rsid w:val="00FC0A42"/>
    <w:rsid w:val="00FC2496"/>
    <w:rsid w:val="00FC4B93"/>
    <w:rsid w:val="00FC4FB8"/>
    <w:rsid w:val="00FC6177"/>
    <w:rsid w:val="00FC7428"/>
    <w:rsid w:val="00FD3A6F"/>
    <w:rsid w:val="00FD4F71"/>
    <w:rsid w:val="00FD72B8"/>
    <w:rsid w:val="00FE0D5B"/>
    <w:rsid w:val="00FE2886"/>
    <w:rsid w:val="00FE5C60"/>
    <w:rsid w:val="00FE7291"/>
    <w:rsid w:val="00FF026C"/>
    <w:rsid w:val="00FF2A43"/>
    <w:rsid w:val="00FF3C64"/>
    <w:rsid w:val="00FF5C01"/>
    <w:rsid w:val="00FF79A5"/>
    <w:rsid w:val="011067A8"/>
    <w:rsid w:val="01576F46"/>
    <w:rsid w:val="01D136A9"/>
    <w:rsid w:val="01F12A4F"/>
    <w:rsid w:val="028E02E8"/>
    <w:rsid w:val="02924A37"/>
    <w:rsid w:val="03185C01"/>
    <w:rsid w:val="035053EE"/>
    <w:rsid w:val="035E3ECC"/>
    <w:rsid w:val="03760A0E"/>
    <w:rsid w:val="03ED385C"/>
    <w:rsid w:val="04384A3C"/>
    <w:rsid w:val="043C2908"/>
    <w:rsid w:val="0519537F"/>
    <w:rsid w:val="05721234"/>
    <w:rsid w:val="05D55D6D"/>
    <w:rsid w:val="06882424"/>
    <w:rsid w:val="07653CF9"/>
    <w:rsid w:val="078725E8"/>
    <w:rsid w:val="08587AB3"/>
    <w:rsid w:val="08A01C35"/>
    <w:rsid w:val="097B3267"/>
    <w:rsid w:val="09C474A0"/>
    <w:rsid w:val="09E971A2"/>
    <w:rsid w:val="0A025FF9"/>
    <w:rsid w:val="0A652E27"/>
    <w:rsid w:val="0A6E0DE3"/>
    <w:rsid w:val="0A8B214D"/>
    <w:rsid w:val="0AC32041"/>
    <w:rsid w:val="0ACE6829"/>
    <w:rsid w:val="0AE61AEF"/>
    <w:rsid w:val="0B252EB3"/>
    <w:rsid w:val="0B647B9F"/>
    <w:rsid w:val="0B7A42BB"/>
    <w:rsid w:val="0BFE4B3A"/>
    <w:rsid w:val="0C6022B9"/>
    <w:rsid w:val="0C665099"/>
    <w:rsid w:val="0C9B6BDE"/>
    <w:rsid w:val="0E02141C"/>
    <w:rsid w:val="0E4A2181"/>
    <w:rsid w:val="0E9A1AAF"/>
    <w:rsid w:val="0F372067"/>
    <w:rsid w:val="0F3B6457"/>
    <w:rsid w:val="0FA71235"/>
    <w:rsid w:val="0FFB53ED"/>
    <w:rsid w:val="100615AA"/>
    <w:rsid w:val="11B86BCD"/>
    <w:rsid w:val="12B23596"/>
    <w:rsid w:val="141561E6"/>
    <w:rsid w:val="1417413C"/>
    <w:rsid w:val="149E2B3E"/>
    <w:rsid w:val="155B6E8A"/>
    <w:rsid w:val="158A578A"/>
    <w:rsid w:val="162420DB"/>
    <w:rsid w:val="1624491B"/>
    <w:rsid w:val="164A7ADC"/>
    <w:rsid w:val="16680D0B"/>
    <w:rsid w:val="16860AF1"/>
    <w:rsid w:val="17AD57DE"/>
    <w:rsid w:val="17BF32ED"/>
    <w:rsid w:val="17C43C1A"/>
    <w:rsid w:val="1843075D"/>
    <w:rsid w:val="18435A08"/>
    <w:rsid w:val="1853036D"/>
    <w:rsid w:val="189E0581"/>
    <w:rsid w:val="190F698A"/>
    <w:rsid w:val="19D07300"/>
    <w:rsid w:val="19F047B8"/>
    <w:rsid w:val="1A370606"/>
    <w:rsid w:val="1A9E130B"/>
    <w:rsid w:val="1A9F789A"/>
    <w:rsid w:val="1AB23B2A"/>
    <w:rsid w:val="1ADC7CC9"/>
    <w:rsid w:val="1B6145BA"/>
    <w:rsid w:val="1BB61BAA"/>
    <w:rsid w:val="1BE60A1D"/>
    <w:rsid w:val="1C027B22"/>
    <w:rsid w:val="1C74143C"/>
    <w:rsid w:val="1C812FDA"/>
    <w:rsid w:val="1D655E4B"/>
    <w:rsid w:val="1D6F0829"/>
    <w:rsid w:val="1DBB0E8E"/>
    <w:rsid w:val="1DC273C6"/>
    <w:rsid w:val="1DCA5BF0"/>
    <w:rsid w:val="1ECF27D1"/>
    <w:rsid w:val="1ED374DD"/>
    <w:rsid w:val="1EE41B8E"/>
    <w:rsid w:val="1F1C2B01"/>
    <w:rsid w:val="1FA223BE"/>
    <w:rsid w:val="201B5C14"/>
    <w:rsid w:val="202F346E"/>
    <w:rsid w:val="20536D8F"/>
    <w:rsid w:val="20AC79D7"/>
    <w:rsid w:val="20D16C19"/>
    <w:rsid w:val="20E97AC1"/>
    <w:rsid w:val="219A14E2"/>
    <w:rsid w:val="21C15666"/>
    <w:rsid w:val="21EF222D"/>
    <w:rsid w:val="22663F68"/>
    <w:rsid w:val="2277682A"/>
    <w:rsid w:val="22BB74BE"/>
    <w:rsid w:val="23330F55"/>
    <w:rsid w:val="233D435E"/>
    <w:rsid w:val="23640744"/>
    <w:rsid w:val="23BA2C25"/>
    <w:rsid w:val="23EA55CF"/>
    <w:rsid w:val="24851C15"/>
    <w:rsid w:val="24C81688"/>
    <w:rsid w:val="2585551C"/>
    <w:rsid w:val="25EA5D3C"/>
    <w:rsid w:val="260E3F3E"/>
    <w:rsid w:val="269C2F9C"/>
    <w:rsid w:val="26DE1B29"/>
    <w:rsid w:val="26F274B2"/>
    <w:rsid w:val="274462F3"/>
    <w:rsid w:val="27EE3C0E"/>
    <w:rsid w:val="286C5926"/>
    <w:rsid w:val="288F0E6A"/>
    <w:rsid w:val="28C02A73"/>
    <w:rsid w:val="28CC03F4"/>
    <w:rsid w:val="28F96D0F"/>
    <w:rsid w:val="29334996"/>
    <w:rsid w:val="29577E3A"/>
    <w:rsid w:val="299A41DA"/>
    <w:rsid w:val="29E83B6B"/>
    <w:rsid w:val="2A2B604D"/>
    <w:rsid w:val="2B097016"/>
    <w:rsid w:val="2B1A38C4"/>
    <w:rsid w:val="2B6A2D5C"/>
    <w:rsid w:val="2BA47372"/>
    <w:rsid w:val="2BC5737C"/>
    <w:rsid w:val="2C041C52"/>
    <w:rsid w:val="2C343F78"/>
    <w:rsid w:val="2C4650A0"/>
    <w:rsid w:val="2CA95A34"/>
    <w:rsid w:val="2CFB12A7"/>
    <w:rsid w:val="2D595083"/>
    <w:rsid w:val="2E403362"/>
    <w:rsid w:val="2E417997"/>
    <w:rsid w:val="2EE44755"/>
    <w:rsid w:val="2F562962"/>
    <w:rsid w:val="2F5D72BB"/>
    <w:rsid w:val="2F636F39"/>
    <w:rsid w:val="2F803555"/>
    <w:rsid w:val="30113518"/>
    <w:rsid w:val="30922F2B"/>
    <w:rsid w:val="31317F46"/>
    <w:rsid w:val="31A0061C"/>
    <w:rsid w:val="33110906"/>
    <w:rsid w:val="33421811"/>
    <w:rsid w:val="33437FA7"/>
    <w:rsid w:val="339011CD"/>
    <w:rsid w:val="33BC1586"/>
    <w:rsid w:val="33CF4D7A"/>
    <w:rsid w:val="33F93B2F"/>
    <w:rsid w:val="34331AF4"/>
    <w:rsid w:val="345B2818"/>
    <w:rsid w:val="34B1227A"/>
    <w:rsid w:val="34DA74A6"/>
    <w:rsid w:val="35015AD2"/>
    <w:rsid w:val="354400F1"/>
    <w:rsid w:val="35B93AAE"/>
    <w:rsid w:val="37A9530D"/>
    <w:rsid w:val="38132306"/>
    <w:rsid w:val="389A0168"/>
    <w:rsid w:val="38BB1DD0"/>
    <w:rsid w:val="38C61A6A"/>
    <w:rsid w:val="3A223E49"/>
    <w:rsid w:val="3A46265B"/>
    <w:rsid w:val="3B48470B"/>
    <w:rsid w:val="3C526ABC"/>
    <w:rsid w:val="3D1657AC"/>
    <w:rsid w:val="3D846179"/>
    <w:rsid w:val="3DAA3F14"/>
    <w:rsid w:val="3DC557C7"/>
    <w:rsid w:val="3DF84269"/>
    <w:rsid w:val="3DFD5BDA"/>
    <w:rsid w:val="3E167E6C"/>
    <w:rsid w:val="3E716698"/>
    <w:rsid w:val="3E922371"/>
    <w:rsid w:val="3E93711C"/>
    <w:rsid w:val="3E947539"/>
    <w:rsid w:val="3EE6371D"/>
    <w:rsid w:val="3EFC5C64"/>
    <w:rsid w:val="3F2A04C7"/>
    <w:rsid w:val="3F337DC4"/>
    <w:rsid w:val="3F5E2485"/>
    <w:rsid w:val="3FCE0156"/>
    <w:rsid w:val="3FF57C35"/>
    <w:rsid w:val="40251237"/>
    <w:rsid w:val="407F6C67"/>
    <w:rsid w:val="408F565D"/>
    <w:rsid w:val="40B1615A"/>
    <w:rsid w:val="4103566D"/>
    <w:rsid w:val="41A847B6"/>
    <w:rsid w:val="41DC6D76"/>
    <w:rsid w:val="421C6B06"/>
    <w:rsid w:val="42837CBC"/>
    <w:rsid w:val="42E46F22"/>
    <w:rsid w:val="43796DB4"/>
    <w:rsid w:val="43A84E82"/>
    <w:rsid w:val="443A2EAB"/>
    <w:rsid w:val="447F66C7"/>
    <w:rsid w:val="44993616"/>
    <w:rsid w:val="44B61C22"/>
    <w:rsid w:val="44E15ED8"/>
    <w:rsid w:val="44F04EE6"/>
    <w:rsid w:val="452E0D65"/>
    <w:rsid w:val="45C46C94"/>
    <w:rsid w:val="45D82E85"/>
    <w:rsid w:val="46244F73"/>
    <w:rsid w:val="466C4816"/>
    <w:rsid w:val="4670518F"/>
    <w:rsid w:val="46913751"/>
    <w:rsid w:val="46C04255"/>
    <w:rsid w:val="46CB3641"/>
    <w:rsid w:val="46E631CA"/>
    <w:rsid w:val="46EF7287"/>
    <w:rsid w:val="47881AEB"/>
    <w:rsid w:val="48251333"/>
    <w:rsid w:val="483B57C5"/>
    <w:rsid w:val="483F4329"/>
    <w:rsid w:val="484B619F"/>
    <w:rsid w:val="4850793C"/>
    <w:rsid w:val="489D1370"/>
    <w:rsid w:val="48CA4EAD"/>
    <w:rsid w:val="49F13499"/>
    <w:rsid w:val="4A2B1B35"/>
    <w:rsid w:val="4AD65CC5"/>
    <w:rsid w:val="4B7754A1"/>
    <w:rsid w:val="4BAF7384"/>
    <w:rsid w:val="4BDF7B8B"/>
    <w:rsid w:val="4BF57F89"/>
    <w:rsid w:val="4C3E4F1A"/>
    <w:rsid w:val="4C7B3F8D"/>
    <w:rsid w:val="4CA3671A"/>
    <w:rsid w:val="4CB908CB"/>
    <w:rsid w:val="4F057D5C"/>
    <w:rsid w:val="4F4E37A4"/>
    <w:rsid w:val="4F7C1829"/>
    <w:rsid w:val="4FE570FB"/>
    <w:rsid w:val="50321CD7"/>
    <w:rsid w:val="512563A5"/>
    <w:rsid w:val="512B128E"/>
    <w:rsid w:val="51BC7D98"/>
    <w:rsid w:val="52351078"/>
    <w:rsid w:val="52543E38"/>
    <w:rsid w:val="530C5801"/>
    <w:rsid w:val="532F4F57"/>
    <w:rsid w:val="534F276C"/>
    <w:rsid w:val="538D5919"/>
    <w:rsid w:val="5408391A"/>
    <w:rsid w:val="545D312B"/>
    <w:rsid w:val="546F5045"/>
    <w:rsid w:val="550A5A33"/>
    <w:rsid w:val="55624A5B"/>
    <w:rsid w:val="55C17BB2"/>
    <w:rsid w:val="5661728F"/>
    <w:rsid w:val="56A03015"/>
    <w:rsid w:val="56AD1D7D"/>
    <w:rsid w:val="570D57DF"/>
    <w:rsid w:val="57454D4A"/>
    <w:rsid w:val="579709B8"/>
    <w:rsid w:val="57C7390F"/>
    <w:rsid w:val="57D6061B"/>
    <w:rsid w:val="57E428FB"/>
    <w:rsid w:val="5804416D"/>
    <w:rsid w:val="580462A5"/>
    <w:rsid w:val="58177AE7"/>
    <w:rsid w:val="58607E50"/>
    <w:rsid w:val="5912139D"/>
    <w:rsid w:val="59543F1F"/>
    <w:rsid w:val="59F43BAB"/>
    <w:rsid w:val="5A9D18CC"/>
    <w:rsid w:val="5B4B2B4A"/>
    <w:rsid w:val="5BC11FDE"/>
    <w:rsid w:val="5C870ACA"/>
    <w:rsid w:val="5D14769B"/>
    <w:rsid w:val="5D1C70F0"/>
    <w:rsid w:val="5D8934D9"/>
    <w:rsid w:val="5D95432E"/>
    <w:rsid w:val="5E5A245A"/>
    <w:rsid w:val="5F7C36FA"/>
    <w:rsid w:val="5FC33E30"/>
    <w:rsid w:val="60173054"/>
    <w:rsid w:val="60454C18"/>
    <w:rsid w:val="605E5A86"/>
    <w:rsid w:val="60AC0895"/>
    <w:rsid w:val="60FB77E3"/>
    <w:rsid w:val="61571346"/>
    <w:rsid w:val="623D6A5C"/>
    <w:rsid w:val="623F2739"/>
    <w:rsid w:val="625B22AF"/>
    <w:rsid w:val="63AB5024"/>
    <w:rsid w:val="647908AB"/>
    <w:rsid w:val="64DD15FF"/>
    <w:rsid w:val="660737CB"/>
    <w:rsid w:val="6659611C"/>
    <w:rsid w:val="665F56FC"/>
    <w:rsid w:val="66766171"/>
    <w:rsid w:val="66B009E6"/>
    <w:rsid w:val="66E2246D"/>
    <w:rsid w:val="66E916F9"/>
    <w:rsid w:val="678B16E8"/>
    <w:rsid w:val="67BF3B9D"/>
    <w:rsid w:val="67C33219"/>
    <w:rsid w:val="68185304"/>
    <w:rsid w:val="68334803"/>
    <w:rsid w:val="68577CB0"/>
    <w:rsid w:val="69060AC5"/>
    <w:rsid w:val="69431305"/>
    <w:rsid w:val="69B1341E"/>
    <w:rsid w:val="69C636E0"/>
    <w:rsid w:val="6A117255"/>
    <w:rsid w:val="6A5B510D"/>
    <w:rsid w:val="6B721351"/>
    <w:rsid w:val="6BFC254F"/>
    <w:rsid w:val="6CAD5413"/>
    <w:rsid w:val="6CF65E3E"/>
    <w:rsid w:val="6D563DD5"/>
    <w:rsid w:val="6E095E0A"/>
    <w:rsid w:val="6E68031F"/>
    <w:rsid w:val="6E6C4E5A"/>
    <w:rsid w:val="6EB42BD3"/>
    <w:rsid w:val="6ECC3C23"/>
    <w:rsid w:val="6EE74CAB"/>
    <w:rsid w:val="6F000CC8"/>
    <w:rsid w:val="70385AB6"/>
    <w:rsid w:val="70974410"/>
    <w:rsid w:val="70EF0753"/>
    <w:rsid w:val="71F26C96"/>
    <w:rsid w:val="72007FB6"/>
    <w:rsid w:val="7291571A"/>
    <w:rsid w:val="729F55EE"/>
    <w:rsid w:val="73885E69"/>
    <w:rsid w:val="73CC12BC"/>
    <w:rsid w:val="74423D5F"/>
    <w:rsid w:val="74955D2B"/>
    <w:rsid w:val="75145F63"/>
    <w:rsid w:val="75546838"/>
    <w:rsid w:val="75591057"/>
    <w:rsid w:val="75660476"/>
    <w:rsid w:val="75752F8D"/>
    <w:rsid w:val="75A4564E"/>
    <w:rsid w:val="75F86A24"/>
    <w:rsid w:val="762A0A73"/>
    <w:rsid w:val="76926EB1"/>
    <w:rsid w:val="7701680D"/>
    <w:rsid w:val="79D556BA"/>
    <w:rsid w:val="7AB94238"/>
    <w:rsid w:val="7AE94F92"/>
    <w:rsid w:val="7B262906"/>
    <w:rsid w:val="7B3D2041"/>
    <w:rsid w:val="7B8E1EF9"/>
    <w:rsid w:val="7B952FF6"/>
    <w:rsid w:val="7BAE04B5"/>
    <w:rsid w:val="7CCE67A9"/>
    <w:rsid w:val="7D162B61"/>
    <w:rsid w:val="7E842A22"/>
    <w:rsid w:val="7F6F7622"/>
    <w:rsid w:val="7F8C284B"/>
    <w:rsid w:val="7FA45800"/>
    <w:rsid w:val="7FDB0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9"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heme="minorEastAsia" w:hAnsiTheme="minorHAnsi" w:eastAsiaTheme="minorEastAsia" w:cstheme="minorBidi"/>
      <w:kern w:val="2"/>
      <w:sz w:val="21"/>
      <w:szCs w:val="21"/>
      <w:lang w:val="en-US" w:eastAsia="zh-CN" w:bidi="ar-SA"/>
    </w:rPr>
  </w:style>
  <w:style w:type="paragraph" w:styleId="2">
    <w:name w:val="heading 1"/>
    <w:basedOn w:val="1"/>
    <w:next w:val="1"/>
    <w:link w:val="50"/>
    <w:qFormat/>
    <w:uiPriority w:val="9"/>
    <w:pPr>
      <w:tabs>
        <w:tab w:val="left" w:pos="0"/>
        <w:tab w:val="left" w:pos="3165"/>
        <w:tab w:val="center" w:pos="4153"/>
      </w:tabs>
      <w:autoSpaceDE w:val="0"/>
      <w:autoSpaceDN w:val="0"/>
      <w:adjustRightInd w:val="0"/>
      <w:ind w:firstLine="0" w:firstLineChars="0"/>
      <w:outlineLvl w:val="0"/>
    </w:pPr>
    <w:rPr>
      <w:b/>
      <w:bCs/>
      <w:kern w:val="44"/>
      <w:sz w:val="44"/>
      <w:szCs w:val="44"/>
    </w:rPr>
  </w:style>
  <w:style w:type="paragraph" w:styleId="3">
    <w:name w:val="heading 2"/>
    <w:basedOn w:val="1"/>
    <w:next w:val="1"/>
    <w:link w:val="117"/>
    <w:qFormat/>
    <w:uiPriority w:val="9"/>
    <w:pPr>
      <w:keepNext/>
      <w:keepLines/>
      <w:outlineLvl w:val="1"/>
    </w:pPr>
    <w:rPr>
      <w:rFonts w:ascii="Cambria" w:hAnsi="Cambria"/>
      <w:b/>
      <w:bCs/>
      <w:sz w:val="44"/>
      <w:szCs w:val="32"/>
    </w:rPr>
  </w:style>
  <w:style w:type="paragraph" w:styleId="4">
    <w:name w:val="heading 3"/>
    <w:basedOn w:val="1"/>
    <w:next w:val="1"/>
    <w:link w:val="54"/>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ind w:left="2155" w:hanging="1078"/>
      <w:textAlignment w:val="baseline"/>
      <w:outlineLvl w:val="3"/>
    </w:pPr>
    <w:rPr>
      <w:rFonts w:ascii="Arial" w:eastAsia="黑体"/>
      <w:kern w:val="0"/>
      <w:sz w:val="28"/>
      <w:szCs w:val="20"/>
    </w:rPr>
  </w:style>
  <w:style w:type="paragraph" w:styleId="6">
    <w:name w:val="heading 5"/>
    <w:basedOn w:val="1"/>
    <w:next w:val="1"/>
    <w:link w:val="69"/>
    <w:unhideWhenUsed/>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sz w:val="24"/>
      <w:szCs w:val="20"/>
    </w:rPr>
  </w:style>
  <w:style w:type="paragraph" w:styleId="8">
    <w:name w:val="heading 8"/>
    <w:basedOn w:val="1"/>
    <w:next w:val="1"/>
    <w:link w:val="46"/>
    <w:qFormat/>
    <w:uiPriority w:val="9"/>
    <w:pPr>
      <w:keepNext/>
      <w:keepLines/>
      <w:outlineLvl w:val="7"/>
    </w:pPr>
    <w:rPr>
      <w:rFonts w:ascii="等线 Light" w:hAnsi="等线 Light"/>
      <w:b/>
      <w:sz w:val="32"/>
    </w:rPr>
  </w:style>
  <w:style w:type="paragraph" w:styleId="9">
    <w:name w:val="heading 9"/>
    <w:basedOn w:val="1"/>
    <w:next w:val="1"/>
    <w:link w:val="42"/>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0">
    <w:name w:val="index 8"/>
    <w:basedOn w:val="1"/>
    <w:next w:val="1"/>
    <w:qFormat/>
    <w:uiPriority w:val="0"/>
    <w:pPr>
      <w:ind w:left="2940"/>
    </w:pPr>
    <w:rPr>
      <w:rFonts w:ascii="Calibri" w:hAnsi="Calibri" w:eastAsia="宋体" w:cs="Times New Roman"/>
      <w:szCs w:val="22"/>
    </w:rPr>
  </w:style>
  <w:style w:type="paragraph" w:styleId="11">
    <w:name w:val="Normal Indent"/>
    <w:basedOn w:val="1"/>
    <w:qFormat/>
    <w:uiPriority w:val="0"/>
    <w:pPr>
      <w:ind w:firstLine="420"/>
    </w:pPr>
    <w:rPr>
      <w:szCs w:val="20"/>
    </w:rPr>
  </w:style>
  <w:style w:type="paragraph" w:styleId="12">
    <w:name w:val="annotation text"/>
    <w:basedOn w:val="1"/>
    <w:link w:val="58"/>
    <w:unhideWhenUsed/>
    <w:qFormat/>
    <w:uiPriority w:val="0"/>
    <w:pPr>
      <w:widowControl w:val="0"/>
      <w:spacing w:line="240" w:lineRule="auto"/>
      <w:ind w:firstLine="0" w:firstLineChars="0"/>
    </w:pPr>
    <w:rPr>
      <w:rFonts w:ascii="Times New Roman" w:hAnsi="Times New Roman" w:eastAsia="宋体" w:cs="Times New Roman"/>
      <w:szCs w:val="24"/>
    </w:rPr>
  </w:style>
  <w:style w:type="paragraph" w:styleId="13">
    <w:name w:val="Body Text 3"/>
    <w:basedOn w:val="1"/>
    <w:link w:val="76"/>
    <w:unhideWhenUsed/>
    <w:qFormat/>
    <w:uiPriority w:val="99"/>
    <w:pPr>
      <w:spacing w:after="120"/>
    </w:pPr>
    <w:rPr>
      <w:sz w:val="16"/>
      <w:szCs w:val="16"/>
    </w:rPr>
  </w:style>
  <w:style w:type="paragraph" w:styleId="14">
    <w:name w:val="Body Text"/>
    <w:basedOn w:val="1"/>
    <w:next w:val="1"/>
    <w:link w:val="45"/>
    <w:qFormat/>
    <w:uiPriority w:val="99"/>
    <w:pPr>
      <w:widowControl w:val="0"/>
      <w:spacing w:line="380" w:lineRule="exact"/>
      <w:jc w:val="both"/>
    </w:pPr>
    <w:rPr>
      <w:rFonts w:ascii="Times New Roman" w:hAnsi="Times New Roman" w:eastAsia="宋体" w:cs="Times New Roman"/>
      <w:kern w:val="0"/>
      <w:sz w:val="24"/>
      <w:szCs w:val="24"/>
      <w:lang w:val="zh-CN"/>
    </w:rPr>
  </w:style>
  <w:style w:type="paragraph" w:styleId="15">
    <w:name w:val="Body Text Indent"/>
    <w:basedOn w:val="1"/>
    <w:link w:val="72"/>
    <w:unhideWhenUsed/>
    <w:qFormat/>
    <w:uiPriority w:val="99"/>
    <w:pPr>
      <w:spacing w:after="120"/>
      <w:ind w:left="420" w:leftChars="200"/>
    </w:pPr>
  </w:style>
  <w:style w:type="paragraph" w:styleId="16">
    <w:name w:val="List 2"/>
    <w:basedOn w:val="1"/>
    <w:unhideWhenUsed/>
    <w:qFormat/>
    <w:uiPriority w:val="99"/>
    <w:pPr>
      <w:widowControl w:val="0"/>
      <w:spacing w:line="240" w:lineRule="auto"/>
      <w:ind w:left="100" w:leftChars="200" w:hanging="200" w:hangingChars="200"/>
      <w:contextualSpacing/>
      <w:jc w:val="both"/>
    </w:pPr>
    <w:rPr>
      <w:rFonts w:ascii="Times New Roman" w:hAnsi="Times New Roman" w:eastAsia="宋体" w:cs="Times New Roman"/>
      <w:szCs w:val="24"/>
    </w:rPr>
  </w:style>
  <w:style w:type="paragraph" w:styleId="17">
    <w:name w:val="toc 3"/>
    <w:basedOn w:val="1"/>
    <w:next w:val="1"/>
    <w:unhideWhenUsed/>
    <w:qFormat/>
    <w:uiPriority w:val="39"/>
    <w:pPr>
      <w:ind w:left="840" w:leftChars="400"/>
    </w:pPr>
  </w:style>
  <w:style w:type="paragraph" w:styleId="18">
    <w:name w:val="Plain Text"/>
    <w:basedOn w:val="1"/>
    <w:link w:val="48"/>
    <w:qFormat/>
    <w:uiPriority w:val="99"/>
    <w:pPr>
      <w:widowControl w:val="0"/>
      <w:spacing w:line="240" w:lineRule="auto"/>
      <w:jc w:val="both"/>
    </w:pPr>
    <w:rPr>
      <w:rFonts w:ascii="宋体" w:hAnsi="Courier New" w:eastAsia="宋体" w:cs="Times New Roman"/>
      <w:kern w:val="0"/>
      <w:sz w:val="20"/>
      <w:lang w:val="zh-CN"/>
    </w:rPr>
  </w:style>
  <w:style w:type="paragraph" w:styleId="19">
    <w:name w:val="toc 8"/>
    <w:basedOn w:val="1"/>
    <w:next w:val="1"/>
    <w:qFormat/>
    <w:uiPriority w:val="0"/>
    <w:pPr>
      <w:ind w:left="2940" w:leftChars="1400"/>
    </w:pPr>
    <w:rPr>
      <w:rFonts w:ascii="Calibri" w:hAnsi="Calibri"/>
      <w:szCs w:val="22"/>
    </w:rPr>
  </w:style>
  <w:style w:type="paragraph" w:styleId="20">
    <w:name w:val="Balloon Text"/>
    <w:basedOn w:val="1"/>
    <w:link w:val="80"/>
    <w:semiHidden/>
    <w:unhideWhenUsed/>
    <w:qFormat/>
    <w:uiPriority w:val="99"/>
    <w:pPr>
      <w:spacing w:line="240" w:lineRule="auto"/>
    </w:pPr>
    <w:rPr>
      <w:sz w:val="18"/>
      <w:szCs w:val="18"/>
    </w:rPr>
  </w:style>
  <w:style w:type="paragraph" w:styleId="21">
    <w:name w:val="footer"/>
    <w:basedOn w:val="1"/>
    <w:next w:val="1"/>
    <w:link w:val="53"/>
    <w:unhideWhenUsed/>
    <w:qFormat/>
    <w:uiPriority w:val="99"/>
    <w:pPr>
      <w:tabs>
        <w:tab w:val="center" w:pos="4153"/>
        <w:tab w:val="right" w:pos="8306"/>
      </w:tabs>
      <w:snapToGrid w:val="0"/>
      <w:spacing w:line="240" w:lineRule="auto"/>
    </w:pPr>
    <w:rPr>
      <w:sz w:val="18"/>
      <w:szCs w:val="18"/>
    </w:rPr>
  </w:style>
  <w:style w:type="paragraph" w:styleId="22">
    <w:name w:val="header"/>
    <w:basedOn w:val="1"/>
    <w:link w:val="52"/>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23">
    <w:name w:val="toc 1"/>
    <w:basedOn w:val="1"/>
    <w:next w:val="1"/>
    <w:unhideWhenUsed/>
    <w:qFormat/>
    <w:uiPriority w:val="39"/>
    <w:pPr>
      <w:tabs>
        <w:tab w:val="right" w:leader="dot" w:pos="8494"/>
      </w:tabs>
      <w:ind w:firstLine="424" w:firstLineChars="176"/>
    </w:pPr>
  </w:style>
  <w:style w:type="paragraph" w:styleId="2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5">
    <w:name w:val="toc 2"/>
    <w:basedOn w:val="1"/>
    <w:next w:val="1"/>
    <w:unhideWhenUsed/>
    <w:qFormat/>
    <w:uiPriority w:val="39"/>
    <w:pPr>
      <w:ind w:left="420" w:leftChars="200"/>
    </w:pPr>
  </w:style>
  <w:style w:type="paragraph" w:styleId="26">
    <w:name w:val="Normal (Web)"/>
    <w:basedOn w:val="1"/>
    <w:semiHidden/>
    <w:unhideWhenUsed/>
    <w:qFormat/>
    <w:uiPriority w:val="99"/>
    <w:pPr>
      <w:spacing w:beforeAutospacing="1" w:afterAutospacing="1"/>
    </w:pPr>
    <w:rPr>
      <w:rFonts w:cs="Times New Roman"/>
      <w:kern w:val="0"/>
      <w:sz w:val="24"/>
    </w:rPr>
  </w:style>
  <w:style w:type="paragraph" w:styleId="27">
    <w:name w:val="annotation subject"/>
    <w:basedOn w:val="12"/>
    <w:next w:val="12"/>
    <w:link w:val="66"/>
    <w:unhideWhenUsed/>
    <w:qFormat/>
    <w:uiPriority w:val="99"/>
    <w:pPr>
      <w:widowControl/>
      <w:spacing w:line="360" w:lineRule="auto"/>
      <w:ind w:firstLine="200" w:firstLineChars="200"/>
    </w:pPr>
    <w:rPr>
      <w:rFonts w:asciiTheme="minorEastAsia" w:hAnsiTheme="minorHAnsi" w:eastAsiaTheme="minorEastAsia" w:cstheme="minorBidi"/>
      <w:b/>
      <w:bCs/>
      <w:szCs w:val="21"/>
    </w:rPr>
  </w:style>
  <w:style w:type="paragraph" w:styleId="28">
    <w:name w:val="Body Text First Indent"/>
    <w:basedOn w:val="14"/>
    <w:qFormat/>
    <w:uiPriority w:val="0"/>
    <w:pPr>
      <w:spacing w:after="120" w:line="240" w:lineRule="auto"/>
      <w:ind w:firstLine="420" w:firstLineChars="100"/>
    </w:pPr>
    <w:rPr>
      <w:sz w:val="21"/>
    </w:rPr>
  </w:style>
  <w:style w:type="paragraph" w:styleId="29">
    <w:name w:val="Body Text First Indent 2"/>
    <w:basedOn w:val="1"/>
    <w:qFormat/>
    <w:uiPriority w:val="0"/>
    <w:pPr>
      <w:tabs>
        <w:tab w:val="left" w:pos="5580"/>
      </w:tabs>
      <w:spacing w:after="120" w:line="240" w:lineRule="auto"/>
      <w:ind w:left="420" w:leftChars="200" w:firstLine="420"/>
    </w:pPr>
    <w:rPr>
      <w:szCs w:val="20"/>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rFonts w:ascii="Tahoma" w:hAnsi="Tahoma" w:eastAsia="宋体"/>
      <w:b/>
      <w:bCs/>
      <w:spacing w:val="10"/>
      <w:kern w:val="2"/>
      <w:sz w:val="24"/>
      <w:szCs w:val="24"/>
      <w:lang w:val="en-US" w:eastAsia="zh-CN" w:bidi="ar-SA"/>
    </w:rPr>
  </w:style>
  <w:style w:type="character" w:styleId="34">
    <w:name w:val="FollowedHyperlink"/>
    <w:basedOn w:val="32"/>
    <w:semiHidden/>
    <w:unhideWhenUsed/>
    <w:qFormat/>
    <w:uiPriority w:val="99"/>
    <w:rPr>
      <w:color w:val="3177FD"/>
      <w:u w:val="none"/>
    </w:rPr>
  </w:style>
  <w:style w:type="character" w:styleId="35">
    <w:name w:val="HTML Definition"/>
    <w:basedOn w:val="32"/>
    <w:semiHidden/>
    <w:unhideWhenUsed/>
    <w:qFormat/>
    <w:uiPriority w:val="99"/>
    <w:rPr>
      <w:i/>
      <w:iCs/>
    </w:rPr>
  </w:style>
  <w:style w:type="character" w:styleId="36">
    <w:name w:val="Hyperlink"/>
    <w:basedOn w:val="32"/>
    <w:unhideWhenUsed/>
    <w:qFormat/>
    <w:uiPriority w:val="99"/>
    <w:rPr>
      <w:color w:val="0563C1" w:themeColor="hyperlink"/>
      <w:u w:val="single"/>
    </w:rPr>
  </w:style>
  <w:style w:type="character" w:styleId="37">
    <w:name w:val="HTML Code"/>
    <w:basedOn w:val="32"/>
    <w:semiHidden/>
    <w:unhideWhenUsed/>
    <w:qFormat/>
    <w:uiPriority w:val="99"/>
    <w:rPr>
      <w:rFonts w:hint="default" w:ascii="Consolas" w:hAnsi="Consolas" w:eastAsia="Consolas" w:cs="Consolas"/>
      <w:sz w:val="21"/>
      <w:szCs w:val="21"/>
    </w:rPr>
  </w:style>
  <w:style w:type="character" w:styleId="38">
    <w:name w:val="annotation reference"/>
    <w:basedOn w:val="32"/>
    <w:unhideWhenUsed/>
    <w:qFormat/>
    <w:uiPriority w:val="99"/>
    <w:rPr>
      <w:sz w:val="21"/>
      <w:szCs w:val="21"/>
    </w:rPr>
  </w:style>
  <w:style w:type="character" w:styleId="39">
    <w:name w:val="HTML Keyboard"/>
    <w:basedOn w:val="32"/>
    <w:semiHidden/>
    <w:unhideWhenUsed/>
    <w:qFormat/>
    <w:uiPriority w:val="99"/>
    <w:rPr>
      <w:rFonts w:ascii="Consolas" w:hAnsi="Consolas" w:eastAsia="Consolas" w:cs="Consolas"/>
      <w:sz w:val="21"/>
      <w:szCs w:val="21"/>
    </w:rPr>
  </w:style>
  <w:style w:type="character" w:styleId="40">
    <w:name w:val="HTML Sample"/>
    <w:basedOn w:val="32"/>
    <w:semiHidden/>
    <w:unhideWhenUsed/>
    <w:qFormat/>
    <w:uiPriority w:val="99"/>
    <w:rPr>
      <w:rFonts w:hint="default" w:ascii="Consolas" w:hAnsi="Consolas" w:eastAsia="Consolas" w:cs="Consolas"/>
      <w:sz w:val="21"/>
      <w:szCs w:val="21"/>
    </w:rPr>
  </w:style>
  <w:style w:type="paragraph" w:customStyle="1" w:styleId="41">
    <w:name w:val="表格文字"/>
    <w:basedOn w:val="15"/>
    <w:next w:val="14"/>
    <w:qFormat/>
    <w:uiPriority w:val="0"/>
    <w:pPr>
      <w:spacing w:before="25" w:after="25" w:line="240" w:lineRule="auto"/>
      <w:ind w:firstLine="0"/>
    </w:pPr>
    <w:rPr>
      <w:bCs/>
      <w:spacing w:val="10"/>
      <w:kern w:val="0"/>
      <w:sz w:val="24"/>
    </w:rPr>
  </w:style>
  <w:style w:type="character" w:customStyle="1" w:styleId="42">
    <w:name w:val="标题 9 Char"/>
    <w:basedOn w:val="32"/>
    <w:link w:val="9"/>
    <w:qFormat/>
    <w:uiPriority w:val="9"/>
    <w:rPr>
      <w:rFonts w:asciiTheme="majorHAnsi" w:hAnsiTheme="majorHAnsi" w:eastAsiaTheme="majorEastAsia" w:cstheme="majorBidi"/>
    </w:rPr>
  </w:style>
  <w:style w:type="character" w:customStyle="1" w:styleId="43">
    <w:name w:val="标题 2 字符"/>
    <w:link w:val="3"/>
    <w:qFormat/>
    <w:uiPriority w:val="9"/>
    <w:rPr>
      <w:rFonts w:ascii="Cambria" w:hAnsi="Cambria" w:eastAsia="仿宋"/>
      <w:b/>
      <w:bCs/>
      <w:sz w:val="44"/>
      <w:szCs w:val="32"/>
    </w:rPr>
  </w:style>
  <w:style w:type="character" w:customStyle="1" w:styleId="44">
    <w:name w:val="正文文本 字符"/>
    <w:basedOn w:val="32"/>
    <w:semiHidden/>
    <w:qFormat/>
    <w:uiPriority w:val="99"/>
  </w:style>
  <w:style w:type="character" w:customStyle="1" w:styleId="45">
    <w:name w:val="正文文本 Char"/>
    <w:link w:val="14"/>
    <w:qFormat/>
    <w:uiPriority w:val="99"/>
    <w:rPr>
      <w:rFonts w:ascii="Times New Roman" w:hAnsi="Times New Roman" w:eastAsia="宋体" w:cs="Times New Roman"/>
      <w:kern w:val="0"/>
      <w:sz w:val="24"/>
      <w:szCs w:val="24"/>
      <w:lang w:val="zh-CN" w:eastAsia="zh-CN"/>
    </w:rPr>
  </w:style>
  <w:style w:type="character" w:customStyle="1" w:styleId="46">
    <w:name w:val="标题 8 Char"/>
    <w:link w:val="8"/>
    <w:qFormat/>
    <w:uiPriority w:val="9"/>
    <w:rPr>
      <w:rFonts w:ascii="等线 Light" w:hAnsi="等线 Light" w:eastAsia="仿宋"/>
      <w:b/>
      <w:sz w:val="32"/>
      <w:szCs w:val="24"/>
    </w:rPr>
  </w:style>
  <w:style w:type="character" w:customStyle="1" w:styleId="47">
    <w:name w:val="纯文本 字符"/>
    <w:basedOn w:val="32"/>
    <w:semiHidden/>
    <w:qFormat/>
    <w:uiPriority w:val="99"/>
    <w:rPr>
      <w:rFonts w:hAnsi="Courier New" w:cs="Courier New" w:asciiTheme="minorEastAsia"/>
    </w:rPr>
  </w:style>
  <w:style w:type="character" w:customStyle="1" w:styleId="48">
    <w:name w:val="纯文本 Char"/>
    <w:link w:val="18"/>
    <w:qFormat/>
    <w:uiPriority w:val="0"/>
    <w:rPr>
      <w:rFonts w:ascii="宋体" w:hAnsi="Courier New" w:eastAsia="宋体" w:cs="Times New Roman"/>
      <w:kern w:val="0"/>
      <w:sz w:val="20"/>
      <w:lang w:val="zh-CN" w:eastAsia="zh-CN"/>
    </w:rPr>
  </w:style>
  <w:style w:type="paragraph" w:customStyle="1" w:styleId="49">
    <w:name w:val="标题1"/>
    <w:basedOn w:val="2"/>
    <w:next w:val="1"/>
    <w:link w:val="51"/>
    <w:qFormat/>
    <w:uiPriority w:val="0"/>
    <w:pPr>
      <w:spacing w:before="340" w:after="340"/>
      <w:jc w:val="center"/>
    </w:pPr>
  </w:style>
  <w:style w:type="character" w:customStyle="1" w:styleId="50">
    <w:name w:val="标题 1 Char"/>
    <w:basedOn w:val="32"/>
    <w:link w:val="2"/>
    <w:qFormat/>
    <w:uiPriority w:val="9"/>
    <w:rPr>
      <w:b/>
      <w:bCs/>
      <w:kern w:val="44"/>
      <w:sz w:val="44"/>
      <w:szCs w:val="44"/>
    </w:rPr>
  </w:style>
  <w:style w:type="character" w:customStyle="1" w:styleId="51">
    <w:name w:val="标题1 字符"/>
    <w:basedOn w:val="32"/>
    <w:link w:val="49"/>
    <w:qFormat/>
    <w:uiPriority w:val="0"/>
    <w:rPr>
      <w:rFonts w:asciiTheme="minorEastAsia"/>
      <w:b/>
      <w:bCs/>
      <w:kern w:val="44"/>
      <w:sz w:val="44"/>
      <w:szCs w:val="44"/>
    </w:rPr>
  </w:style>
  <w:style w:type="character" w:customStyle="1" w:styleId="52">
    <w:name w:val="页眉 Char"/>
    <w:basedOn w:val="32"/>
    <w:link w:val="22"/>
    <w:qFormat/>
    <w:uiPriority w:val="99"/>
    <w:rPr>
      <w:sz w:val="18"/>
      <w:szCs w:val="18"/>
    </w:rPr>
  </w:style>
  <w:style w:type="character" w:customStyle="1" w:styleId="53">
    <w:name w:val="页脚 Char"/>
    <w:basedOn w:val="32"/>
    <w:link w:val="21"/>
    <w:qFormat/>
    <w:uiPriority w:val="99"/>
    <w:rPr>
      <w:sz w:val="18"/>
      <w:szCs w:val="18"/>
    </w:rPr>
  </w:style>
  <w:style w:type="character" w:customStyle="1" w:styleId="54">
    <w:name w:val="标题 3 Char"/>
    <w:basedOn w:val="32"/>
    <w:link w:val="4"/>
    <w:semiHidden/>
    <w:qFormat/>
    <w:uiPriority w:val="9"/>
    <w:rPr>
      <w:b/>
      <w:bCs/>
      <w:sz w:val="32"/>
      <w:szCs w:val="32"/>
    </w:rPr>
  </w:style>
  <w:style w:type="paragraph" w:customStyle="1" w:styleId="55">
    <w:name w:val="标题3"/>
    <w:basedOn w:val="4"/>
    <w:next w:val="1"/>
    <w:link w:val="56"/>
    <w:qFormat/>
    <w:uiPriority w:val="0"/>
    <w:pPr>
      <w:spacing w:before="200" w:after="200" w:line="360" w:lineRule="auto"/>
      <w:ind w:firstLine="0" w:firstLineChars="0"/>
    </w:pPr>
    <w:rPr>
      <w:rFonts w:ascii="黑体" w:hAnsi="黑体" w:eastAsia="黑体"/>
      <w:bCs w:val="0"/>
      <w:sz w:val="24"/>
      <w:szCs w:val="24"/>
    </w:rPr>
  </w:style>
  <w:style w:type="character" w:customStyle="1" w:styleId="56">
    <w:name w:val="标题3 字符"/>
    <w:basedOn w:val="32"/>
    <w:link w:val="55"/>
    <w:qFormat/>
    <w:uiPriority w:val="0"/>
    <w:rPr>
      <w:rFonts w:ascii="黑体" w:hAnsi="黑体" w:eastAsia="黑体"/>
      <w:b/>
      <w:sz w:val="24"/>
      <w:szCs w:val="24"/>
    </w:rPr>
  </w:style>
  <w:style w:type="character" w:customStyle="1" w:styleId="57">
    <w:name w:val="批注文字 字符"/>
    <w:basedOn w:val="32"/>
    <w:semiHidden/>
    <w:qFormat/>
    <w:uiPriority w:val="99"/>
    <w:rPr>
      <w:rFonts w:asciiTheme="minorEastAsia"/>
    </w:rPr>
  </w:style>
  <w:style w:type="character" w:customStyle="1" w:styleId="58">
    <w:name w:val="批注文字 Char"/>
    <w:link w:val="12"/>
    <w:qFormat/>
    <w:uiPriority w:val="0"/>
    <w:rPr>
      <w:rFonts w:ascii="Times New Roman" w:hAnsi="Times New Roman" w:eastAsia="宋体" w:cs="Times New Roman"/>
      <w:szCs w:val="24"/>
    </w:rPr>
  </w:style>
  <w:style w:type="paragraph" w:customStyle="1" w:styleId="59">
    <w:name w:val="TOC 标题1"/>
    <w:basedOn w:val="2"/>
    <w:next w:val="1"/>
    <w:unhideWhenUsed/>
    <w:qFormat/>
    <w:uiPriority w:val="39"/>
    <w:pPr>
      <w:keepNext/>
      <w:keepLines/>
      <w:tabs>
        <w:tab w:val="clear" w:pos="0"/>
        <w:tab w:val="clear" w:pos="3165"/>
        <w:tab w:val="clear" w:pos="4153"/>
      </w:tabs>
      <w:autoSpaceDE/>
      <w:autoSpaceDN/>
      <w:adjustRightInd/>
      <w:spacing w:before="240" w:line="259" w:lineRule="auto"/>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60">
    <w:name w:val="标题3（采购需求）"/>
    <w:basedOn w:val="55"/>
    <w:next w:val="1"/>
    <w:link w:val="62"/>
    <w:qFormat/>
    <w:uiPriority w:val="0"/>
    <w:pPr>
      <w:spacing w:before="0" w:after="0"/>
    </w:pPr>
    <w:rPr>
      <w:rFonts w:ascii="宋体" w:hAnsi="宋体" w:eastAsia="宋体"/>
    </w:rPr>
  </w:style>
  <w:style w:type="paragraph" w:customStyle="1" w:styleId="61">
    <w:name w:val="列表段落1"/>
    <w:basedOn w:val="1"/>
    <w:qFormat/>
    <w:uiPriority w:val="34"/>
    <w:pPr>
      <w:ind w:firstLine="420"/>
    </w:pPr>
  </w:style>
  <w:style w:type="character" w:customStyle="1" w:styleId="62">
    <w:name w:val="标题3（采购需求） 字符"/>
    <w:basedOn w:val="32"/>
    <w:link w:val="60"/>
    <w:qFormat/>
    <w:uiPriority w:val="0"/>
    <w:rPr>
      <w:rFonts w:ascii="宋体" w:hAnsi="宋体" w:eastAsia="宋体"/>
      <w:b/>
      <w:sz w:val="24"/>
      <w:szCs w:val="24"/>
    </w:rPr>
  </w:style>
  <w:style w:type="paragraph" w:customStyle="1" w:styleId="63">
    <w:name w:val="标题2"/>
    <w:basedOn w:val="3"/>
    <w:next w:val="1"/>
    <w:link w:val="64"/>
    <w:qFormat/>
    <w:uiPriority w:val="0"/>
    <w:pPr>
      <w:ind w:firstLine="0" w:firstLineChars="0"/>
      <w:jc w:val="center"/>
    </w:pPr>
    <w:rPr>
      <w:rFonts w:ascii="宋体" w:eastAsia="宋体" w:hAnsiTheme="minorEastAsia"/>
      <w:sz w:val="36"/>
      <w:szCs w:val="44"/>
    </w:rPr>
  </w:style>
  <w:style w:type="character" w:customStyle="1" w:styleId="64">
    <w:name w:val="标题2 字符"/>
    <w:basedOn w:val="56"/>
    <w:link w:val="63"/>
    <w:qFormat/>
    <w:uiPriority w:val="0"/>
    <w:rPr>
      <w:rFonts w:ascii="宋体" w:eastAsia="宋体" w:hAnsiTheme="minorEastAsia"/>
      <w:bCs/>
      <w:sz w:val="36"/>
      <w:szCs w:val="44"/>
    </w:rPr>
  </w:style>
  <w:style w:type="character" w:customStyle="1" w:styleId="6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6">
    <w:name w:val="批注主题 Char"/>
    <w:basedOn w:val="58"/>
    <w:link w:val="27"/>
    <w:semiHidden/>
    <w:qFormat/>
    <w:uiPriority w:val="99"/>
    <w:rPr>
      <w:rFonts w:hAnsi="Times New Roman" w:eastAsia="宋体" w:cs="Times New Roman" w:asciiTheme="minorEastAsia"/>
      <w:b/>
      <w:bCs/>
      <w:szCs w:val="24"/>
    </w:rPr>
  </w:style>
  <w:style w:type="paragraph" w:customStyle="1" w:styleId="67">
    <w:name w:val="标题3（投标须知）"/>
    <w:basedOn w:val="55"/>
    <w:next w:val="68"/>
    <w:link w:val="70"/>
    <w:qFormat/>
    <w:uiPriority w:val="0"/>
    <w:pPr>
      <w:spacing w:line="240" w:lineRule="auto"/>
      <w:jc w:val="center"/>
    </w:pPr>
    <w:rPr>
      <w:bCs/>
      <w:sz w:val="30"/>
    </w:rPr>
  </w:style>
  <w:style w:type="paragraph" w:customStyle="1" w:styleId="68">
    <w:name w:val="标题4"/>
    <w:basedOn w:val="1"/>
    <w:next w:val="1"/>
    <w:link w:val="71"/>
    <w:qFormat/>
    <w:uiPriority w:val="0"/>
    <w:pPr>
      <w:ind w:firstLine="176" w:firstLineChars="176"/>
      <w:outlineLvl w:val="3"/>
    </w:pPr>
    <w:rPr>
      <w:rFonts w:ascii="黑体" w:hAnsi="黑体" w:eastAsia="黑体"/>
      <w:b/>
      <w:bCs/>
      <w:sz w:val="24"/>
      <w:szCs w:val="24"/>
    </w:rPr>
  </w:style>
  <w:style w:type="character" w:customStyle="1" w:styleId="69">
    <w:name w:val="标题 5 Char"/>
    <w:basedOn w:val="32"/>
    <w:link w:val="6"/>
    <w:semiHidden/>
    <w:qFormat/>
    <w:uiPriority w:val="9"/>
    <w:rPr>
      <w:rFonts w:asciiTheme="minorEastAsia"/>
      <w:b/>
      <w:bCs/>
      <w:sz w:val="28"/>
      <w:szCs w:val="28"/>
    </w:rPr>
  </w:style>
  <w:style w:type="character" w:customStyle="1" w:styleId="70">
    <w:name w:val="标题3（投标须知） 字符"/>
    <w:basedOn w:val="32"/>
    <w:link w:val="67"/>
    <w:qFormat/>
    <w:uiPriority w:val="0"/>
    <w:rPr>
      <w:rFonts w:ascii="黑体" w:hAnsi="黑体" w:eastAsia="黑体"/>
      <w:b/>
      <w:bCs/>
      <w:sz w:val="30"/>
      <w:szCs w:val="24"/>
    </w:rPr>
  </w:style>
  <w:style w:type="character" w:customStyle="1" w:styleId="71">
    <w:name w:val="标题4 字符"/>
    <w:basedOn w:val="32"/>
    <w:link w:val="68"/>
    <w:qFormat/>
    <w:uiPriority w:val="0"/>
    <w:rPr>
      <w:rFonts w:ascii="黑体" w:hAnsi="黑体" w:eastAsia="黑体"/>
      <w:b/>
      <w:bCs/>
      <w:sz w:val="24"/>
      <w:szCs w:val="24"/>
    </w:rPr>
  </w:style>
  <w:style w:type="character" w:customStyle="1" w:styleId="72">
    <w:name w:val="正文文本缩进 Char"/>
    <w:basedOn w:val="32"/>
    <w:link w:val="15"/>
    <w:semiHidden/>
    <w:qFormat/>
    <w:uiPriority w:val="99"/>
    <w:rPr>
      <w:rFonts w:asciiTheme="minorEastAsia"/>
    </w:rPr>
  </w:style>
  <w:style w:type="paragraph" w:customStyle="1" w:styleId="73">
    <w:name w:val="标题2（文件格式）"/>
    <w:basedOn w:val="63"/>
    <w:next w:val="1"/>
    <w:link w:val="75"/>
    <w:qFormat/>
    <w:uiPriority w:val="0"/>
    <w:pPr>
      <w:spacing w:line="480" w:lineRule="auto"/>
      <w:jc w:val="left"/>
    </w:pPr>
    <w:rPr>
      <w:sz w:val="28"/>
    </w:rPr>
  </w:style>
  <w:style w:type="character" w:customStyle="1" w:styleId="74">
    <w:name w:val="纯文本 Char1"/>
    <w:qFormat/>
    <w:uiPriority w:val="0"/>
    <w:rPr>
      <w:rFonts w:ascii="宋体" w:hAnsi="Courier New" w:eastAsia="宋体" w:cs="Courier New"/>
      <w:szCs w:val="21"/>
    </w:rPr>
  </w:style>
  <w:style w:type="character" w:customStyle="1" w:styleId="75">
    <w:name w:val="标题2（文件格式） 字符"/>
    <w:basedOn w:val="32"/>
    <w:link w:val="73"/>
    <w:qFormat/>
    <w:uiPriority w:val="0"/>
    <w:rPr>
      <w:rFonts w:ascii="宋体" w:eastAsia="宋体" w:hAnsiTheme="minorEastAsia"/>
      <w:b/>
      <w:bCs/>
      <w:sz w:val="28"/>
      <w:szCs w:val="44"/>
    </w:rPr>
  </w:style>
  <w:style w:type="character" w:customStyle="1" w:styleId="76">
    <w:name w:val="正文文本 3 Char"/>
    <w:basedOn w:val="32"/>
    <w:link w:val="13"/>
    <w:semiHidden/>
    <w:qFormat/>
    <w:uiPriority w:val="99"/>
    <w:rPr>
      <w:rFonts w:asciiTheme="minorEastAsia"/>
      <w:sz w:val="16"/>
      <w:szCs w:val="16"/>
    </w:rPr>
  </w:style>
  <w:style w:type="character" w:customStyle="1" w:styleId="77">
    <w:name w:val="纯文本 Char4"/>
    <w:qFormat/>
    <w:uiPriority w:val="99"/>
    <w:rPr>
      <w:rFonts w:ascii="宋体" w:eastAsia="宋体"/>
      <w:szCs w:val="21"/>
    </w:rPr>
  </w:style>
  <w:style w:type="paragraph" w:customStyle="1" w:styleId="78">
    <w:name w:val="1"/>
    <w:basedOn w:val="1"/>
    <w:next w:val="18"/>
    <w:qFormat/>
    <w:uiPriority w:val="0"/>
    <w:rPr>
      <w:rFonts w:ascii="宋体" w:hAnsi="Courier New"/>
      <w:szCs w:val="20"/>
    </w:rPr>
  </w:style>
  <w:style w:type="paragraph" w:customStyle="1" w:styleId="79">
    <w:name w:val="List Paragraph1"/>
    <w:basedOn w:val="1"/>
    <w:qFormat/>
    <w:uiPriority w:val="0"/>
    <w:pPr>
      <w:ind w:left="720"/>
      <w:contextualSpacing/>
    </w:pPr>
    <w:rPr>
      <w:rFonts w:ascii="Times New Roman" w:hAnsi="Times New Roman"/>
      <w:szCs w:val="20"/>
    </w:rPr>
  </w:style>
  <w:style w:type="character" w:customStyle="1" w:styleId="80">
    <w:name w:val="批注框文本 Char"/>
    <w:basedOn w:val="32"/>
    <w:link w:val="20"/>
    <w:semiHidden/>
    <w:qFormat/>
    <w:uiPriority w:val="99"/>
    <w:rPr>
      <w:rFonts w:asciiTheme="minorEastAsia"/>
      <w:kern w:val="2"/>
      <w:sz w:val="18"/>
      <w:szCs w:val="18"/>
    </w:rPr>
  </w:style>
  <w:style w:type="character" w:customStyle="1" w:styleId="81">
    <w:name w:val="info-content"/>
    <w:basedOn w:val="32"/>
    <w:qFormat/>
    <w:uiPriority w:val="0"/>
    <w:rPr>
      <w:color w:val="808080"/>
    </w:rPr>
  </w:style>
  <w:style w:type="character" w:customStyle="1" w:styleId="82">
    <w:name w:val="nc-lang-cnt"/>
    <w:basedOn w:val="32"/>
    <w:qFormat/>
    <w:uiPriority w:val="0"/>
  </w:style>
  <w:style w:type="character" w:customStyle="1" w:styleId="83">
    <w:name w:val="nc-lang-cnt1"/>
    <w:basedOn w:val="32"/>
    <w:qFormat/>
    <w:uiPriority w:val="0"/>
    <w:rPr>
      <w:rFonts w:hint="cs"/>
      <w:rtl/>
    </w:rPr>
  </w:style>
  <w:style w:type="character" w:customStyle="1" w:styleId="84">
    <w:name w:val="nc-lang-cnt2"/>
    <w:basedOn w:val="32"/>
    <w:qFormat/>
    <w:uiPriority w:val="0"/>
    <w:rPr>
      <w:rFonts w:hint="cs"/>
      <w:rtl/>
    </w:rPr>
  </w:style>
  <w:style w:type="character" w:customStyle="1" w:styleId="85">
    <w:name w:val="nc-lang-cnt3"/>
    <w:basedOn w:val="32"/>
    <w:qFormat/>
    <w:uiPriority w:val="0"/>
    <w:rPr>
      <w:rFonts w:hint="cs"/>
      <w:rtl/>
    </w:rPr>
  </w:style>
  <w:style w:type="character" w:customStyle="1" w:styleId="86">
    <w:name w:val="nc-lang-cnt4"/>
    <w:basedOn w:val="32"/>
    <w:qFormat/>
    <w:uiPriority w:val="0"/>
    <w:rPr>
      <w:rFonts w:hint="cs"/>
      <w:rtl/>
    </w:rPr>
  </w:style>
  <w:style w:type="character" w:customStyle="1" w:styleId="87">
    <w:name w:val="nc-lang-cnt5"/>
    <w:basedOn w:val="32"/>
    <w:qFormat/>
    <w:uiPriority w:val="0"/>
  </w:style>
  <w:style w:type="character" w:customStyle="1" w:styleId="88">
    <w:name w:val="current"/>
    <w:basedOn w:val="32"/>
    <w:qFormat/>
    <w:uiPriority w:val="0"/>
    <w:rPr>
      <w:color w:val="00C1DE"/>
    </w:rPr>
  </w:style>
  <w:style w:type="character" w:customStyle="1" w:styleId="89">
    <w:name w:val="current1"/>
    <w:basedOn w:val="32"/>
    <w:qFormat/>
    <w:uiPriority w:val="0"/>
    <w:rPr>
      <w:color w:val="00C1DE"/>
    </w:rPr>
  </w:style>
  <w:style w:type="character" w:customStyle="1" w:styleId="90">
    <w:name w:val="ant-input30"/>
    <w:basedOn w:val="32"/>
    <w:qFormat/>
    <w:uiPriority w:val="0"/>
  </w:style>
  <w:style w:type="character" w:customStyle="1" w:styleId="91">
    <w:name w:val="info-label"/>
    <w:basedOn w:val="32"/>
    <w:qFormat/>
    <w:uiPriority w:val="0"/>
    <w:rPr>
      <w:b/>
      <w:bCs/>
    </w:rPr>
  </w:style>
  <w:style w:type="character" w:customStyle="1" w:styleId="92">
    <w:name w:val="tag-type"/>
    <w:basedOn w:val="32"/>
    <w:qFormat/>
    <w:uiPriority w:val="0"/>
    <w:rPr>
      <w:color w:val="FFFFFF"/>
      <w:sz w:val="18"/>
      <w:szCs w:val="18"/>
      <w:shd w:val="clear" w:color="auto" w:fill="317FFD"/>
    </w:rPr>
  </w:style>
  <w:style w:type="character" w:customStyle="1" w:styleId="93">
    <w:name w:val="tag-type1"/>
    <w:basedOn w:val="32"/>
    <w:qFormat/>
    <w:uiPriority w:val="0"/>
    <w:rPr>
      <w:color w:val="FFFFFF"/>
      <w:sz w:val="18"/>
      <w:szCs w:val="18"/>
      <w:shd w:val="clear" w:color="auto" w:fill="317FFD"/>
    </w:rPr>
  </w:style>
  <w:style w:type="character" w:customStyle="1" w:styleId="94">
    <w:name w:val="tag-type2"/>
    <w:basedOn w:val="32"/>
    <w:qFormat/>
    <w:uiPriority w:val="0"/>
    <w:rPr>
      <w:color w:val="FFFFFF"/>
      <w:sz w:val="18"/>
      <w:szCs w:val="18"/>
      <w:shd w:val="clear" w:color="auto" w:fill="317FFD"/>
    </w:rPr>
  </w:style>
  <w:style w:type="character" w:customStyle="1" w:styleId="95">
    <w:name w:val="ant-radio+*"/>
    <w:basedOn w:val="32"/>
    <w:qFormat/>
    <w:uiPriority w:val="0"/>
  </w:style>
  <w:style w:type="character" w:customStyle="1" w:styleId="96">
    <w:name w:val="ant-radio+*1"/>
    <w:basedOn w:val="32"/>
    <w:qFormat/>
    <w:uiPriority w:val="0"/>
  </w:style>
  <w:style w:type="character" w:customStyle="1" w:styleId="97">
    <w:name w:val="last-span"/>
    <w:basedOn w:val="32"/>
    <w:qFormat/>
    <w:uiPriority w:val="0"/>
  </w:style>
  <w:style w:type="character" w:customStyle="1" w:styleId="98">
    <w:name w:val="first-child1"/>
    <w:basedOn w:val="32"/>
    <w:qFormat/>
    <w:uiPriority w:val="0"/>
  </w:style>
  <w:style w:type="character" w:customStyle="1" w:styleId="99">
    <w:name w:val="ant-select-tree-iconele"/>
    <w:basedOn w:val="32"/>
    <w:qFormat/>
    <w:uiPriority w:val="0"/>
  </w:style>
  <w:style w:type="character" w:customStyle="1" w:styleId="100">
    <w:name w:val="ant-select-tree-switcher"/>
    <w:basedOn w:val="32"/>
    <w:qFormat/>
    <w:uiPriority w:val="0"/>
  </w:style>
  <w:style w:type="character" w:customStyle="1" w:styleId="101">
    <w:name w:val="ant-select-tree-checkbox2"/>
    <w:basedOn w:val="32"/>
    <w:qFormat/>
    <w:uiPriority w:val="0"/>
  </w:style>
  <w:style w:type="character" w:customStyle="1" w:styleId="102">
    <w:name w:val="last-child"/>
    <w:basedOn w:val="32"/>
    <w:qFormat/>
    <w:uiPriority w:val="0"/>
  </w:style>
  <w:style w:type="character" w:customStyle="1" w:styleId="103">
    <w:name w:val="NormalCharacter"/>
    <w:qFormat/>
    <w:uiPriority w:val="0"/>
    <w:rPr>
      <w:kern w:val="2"/>
      <w:sz w:val="21"/>
      <w:szCs w:val="24"/>
      <w:lang w:val="en-US" w:eastAsia="zh-CN" w:bidi="ar-SA"/>
    </w:rPr>
  </w:style>
  <w:style w:type="paragraph" w:styleId="104">
    <w:name w:val="List Paragraph"/>
    <w:basedOn w:val="1"/>
    <w:qFormat/>
    <w:uiPriority w:val="34"/>
    <w:pPr>
      <w:ind w:firstLine="420"/>
    </w:pPr>
  </w:style>
  <w:style w:type="paragraph" w:customStyle="1" w:styleId="105">
    <w:name w:val="修订1"/>
    <w:hidden/>
    <w:semiHidden/>
    <w:qFormat/>
    <w:uiPriority w:val="99"/>
    <w:rPr>
      <w:rFonts w:asciiTheme="minorEastAsia" w:hAnsiTheme="minorHAnsi" w:eastAsiaTheme="minorEastAsia" w:cstheme="minorBidi"/>
      <w:kern w:val="2"/>
      <w:sz w:val="21"/>
      <w:szCs w:val="21"/>
      <w:lang w:val="en-US" w:eastAsia="zh-CN" w:bidi="ar-SA"/>
    </w:rPr>
  </w:style>
  <w:style w:type="paragraph" w:customStyle="1" w:styleId="10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7">
    <w:name w:val="修订2"/>
    <w:hidden/>
    <w:semiHidden/>
    <w:qFormat/>
    <w:uiPriority w:val="99"/>
    <w:rPr>
      <w:rFonts w:asciiTheme="minorEastAsia" w:hAnsiTheme="minorHAnsi" w:eastAsiaTheme="minorEastAsia" w:cstheme="minorBidi"/>
      <w:kern w:val="2"/>
      <w:sz w:val="21"/>
      <w:szCs w:val="21"/>
      <w:lang w:val="en-US" w:eastAsia="zh-CN" w:bidi="ar-SA"/>
    </w:rPr>
  </w:style>
  <w:style w:type="paragraph" w:customStyle="1" w:styleId="108">
    <w:name w:val="修订3"/>
    <w:hidden/>
    <w:semiHidden/>
    <w:qFormat/>
    <w:uiPriority w:val="99"/>
    <w:rPr>
      <w:rFonts w:asciiTheme="minorEastAsia" w:hAnsiTheme="minorHAnsi" w:eastAsiaTheme="minorEastAsia" w:cstheme="minorBidi"/>
      <w:kern w:val="2"/>
      <w:sz w:val="21"/>
      <w:szCs w:val="21"/>
      <w:lang w:val="en-US" w:eastAsia="zh-CN" w:bidi="ar-SA"/>
    </w:rPr>
  </w:style>
  <w:style w:type="paragraph" w:customStyle="1" w:styleId="109">
    <w:name w:val="Char Char Char Char Char Char Char"/>
    <w:basedOn w:val="1"/>
    <w:qFormat/>
    <w:uiPriority w:val="0"/>
    <w:pPr>
      <w:spacing w:before="100" w:beforeAutospacing="1" w:after="160" w:line="240" w:lineRule="exact"/>
    </w:pPr>
    <w:rPr>
      <w:rFonts w:ascii="Arial" w:hAnsi="Arial" w:eastAsia="Times New Roman" w:cs="Verdana"/>
      <w:b/>
      <w:kern w:val="0"/>
      <w:sz w:val="24"/>
      <w:szCs w:val="24"/>
    </w:rPr>
  </w:style>
  <w:style w:type="paragraph" w:customStyle="1" w:styleId="110">
    <w:name w:val="纯文本1"/>
    <w:basedOn w:val="1"/>
    <w:qFormat/>
    <w:uiPriority w:val="0"/>
    <w:pPr>
      <w:suppressAutoHyphens/>
    </w:pPr>
    <w:rPr>
      <w:rFonts w:ascii="宋体" w:hAnsi="宋体" w:cs="Courier New"/>
    </w:rPr>
  </w:style>
  <w:style w:type="paragraph" w:customStyle="1" w:styleId="111">
    <w:name w:val="正文样式2"/>
    <w:basedOn w:val="1"/>
    <w:next w:val="1"/>
    <w:qFormat/>
    <w:uiPriority w:val="0"/>
    <w:rPr>
      <w:rFonts w:ascii="宋体" w:hAnsi="宋体" w:eastAsia="仿宋_GB2312"/>
      <w:color w:val="FF0000"/>
    </w:rPr>
  </w:style>
  <w:style w:type="table" w:customStyle="1" w:styleId="112">
    <w:name w:val="Table Normal"/>
    <w:unhideWhenUsed/>
    <w:qFormat/>
    <w:uiPriority w:val="0"/>
    <w:tblPr>
      <w:tblCellMar>
        <w:top w:w="0" w:type="dxa"/>
        <w:left w:w="0" w:type="dxa"/>
        <w:bottom w:w="0" w:type="dxa"/>
        <w:right w:w="0" w:type="dxa"/>
      </w:tblCellMar>
    </w:tblPr>
  </w:style>
  <w:style w:type="paragraph" w:customStyle="1" w:styleId="11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样式7"/>
    <w:basedOn w:val="1"/>
    <w:qFormat/>
    <w:uiPriority w:val="0"/>
    <w:pPr>
      <w:spacing w:line="480" w:lineRule="exact"/>
      <w:jc w:val="center"/>
    </w:pPr>
    <w:rPr>
      <w:rFonts w:eastAsia="方正大标宋简体"/>
      <w:spacing w:val="6"/>
      <w:sz w:val="44"/>
    </w:rPr>
  </w:style>
  <w:style w:type="paragraph" w:customStyle="1" w:styleId="115">
    <w:name w:val="样式29"/>
    <w:basedOn w:val="116"/>
    <w:qFormat/>
    <w:uiPriority w:val="0"/>
    <w:rPr>
      <w:rFonts w:eastAsia="楷体_GB2312"/>
    </w:rPr>
  </w:style>
  <w:style w:type="paragraph" w:customStyle="1" w:styleId="116">
    <w:name w:val="样式9 Char"/>
    <w:basedOn w:val="1"/>
    <w:qFormat/>
    <w:uiPriority w:val="0"/>
    <w:pPr>
      <w:spacing w:line="440" w:lineRule="exact"/>
    </w:pPr>
    <w:rPr>
      <w:spacing w:val="6"/>
      <w:sz w:val="24"/>
    </w:rPr>
  </w:style>
  <w:style w:type="character" w:customStyle="1" w:styleId="117">
    <w:name w:val="标题 2 Char"/>
    <w:link w:val="3"/>
    <w:qFormat/>
    <w:uiPriority w:val="0"/>
    <w:rPr>
      <w:rFonts w:ascii="Arial" w:eastAsia="宋体"/>
      <w:b/>
      <w:sz w:val="32"/>
    </w:rPr>
  </w:style>
  <w:style w:type="paragraph" w:customStyle="1" w:styleId="11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1">
    <w:name w:val="10_0"/>
    <w:basedOn w:val="3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D2639-D064-42E6-BD78-3309B38FEBF2}">
  <ds:schemaRefs/>
</ds:datastoreItem>
</file>

<file path=docProps/app.xml><?xml version="1.0" encoding="utf-8"?>
<Properties xmlns="http://schemas.openxmlformats.org/officeDocument/2006/extended-properties" xmlns:vt="http://schemas.openxmlformats.org/officeDocument/2006/docPropsVTypes">
  <Template>Normal</Template>
  <Company>云之龙咨询集团有限公司</Company>
  <Pages>79</Pages>
  <Words>6735</Words>
  <Characters>7467</Characters>
  <Lines>460</Lines>
  <Paragraphs>129</Paragraphs>
  <TotalTime>51</TotalTime>
  <ScaleCrop>false</ScaleCrop>
  <LinksUpToDate>false</LinksUpToDate>
  <CharactersWithSpaces>7568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服务类</cp:category>
  <dcterms:created xsi:type="dcterms:W3CDTF">2023-02-22T03:01:00Z</dcterms:created>
  <dc:creator>云之龙咨询集团有限公司-杨启帆</dc:creator>
  <cp:keywords>2021年1.03版</cp:keywords>
  <cp:lastModifiedBy>220375721</cp:lastModifiedBy>
  <cp:lastPrinted>2023-02-15T01:53:00Z</cp:lastPrinted>
  <dcterms:modified xsi:type="dcterms:W3CDTF">2025-04-16T07:32:38Z</dcterms:modified>
  <dc:title>磋商服务采购文件范本</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421A4D2665934EAE8066E774629FB961_13</vt:lpwstr>
  </property>
  <property fmtid="{D5CDD505-2E9C-101B-9397-08002B2CF9AE}" pid="4" name="KSOTemplateDocerSaveRecord">
    <vt:lpwstr>eyJoZGlkIjoiMWVmOTY3ZDUyNDIwMThiMThhMzMyNjk3OTQwM2M1Y2YiLCJ1c2VySWQiOiIyMjAzNzU3MjEifQ==</vt:lpwstr>
  </property>
</Properties>
</file>