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drawing>
          <wp:anchor distT="0" distB="0" distL="114300" distR="114300" simplePos="0" relativeHeight="251661312" behindDoc="0" locked="0" layoutInCell="1" allowOverlap="1">
            <wp:simplePos x="0" y="0"/>
            <wp:positionH relativeFrom="column">
              <wp:posOffset>243205</wp:posOffset>
            </wp:positionH>
            <wp:positionV relativeFrom="paragraph">
              <wp:posOffset>81280</wp:posOffset>
            </wp:positionV>
            <wp:extent cx="5414010" cy="1203325"/>
            <wp:effectExtent l="0" t="0" r="15240" b="0"/>
            <wp:wrapNone/>
            <wp:docPr id="3" name="图片 2" descr="I:\03★工作★（硬盘）\2018年项目-2022年项目-招标\5、2022年项目\（2.28投标入库）南宁轨道地产集团有限责任公司2022-2025年招标代理服务\招标公司-名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03★工作★（硬盘）\2018年项目-2022年项目-招标\5、2022年项目\（2.28投标入库）南宁轨道地产集团有限责任公司2022-2025年招标代理服务\招标公司-名称.png"/>
                    <pic:cNvPicPr>
                      <a:picLocks noChangeAspect="1"/>
                    </pic:cNvPicPr>
                  </pic:nvPicPr>
                  <pic:blipFill>
                    <a:blip r:embed="rId15"/>
                    <a:srcRect r="6451"/>
                    <a:stretch>
                      <a:fillRect/>
                    </a:stretch>
                  </pic:blipFill>
                  <pic:spPr>
                    <a:xfrm>
                      <a:off x="0" y="0"/>
                      <a:ext cx="5414010" cy="1203325"/>
                    </a:xfrm>
                    <a:prstGeom prst="rect">
                      <a:avLst/>
                    </a:prstGeom>
                    <a:noFill/>
                    <a:ln>
                      <a:noFill/>
                    </a:ln>
                  </pic:spPr>
                </pic:pic>
              </a:graphicData>
            </a:graphic>
          </wp:anchor>
        </w:drawing>
      </w:r>
    </w:p>
    <w:p>
      <w:pPr>
        <w:spacing w:line="360" w:lineRule="auto"/>
        <w:jc w:val="center"/>
        <w:rPr>
          <w:rFonts w:ascii="宋体" w:hAnsi="宋体" w:eastAsia="宋体" w:cs="Times New Roman"/>
          <w:b/>
          <w:color w:val="auto"/>
          <w:kern w:val="0"/>
          <w:sz w:val="44"/>
          <w:szCs w:val="44"/>
          <w:highlight w:val="none"/>
        </w:rPr>
      </w:pPr>
    </w:p>
    <w:p>
      <w:pPr>
        <w:spacing w:line="360" w:lineRule="auto"/>
        <w:jc w:val="center"/>
        <w:rPr>
          <w:rFonts w:ascii="宋体" w:hAnsi="宋体" w:eastAsia="宋体" w:cs="Times New Roman"/>
          <w:b/>
          <w:color w:val="auto"/>
          <w:kern w:val="0"/>
          <w:sz w:val="44"/>
          <w:szCs w:val="44"/>
          <w:highlight w:val="none"/>
        </w:rPr>
      </w:pPr>
    </w:p>
    <w:p>
      <w:pPr>
        <w:spacing w:line="360" w:lineRule="auto"/>
        <w:jc w:val="center"/>
        <w:rPr>
          <w:rFonts w:ascii="宋体" w:hAnsi="宋体" w:eastAsia="宋体" w:cs="Times New Roman"/>
          <w:b/>
          <w:color w:val="auto"/>
          <w:kern w:val="0"/>
          <w:sz w:val="44"/>
          <w:szCs w:val="44"/>
          <w:highlight w:val="none"/>
        </w:rPr>
      </w:pPr>
      <w:r>
        <w:rPr>
          <w:rFonts w:ascii="宋体" w:hAnsi="宋体" w:eastAsia="宋体" w:cs="Times New Roman"/>
          <w:color w:val="auto"/>
          <w:kern w:val="0"/>
          <w:sz w:val="20"/>
          <w:szCs w:val="21"/>
          <w:highlight w:val="none"/>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518795</wp:posOffset>
                </wp:positionV>
                <wp:extent cx="5209540" cy="0"/>
                <wp:effectExtent l="0" t="28575" r="10160" b="2857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209540" cy="0"/>
                        </a:xfrm>
                        <a:prstGeom prst="straightConnector1">
                          <a:avLst/>
                        </a:prstGeom>
                        <a:noFill/>
                        <a:ln w="57150" cmpd="thinThick">
                          <a:solidFill>
                            <a:srgbClr val="000000"/>
                          </a:solidFill>
                          <a:round/>
                        </a:ln>
                        <a:effectLst/>
                      </wps:spPr>
                      <wps:bodyPr/>
                    </wps:wsp>
                  </a:graphicData>
                </a:graphic>
              </wp:anchor>
            </w:drawing>
          </mc:Choice>
          <mc:Fallback>
            <w:pict>
              <v:shape id="_x0000_s1026" o:spid="_x0000_s1026" o:spt="32" type="#_x0000_t32" style="position:absolute;left:0pt;margin-left:27pt;margin-top:40.85pt;height:0pt;width:410.2pt;z-index:251660288;mso-width-relative:page;mso-height-relative:page;" filled="f" stroked="t" coordsize="21600,21600" o:gfxdata="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zg0f1AAAAAgBAAAPAAAAAAAAAAEAIAAAACIAAABkcnMvZG93&#10;bnJldi54bWxQSwECFAAUAAAACACHTuJAmDr3wwQCAADeAwAADgAAAAAAAAABACAAAAAjAQAAZHJz&#10;L2Uyb0RvYy54bWxQSwUGAAAAAAYABgBZAQAAmQUAAAAA&#10;">
                <v:fill on="f" focussize="0,0"/>
                <v:stroke weight="4.5pt" color="#000000" linestyle="thinThick" joinstyle="round"/>
                <v:imagedata o:title=""/>
                <o:lock v:ext="edit" aspectratio="f"/>
              </v:shape>
            </w:pict>
          </mc:Fallback>
        </mc:AlternateContent>
      </w:r>
      <w:r>
        <w:rPr>
          <w:rFonts w:hint="eastAsia" w:ascii="宋体" w:hAnsi="宋体" w:eastAsia="宋体" w:cs="Times New Roman"/>
          <w:b/>
          <w:color w:val="auto"/>
          <w:kern w:val="0"/>
          <w:sz w:val="44"/>
          <w:szCs w:val="44"/>
          <w:highlight w:val="none"/>
        </w:rPr>
        <w:t>广西壮族自治区政府采购</w:t>
      </w:r>
    </w:p>
    <w:p>
      <w:pPr>
        <w:widowControl/>
        <w:spacing w:before="120" w:line="360" w:lineRule="auto"/>
        <w:jc w:val="center"/>
        <w:rPr>
          <w:rFonts w:ascii="宋体" w:hAnsi="宋体" w:eastAsia="宋体" w:cs="Times New Roman"/>
          <w:b/>
          <w:color w:val="auto"/>
          <w:spacing w:val="20"/>
          <w:kern w:val="0"/>
          <w:sz w:val="72"/>
          <w:szCs w:val="72"/>
          <w:highlight w:val="none"/>
        </w:rPr>
      </w:pPr>
    </w:p>
    <w:p>
      <w:pPr>
        <w:rPr>
          <w:rFonts w:ascii="Times New Roman" w:hAnsi="Times New Roman" w:eastAsia="宋体" w:cs="Times New Roman"/>
          <w:color w:val="auto"/>
          <w:highlight w:val="none"/>
        </w:rPr>
      </w:pPr>
    </w:p>
    <w:p>
      <w:pPr>
        <w:widowControl w:val="0"/>
        <w:spacing w:after="120"/>
        <w:jc w:val="both"/>
        <w:rPr>
          <w:rFonts w:ascii="Times New Roman" w:hAnsi="Times New Roman" w:eastAsia="宋体" w:cs="Times New Roman"/>
          <w:color w:val="auto"/>
          <w:kern w:val="2"/>
          <w:sz w:val="21"/>
          <w:szCs w:val="24"/>
          <w:highlight w:val="none"/>
          <w:lang w:val="en-US" w:eastAsia="zh-CN" w:bidi="ar-SA"/>
        </w:rPr>
      </w:pPr>
    </w:p>
    <w:p>
      <w:pPr>
        <w:widowControl w:val="0"/>
        <w:spacing w:after="120"/>
        <w:jc w:val="both"/>
        <w:rPr>
          <w:rFonts w:ascii="Times New Roman" w:hAnsi="Times New Roman" w:eastAsia="宋体" w:cs="Times New Roman"/>
          <w:color w:val="auto"/>
          <w:kern w:val="2"/>
          <w:sz w:val="21"/>
          <w:szCs w:val="24"/>
          <w:highlight w:val="none"/>
          <w:lang w:val="en-US" w:eastAsia="zh-CN" w:bidi="ar-SA"/>
        </w:rPr>
      </w:pPr>
    </w:p>
    <w:p>
      <w:pPr>
        <w:widowControl/>
        <w:spacing w:before="120" w:line="360" w:lineRule="auto"/>
        <w:jc w:val="center"/>
        <w:rPr>
          <w:rFonts w:ascii="宋体" w:hAnsi="宋体" w:eastAsia="宋体" w:cs="Times New Roman"/>
          <w:b/>
          <w:color w:val="auto"/>
          <w:spacing w:val="20"/>
          <w:kern w:val="0"/>
          <w:sz w:val="72"/>
          <w:szCs w:val="72"/>
          <w:highlight w:val="none"/>
        </w:rPr>
      </w:pPr>
      <w:r>
        <w:rPr>
          <w:rFonts w:hint="eastAsia" w:ascii="宋体" w:hAnsi="宋体" w:eastAsia="宋体" w:cs="Times New Roman"/>
          <w:b/>
          <w:color w:val="auto"/>
          <w:spacing w:val="20"/>
          <w:kern w:val="0"/>
          <w:sz w:val="84"/>
          <w:szCs w:val="84"/>
          <w:highlight w:val="none"/>
        </w:rPr>
        <w:t>公开招标采购文件</w:t>
      </w:r>
    </w:p>
    <w:p>
      <w:pPr>
        <w:snapToGrid w:val="0"/>
        <w:spacing w:before="165" w:beforeLines="50" w:line="360" w:lineRule="auto"/>
        <w:ind w:firstLine="3012" w:firstLineChars="1000"/>
        <w:rPr>
          <w:rFonts w:ascii="仿宋_GB2312" w:hAnsi="宋体" w:eastAsia="仿宋_GB2312" w:cs="Times New Roman"/>
          <w:b/>
          <w:bCs/>
          <w:color w:val="auto"/>
          <w:sz w:val="30"/>
          <w:szCs w:val="72"/>
          <w:highlight w:val="none"/>
        </w:rPr>
      </w:pPr>
      <w:r>
        <w:rPr>
          <w:rFonts w:hint="eastAsia" w:ascii="仿宋_GB2312" w:hAnsi="宋体" w:eastAsia="仿宋_GB2312" w:cs="Times New Roman"/>
          <w:b/>
          <w:bCs/>
          <w:color w:val="auto"/>
          <w:sz w:val="30"/>
          <w:szCs w:val="72"/>
          <w:highlight w:val="none"/>
        </w:rPr>
        <w:t>（全流程电子化评标）</w:t>
      </w:r>
    </w:p>
    <w:p>
      <w:pPr>
        <w:snapToGrid w:val="0"/>
        <w:spacing w:before="165" w:beforeLines="50" w:line="360" w:lineRule="auto"/>
        <w:rPr>
          <w:rFonts w:ascii="仿宋_GB2312" w:hAnsi="宋体" w:eastAsia="仿宋_GB2312" w:cs="Times New Roman"/>
          <w:color w:val="auto"/>
          <w:sz w:val="30"/>
          <w:szCs w:val="72"/>
          <w:highlight w:val="none"/>
        </w:rPr>
      </w:pPr>
    </w:p>
    <w:p>
      <w:pPr>
        <w:rPr>
          <w:rFonts w:ascii="Times New Roman" w:hAnsi="Times New Roman" w:eastAsia="宋体" w:cs="Times New Roman"/>
          <w:color w:val="auto"/>
          <w:highlight w:val="none"/>
        </w:rPr>
      </w:pPr>
    </w:p>
    <w:p>
      <w:pPr>
        <w:rPr>
          <w:rFonts w:ascii="Times New Roman" w:hAnsi="Times New Roman" w:eastAsia="宋体" w:cs="Times New Roman"/>
          <w:color w:val="auto"/>
          <w:highlight w:val="none"/>
        </w:rPr>
      </w:pPr>
    </w:p>
    <w:p>
      <w:pPr>
        <w:widowControl w:val="0"/>
        <w:snapToGrid w:val="0"/>
        <w:spacing w:before="50" w:after="120" w:line="360" w:lineRule="auto"/>
        <w:ind w:firstLine="1272" w:firstLineChars="396"/>
        <w:jc w:val="left"/>
        <w:rPr>
          <w:rFonts w:hint="eastAsia" w:ascii="仿宋_GB2312" w:hAnsi="宋体" w:eastAsia="仿宋_GB2312" w:cs="Times New Roman"/>
          <w:b/>
          <w:bCs/>
          <w:color w:val="auto"/>
          <w:kern w:val="2"/>
          <w:sz w:val="32"/>
          <w:szCs w:val="32"/>
          <w:highlight w:val="none"/>
          <w:lang w:val="en-US" w:eastAsia="zh-CN" w:bidi="ar-SA"/>
        </w:rPr>
      </w:pPr>
      <w:r>
        <w:rPr>
          <w:rFonts w:hint="eastAsia" w:ascii="仿宋_GB2312" w:hAnsi="宋体" w:eastAsia="仿宋_GB2312" w:cs="Times New Roman"/>
          <w:b/>
          <w:bCs/>
          <w:color w:val="auto"/>
          <w:kern w:val="2"/>
          <w:sz w:val="32"/>
          <w:szCs w:val="32"/>
          <w:highlight w:val="none"/>
          <w:lang w:val="en-US" w:eastAsia="zh-CN" w:bidi="ar-SA"/>
        </w:rPr>
        <w:t>项目</w:t>
      </w:r>
      <w:r>
        <w:rPr>
          <w:rFonts w:hint="eastAsia" w:ascii="仿宋_GB2312" w:hAnsi="宋体" w:eastAsia="仿宋_GB2312" w:cs="Courier New"/>
          <w:b/>
          <w:bCs/>
          <w:color w:val="auto"/>
          <w:w w:val="95"/>
          <w:kern w:val="2"/>
          <w:sz w:val="32"/>
          <w:szCs w:val="32"/>
          <w:highlight w:val="none"/>
          <w:lang w:val="en-US" w:eastAsia="zh-CN" w:bidi="ar-SA"/>
        </w:rPr>
        <w:t>名称</w:t>
      </w:r>
      <w:r>
        <w:rPr>
          <w:rFonts w:hint="eastAsia" w:ascii="仿宋_GB2312" w:hAnsi="宋体" w:eastAsia="仿宋_GB2312" w:cs="Times New Roman"/>
          <w:b/>
          <w:bCs/>
          <w:color w:val="auto"/>
          <w:kern w:val="2"/>
          <w:sz w:val="32"/>
          <w:szCs w:val="32"/>
          <w:highlight w:val="none"/>
          <w:lang w:val="en-US" w:eastAsia="zh-CN" w:bidi="ar-SA"/>
        </w:rPr>
        <w:t>：2024年自治区工业和信息化厅规划及课题项目二（重）</w:t>
      </w:r>
    </w:p>
    <w:p>
      <w:pPr>
        <w:snapToGrid w:val="0"/>
        <w:spacing w:before="165" w:beforeLines="50" w:line="360" w:lineRule="auto"/>
        <w:ind w:firstLine="1221" w:firstLineChars="400"/>
        <w:rPr>
          <w:rFonts w:hint="eastAsia" w:ascii="仿宋_GB2312" w:hAnsi="宋体" w:eastAsia="仿宋_GB2312" w:cs="Times New Roman"/>
          <w:b/>
          <w:bCs/>
          <w:color w:val="auto"/>
          <w:sz w:val="32"/>
          <w:szCs w:val="32"/>
          <w:highlight w:val="none"/>
          <w:lang w:eastAsia="zh-CN"/>
        </w:rPr>
      </w:pPr>
      <w:r>
        <w:rPr>
          <w:rFonts w:hint="eastAsia" w:ascii="仿宋_GB2312" w:hAnsi="宋体" w:eastAsia="仿宋_GB2312" w:cs="Courier New"/>
          <w:b/>
          <w:bCs/>
          <w:color w:val="auto"/>
          <w:w w:val="95"/>
          <w:sz w:val="32"/>
          <w:szCs w:val="32"/>
          <w:highlight w:val="none"/>
        </w:rPr>
        <w:t>项目</w:t>
      </w:r>
      <w:r>
        <w:rPr>
          <w:rFonts w:hint="eastAsia" w:ascii="仿宋_GB2312" w:hAnsi="宋体" w:eastAsia="仿宋_GB2312" w:cs="Times New Roman"/>
          <w:b/>
          <w:bCs/>
          <w:color w:val="auto"/>
          <w:sz w:val="32"/>
          <w:szCs w:val="32"/>
          <w:highlight w:val="none"/>
        </w:rPr>
        <w:t>编号</w:t>
      </w:r>
      <w:r>
        <w:rPr>
          <w:rFonts w:hint="eastAsia" w:ascii="仿宋_GB2312" w:hAnsi="宋体" w:eastAsia="仿宋_GB2312" w:cs="Courier New"/>
          <w:b/>
          <w:bCs/>
          <w:color w:val="auto"/>
          <w:w w:val="95"/>
          <w:sz w:val="32"/>
          <w:szCs w:val="32"/>
          <w:highlight w:val="none"/>
        </w:rPr>
        <w:t>：</w:t>
      </w:r>
      <w:r>
        <w:rPr>
          <w:rFonts w:hint="eastAsia" w:ascii="仿宋_GB2312" w:hAnsi="宋体" w:eastAsia="仿宋_GB2312" w:cs="Times New Roman"/>
          <w:b/>
          <w:bCs/>
          <w:color w:val="auto"/>
          <w:sz w:val="32"/>
          <w:szCs w:val="32"/>
          <w:highlight w:val="none"/>
          <w:lang w:eastAsia="zh-CN"/>
        </w:rPr>
        <w:t>GXZC2024-G3-003825-JGJD（重）</w:t>
      </w:r>
    </w:p>
    <w:p>
      <w:pPr>
        <w:widowControl w:val="0"/>
        <w:autoSpaceDE w:val="0"/>
        <w:autoSpaceDN w:val="0"/>
        <w:adjustRightInd w:val="0"/>
        <w:rPr>
          <w:rFonts w:ascii="宋体" w:hAnsi="Times New Roman" w:eastAsia="宋体" w:cs="宋体"/>
          <w:color w:val="auto"/>
          <w:sz w:val="32"/>
          <w:szCs w:val="32"/>
          <w:highlight w:val="none"/>
          <w:lang w:val="en-US" w:eastAsia="zh-CN" w:bidi="ar-SA"/>
        </w:rPr>
      </w:pPr>
      <w:r>
        <w:rPr>
          <w:rFonts w:hint="eastAsia" w:ascii="仿宋_GB2312" w:hAnsi="宋体" w:eastAsia="仿宋_GB2312" w:cs="宋体"/>
          <w:b/>
          <w:bCs/>
          <w:color w:val="auto"/>
          <w:kern w:val="2"/>
          <w:sz w:val="32"/>
          <w:szCs w:val="32"/>
          <w:highlight w:val="none"/>
          <w:lang w:val="en-US" w:eastAsia="zh-CN" w:bidi="ar-SA"/>
        </w:rPr>
        <w:t xml:space="preserve">        采购计划编号：广西政采[2024]9406号</w:t>
      </w:r>
    </w:p>
    <w:p>
      <w:pPr>
        <w:snapToGrid w:val="0"/>
        <w:spacing w:before="165" w:beforeLines="50" w:line="360" w:lineRule="auto"/>
        <w:ind w:firstLine="1285" w:firstLineChars="400"/>
        <w:rPr>
          <w:rFonts w:ascii="Times New Roman" w:hAnsi="Times New Roman" w:eastAsia="仿宋_GB2312" w:cs="Times New Roman"/>
          <w:color w:val="auto"/>
          <w:highlight w:val="none"/>
        </w:rPr>
      </w:pPr>
      <w:r>
        <w:rPr>
          <w:rFonts w:hint="eastAsia" w:ascii="仿宋_GB2312" w:hAnsi="宋体" w:eastAsia="仿宋_GB2312" w:cs="Times New Roman"/>
          <w:b/>
          <w:color w:val="auto"/>
          <w:sz w:val="32"/>
          <w:szCs w:val="32"/>
          <w:highlight w:val="none"/>
        </w:rPr>
        <w:t>项目所属区划</w:t>
      </w:r>
      <w:r>
        <w:rPr>
          <w:rFonts w:ascii="仿宋_GB2312" w:hAnsi="宋体" w:eastAsia="仿宋_GB2312" w:cs="Times New Roman"/>
          <w:b/>
          <w:color w:val="auto"/>
          <w:sz w:val="32"/>
          <w:szCs w:val="32"/>
          <w:highlight w:val="none"/>
        </w:rPr>
        <w:t>:</w:t>
      </w:r>
      <w:r>
        <w:rPr>
          <w:rFonts w:hint="eastAsia" w:ascii="仿宋_GB2312" w:hAnsi="宋体" w:eastAsia="仿宋_GB2312" w:cs="Times New Roman"/>
          <w:b/>
          <w:color w:val="auto"/>
          <w:sz w:val="32"/>
          <w:szCs w:val="32"/>
          <w:highlight w:val="none"/>
        </w:rPr>
        <w:t>广西壮族自治区本级</w:t>
      </w:r>
    </w:p>
    <w:p>
      <w:pPr>
        <w:widowControl w:val="0"/>
        <w:snapToGrid w:val="0"/>
        <w:spacing w:before="50" w:after="120" w:line="360" w:lineRule="auto"/>
        <w:ind w:firstLine="1200" w:firstLineChars="393"/>
        <w:jc w:val="both"/>
        <w:rPr>
          <w:rFonts w:ascii="仿宋_GB2312" w:hAnsi="宋体" w:eastAsia="仿宋_GB2312" w:cs="Times New Roman"/>
          <w:b/>
          <w:bCs/>
          <w:color w:val="auto"/>
          <w:w w:val="95"/>
          <w:kern w:val="2"/>
          <w:sz w:val="32"/>
          <w:szCs w:val="32"/>
          <w:highlight w:val="none"/>
          <w:lang w:val="en-US" w:eastAsia="zh-CN" w:bidi="ar-SA"/>
        </w:rPr>
      </w:pPr>
      <w:r>
        <w:rPr>
          <w:rFonts w:hint="eastAsia" w:ascii="仿宋_GB2312" w:hAnsi="宋体" w:eastAsia="仿宋_GB2312" w:cs="Times New Roman"/>
          <w:b/>
          <w:bCs/>
          <w:color w:val="auto"/>
          <w:w w:val="95"/>
          <w:kern w:val="2"/>
          <w:sz w:val="32"/>
          <w:szCs w:val="32"/>
          <w:highlight w:val="none"/>
          <w:lang w:val="en-US" w:eastAsia="zh-CN" w:bidi="ar-SA"/>
        </w:rPr>
        <w:t>采 购 人：广西壮族自治区工业和信息化厅</w:t>
      </w:r>
    </w:p>
    <w:p>
      <w:pPr>
        <w:widowControl w:val="0"/>
        <w:snapToGrid w:val="0"/>
        <w:spacing w:before="50" w:after="120" w:line="360" w:lineRule="auto"/>
        <w:ind w:firstLine="1200" w:firstLineChars="393"/>
        <w:jc w:val="both"/>
        <w:rPr>
          <w:rFonts w:ascii="仿宋_GB2312" w:hAnsi="宋体" w:eastAsia="仿宋_GB2312" w:cs="Times New Roman"/>
          <w:b/>
          <w:bCs/>
          <w:color w:val="auto"/>
          <w:w w:val="95"/>
          <w:kern w:val="2"/>
          <w:sz w:val="32"/>
          <w:szCs w:val="32"/>
          <w:highlight w:val="none"/>
          <w:lang w:val="en-US" w:eastAsia="zh-CN" w:bidi="ar-SA"/>
        </w:rPr>
      </w:pPr>
      <w:r>
        <w:rPr>
          <w:rFonts w:hint="eastAsia" w:ascii="仿宋_GB2312" w:hAnsi="宋体" w:eastAsia="仿宋_GB2312" w:cs="Times New Roman"/>
          <w:b/>
          <w:bCs/>
          <w:color w:val="auto"/>
          <w:w w:val="95"/>
          <w:kern w:val="2"/>
          <w:sz w:val="32"/>
          <w:szCs w:val="32"/>
          <w:highlight w:val="none"/>
          <w:lang w:val="en-US" w:eastAsia="zh-CN" w:bidi="ar-SA"/>
        </w:rPr>
        <w:t>采购代理机构：</w:t>
      </w:r>
      <w:bookmarkStart w:id="0" w:name="PO_3000001866_PM031"/>
      <w:r>
        <w:rPr>
          <w:rFonts w:hint="eastAsia" w:ascii="仿宋_GB2312" w:hAnsi="宋体" w:eastAsia="仿宋_GB2312" w:cs="Times New Roman"/>
          <w:b/>
          <w:bCs/>
          <w:color w:val="auto"/>
          <w:w w:val="95"/>
          <w:kern w:val="2"/>
          <w:sz w:val="32"/>
          <w:szCs w:val="32"/>
          <w:highlight w:val="none"/>
          <w:lang w:val="en-US" w:eastAsia="zh-CN" w:bidi="ar-SA"/>
        </w:rPr>
        <w:t>广西建设工程机电设备招标中心有限公司</w:t>
      </w:r>
      <w:bookmarkEnd w:id="0"/>
    </w:p>
    <w:p>
      <w:pPr>
        <w:widowControl/>
        <w:spacing w:line="360" w:lineRule="auto"/>
        <w:rPr>
          <w:color w:val="auto"/>
          <w:highlight w:val="none"/>
        </w:rPr>
      </w:pPr>
      <w:r>
        <w:rPr>
          <w:rFonts w:hint="eastAsia" w:ascii="仿宋_GB2312" w:hAnsi="宋体" w:eastAsia="仿宋_GB2312" w:cs="Times New Roman"/>
          <w:b/>
          <w:bCs/>
          <w:color w:val="auto"/>
          <w:w w:val="95"/>
          <w:kern w:val="2"/>
          <w:sz w:val="32"/>
          <w:szCs w:val="32"/>
          <w:highlight w:val="none"/>
          <w:lang w:val="en-US" w:eastAsia="zh-CN" w:bidi="ar-SA"/>
        </w:rPr>
        <w:t xml:space="preserve">                     2024年 7月2日</w:t>
      </w:r>
    </w:p>
    <w:p>
      <w:pPr>
        <w:pStyle w:val="18"/>
        <w:snapToGrid w:val="0"/>
        <w:spacing w:before="50" w:after="120" w:line="360" w:lineRule="auto"/>
        <w:ind w:firstLine="897" w:firstLineChars="294"/>
        <w:rPr>
          <w:rFonts w:ascii="仿宋_GB2312" w:hAnsi="宋体" w:eastAsia="仿宋_GB2312"/>
          <w:b/>
          <w:bCs/>
          <w:color w:val="auto"/>
          <w:w w:val="95"/>
          <w:sz w:val="32"/>
          <w:szCs w:val="32"/>
          <w:highlight w:val="none"/>
        </w:rPr>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pPr>
    </w:p>
    <w:p>
      <w:pPr>
        <w:pStyle w:val="18"/>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w:t>
      </w:r>
      <w:r>
        <w:rPr>
          <w:rFonts w:ascii="Times New Roman" w:hAnsi="Times New Roman"/>
          <w:b/>
          <w:color w:val="auto"/>
          <w:sz w:val="48"/>
          <w:szCs w:val="48"/>
          <w:highlight w:val="none"/>
        </w:rPr>
        <w:t xml:space="preserve">     </w:t>
      </w:r>
      <w:r>
        <w:rPr>
          <w:rFonts w:hint="eastAsia" w:ascii="Times New Roman" w:hAnsi="Times New Roman"/>
          <w:b/>
          <w:color w:val="auto"/>
          <w:sz w:val="48"/>
          <w:szCs w:val="48"/>
          <w:highlight w:val="none"/>
        </w:rPr>
        <w:t>录</w:t>
      </w:r>
    </w:p>
    <w:p>
      <w:pPr>
        <w:pStyle w:val="25"/>
        <w:tabs>
          <w:tab w:val="right" w:leader="dot" w:pos="9628"/>
        </w:tabs>
        <w:rPr>
          <w:b w:val="0"/>
          <w:bCs w:val="0"/>
          <w:caps w:val="0"/>
          <w:color w:val="auto"/>
          <w:sz w:val="21"/>
          <w:highlight w:val="none"/>
          <w:u w:val="none"/>
        </w:rPr>
      </w:pPr>
      <w:r>
        <w:rPr>
          <w:rFonts w:hAnsi="宋体"/>
          <w:b w:val="0"/>
          <w:bCs w:val="0"/>
          <w:caps w:val="0"/>
          <w:color w:val="auto"/>
          <w:sz w:val="28"/>
          <w:szCs w:val="28"/>
          <w:highlight w:val="none"/>
        </w:rPr>
        <w:fldChar w:fldCharType="begin"/>
      </w:r>
      <w:r>
        <w:rPr>
          <w:rFonts w:hAnsi="宋体"/>
          <w:b w:val="0"/>
          <w:bCs w:val="0"/>
          <w:caps w:val="0"/>
          <w:color w:val="auto"/>
          <w:sz w:val="28"/>
          <w:szCs w:val="28"/>
          <w:highlight w:val="none"/>
        </w:rPr>
        <w:instrText xml:space="preserve"> TOC \o "1-3" \h \z \u </w:instrText>
      </w:r>
      <w:r>
        <w:rPr>
          <w:rFonts w:hAnsi="宋体"/>
          <w:b w:val="0"/>
          <w:bCs w:val="0"/>
          <w:caps w:val="0"/>
          <w:color w:val="auto"/>
          <w:sz w:val="28"/>
          <w:szCs w:val="28"/>
          <w:highlight w:val="none"/>
        </w:rPr>
        <w:fldChar w:fldCharType="separate"/>
      </w:r>
      <w:r>
        <w:rPr>
          <w:color w:val="auto"/>
          <w:highlight w:val="none"/>
        </w:rPr>
        <w:fldChar w:fldCharType="begin"/>
      </w:r>
      <w:r>
        <w:rPr>
          <w:color w:val="auto"/>
          <w:highlight w:val="none"/>
        </w:rPr>
        <w:instrText xml:space="preserve"> HYPERLINK \l "_Toc80092990" </w:instrText>
      </w:r>
      <w:r>
        <w:rPr>
          <w:color w:val="auto"/>
          <w:highlight w:val="none"/>
        </w:rPr>
        <w:fldChar w:fldCharType="separate"/>
      </w:r>
      <w:r>
        <w:rPr>
          <w:rStyle w:val="44"/>
          <w:rFonts w:hint="eastAsia" w:ascii="Times New Roman" w:hAnsi="Times New Roman"/>
          <w:color w:val="auto"/>
          <w:highlight w:val="none"/>
        </w:rPr>
        <w:t>第一章</w:t>
      </w:r>
      <w:r>
        <w:rPr>
          <w:rStyle w:val="44"/>
          <w:rFonts w:ascii="Times New Roman" w:hAnsi="Times New Roman"/>
          <w:color w:val="auto"/>
          <w:highlight w:val="none"/>
        </w:rPr>
        <w:t xml:space="preserve">  </w:t>
      </w:r>
      <w:r>
        <w:rPr>
          <w:rStyle w:val="44"/>
          <w:rFonts w:hint="eastAsia" w:ascii="Times New Roman" w:hAnsi="Times New Roman"/>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_Toc80092990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5"/>
        <w:tabs>
          <w:tab w:val="right" w:leader="dot" w:pos="9628"/>
        </w:tabs>
        <w:rPr>
          <w:b w:val="0"/>
          <w:bCs w:val="0"/>
          <w:caps w:val="0"/>
          <w:color w:val="auto"/>
          <w:sz w:val="21"/>
          <w:highlight w:val="none"/>
          <w:u w:val="none"/>
        </w:rPr>
      </w:pPr>
      <w:r>
        <w:rPr>
          <w:color w:val="auto"/>
          <w:highlight w:val="none"/>
        </w:rPr>
        <w:fldChar w:fldCharType="begin"/>
      </w:r>
      <w:r>
        <w:rPr>
          <w:color w:val="auto"/>
          <w:highlight w:val="none"/>
        </w:rPr>
        <w:instrText xml:space="preserve"> HYPERLINK \l "_Toc80092991" </w:instrText>
      </w:r>
      <w:r>
        <w:rPr>
          <w:color w:val="auto"/>
          <w:highlight w:val="none"/>
        </w:rPr>
        <w:fldChar w:fldCharType="separate"/>
      </w:r>
      <w:r>
        <w:rPr>
          <w:rStyle w:val="44"/>
          <w:rFonts w:hint="eastAsia" w:ascii="Times New Roman" w:hAnsi="Times New Roman"/>
          <w:color w:val="auto"/>
          <w:highlight w:val="none"/>
        </w:rPr>
        <w:t>第二章</w:t>
      </w:r>
      <w:r>
        <w:rPr>
          <w:rStyle w:val="44"/>
          <w:rFonts w:ascii="Times New Roman" w:hAnsi="Times New Roman"/>
          <w:color w:val="auto"/>
          <w:highlight w:val="none"/>
        </w:rPr>
        <w:t xml:space="preserve">  </w:t>
      </w:r>
      <w:r>
        <w:rPr>
          <w:rStyle w:val="44"/>
          <w:rFonts w:hint="eastAsia" w:ascii="Times New Roman" w:hAnsi="Times New Roman"/>
          <w:color w:val="auto"/>
          <w:highlight w:val="none"/>
        </w:rPr>
        <w:t>采购需求</w:t>
      </w:r>
      <w:r>
        <w:rPr>
          <w:color w:val="auto"/>
          <w:highlight w:val="none"/>
        </w:rPr>
        <w:tab/>
      </w:r>
      <w:r>
        <w:rPr>
          <w:color w:val="auto"/>
          <w:highlight w:val="none"/>
        </w:rPr>
        <w:fldChar w:fldCharType="begin"/>
      </w:r>
      <w:r>
        <w:rPr>
          <w:color w:val="auto"/>
          <w:highlight w:val="none"/>
        </w:rPr>
        <w:instrText xml:space="preserve"> PAGEREF _Toc80092991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5"/>
        <w:tabs>
          <w:tab w:val="right" w:leader="dot" w:pos="9628"/>
        </w:tabs>
        <w:rPr>
          <w:b w:val="0"/>
          <w:bCs w:val="0"/>
          <w:caps w:val="0"/>
          <w:color w:val="auto"/>
          <w:sz w:val="21"/>
          <w:highlight w:val="none"/>
          <w:u w:val="none"/>
        </w:rPr>
      </w:pPr>
      <w:r>
        <w:rPr>
          <w:color w:val="auto"/>
          <w:highlight w:val="none"/>
        </w:rPr>
        <w:fldChar w:fldCharType="begin"/>
      </w:r>
      <w:r>
        <w:rPr>
          <w:color w:val="auto"/>
          <w:highlight w:val="none"/>
        </w:rPr>
        <w:instrText xml:space="preserve"> HYPERLINK \l "_Toc80092992" </w:instrText>
      </w:r>
      <w:r>
        <w:rPr>
          <w:color w:val="auto"/>
          <w:highlight w:val="none"/>
        </w:rPr>
        <w:fldChar w:fldCharType="separate"/>
      </w:r>
      <w:r>
        <w:rPr>
          <w:rStyle w:val="44"/>
          <w:rFonts w:hint="eastAsia" w:ascii="Times New Roman" w:hAnsi="Times New Roman"/>
          <w:color w:val="auto"/>
          <w:highlight w:val="none"/>
        </w:rPr>
        <w:t>第三章</w:t>
      </w:r>
      <w:r>
        <w:rPr>
          <w:rStyle w:val="44"/>
          <w:rFonts w:ascii="Times New Roman" w:hAnsi="Times New Roman"/>
          <w:color w:val="auto"/>
          <w:highlight w:val="none"/>
        </w:rPr>
        <w:t xml:space="preserve">  </w:t>
      </w:r>
      <w:r>
        <w:rPr>
          <w:rStyle w:val="44"/>
          <w:rFonts w:hint="eastAsia" w:ascii="Times New Roman" w:hAnsi="Times New Roman"/>
          <w:color w:val="auto"/>
          <w:highlight w:val="none"/>
        </w:rPr>
        <w:t>供应商须知</w:t>
      </w:r>
      <w:r>
        <w:rPr>
          <w:color w:val="auto"/>
          <w:highlight w:val="none"/>
        </w:rPr>
        <w:tab/>
      </w:r>
      <w:r>
        <w:rPr>
          <w:color w:val="auto"/>
          <w:highlight w:val="none"/>
        </w:rPr>
        <w:fldChar w:fldCharType="begin"/>
      </w:r>
      <w:r>
        <w:rPr>
          <w:color w:val="auto"/>
          <w:highlight w:val="none"/>
        </w:rPr>
        <w:instrText xml:space="preserve"> PAGEREF _Toc80092992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5"/>
        <w:tabs>
          <w:tab w:val="right" w:leader="dot" w:pos="9628"/>
        </w:tabs>
        <w:rPr>
          <w:b w:val="0"/>
          <w:bCs w:val="0"/>
          <w:color w:val="auto"/>
          <w:sz w:val="21"/>
          <w:highlight w:val="none"/>
        </w:rPr>
      </w:pPr>
      <w:r>
        <w:rPr>
          <w:color w:val="auto"/>
          <w:highlight w:val="none"/>
        </w:rPr>
        <w:fldChar w:fldCharType="begin"/>
      </w:r>
      <w:r>
        <w:rPr>
          <w:color w:val="auto"/>
          <w:highlight w:val="none"/>
        </w:rPr>
        <w:instrText xml:space="preserve"> HYPERLINK \l "_Toc80093003" </w:instrText>
      </w:r>
      <w:r>
        <w:rPr>
          <w:color w:val="auto"/>
          <w:highlight w:val="none"/>
        </w:rPr>
        <w:fldChar w:fldCharType="separate"/>
      </w:r>
      <w:r>
        <w:rPr>
          <w:rStyle w:val="44"/>
          <w:rFonts w:hint="eastAsia" w:ascii="Times New Roman" w:hAnsi="Times New Roman"/>
          <w:color w:val="auto"/>
          <w:highlight w:val="none"/>
        </w:rPr>
        <w:t>第四章</w:t>
      </w:r>
      <w:r>
        <w:rPr>
          <w:rStyle w:val="44"/>
          <w:rFonts w:ascii="Times New Roman" w:hAnsi="Times New Roman"/>
          <w:color w:val="auto"/>
          <w:highlight w:val="none"/>
        </w:rPr>
        <w:t xml:space="preserve">  </w:t>
      </w:r>
      <w:r>
        <w:rPr>
          <w:rStyle w:val="44"/>
          <w:rFonts w:hint="eastAsia" w:ascii="Times New Roman" w:hAnsi="Times New Roman"/>
          <w:color w:val="auto"/>
          <w:highlight w:val="none"/>
        </w:rPr>
        <w:t>评标方法</w:t>
      </w:r>
      <w:bookmarkStart w:id="1" w:name="_Hlt80698806"/>
      <w:r>
        <w:rPr>
          <w:rStyle w:val="44"/>
          <w:rFonts w:hint="eastAsia" w:ascii="Times New Roman" w:hAnsi="Times New Roman"/>
          <w:color w:val="auto"/>
          <w:highlight w:val="none"/>
        </w:rPr>
        <w:t>及</w:t>
      </w:r>
      <w:bookmarkEnd w:id="1"/>
      <w:r>
        <w:rPr>
          <w:rStyle w:val="44"/>
          <w:rFonts w:hint="eastAsia" w:ascii="Times New Roman" w:hAnsi="Times New Roman"/>
          <w:color w:val="auto"/>
          <w:highlight w:val="none"/>
        </w:rPr>
        <w:t>评分标准</w:t>
      </w:r>
      <w:r>
        <w:rPr>
          <w:color w:val="auto"/>
          <w:highlight w:val="none"/>
        </w:rPr>
        <w:tab/>
      </w:r>
      <w:r>
        <w:rPr>
          <w:color w:val="auto"/>
          <w:highlight w:val="none"/>
        </w:rPr>
        <w:fldChar w:fldCharType="begin"/>
      </w:r>
      <w:r>
        <w:rPr>
          <w:color w:val="auto"/>
          <w:highlight w:val="none"/>
        </w:rPr>
        <w:instrText xml:space="preserve"> PAGEREF _Toc80093003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5"/>
        <w:tabs>
          <w:tab w:val="right" w:leader="dot" w:pos="9628"/>
        </w:tabs>
        <w:rPr>
          <w:b w:val="0"/>
          <w:bCs w:val="0"/>
          <w:caps w:val="0"/>
          <w:color w:val="auto"/>
          <w:sz w:val="21"/>
          <w:highlight w:val="none"/>
          <w:u w:val="none"/>
        </w:rPr>
      </w:pPr>
      <w:r>
        <w:rPr>
          <w:color w:val="auto"/>
          <w:highlight w:val="none"/>
        </w:rPr>
        <w:fldChar w:fldCharType="begin"/>
      </w:r>
      <w:r>
        <w:rPr>
          <w:color w:val="auto"/>
          <w:highlight w:val="none"/>
        </w:rPr>
        <w:instrText xml:space="preserve"> HYPERLINK \l "_Toc80093009" </w:instrText>
      </w:r>
      <w:r>
        <w:rPr>
          <w:color w:val="auto"/>
          <w:highlight w:val="none"/>
        </w:rPr>
        <w:fldChar w:fldCharType="separate"/>
      </w:r>
      <w:r>
        <w:rPr>
          <w:rStyle w:val="44"/>
          <w:rFonts w:hint="eastAsia" w:ascii="Times New Roman" w:hAnsi="Times New Roman"/>
          <w:color w:val="auto"/>
          <w:highlight w:val="none"/>
        </w:rPr>
        <w:t>第五章</w:t>
      </w:r>
      <w:r>
        <w:rPr>
          <w:rStyle w:val="44"/>
          <w:rFonts w:ascii="Times New Roman" w:hAnsi="Times New Roman"/>
          <w:color w:val="auto"/>
          <w:highlight w:val="none"/>
        </w:rPr>
        <w:t xml:space="preserve"> </w:t>
      </w:r>
      <w:r>
        <w:rPr>
          <w:rStyle w:val="44"/>
          <w:rFonts w:hint="eastAsia" w:ascii="Times New Roman" w:hAnsi="Times New Roman"/>
          <w:color w:val="auto"/>
          <w:highlight w:val="none"/>
        </w:rPr>
        <w:t>拟签订的合同文本</w:t>
      </w:r>
      <w:r>
        <w:rPr>
          <w:color w:val="auto"/>
          <w:highlight w:val="none"/>
        </w:rPr>
        <w:tab/>
      </w:r>
      <w:r>
        <w:rPr>
          <w:color w:val="auto"/>
          <w:highlight w:val="none"/>
        </w:rPr>
        <w:fldChar w:fldCharType="begin"/>
      </w:r>
      <w:r>
        <w:rPr>
          <w:color w:val="auto"/>
          <w:highlight w:val="none"/>
        </w:rPr>
        <w:instrText xml:space="preserve"> PAGEREF _Toc80093009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25"/>
        <w:tabs>
          <w:tab w:val="right" w:leader="dot" w:pos="9628"/>
        </w:tabs>
        <w:rPr>
          <w:b w:val="0"/>
          <w:bCs w:val="0"/>
          <w:color w:val="auto"/>
          <w:sz w:val="21"/>
          <w:highlight w:val="none"/>
        </w:rPr>
      </w:pPr>
      <w:r>
        <w:rPr>
          <w:color w:val="auto"/>
          <w:highlight w:val="none"/>
        </w:rPr>
        <w:fldChar w:fldCharType="begin"/>
      </w:r>
      <w:r>
        <w:rPr>
          <w:color w:val="auto"/>
          <w:highlight w:val="none"/>
        </w:rPr>
        <w:instrText xml:space="preserve"> HYPERLINK \l "_Toc80093010" </w:instrText>
      </w:r>
      <w:r>
        <w:rPr>
          <w:color w:val="auto"/>
          <w:highlight w:val="none"/>
        </w:rPr>
        <w:fldChar w:fldCharType="separate"/>
      </w:r>
      <w:r>
        <w:rPr>
          <w:rStyle w:val="44"/>
          <w:rFonts w:hint="eastAsia" w:ascii="Times New Roman" w:hAnsi="Times New Roman"/>
          <w:color w:val="auto"/>
          <w:highlight w:val="none"/>
        </w:rPr>
        <w:t>第六章</w:t>
      </w:r>
      <w:r>
        <w:rPr>
          <w:rStyle w:val="44"/>
          <w:rFonts w:ascii="Times New Roman" w:hAnsi="Times New Roman"/>
          <w:color w:val="auto"/>
          <w:highlight w:val="none"/>
        </w:rPr>
        <w:t xml:space="preserve"> </w:t>
      </w:r>
      <w:r>
        <w:rPr>
          <w:rStyle w:val="44"/>
          <w:rFonts w:hint="eastAsia" w:ascii="Times New Roman" w:hAnsi="Times New Roman"/>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_Toc80093010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25"/>
        <w:tabs>
          <w:tab w:val="right" w:leader="dot" w:pos="9628"/>
        </w:tabs>
        <w:rPr>
          <w:b w:val="0"/>
          <w:bCs w:val="0"/>
          <w:caps w:val="0"/>
          <w:color w:val="auto"/>
          <w:sz w:val="21"/>
          <w:highlight w:val="none"/>
          <w:u w:val="none"/>
        </w:rPr>
      </w:pPr>
      <w:r>
        <w:rPr>
          <w:color w:val="auto"/>
          <w:highlight w:val="none"/>
        </w:rPr>
        <w:fldChar w:fldCharType="begin"/>
      </w:r>
      <w:r>
        <w:rPr>
          <w:color w:val="auto"/>
          <w:highlight w:val="none"/>
        </w:rPr>
        <w:instrText xml:space="preserve"> HYPERLINK \l "_Toc80093017" </w:instrText>
      </w:r>
      <w:r>
        <w:rPr>
          <w:color w:val="auto"/>
          <w:highlight w:val="none"/>
        </w:rPr>
        <w:fldChar w:fldCharType="separate"/>
      </w:r>
      <w:r>
        <w:rPr>
          <w:rStyle w:val="44"/>
          <w:rFonts w:hint="eastAsia" w:ascii="Times New Roman" w:hAnsi="Times New Roman"/>
          <w:color w:val="auto"/>
          <w:highlight w:val="none"/>
        </w:rPr>
        <w:t>第七章</w:t>
      </w:r>
      <w:r>
        <w:rPr>
          <w:rStyle w:val="44"/>
          <w:rFonts w:ascii="Times New Roman" w:hAnsi="Times New Roman"/>
          <w:color w:val="auto"/>
          <w:highlight w:val="none"/>
        </w:rPr>
        <w:t xml:space="preserve"> </w:t>
      </w:r>
      <w:r>
        <w:rPr>
          <w:rStyle w:val="44"/>
          <w:rFonts w:hint="eastAsia" w:ascii="Times New Roman" w:hAnsi="Times New Roman"/>
          <w:color w:val="auto"/>
          <w:highlight w:val="none"/>
        </w:rPr>
        <w:t>质疑、投诉证明材料格式</w:t>
      </w:r>
      <w:r>
        <w:rPr>
          <w:color w:val="auto"/>
          <w:highlight w:val="none"/>
        </w:rPr>
        <w:tab/>
      </w:r>
      <w:r>
        <w:rPr>
          <w:rFonts w:hint="eastAsia"/>
          <w:color w:val="auto"/>
          <w:highlight w:val="none"/>
        </w:rPr>
        <w:t>7</w:t>
      </w:r>
      <w:r>
        <w:rPr>
          <w:rFonts w:hint="eastAsia"/>
          <w:color w:val="auto"/>
          <w:highlight w:val="none"/>
        </w:rPr>
        <w:fldChar w:fldCharType="end"/>
      </w:r>
      <w:r>
        <w:rPr>
          <w:rFonts w:hint="eastAsia"/>
          <w:color w:val="auto"/>
          <w:highlight w:val="none"/>
        </w:rPr>
        <w:t>2</w:t>
      </w: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r>
        <w:rPr>
          <w:rFonts w:ascii="Calibri" w:hAnsi="宋体"/>
          <w:b/>
          <w:bCs/>
          <w:caps/>
          <w:color w:val="auto"/>
          <w:sz w:val="28"/>
          <w:szCs w:val="28"/>
          <w:highlight w:val="none"/>
          <w:u w:val="single"/>
        </w:rPr>
        <w:fldChar w:fldCharType="end"/>
      </w: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ascii="Calibri" w:hAnsi="宋体"/>
          <w:b/>
          <w:bCs/>
          <w:caps/>
          <w:color w:val="auto"/>
          <w:sz w:val="28"/>
          <w:szCs w:val="28"/>
          <w:highlight w:val="none"/>
          <w:u w:val="single"/>
        </w:rPr>
      </w:pPr>
    </w:p>
    <w:p>
      <w:pPr>
        <w:pStyle w:val="18"/>
        <w:jc w:val="center"/>
        <w:rPr>
          <w:rFonts w:hAnsi="宋体"/>
          <w:b/>
          <w:color w:val="auto"/>
          <w:sz w:val="36"/>
          <w:szCs w:val="36"/>
          <w:highlight w:val="none"/>
        </w:rPr>
      </w:pPr>
      <w:bookmarkStart w:id="2" w:name="_Toc532545041"/>
      <w:bookmarkStart w:id="3" w:name="_Toc80092990"/>
      <w:r>
        <w:rPr>
          <w:rFonts w:hint="eastAsia" w:ascii="Times New Roman" w:hAnsi="Times New Roman"/>
          <w:b/>
          <w:color w:val="auto"/>
          <w:sz w:val="36"/>
          <w:highlight w:val="none"/>
        </w:rPr>
        <w:t>第一章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招标公告</w:t>
      </w:r>
      <w:bookmarkEnd w:id="2"/>
      <w:bookmarkEnd w:id="3"/>
    </w:p>
    <w:p>
      <w:pPr>
        <w:pStyle w:val="18"/>
        <w:jc w:val="center"/>
        <w:rPr>
          <w:rFonts w:ascii="Times New Roman" w:hAnsi="Times New Roman"/>
          <w:b/>
          <w:color w:val="auto"/>
          <w:sz w:val="44"/>
          <w:szCs w:val="44"/>
          <w:highlight w:val="none"/>
        </w:rPr>
      </w:pPr>
      <w:r>
        <w:rPr>
          <w:rFonts w:hint="eastAsia" w:ascii="Times New Roman" w:hAnsi="Times New Roman"/>
          <w:b/>
          <w:color w:val="auto"/>
          <w:sz w:val="44"/>
          <w:szCs w:val="44"/>
          <w:highlight w:val="none"/>
        </w:rPr>
        <w:t>公开招标公告</w:t>
      </w:r>
    </w:p>
    <w:p>
      <w:pPr>
        <w:pBdr>
          <w:top w:val="single" w:color="auto" w:sz="4" w:space="1"/>
          <w:left w:val="single" w:color="auto" w:sz="4" w:space="4"/>
          <w:bottom w:val="single" w:color="auto" w:sz="4" w:space="1"/>
          <w:right w:val="single" w:color="auto" w:sz="4" w:space="4"/>
        </w:pBd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项目概况</w:t>
      </w:r>
    </w:p>
    <w:p>
      <w:pPr>
        <w:pBdr>
          <w:top w:val="single" w:color="auto" w:sz="4" w:space="1"/>
          <w:left w:val="single" w:color="auto" w:sz="4" w:space="4"/>
          <w:bottom w:val="single" w:color="auto" w:sz="4" w:space="1"/>
          <w:right w:val="single" w:color="auto" w:sz="4" w:space="4"/>
        </w:pBdr>
        <w:spacing w:line="400" w:lineRule="exact"/>
        <w:ind w:firstLine="422" w:firstLineChars="200"/>
        <w:rPr>
          <w:rFonts w:ascii="宋体" w:hAnsi="宋体" w:cs="宋体"/>
          <w:color w:val="auto"/>
          <w:szCs w:val="21"/>
          <w:highlight w:val="none"/>
          <w:u w:val="single"/>
        </w:rPr>
      </w:pP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eastAsia="zh-CN"/>
        </w:rPr>
        <w:t>2024年自治区工业和信息化厅规划及课题项目二（重）</w:t>
      </w:r>
      <w:r>
        <w:rPr>
          <w:rFonts w:hint="eastAsia" w:ascii="宋体" w:hAnsi="宋体" w:cs="宋体"/>
          <w:b/>
          <w:bCs/>
          <w:color w:val="auto"/>
          <w:szCs w:val="21"/>
          <w:highlight w:val="none"/>
          <w:u w:val="single"/>
        </w:rPr>
        <w:t xml:space="preserve"> </w:t>
      </w:r>
      <w:r>
        <w:rPr>
          <w:rFonts w:hint="eastAsia" w:ascii="宋体" w:hAnsi="宋体" w:cs="宋体"/>
          <w:color w:val="auto"/>
          <w:szCs w:val="21"/>
          <w:highlight w:val="none"/>
        </w:rPr>
        <w:t>招标项目的潜在供应商应在</w:t>
      </w:r>
      <w:r>
        <w:rPr>
          <w:rFonts w:hint="eastAsia" w:ascii="宋体" w:hAnsi="宋体" w:cs="宋体"/>
          <w:color w:val="auto"/>
          <w:szCs w:val="21"/>
          <w:highlight w:val="none"/>
          <w:u w:val="single"/>
        </w:rPr>
        <w:t>广西政府采购云平台（https://www.gcy.zfcg.gxzf.gov.cn/）</w:t>
      </w:r>
      <w:r>
        <w:rPr>
          <w:color w:val="auto"/>
          <w:highlight w:val="none"/>
        </w:rPr>
        <w:fldChar w:fldCharType="begin"/>
      </w:r>
      <w:r>
        <w:rPr>
          <w:color w:val="auto"/>
          <w:highlight w:val="none"/>
        </w:rPr>
        <w:instrText xml:space="preserve"> HYPERLINK "https://www.zcygov.cn/）获取（下载）招标文件，并于%202023-5-8%20%209" </w:instrText>
      </w:r>
      <w:r>
        <w:rPr>
          <w:color w:val="auto"/>
          <w:highlight w:val="none"/>
        </w:rPr>
        <w:fldChar w:fldCharType="separate"/>
      </w:r>
      <w:r>
        <w:rPr>
          <w:rFonts w:hint="eastAsia" w:ascii="宋体" w:hAnsi="宋体" w:cs="宋体"/>
          <w:color w:val="auto"/>
          <w:highlight w:val="none"/>
        </w:rPr>
        <w:t>获取（下载）招标文件，并于2024年</w:t>
      </w:r>
      <w:r>
        <w:rPr>
          <w:rFonts w:hint="eastAsia" w:ascii="宋体" w:hAnsi="宋体" w:cs="宋体"/>
          <w:color w:val="auto"/>
          <w:highlight w:val="none"/>
          <w:lang w:val="en-US" w:eastAsia="zh-CN"/>
        </w:rPr>
        <w:t>7</w:t>
      </w:r>
      <w:r>
        <w:rPr>
          <w:rFonts w:hint="eastAsia" w:ascii="宋体" w:hAnsi="宋体" w:cs="宋体"/>
          <w:color w:val="auto"/>
          <w:highlight w:val="none"/>
        </w:rPr>
        <w:t>月</w:t>
      </w:r>
      <w:r>
        <w:rPr>
          <w:rFonts w:hint="eastAsia" w:ascii="宋体" w:hAnsi="宋体" w:cs="宋体"/>
          <w:color w:val="auto"/>
          <w:highlight w:val="none"/>
          <w:lang w:val="en-US" w:eastAsia="zh-CN"/>
        </w:rPr>
        <w:t>24</w:t>
      </w:r>
      <w:r>
        <w:rPr>
          <w:rFonts w:hint="eastAsia" w:ascii="宋体" w:hAnsi="宋体" w:cs="宋体"/>
          <w:color w:val="auto"/>
          <w:highlight w:val="none"/>
        </w:rPr>
        <w:t>日9点30分</w:t>
      </w:r>
      <w:r>
        <w:rPr>
          <w:rFonts w:hint="eastAsia" w:ascii="宋体" w:hAnsi="宋体" w:cs="宋体"/>
          <w:color w:val="auto"/>
          <w:highlight w:val="none"/>
        </w:rPr>
        <w:fldChar w:fldCharType="end"/>
      </w:r>
      <w:r>
        <w:rPr>
          <w:rFonts w:hint="eastAsia" w:ascii="宋体" w:hAnsi="宋体" w:cs="宋体"/>
          <w:bCs/>
          <w:color w:val="auto"/>
          <w:szCs w:val="21"/>
          <w:highlight w:val="none"/>
        </w:rPr>
        <w:t>（北京时间）前</w:t>
      </w:r>
      <w:r>
        <w:rPr>
          <w:rFonts w:hint="eastAsia" w:ascii="宋体" w:hAnsi="宋体" w:cs="宋体"/>
          <w:color w:val="auto"/>
          <w:szCs w:val="21"/>
          <w:highlight w:val="none"/>
        </w:rPr>
        <w:t>递交（上传）投标文件。</w:t>
      </w:r>
    </w:p>
    <w:p>
      <w:pPr>
        <w:spacing w:line="400" w:lineRule="exact"/>
        <w:rPr>
          <w:rFonts w:ascii="宋体" w:hAnsi="宋体" w:cs="宋体"/>
          <w:b/>
          <w:bCs/>
          <w:color w:val="auto"/>
          <w:szCs w:val="21"/>
          <w:highlight w:val="none"/>
        </w:rPr>
      </w:pPr>
      <w:bookmarkStart w:id="4" w:name="_Toc28359002"/>
      <w:bookmarkStart w:id="5" w:name="_Toc35393790"/>
      <w:bookmarkStart w:id="6" w:name="_Toc35393621"/>
      <w:bookmarkStart w:id="7" w:name="_Toc28359079"/>
      <w:bookmarkStart w:id="8" w:name="_Hlk24379207"/>
      <w:r>
        <w:rPr>
          <w:rFonts w:hint="eastAsia" w:ascii="宋体" w:hAnsi="宋体" w:cs="宋体"/>
          <w:b/>
          <w:bCs/>
          <w:color w:val="auto"/>
          <w:szCs w:val="21"/>
          <w:highlight w:val="none"/>
        </w:rPr>
        <w:t>一、项目基本情况</w:t>
      </w:r>
      <w:bookmarkEnd w:id="4"/>
      <w:bookmarkEnd w:id="5"/>
      <w:bookmarkEnd w:id="6"/>
      <w:bookmarkEnd w:id="7"/>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GXZC2024-G3-003825-JGJD（重）</w:t>
      </w:r>
      <w:r>
        <w:rPr>
          <w:rFonts w:hint="eastAsia" w:ascii="宋体" w:hAnsi="宋体" w:cs="宋体"/>
          <w:color w:val="auto"/>
          <w:szCs w:val="21"/>
          <w:highlight w:val="none"/>
        </w:rPr>
        <w:t xml:space="preserve">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采购计划文号：广西政采[2024]9406号</w:t>
      </w:r>
    </w:p>
    <w:p>
      <w:pPr>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2024年自治区工业和信息化厅规划及课题项目二（重）</w:t>
      </w:r>
    </w:p>
    <w:bookmarkEnd w:id="8"/>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采购方式：公开招标</w:t>
      </w:r>
    </w:p>
    <w:p>
      <w:pPr>
        <w:spacing w:line="400" w:lineRule="exact"/>
        <w:ind w:firstLine="420" w:firstLineChars="200"/>
        <w:rPr>
          <w:rFonts w:ascii="宋体" w:hAnsi="宋体"/>
          <w:b/>
          <w:bCs/>
          <w:color w:val="auto"/>
          <w:szCs w:val="21"/>
          <w:highlight w:val="none"/>
        </w:rPr>
      </w:pPr>
      <w:r>
        <w:rPr>
          <w:rFonts w:hint="eastAsia" w:ascii="宋体" w:hAnsi="宋体" w:cs="宋体"/>
          <w:color w:val="auto"/>
          <w:szCs w:val="21"/>
          <w:highlight w:val="none"/>
        </w:rPr>
        <w:t>预算金额：</w:t>
      </w:r>
      <w:r>
        <w:rPr>
          <w:rFonts w:hint="eastAsia" w:ascii="宋体" w:hAnsi="宋体"/>
          <w:color w:val="auto"/>
          <w:szCs w:val="21"/>
          <w:highlight w:val="none"/>
          <w:lang w:val="en-US" w:eastAsia="zh-CN"/>
        </w:rPr>
        <w:t>51</w:t>
      </w:r>
      <w:r>
        <w:rPr>
          <w:rFonts w:hint="eastAsia" w:ascii="宋体" w:hAnsi="宋体"/>
          <w:color w:val="auto"/>
          <w:szCs w:val="21"/>
          <w:highlight w:val="none"/>
        </w:rPr>
        <w:t>万元</w:t>
      </w:r>
      <w:r>
        <w:rPr>
          <w:rFonts w:ascii="宋体" w:hAnsi="宋体"/>
          <w:color w:val="auto"/>
          <w:szCs w:val="21"/>
          <w:highlight w:val="none"/>
        </w:rPr>
        <w:t>，</w:t>
      </w:r>
      <w:r>
        <w:rPr>
          <w:rFonts w:hint="eastAsia" w:ascii="宋体" w:hAnsi="宋体"/>
          <w:color w:val="auto"/>
          <w:szCs w:val="21"/>
          <w:highlight w:val="none"/>
        </w:rPr>
        <w:t>其中：分标2为20万元，分标11为16万元，分标16为15万元</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采购需求：</w:t>
      </w:r>
      <w:bookmarkStart w:id="9" w:name="PO_3000001866_PM004"/>
      <w:r>
        <w:rPr>
          <w:rFonts w:hint="eastAsia" w:ascii="宋体" w:hAnsi="宋体" w:cs="宋体"/>
          <w:color w:val="auto"/>
          <w:szCs w:val="21"/>
          <w:highlight w:val="none"/>
        </w:rPr>
        <w:t xml:space="preserve"> </w:t>
      </w:r>
      <w:bookmarkEnd w:id="9"/>
    </w:p>
    <w:p>
      <w:pPr>
        <w:spacing w:line="400" w:lineRule="exact"/>
        <w:rPr>
          <w:rFonts w:ascii="宋体" w:hAnsi="宋体" w:cs="宋体"/>
          <w:color w:val="auto"/>
          <w:szCs w:val="21"/>
          <w:highlight w:val="none"/>
        </w:rPr>
      </w:pP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0"/>
        <w:gridCol w:w="1949"/>
        <w:gridCol w:w="913"/>
        <w:gridCol w:w="56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12" w:hRule="atLeast"/>
          <w:jc w:val="center"/>
        </w:trPr>
        <w:tc>
          <w:tcPr>
            <w:tcW w:w="90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分标2，预算金额：20万元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19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标的的名称</w:t>
            </w:r>
          </w:p>
        </w:tc>
        <w:tc>
          <w:tcPr>
            <w:tcW w:w="91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数量及单位</w:t>
            </w:r>
          </w:p>
        </w:tc>
        <w:tc>
          <w:tcPr>
            <w:tcW w:w="5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01</w:t>
            </w:r>
          </w:p>
        </w:tc>
        <w:tc>
          <w:tcPr>
            <w:tcW w:w="194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广西重点产业链链式数字化转型研究</w:t>
            </w:r>
          </w:p>
        </w:tc>
        <w:tc>
          <w:tcPr>
            <w:tcW w:w="91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1项</w:t>
            </w:r>
          </w:p>
        </w:tc>
        <w:tc>
          <w:tcPr>
            <w:tcW w:w="5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一、立项背景</w:t>
            </w:r>
          </w:p>
          <w:p>
            <w:pPr>
              <w:snapToGrid w:val="0"/>
              <w:spacing w:line="400" w:lineRule="exact"/>
              <w:rPr>
                <w:rFonts w:ascii="宋体" w:hAnsi="宋体"/>
                <w:color w:val="auto"/>
                <w:szCs w:val="21"/>
                <w:highlight w:val="none"/>
              </w:rPr>
            </w:pPr>
            <w:r>
              <w:rPr>
                <w:rFonts w:hint="eastAsia" w:ascii="宋体" w:hAnsi="宋体"/>
                <w:color w:val="auto"/>
                <w:szCs w:val="21"/>
                <w:highlight w:val="none"/>
              </w:rPr>
              <w:t>（一）2024年，中央经济工作会议提出“提升产业链供应链韧性和安全水平”；如需进一步了解详细内容，详见招标文件。</w:t>
            </w:r>
          </w:p>
        </w:tc>
      </w:tr>
    </w:tbl>
    <w:p>
      <w:pPr>
        <w:pStyle w:val="33"/>
        <w:spacing w:line="400" w:lineRule="exact"/>
        <w:rPr>
          <w:color w:val="auto"/>
          <w:highlight w:val="none"/>
        </w:rPr>
      </w:pP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0"/>
        <w:gridCol w:w="1899"/>
        <w:gridCol w:w="963"/>
        <w:gridCol w:w="56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0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分标11，预算金额：16万元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18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标的的名称</w:t>
            </w:r>
          </w:p>
        </w:tc>
        <w:tc>
          <w:tcPr>
            <w:tcW w:w="9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数量及单位</w:t>
            </w:r>
          </w:p>
        </w:tc>
        <w:tc>
          <w:tcPr>
            <w:tcW w:w="5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01</w:t>
            </w:r>
          </w:p>
        </w:tc>
        <w:tc>
          <w:tcPr>
            <w:tcW w:w="18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广西船舶制造业发展路径及对策研究</w:t>
            </w:r>
          </w:p>
        </w:tc>
        <w:tc>
          <w:tcPr>
            <w:tcW w:w="9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1项</w:t>
            </w:r>
          </w:p>
        </w:tc>
        <w:tc>
          <w:tcPr>
            <w:tcW w:w="56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一、立项背景</w:t>
            </w:r>
          </w:p>
          <w:p>
            <w:pPr>
              <w:snapToGrid w:val="0"/>
              <w:spacing w:line="400" w:lineRule="exact"/>
              <w:rPr>
                <w:rFonts w:ascii="宋体" w:hAnsi="宋体"/>
                <w:color w:val="auto"/>
                <w:szCs w:val="21"/>
                <w:highlight w:val="none"/>
              </w:rPr>
            </w:pPr>
            <w:r>
              <w:rPr>
                <w:rFonts w:hint="eastAsia" w:ascii="宋体" w:hAnsi="宋体"/>
                <w:color w:val="auto"/>
                <w:szCs w:val="21"/>
                <w:highlight w:val="none"/>
              </w:rPr>
              <w:t>（一）产业政策支持船舶工业集聚发展。国家层面出台《关于加快内河船舶绿色智能发展的实施意见》《船舶制造业绿色发展行动纲要（2024—2030年）》，自治区层面出台《广西实施新一轮工业振兴三年行动方案》，加快船舶工业产品体系、制造体系、供应链体系建设。如需进一步了解详细内容，详见招标文件。</w:t>
            </w:r>
          </w:p>
        </w:tc>
      </w:tr>
    </w:tbl>
    <w:p>
      <w:pPr>
        <w:pStyle w:val="33"/>
        <w:spacing w:line="400" w:lineRule="exact"/>
        <w:ind w:firstLine="544"/>
        <w:rPr>
          <w:color w:val="auto"/>
          <w:highlight w:val="none"/>
        </w:rPr>
      </w:pP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0"/>
        <w:gridCol w:w="2637"/>
        <w:gridCol w:w="1050"/>
        <w:gridCol w:w="4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12" w:hRule="atLeast"/>
          <w:jc w:val="center"/>
        </w:trPr>
        <w:tc>
          <w:tcPr>
            <w:tcW w:w="90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分标16，预算金额：15万元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26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标的的名称</w:t>
            </w: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数量及单位</w:t>
            </w:r>
          </w:p>
        </w:tc>
        <w:tc>
          <w:tcPr>
            <w:tcW w:w="48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01</w:t>
            </w:r>
          </w:p>
        </w:tc>
        <w:tc>
          <w:tcPr>
            <w:tcW w:w="26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广西电子信息制造业突破发展研究</w:t>
            </w: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1项</w:t>
            </w:r>
          </w:p>
        </w:tc>
        <w:tc>
          <w:tcPr>
            <w:tcW w:w="48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一、立项背景</w:t>
            </w:r>
          </w:p>
          <w:p>
            <w:pPr>
              <w:snapToGrid w:val="0"/>
              <w:spacing w:line="400" w:lineRule="exact"/>
              <w:rPr>
                <w:rFonts w:ascii="宋体" w:hAnsi="宋体"/>
                <w:color w:val="auto"/>
                <w:szCs w:val="21"/>
                <w:highlight w:val="none"/>
              </w:rPr>
            </w:pPr>
            <w:r>
              <w:rPr>
                <w:rFonts w:hint="eastAsia" w:ascii="宋体" w:hAnsi="宋体"/>
                <w:color w:val="auto"/>
                <w:szCs w:val="21"/>
                <w:highlight w:val="none"/>
              </w:rPr>
              <w:t>（一）电子信息制造业是国民经济的战略性、基础性、先导性产业，规模总量大、产业链条长、涉及领域广，是稳定工业经济增长、维护国家政治经济安全的重要领域。2023年，广西电子信息制造业规上工业产值1295.5亿元，同比下降14.8%。计算机、通信和其他电子设备制造业11种重点产品中，8种产品产量同比下降，降幅较多的有：组合音响产量下降近7成，电视接收机顶盒产量下降超5成，路由器、电子元件产量下降超4成。当前，广西电子信息制造业正在面临“瓶颈期”和“阵痛期”，产业亟需转型升级谋求新的增长点和突破口。如需进一步了解详细内容，详见招标文件。</w:t>
            </w:r>
          </w:p>
        </w:tc>
      </w:tr>
    </w:tbl>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最高限价（如有）：</w:t>
      </w:r>
      <w:r>
        <w:rPr>
          <w:rFonts w:hint="eastAsia" w:ascii="宋体" w:hAnsi="宋体"/>
          <w:color w:val="auto"/>
          <w:szCs w:val="21"/>
          <w:highlight w:val="none"/>
          <w:lang w:val="en-US" w:eastAsia="zh-CN"/>
        </w:rPr>
        <w:t>51</w:t>
      </w:r>
      <w:r>
        <w:rPr>
          <w:rFonts w:hint="eastAsia" w:ascii="宋体" w:hAnsi="宋体"/>
          <w:color w:val="auto"/>
          <w:szCs w:val="21"/>
          <w:highlight w:val="none"/>
        </w:rPr>
        <w:t>万元</w:t>
      </w:r>
      <w:r>
        <w:rPr>
          <w:rFonts w:ascii="宋体" w:hAnsi="宋体"/>
          <w:color w:val="auto"/>
          <w:szCs w:val="21"/>
          <w:highlight w:val="none"/>
        </w:rPr>
        <w:t>，</w:t>
      </w:r>
      <w:r>
        <w:rPr>
          <w:rFonts w:hint="eastAsia" w:ascii="宋体" w:hAnsi="宋体"/>
          <w:color w:val="auto"/>
          <w:szCs w:val="21"/>
          <w:highlight w:val="none"/>
        </w:rPr>
        <w:t>其中：分标2为20万元，分标11为16万元，分标16为15万元。</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合同履约期限：</w:t>
      </w:r>
      <w:r>
        <w:rPr>
          <w:rFonts w:hint="eastAsia" w:ascii="宋体" w:hAnsi="宋体" w:cs="宋体"/>
          <w:color w:val="auto"/>
          <w:kern w:val="44"/>
          <w:szCs w:val="21"/>
          <w:highlight w:val="none"/>
        </w:rPr>
        <w:t>详见采购文件</w:t>
      </w:r>
      <w:r>
        <w:rPr>
          <w:rFonts w:hint="eastAsia" w:ascii="宋体" w:hAnsi="宋体" w:cs="Arial"/>
          <w:bCs/>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本标项</w:t>
      </w:r>
      <w:r>
        <w:rPr>
          <w:rFonts w:hint="eastAsia" w:ascii="宋体" w:hAnsi="宋体" w:cs="宋体"/>
          <w:b/>
          <w:bCs/>
          <w:color w:val="auto"/>
          <w:szCs w:val="21"/>
          <w:highlight w:val="none"/>
        </w:rPr>
        <w:t>（是）</w:t>
      </w:r>
      <w:r>
        <w:rPr>
          <w:rFonts w:hint="eastAsia" w:ascii="宋体" w:hAnsi="宋体" w:cs="宋体"/>
          <w:color w:val="auto"/>
          <w:szCs w:val="21"/>
          <w:highlight w:val="none"/>
        </w:rPr>
        <w:t>接受联合体投标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备注：本项目为线上电子招标项目，有意向参与本项目的供应商应当做好参与全流程电子招投标交易的充分准备。</w:t>
      </w:r>
    </w:p>
    <w:p>
      <w:pPr>
        <w:spacing w:line="400" w:lineRule="exact"/>
        <w:rPr>
          <w:rFonts w:ascii="宋体" w:hAnsi="宋体" w:cs="宋体"/>
          <w:b/>
          <w:bCs/>
          <w:color w:val="auto"/>
          <w:szCs w:val="21"/>
          <w:highlight w:val="none"/>
        </w:rPr>
      </w:pPr>
      <w:bookmarkStart w:id="10" w:name="_Toc35393791"/>
      <w:bookmarkStart w:id="11" w:name="_Toc28359003"/>
      <w:bookmarkStart w:id="12" w:name="_Toc28359080"/>
      <w:bookmarkStart w:id="13" w:name="_Toc35393622"/>
      <w:r>
        <w:rPr>
          <w:rFonts w:hint="eastAsia" w:ascii="宋体" w:hAnsi="宋体" w:cs="宋体"/>
          <w:b/>
          <w:bCs/>
          <w:color w:val="auto"/>
          <w:szCs w:val="21"/>
          <w:highlight w:val="none"/>
        </w:rPr>
        <w:t>二、供应商的资格要求：</w:t>
      </w:r>
      <w:bookmarkEnd w:id="10"/>
      <w:bookmarkEnd w:id="11"/>
      <w:bookmarkEnd w:id="12"/>
      <w:bookmarkEnd w:id="13"/>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400" w:lineRule="exact"/>
        <w:ind w:firstLine="420" w:firstLineChars="200"/>
        <w:rPr>
          <w:rFonts w:ascii="宋体" w:hAnsi="宋体" w:cs="宋体"/>
          <w:color w:val="auto"/>
          <w:szCs w:val="21"/>
          <w:highlight w:val="none"/>
        </w:rPr>
      </w:pPr>
      <w:bookmarkStart w:id="14" w:name="_Toc28359004"/>
      <w:bookmarkStart w:id="15" w:name="_Toc28359081"/>
      <w:r>
        <w:rPr>
          <w:rFonts w:hint="eastAsia" w:ascii="宋体" w:hAnsi="宋体" w:cs="宋体"/>
          <w:color w:val="auto"/>
          <w:szCs w:val="21"/>
          <w:highlight w:val="none"/>
        </w:rPr>
        <w:t>2.落实政府采购政策需满足的资格要求：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□专门面向中小企业采购的项目（供应商应为中小微企业、监狱企业、残疾人福利性单位)</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☑非专门面向中小企业采购的项目</w:t>
      </w:r>
    </w:p>
    <w:p>
      <w:pPr>
        <w:spacing w:line="400" w:lineRule="exact"/>
        <w:ind w:firstLine="422" w:firstLineChars="200"/>
        <w:rPr>
          <w:rFonts w:ascii="宋体" w:hAnsi="宋体"/>
          <w:color w:val="auto"/>
          <w:szCs w:val="21"/>
          <w:highlight w:val="none"/>
        </w:rPr>
      </w:pPr>
      <w:r>
        <w:rPr>
          <w:rFonts w:hint="eastAsia" w:ascii="宋体" w:hAnsi="宋体" w:cs="宋体"/>
          <w:b/>
          <w:bCs/>
          <w:color w:val="auto"/>
          <w:szCs w:val="21"/>
          <w:highlight w:val="none"/>
        </w:rPr>
        <w:t>3.本项目的特定资格要求：</w:t>
      </w:r>
      <w:r>
        <w:rPr>
          <w:rFonts w:hint="eastAsia" w:ascii="宋体" w:hAnsi="宋体"/>
          <w:color w:val="auto"/>
          <w:szCs w:val="21"/>
          <w:highlight w:val="none"/>
        </w:rPr>
        <w:t>无。</w:t>
      </w:r>
    </w:p>
    <w:p>
      <w:pPr>
        <w:spacing w:line="400" w:lineRule="exact"/>
        <w:rPr>
          <w:rFonts w:ascii="宋体" w:hAnsi="宋体" w:cs="宋体"/>
          <w:b/>
          <w:bCs/>
          <w:color w:val="auto"/>
          <w:szCs w:val="21"/>
          <w:highlight w:val="none"/>
        </w:rPr>
      </w:pPr>
      <w:bookmarkStart w:id="16" w:name="_Toc35393623"/>
      <w:bookmarkStart w:id="17" w:name="_Toc35393792"/>
      <w:r>
        <w:rPr>
          <w:rFonts w:hint="eastAsia" w:ascii="宋体" w:hAnsi="宋体" w:cs="宋体"/>
          <w:b/>
          <w:bCs/>
          <w:color w:val="auto"/>
          <w:szCs w:val="21"/>
          <w:highlight w:val="none"/>
        </w:rPr>
        <w:t>三、获取招标文件</w:t>
      </w:r>
      <w:bookmarkEnd w:id="14"/>
      <w:bookmarkEnd w:id="15"/>
      <w:bookmarkEnd w:id="16"/>
      <w:bookmarkEnd w:id="17"/>
    </w:p>
    <w:p>
      <w:pPr>
        <w:snapToGrid w:val="0"/>
        <w:spacing w:line="400" w:lineRule="exact"/>
        <w:ind w:firstLine="420" w:firstLineChars="200"/>
        <w:rPr>
          <w:rFonts w:ascii="宋体" w:hAnsi="宋体" w:cs="宋体"/>
          <w:color w:val="auto"/>
          <w:szCs w:val="21"/>
          <w:highlight w:val="none"/>
        </w:rPr>
      </w:pPr>
      <w:bookmarkStart w:id="18" w:name="_Toc28359005"/>
      <w:bookmarkStart w:id="19" w:name="_Toc28359082"/>
      <w:bookmarkStart w:id="20" w:name="_Toc35393793"/>
      <w:bookmarkStart w:id="21" w:name="_Toc35393624"/>
      <w:r>
        <w:rPr>
          <w:rFonts w:hint="eastAsia" w:ascii="宋体" w:hAnsi="宋体" w:cs="宋体"/>
          <w:color w:val="auto"/>
          <w:szCs w:val="21"/>
          <w:highlight w:val="none"/>
        </w:rPr>
        <w:t>时间：2024年</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日至2023年</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日，每天上午00:00至11:59，下午12:00至23:59（北京时间，法定节假日除外）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地点（网站）：</w:t>
      </w:r>
      <w:r>
        <w:rPr>
          <w:rFonts w:ascii="宋体" w:hAnsi="宋体"/>
          <w:color w:val="auto"/>
          <w:szCs w:val="21"/>
          <w:highlight w:val="none"/>
        </w:rPr>
        <w:t>广西政府采购云平台（https://www.gcy.zfcg.gxzf.gov.cn/）</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方式：网上下载。本项目不发放纸质采购文件，供应商可自行在</w:t>
      </w:r>
      <w:r>
        <w:rPr>
          <w:rFonts w:ascii="宋体" w:hAnsi="宋体"/>
          <w:color w:val="auto"/>
          <w:szCs w:val="21"/>
          <w:highlight w:val="none"/>
        </w:rPr>
        <w:t>广西政府采购云平台（https://www.gcy.zfcg.gxzf.gov.cn/）</w:t>
      </w:r>
      <w:r>
        <w:rPr>
          <w:rFonts w:hint="eastAsia" w:ascii="宋体" w:hAnsi="宋体" w:cs="宋体"/>
          <w:color w:val="auto"/>
          <w:szCs w:val="21"/>
          <w:highlight w:val="none"/>
        </w:rPr>
        <w:t xml:space="preserve">下载采购文件(操作路径：登录 </w:t>
      </w:r>
      <w:r>
        <w:rPr>
          <w:rFonts w:ascii="宋体" w:hAnsi="宋体"/>
          <w:color w:val="auto"/>
          <w:szCs w:val="21"/>
          <w:highlight w:val="none"/>
        </w:rPr>
        <w:t>广西政府采购云平台</w:t>
      </w:r>
      <w:r>
        <w:rPr>
          <w:rFonts w:hint="eastAsia" w:ascii="宋体" w:hAnsi="宋体" w:cs="宋体"/>
          <w:color w:val="auto"/>
          <w:szCs w:val="21"/>
          <w:highlight w:val="none"/>
        </w:rPr>
        <w:t>-项目采购-获取采 购文件-找到本项目-点击“申请获取采购文件”) ，电子响应文件制作需要基于</w:t>
      </w:r>
      <w:r>
        <w:rPr>
          <w:rFonts w:ascii="宋体" w:hAnsi="宋体"/>
          <w:color w:val="auto"/>
          <w:szCs w:val="21"/>
          <w:highlight w:val="none"/>
        </w:rPr>
        <w:t>广西政府采购云平台（https://www.gcy.zfcg.gxzf.gov.cn/）</w:t>
      </w:r>
      <w:r>
        <w:rPr>
          <w:rFonts w:hint="eastAsia" w:ascii="宋体" w:hAnsi="宋体" w:cs="宋体"/>
          <w:color w:val="auto"/>
          <w:szCs w:val="21"/>
          <w:highlight w:val="none"/>
        </w:rPr>
        <w:t xml:space="preserve"> 获取的采购文件编制。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售价（元）：0</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四、提交投标文件</w:t>
      </w:r>
      <w:bookmarkEnd w:id="18"/>
      <w:bookmarkEnd w:id="19"/>
      <w:r>
        <w:rPr>
          <w:rFonts w:hint="eastAsia" w:ascii="宋体" w:hAnsi="宋体" w:cs="宋体"/>
          <w:b/>
          <w:bCs/>
          <w:color w:val="auto"/>
          <w:szCs w:val="21"/>
          <w:highlight w:val="none"/>
        </w:rPr>
        <w:t>截止时间、开标时间和地点</w:t>
      </w:r>
      <w:bookmarkEnd w:id="20"/>
      <w:bookmarkEnd w:id="21"/>
    </w:p>
    <w:p>
      <w:pPr>
        <w:widowControl/>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提交投标文件截止时间：2024年</w:t>
      </w:r>
      <w:r>
        <w:rPr>
          <w:rFonts w:hint="eastAsia" w:ascii="宋体" w:hAnsi="宋体" w:cs="宋体"/>
          <w:color w:val="auto"/>
          <w:szCs w:val="21"/>
          <w:highlight w:val="none"/>
          <w:lang w:val="en-US" w:eastAsia="zh-CN"/>
        </w:rPr>
        <w:t>7月24日</w:t>
      </w:r>
      <w:r>
        <w:rPr>
          <w:rFonts w:hint="eastAsia" w:ascii="宋体" w:hAnsi="宋体" w:cs="宋体"/>
          <w:color w:val="auto"/>
          <w:szCs w:val="21"/>
          <w:highlight w:val="none"/>
        </w:rPr>
        <w:t>9时30分（北京时间）</w:t>
      </w:r>
    </w:p>
    <w:p>
      <w:pPr>
        <w:widowControl/>
        <w:spacing w:line="400" w:lineRule="exact"/>
        <w:ind w:firstLine="420" w:firstLineChars="200"/>
        <w:jc w:val="left"/>
        <w:rPr>
          <w:rFonts w:ascii="宋体" w:hAnsi="宋体"/>
          <w:color w:val="auto"/>
          <w:szCs w:val="21"/>
          <w:highlight w:val="none"/>
        </w:rPr>
      </w:pPr>
      <w:r>
        <w:rPr>
          <w:rFonts w:hint="eastAsia" w:ascii="宋体" w:hAnsi="宋体" w:cs="宋体"/>
          <w:color w:val="auto"/>
          <w:szCs w:val="21"/>
          <w:highlight w:val="none"/>
        </w:rPr>
        <w:t>投标地点（网址）：</w:t>
      </w:r>
      <w:r>
        <w:rPr>
          <w:rFonts w:ascii="宋体" w:hAnsi="宋体"/>
          <w:color w:val="auto"/>
          <w:szCs w:val="21"/>
          <w:highlight w:val="none"/>
        </w:rPr>
        <w:t>广西政府采购云平台（https://www.gcy.zfcg.gxzf.gov.cn/）</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注：供应商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w:t>
      </w:r>
      <w:r>
        <w:rPr>
          <w:rFonts w:ascii="宋体" w:hAnsi="宋体"/>
          <w:color w:val="auto"/>
          <w:szCs w:val="21"/>
          <w:highlight w:val="none"/>
        </w:rPr>
        <w:t>广西政府采购云平台</w:t>
      </w:r>
      <w:r>
        <w:rPr>
          <w:rFonts w:hint="eastAsia" w:ascii="宋体" w:hAnsi="宋体"/>
          <w:bCs/>
          <w:color w:val="auto"/>
          <w:szCs w:val="21"/>
          <w:highlight w:val="none"/>
        </w:rPr>
        <w:t>将予以拒收。</w:t>
      </w:r>
    </w:p>
    <w:p>
      <w:pPr>
        <w:pStyle w:val="31"/>
        <w:widowControl/>
        <w:spacing w:before="0" w:after="0" w:line="400" w:lineRule="exact"/>
        <w:ind w:firstLine="420"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开标时间：2024年</w:t>
      </w:r>
      <w:r>
        <w:rPr>
          <w:rFonts w:hint="eastAsia" w:ascii="宋体" w:hAnsi="宋体" w:cs="宋体"/>
          <w:color w:val="auto"/>
          <w:kern w:val="2"/>
          <w:sz w:val="21"/>
          <w:szCs w:val="21"/>
          <w:highlight w:val="none"/>
          <w:lang w:val="en-US" w:eastAsia="zh-CN"/>
        </w:rPr>
        <w:t>7月24日</w:t>
      </w:r>
      <w:r>
        <w:rPr>
          <w:rFonts w:hint="eastAsia" w:ascii="宋体" w:hAnsi="宋体" w:cs="宋体"/>
          <w:color w:val="auto"/>
          <w:kern w:val="2"/>
          <w:sz w:val="21"/>
          <w:szCs w:val="21"/>
          <w:highlight w:val="none"/>
        </w:rPr>
        <w:t xml:space="preserve"> 09:30 </w:t>
      </w:r>
    </w:p>
    <w:p>
      <w:pPr>
        <w:pStyle w:val="31"/>
        <w:widowControl/>
        <w:spacing w:before="0" w:after="0" w:line="400" w:lineRule="exact"/>
        <w:rPr>
          <w:rFonts w:ascii="宋体" w:hAnsi="宋体" w:cs="宋体"/>
          <w:color w:val="auto"/>
          <w:kern w:val="2"/>
          <w:sz w:val="21"/>
          <w:szCs w:val="21"/>
          <w:highlight w:val="none"/>
        </w:rPr>
      </w:pPr>
      <w:r>
        <w:rPr>
          <w:rFonts w:hint="eastAsia" w:ascii="宋体" w:hAnsi="宋体" w:cs="宋体"/>
          <w:color w:val="auto"/>
          <w:kern w:val="2"/>
          <w:sz w:val="21"/>
          <w:szCs w:val="21"/>
          <w:highlight w:val="none"/>
        </w:rPr>
        <w:t>   开标地点：</w:t>
      </w:r>
      <w:r>
        <w:rPr>
          <w:rFonts w:hint="eastAsia" w:ascii="宋体" w:hAnsi="宋体" w:cs="宋体"/>
          <w:color w:val="auto"/>
          <w:spacing w:val="-11"/>
          <w:kern w:val="2"/>
          <w:sz w:val="21"/>
          <w:szCs w:val="21"/>
          <w:highlight w:val="none"/>
        </w:rPr>
        <w:t>本项目将在广西政府采购云平台开标大厅解密、开标</w:t>
      </w:r>
      <w:r>
        <w:rPr>
          <w:rFonts w:hint="eastAsia" w:ascii="宋体" w:hAnsi="宋体" w:cs="宋体"/>
          <w:color w:val="auto"/>
          <w:kern w:val="2"/>
          <w:sz w:val="21"/>
          <w:szCs w:val="21"/>
          <w:highlight w:val="none"/>
        </w:rPr>
        <w:t>（https://www.gcy.zfcg.gxzf.gov.cn/）。</w:t>
      </w:r>
    </w:p>
    <w:p>
      <w:pPr>
        <w:widowControl/>
        <w:spacing w:line="400" w:lineRule="exact"/>
        <w:ind w:firstLine="422" w:firstLineChars="200"/>
        <w:jc w:val="left"/>
        <w:rPr>
          <w:rFonts w:ascii="宋体" w:hAnsi="宋体" w:cs="宋体"/>
          <w:color w:val="auto"/>
          <w:szCs w:val="21"/>
          <w:highlight w:val="none"/>
        </w:rPr>
      </w:pPr>
      <w:r>
        <w:rPr>
          <w:rFonts w:hint="eastAsia" w:ascii="宋体" w:hAnsi="宋体"/>
          <w:b/>
          <w:bCs/>
          <w:color w:val="auto"/>
          <w:szCs w:val="21"/>
          <w:highlight w:val="none"/>
        </w:rPr>
        <w:t>提示：</w:t>
      </w:r>
      <w:r>
        <w:rPr>
          <w:rFonts w:hint="eastAsia" w:ascii="宋体" w:hAnsi="宋体"/>
          <w:color w:val="auto"/>
          <w:szCs w:val="21"/>
          <w:highlight w:val="none"/>
        </w:rPr>
        <w:t>本项目不要求投标供应商到达开标现场，但供应商应派法定代表人或委托代理人准时在线出席电子开评标会议，随时关注开评标进度，如在开评标过程中有电子询标，应在规定的时间内对电子询标函进行澄清回复。</w:t>
      </w:r>
    </w:p>
    <w:p>
      <w:pPr>
        <w:spacing w:line="400" w:lineRule="exact"/>
        <w:rPr>
          <w:rFonts w:ascii="宋体" w:hAnsi="宋体" w:cs="宋体"/>
          <w:b/>
          <w:bCs/>
          <w:color w:val="auto"/>
          <w:szCs w:val="21"/>
          <w:highlight w:val="none"/>
        </w:rPr>
      </w:pPr>
      <w:bookmarkStart w:id="22" w:name="_Toc28359084"/>
      <w:bookmarkStart w:id="23" w:name="_Toc28359007"/>
      <w:bookmarkStart w:id="24" w:name="_Toc35393794"/>
      <w:bookmarkStart w:id="25" w:name="_Toc35393625"/>
      <w:r>
        <w:rPr>
          <w:rFonts w:hint="eastAsia" w:ascii="宋体" w:hAnsi="宋体" w:cs="宋体"/>
          <w:b/>
          <w:bCs/>
          <w:color w:val="auto"/>
          <w:szCs w:val="21"/>
          <w:highlight w:val="none"/>
        </w:rPr>
        <w:t>五、公告期限</w:t>
      </w:r>
      <w:bookmarkEnd w:id="22"/>
      <w:bookmarkEnd w:id="23"/>
      <w:bookmarkEnd w:id="24"/>
      <w:bookmarkEnd w:id="25"/>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六、其他补充事宜</w:t>
      </w:r>
    </w:p>
    <w:p>
      <w:pPr>
        <w:spacing w:line="400" w:lineRule="exact"/>
        <w:ind w:firstLine="315" w:firstLineChars="150"/>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投标保证金：本项目不收取投标保证金</w:t>
      </w:r>
    </w:p>
    <w:p>
      <w:pPr>
        <w:spacing w:line="400" w:lineRule="exact"/>
        <w:ind w:firstLine="315" w:firstLineChars="150"/>
        <w:rPr>
          <w:rFonts w:ascii="宋体" w:hAnsi="宋体" w:cs="宋体"/>
          <w:color w:val="auto"/>
          <w:kern w:val="0"/>
          <w:szCs w:val="21"/>
          <w:highlight w:val="none"/>
        </w:rPr>
      </w:pPr>
      <w:bookmarkStart w:id="26" w:name="_Hlk37429585"/>
      <w:bookmarkStart w:id="27" w:name="_Hlk37429595"/>
      <w:r>
        <w:rPr>
          <w:rFonts w:hint="eastAsia" w:ascii="宋体" w:hAnsi="宋体" w:cs="宋体"/>
          <w:color w:val="auto"/>
          <w:szCs w:val="21"/>
          <w:highlight w:val="none"/>
        </w:rPr>
        <w:t>2、</w:t>
      </w:r>
      <w:r>
        <w:rPr>
          <w:rFonts w:hint="eastAsia" w:ascii="宋体" w:hAnsi="宋体" w:cs="宋体"/>
          <w:color w:val="auto"/>
          <w:kern w:val="0"/>
          <w:szCs w:val="21"/>
          <w:highlight w:val="none"/>
        </w:rPr>
        <w:t>网上查询地址</w:t>
      </w:r>
      <w:bookmarkEnd w:id="26"/>
      <w:bookmarkEnd w:id="27"/>
      <w:bookmarkStart w:id="28" w:name="_Hlk37429674"/>
      <w:r>
        <w:rPr>
          <w:rFonts w:hint="eastAsia" w:ascii="宋体" w:hAnsi="宋体" w:cs="宋体"/>
          <w:color w:val="auto"/>
          <w:kern w:val="0"/>
          <w:szCs w:val="21"/>
          <w:highlight w:val="none"/>
        </w:rPr>
        <w:t>：中国政府采购网（www.ccgp.gov.cn）、广西壮族自治区政府采购网（http://zfcg.gxzf.gov.cn）、https://ygcg.bbwcq.com/（</w:t>
      </w:r>
      <w:r>
        <w:rPr>
          <w:rFonts w:hint="eastAsia" w:ascii="宋体" w:hAnsi="宋体" w:cs="宋体"/>
          <w:color w:val="auto"/>
          <w:kern w:val="0"/>
          <w:szCs w:val="21"/>
          <w:highlight w:val="none"/>
          <w:lang w:val="zh-CN"/>
        </w:rPr>
        <w:t>广西阳光采购服务平台</w:t>
      </w:r>
      <w:r>
        <w:rPr>
          <w:rFonts w:hint="eastAsia" w:ascii="宋体" w:hAnsi="宋体" w:cs="宋体"/>
          <w:color w:val="auto"/>
          <w:kern w:val="0"/>
          <w:szCs w:val="21"/>
          <w:highlight w:val="none"/>
        </w:rPr>
        <w:t>）；http://www.guangxibid.com.cn/（</w:t>
      </w:r>
      <w:r>
        <w:rPr>
          <w:rFonts w:hint="eastAsia" w:ascii="宋体" w:hAnsi="宋体" w:cs="宋体"/>
          <w:color w:val="auto"/>
          <w:kern w:val="0"/>
          <w:szCs w:val="21"/>
          <w:highlight w:val="none"/>
          <w:lang w:val="zh-CN"/>
        </w:rPr>
        <w:t>广西招标网</w:t>
      </w:r>
      <w:r>
        <w:rPr>
          <w:rFonts w:hint="eastAsia" w:ascii="宋体" w:hAnsi="宋体" w:cs="宋体"/>
          <w:color w:val="auto"/>
          <w:kern w:val="0"/>
          <w:szCs w:val="21"/>
          <w:highlight w:val="none"/>
        </w:rPr>
        <w:t>）公开查询。</w:t>
      </w:r>
    </w:p>
    <w:p>
      <w:pPr>
        <w:spacing w:line="40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3、本项目需要落实的政府采购政策：</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（6）扶持不发达地区和少数民族地区政策。</w:t>
      </w:r>
    </w:p>
    <w:bookmarkEnd w:id="28"/>
    <w:p>
      <w:pPr>
        <w:snapToGrid w:val="0"/>
        <w:spacing w:line="40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4、</w:t>
      </w:r>
      <w:r>
        <w:rPr>
          <w:rFonts w:hint="eastAsia" w:ascii="宋体" w:hAnsi="宋体" w:cs="宋体"/>
          <w:bCs/>
          <w:color w:val="auto"/>
          <w:szCs w:val="21"/>
          <w:highlight w:val="none"/>
        </w:rPr>
        <w:t>根据《〈政府采购法实施条例〉释义》，银行、保险、石油石化、电力、电信等有行业特殊情况的，取得营业执照的分支机构可以分公司名义参与投标，采购文件中涉及的“法定代表人”在前述特殊行业中即对应为“分支机构负责人”。</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kern w:val="0"/>
          <w:szCs w:val="21"/>
          <w:highlight w:val="none"/>
        </w:rPr>
        <w:t>5、</w:t>
      </w:r>
      <w:r>
        <w:rPr>
          <w:rFonts w:hint="eastAsia" w:ascii="宋体" w:hAnsi="宋体" w:cs="宋体"/>
          <w:color w:val="auto"/>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7、</w:t>
      </w:r>
      <w:r>
        <w:rPr>
          <w:rFonts w:hint="eastAsia" w:ascii="宋体" w:hAnsi="宋体" w:cs="宋体"/>
          <w:color w:val="auto"/>
          <w:kern w:val="0"/>
          <w:szCs w:val="21"/>
          <w:highlight w:val="none"/>
        </w:rPr>
        <w:t>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8、</w:t>
      </w:r>
      <w:r>
        <w:rPr>
          <w:rFonts w:hint="eastAsia" w:ascii="宋体" w:hAnsi="宋体" w:cs="宋体"/>
          <w:b/>
          <w:bCs/>
          <w:color w:val="auto"/>
          <w:kern w:val="0"/>
          <w:szCs w:val="21"/>
          <w:highlight w:val="none"/>
        </w:rPr>
        <w:t>供应商</w:t>
      </w:r>
      <w:r>
        <w:rPr>
          <w:rFonts w:hint="eastAsia" w:ascii="宋体" w:hAnsi="宋体"/>
          <w:b/>
          <w:bCs/>
          <w:color w:val="auto"/>
          <w:szCs w:val="21"/>
          <w:highlight w:val="none"/>
        </w:rPr>
        <w:t>投标注意事项</w:t>
      </w:r>
    </w:p>
    <w:p>
      <w:pPr>
        <w:spacing w:line="400" w:lineRule="exact"/>
        <w:rPr>
          <w:rStyle w:val="131"/>
          <w:rFonts w:hint="eastAsia" w:ascii="宋体" w:hAnsi="宋体" w:eastAsia="宋体" w:cs="宋体"/>
          <w:color w:val="auto"/>
          <w:szCs w:val="21"/>
          <w:highlight w:val="none"/>
          <w:lang w:eastAsia="zh-CN"/>
        </w:rPr>
      </w:pPr>
      <w:r>
        <w:rPr>
          <w:rFonts w:hint="eastAsia" w:ascii="宋体" w:hAnsi="宋体"/>
          <w:color w:val="auto"/>
          <w:szCs w:val="21"/>
          <w:highlight w:val="none"/>
        </w:rPr>
        <w:t>（1）</w:t>
      </w:r>
      <w:bookmarkStart w:id="29" w:name="_Toc35393796"/>
      <w:bookmarkStart w:id="30" w:name="_Toc35393627"/>
      <w:bookmarkStart w:id="31" w:name="_Toc28359085"/>
      <w:bookmarkStart w:id="32" w:name="_Toc28359008"/>
      <w:r>
        <w:rPr>
          <w:rStyle w:val="131"/>
          <w:rFonts w:hint="eastAsia" w:ascii="宋体" w:hAnsi="宋体" w:cs="宋体"/>
          <w:color w:val="auto"/>
          <w:szCs w:val="21"/>
          <w:highlight w:val="none"/>
        </w:rPr>
        <w:t>本项目实行电子投标，供应商应按照本项目招标文件和</w:t>
      </w:r>
      <w:r>
        <w:rPr>
          <w:rFonts w:ascii="宋体" w:hAnsi="宋体"/>
          <w:color w:val="auto"/>
          <w:szCs w:val="21"/>
          <w:highlight w:val="none"/>
        </w:rPr>
        <w:t>广西政府采购云平台</w:t>
      </w:r>
      <w:r>
        <w:rPr>
          <w:rStyle w:val="131"/>
          <w:rFonts w:hint="eastAsia" w:ascii="宋体" w:hAnsi="宋体" w:cs="宋体"/>
          <w:color w:val="auto"/>
          <w:szCs w:val="21"/>
          <w:highlight w:val="none"/>
        </w:rPr>
        <w:t>的要求编制、加密并提交投标文件。供应商在使用系统参与投标过程中遇到涉及平台使用的任何问题，可登录</w:t>
      </w:r>
      <w:r>
        <w:rPr>
          <w:rFonts w:ascii="宋体" w:hAnsi="宋体"/>
          <w:color w:val="auto"/>
          <w:szCs w:val="21"/>
          <w:highlight w:val="none"/>
        </w:rPr>
        <w:t>广西政府采购云平台（https://www.gcy.zfcg.gxzf.gov.cn/）</w:t>
      </w:r>
      <w:r>
        <w:rPr>
          <w:rStyle w:val="131"/>
          <w:rFonts w:hint="eastAsia" w:ascii="宋体" w:hAnsi="宋体" w:cs="宋体"/>
          <w:color w:val="auto"/>
          <w:szCs w:val="21"/>
          <w:highlight w:val="none"/>
        </w:rPr>
        <w:t>，点击右侧咨询小采，获取采小蜜智能服务管家帮助，或拨打</w:t>
      </w:r>
      <w:r>
        <w:rPr>
          <w:rFonts w:ascii="宋体" w:hAnsi="宋体"/>
          <w:color w:val="auto"/>
          <w:szCs w:val="21"/>
          <w:highlight w:val="none"/>
        </w:rPr>
        <w:t>广西政府采购云平台</w:t>
      </w:r>
      <w:r>
        <w:rPr>
          <w:rStyle w:val="131"/>
          <w:rFonts w:hint="eastAsia" w:ascii="宋体" w:hAnsi="宋体" w:cs="宋体"/>
          <w:color w:val="auto"/>
          <w:szCs w:val="21"/>
          <w:highlight w:val="none"/>
        </w:rPr>
        <w:t>服务热线400-881-7190获取热线服务帮助。</w:t>
      </w:r>
      <w:r>
        <w:rPr>
          <w:rFonts w:hint="eastAsia" w:ascii="宋体" w:hAnsi="宋体"/>
          <w:b/>
          <w:color w:val="auto"/>
          <w:szCs w:val="21"/>
          <w:highlight w:val="none"/>
        </w:rPr>
        <w:t>供应商在广西政府采购云平台提交电子投标文件时，请正确填写参加远程开标活动经办人联系方式。</w:t>
      </w:r>
    </w:p>
    <w:p>
      <w:pPr>
        <w:spacing w:line="400" w:lineRule="exact"/>
        <w:rPr>
          <w:rStyle w:val="131"/>
          <w:rFonts w:hint="eastAsia" w:ascii="宋体" w:hAnsi="宋体" w:eastAsia="宋体" w:cs="宋体"/>
          <w:color w:val="auto"/>
          <w:szCs w:val="21"/>
          <w:highlight w:val="none"/>
          <w:lang w:eastAsia="zh-CN"/>
        </w:rPr>
      </w:pPr>
      <w:r>
        <w:rPr>
          <w:rStyle w:val="131"/>
          <w:rFonts w:hint="eastAsia" w:ascii="宋体" w:hAnsi="宋体" w:cs="宋体"/>
          <w:color w:val="auto"/>
          <w:szCs w:val="21"/>
          <w:highlight w:val="none"/>
        </w:rPr>
        <w:t>（2）供应商应及时熟悉掌握电子标系统操作指南（见</w:t>
      </w:r>
      <w:r>
        <w:rPr>
          <w:rFonts w:ascii="宋体" w:hAnsi="宋体"/>
          <w:color w:val="auto"/>
          <w:szCs w:val="21"/>
          <w:highlight w:val="none"/>
        </w:rPr>
        <w:t>广西政府采购云</w:t>
      </w:r>
      <w:r>
        <w:rPr>
          <w:rStyle w:val="131"/>
          <w:rFonts w:hint="eastAsia" w:ascii="宋体" w:hAnsi="宋体" w:cs="宋体"/>
          <w:color w:val="auto"/>
          <w:szCs w:val="21"/>
          <w:highlight w:val="none"/>
        </w:rPr>
        <w:t>电子卖场首页右上角—服务中心—帮助文档—项目采购）：https://service.zcygov.cn/#/knowledges/tree?tag=AG1DtGwBFdiHxlNdhY0r。</w:t>
      </w:r>
    </w:p>
    <w:p>
      <w:pPr>
        <w:spacing w:line="400" w:lineRule="exact"/>
        <w:rPr>
          <w:rStyle w:val="131"/>
          <w:rFonts w:hint="eastAsia" w:ascii="宋体" w:hAnsi="宋体" w:eastAsia="宋体" w:cs="宋体"/>
          <w:color w:val="auto"/>
          <w:szCs w:val="21"/>
          <w:highlight w:val="none"/>
          <w:lang w:eastAsia="zh-CN"/>
        </w:rPr>
      </w:pPr>
      <w:r>
        <w:rPr>
          <w:rStyle w:val="131"/>
          <w:rFonts w:hint="eastAsia" w:ascii="宋体" w:hAnsi="宋体" w:cs="宋体"/>
          <w:color w:val="auto"/>
          <w:szCs w:val="21"/>
          <w:highlight w:val="none"/>
        </w:rPr>
        <w:t>（3）供应商应及时完成CA申领和绑定（见广西壮族自治区政府采购网—办事服务—下载专区－政采云CA证书办理操作指南）。</w:t>
      </w:r>
    </w:p>
    <w:p>
      <w:pPr>
        <w:spacing w:line="400" w:lineRule="exact"/>
        <w:rPr>
          <w:rStyle w:val="131"/>
          <w:rFonts w:hint="eastAsia" w:ascii="宋体" w:hAnsi="宋体" w:eastAsia="宋体" w:cs="宋体"/>
          <w:color w:val="auto"/>
          <w:szCs w:val="21"/>
          <w:highlight w:val="none"/>
          <w:lang w:eastAsia="zh-CN"/>
        </w:rPr>
      </w:pPr>
      <w:r>
        <w:rPr>
          <w:rStyle w:val="131"/>
          <w:rFonts w:hint="eastAsia" w:ascii="宋体" w:hAnsi="宋体" w:cs="宋体"/>
          <w:color w:val="auto"/>
          <w:szCs w:val="21"/>
          <w:highlight w:val="none"/>
        </w:rPr>
        <w:t>（4）供应商通过政采云投标客户端软件制作投标文件，政采云投标客户端软件请供应商自行前往下载并安装（见广西壮族自治区政府采购网—办事服务—下载专区－广西壮族自治区全流程电子招投标项目管理系统－－供应商客户端）。</w:t>
      </w:r>
    </w:p>
    <w:p>
      <w:pPr>
        <w:spacing w:line="400" w:lineRule="exact"/>
        <w:rPr>
          <w:rStyle w:val="131"/>
          <w:rFonts w:hint="eastAsia" w:ascii="宋体" w:hAnsi="宋体" w:eastAsia="宋体" w:cs="宋体"/>
          <w:color w:val="auto"/>
          <w:szCs w:val="21"/>
          <w:highlight w:val="none"/>
          <w:lang w:eastAsia="zh-CN"/>
        </w:rPr>
      </w:pPr>
      <w:r>
        <w:rPr>
          <w:rStyle w:val="131"/>
          <w:rFonts w:hint="eastAsia" w:ascii="宋体" w:hAnsi="宋体" w:cs="宋体"/>
          <w:color w:val="auto"/>
          <w:szCs w:val="21"/>
          <w:highlight w:val="none"/>
        </w:rPr>
        <w:t>（5）因未注册入库、未办理CA数字证书、CA证书故障、操作不当等原因造成无法投标或投标失败等后果由供应商自行承担。</w:t>
      </w:r>
    </w:p>
    <w:p>
      <w:pPr>
        <w:spacing w:line="400" w:lineRule="exact"/>
        <w:rPr>
          <w:rStyle w:val="131"/>
          <w:rFonts w:ascii="宋体" w:hAnsi="宋体" w:cs="宋体"/>
          <w:color w:val="auto"/>
          <w:szCs w:val="21"/>
          <w:highlight w:val="none"/>
        </w:rPr>
      </w:pPr>
      <w:r>
        <w:rPr>
          <w:rStyle w:val="131"/>
          <w:rFonts w:hint="eastAsia" w:ascii="宋体" w:hAnsi="宋体" w:cs="宋体"/>
          <w:color w:val="auto"/>
          <w:szCs w:val="21"/>
          <w:highlight w:val="none"/>
        </w:rPr>
        <w:t>（6）投标文件网上提交截止后，政采云（电子标系统）自动提取所有投标文件，各供应商须在开标开始后30分钟内对上传政采云的投标文件进行解密，所有供应商在规定的解密时限内解密完成或解密时限结束后，采购人或采购代理机构将开启投标文件；供应商超过解密时限的，系统默认自动放弃。</w:t>
      </w:r>
    </w:p>
    <w:p>
      <w:pPr>
        <w:spacing w:line="400" w:lineRule="exact"/>
        <w:ind w:firstLine="420" w:firstLineChars="200"/>
        <w:rPr>
          <w:rStyle w:val="131"/>
          <w:rFonts w:ascii="宋体" w:hAnsi="宋体" w:cs="宋体"/>
          <w:color w:val="auto"/>
          <w:szCs w:val="21"/>
          <w:highlight w:val="none"/>
        </w:rPr>
      </w:pPr>
      <w:r>
        <w:rPr>
          <w:rStyle w:val="131"/>
          <w:rFonts w:hint="eastAsia" w:ascii="宋体" w:hAnsi="宋体" w:cs="宋体"/>
          <w:color w:val="auto"/>
          <w:szCs w:val="21"/>
          <w:highlight w:val="none"/>
        </w:rPr>
        <w:t>注：为确保网上操作合法、有效和安全，请供应商确保在电子投标过程中能够对相关数据电文进行加密和使用电子签章，妥善保管CA数字证书并使用有效的CA数字证书参与整个招标活动。</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七、对本次招标提出询问，请按以下方式联系。</w:t>
      </w:r>
      <w:bookmarkEnd w:id="29"/>
      <w:bookmarkEnd w:id="30"/>
      <w:bookmarkEnd w:id="31"/>
      <w:bookmarkEnd w:id="32"/>
    </w:p>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　　　1.采购人信息</w:t>
      </w:r>
    </w:p>
    <w:p>
      <w:pPr>
        <w:spacing w:line="400" w:lineRule="exact"/>
        <w:ind w:left="1041" w:leftChars="371" w:hanging="262" w:hangingChars="125"/>
        <w:jc w:val="left"/>
        <w:rPr>
          <w:rFonts w:ascii="宋体" w:hAnsi="宋体" w:cs="宋体"/>
          <w:color w:val="auto"/>
          <w:szCs w:val="21"/>
          <w:highlight w:val="none"/>
        </w:rPr>
      </w:pPr>
      <w:r>
        <w:rPr>
          <w:rFonts w:hint="eastAsia" w:ascii="宋体" w:hAnsi="宋体" w:cs="宋体"/>
          <w:color w:val="auto"/>
          <w:szCs w:val="21"/>
          <w:highlight w:val="none"/>
        </w:rPr>
        <w:t>名 称：广西壮族自治区工业和信息化厅</w:t>
      </w:r>
    </w:p>
    <w:p>
      <w:pPr>
        <w:spacing w:line="400" w:lineRule="exact"/>
        <w:ind w:left="1041" w:leftChars="371" w:hanging="262" w:hangingChars="125"/>
        <w:jc w:val="left"/>
        <w:rPr>
          <w:rFonts w:ascii="宋体" w:hAnsi="宋体" w:cs="宋体"/>
          <w:color w:val="auto"/>
          <w:szCs w:val="21"/>
          <w:highlight w:val="none"/>
        </w:rPr>
      </w:pPr>
      <w:r>
        <w:rPr>
          <w:rFonts w:hint="eastAsia" w:ascii="宋体" w:hAnsi="宋体" w:cs="宋体"/>
          <w:color w:val="auto"/>
          <w:szCs w:val="21"/>
          <w:highlight w:val="none"/>
        </w:rPr>
        <w:t>地址：广西南宁市民族大道113号</w:t>
      </w:r>
    </w:p>
    <w:p>
      <w:pPr>
        <w:pStyle w:val="18"/>
        <w:spacing w:line="400" w:lineRule="exact"/>
        <w:ind w:firstLine="735" w:firstLineChars="350"/>
        <w:rPr>
          <w:rFonts w:hAnsi="宋体" w:cs="宋体"/>
          <w:color w:val="auto"/>
          <w:szCs w:val="21"/>
          <w:highlight w:val="none"/>
        </w:rPr>
      </w:pPr>
      <w:r>
        <w:rPr>
          <w:rFonts w:hint="eastAsia" w:hAnsi="宋体" w:cs="宋体"/>
          <w:color w:val="auto"/>
          <w:szCs w:val="21"/>
          <w:highlight w:val="none"/>
        </w:rPr>
        <w:t>项目联系人：邱泽超    联系电话：0771-8095215</w:t>
      </w:r>
    </w:p>
    <w:p>
      <w:pPr>
        <w:spacing w:line="400" w:lineRule="exact"/>
        <w:ind w:left="1041" w:leftChars="371" w:hanging="262" w:hangingChars="125"/>
        <w:jc w:val="left"/>
        <w:rPr>
          <w:rFonts w:ascii="宋体" w:hAnsi="宋体" w:cs="宋体"/>
          <w:color w:val="auto"/>
          <w:szCs w:val="21"/>
          <w:highlight w:val="none"/>
        </w:rPr>
      </w:pPr>
      <w:r>
        <w:rPr>
          <w:rFonts w:hint="eastAsia" w:ascii="宋体" w:hAnsi="宋体" w:cs="宋体"/>
          <w:color w:val="auto"/>
          <w:szCs w:val="21"/>
          <w:highlight w:val="none"/>
        </w:rPr>
        <w:t>2.采购代理机构信息</w:t>
      </w:r>
    </w:p>
    <w:p>
      <w:pPr>
        <w:spacing w:line="400" w:lineRule="exact"/>
        <w:ind w:firstLine="735" w:firstLineChars="350"/>
        <w:rPr>
          <w:rFonts w:ascii="宋体" w:hAnsi="宋体" w:cs="宋体"/>
          <w:color w:val="auto"/>
          <w:szCs w:val="21"/>
          <w:highlight w:val="none"/>
        </w:rPr>
      </w:pPr>
      <w:r>
        <w:rPr>
          <w:rFonts w:hint="eastAsia" w:ascii="宋体" w:hAnsi="宋体" w:cs="宋体"/>
          <w:color w:val="auto"/>
          <w:szCs w:val="21"/>
          <w:highlight w:val="none"/>
        </w:rPr>
        <w:t>名 称：</w:t>
      </w:r>
      <w:bookmarkStart w:id="33" w:name="PO_3000001866_PM031_1"/>
      <w:r>
        <w:rPr>
          <w:rFonts w:hint="eastAsia" w:ascii="宋体" w:hAnsi="宋体" w:cs="宋体"/>
          <w:color w:val="auto"/>
          <w:szCs w:val="21"/>
          <w:highlight w:val="none"/>
        </w:rPr>
        <w:t>广西建设工程机电设备招标中心有限公司</w:t>
      </w:r>
      <w:bookmarkEnd w:id="33"/>
    </w:p>
    <w:p>
      <w:pPr>
        <w:spacing w:line="400" w:lineRule="exact"/>
        <w:ind w:firstLine="735" w:firstLineChars="350"/>
        <w:rPr>
          <w:rFonts w:ascii="宋体" w:hAnsi="宋体"/>
          <w:color w:val="auto"/>
          <w:szCs w:val="21"/>
          <w:highlight w:val="none"/>
        </w:rPr>
      </w:pPr>
      <w:r>
        <w:rPr>
          <w:rFonts w:hint="eastAsia" w:ascii="宋体" w:hAnsi="宋体" w:cs="宋体"/>
          <w:color w:val="auto"/>
          <w:szCs w:val="21"/>
          <w:highlight w:val="none"/>
        </w:rPr>
        <w:t>地　址：</w:t>
      </w:r>
      <w:r>
        <w:rPr>
          <w:rFonts w:hint="eastAsia" w:ascii="宋体" w:hAnsi="宋体"/>
          <w:color w:val="auto"/>
          <w:szCs w:val="21"/>
          <w:highlight w:val="none"/>
        </w:rPr>
        <w:t>广西南宁市良庆区凯旋路15号南宁绿地中心5号楼6-7层</w:t>
      </w:r>
    </w:p>
    <w:p>
      <w:pPr>
        <w:spacing w:line="400" w:lineRule="exact"/>
        <w:ind w:firstLine="735" w:firstLineChars="350"/>
        <w:rPr>
          <w:rFonts w:ascii="宋体" w:hAnsi="宋体" w:cs="宋体"/>
          <w:color w:val="auto"/>
          <w:szCs w:val="21"/>
          <w:highlight w:val="none"/>
        </w:rPr>
      </w:pPr>
      <w:r>
        <w:rPr>
          <w:rFonts w:hint="eastAsia" w:ascii="宋体" w:hAnsi="宋体" w:cs="宋体"/>
          <w:color w:val="auto"/>
          <w:szCs w:val="21"/>
          <w:highlight w:val="none"/>
        </w:rPr>
        <w:t>联系电话：</w:t>
      </w:r>
      <w:bookmarkStart w:id="34" w:name="PO_3000001866_PM033"/>
      <w:r>
        <w:rPr>
          <w:rFonts w:hint="eastAsia" w:ascii="宋体" w:hAnsi="宋体" w:cs="宋体"/>
          <w:color w:val="auto"/>
          <w:szCs w:val="21"/>
          <w:highlight w:val="none"/>
        </w:rPr>
        <w:t>0771-</w:t>
      </w:r>
      <w:bookmarkEnd w:id="34"/>
      <w:r>
        <w:rPr>
          <w:rFonts w:hint="eastAsia" w:ascii="宋体" w:hAnsi="宋体" w:cs="宋体"/>
          <w:color w:val="auto"/>
          <w:szCs w:val="21"/>
          <w:highlight w:val="none"/>
        </w:rPr>
        <w:t>2821389</w:t>
      </w:r>
    </w:p>
    <w:p>
      <w:pPr>
        <w:spacing w:line="400" w:lineRule="exact"/>
        <w:ind w:firstLine="735" w:firstLineChars="350"/>
        <w:rPr>
          <w:rFonts w:ascii="宋体" w:hAnsi="宋体" w:cs="宋体"/>
          <w:color w:val="auto"/>
          <w:szCs w:val="21"/>
          <w:highlight w:val="none"/>
        </w:rPr>
      </w:pPr>
      <w:r>
        <w:rPr>
          <w:rFonts w:hint="eastAsia" w:ascii="宋体" w:hAnsi="宋体" w:cs="宋体"/>
          <w:color w:val="auto"/>
          <w:szCs w:val="21"/>
          <w:highlight w:val="none"/>
        </w:rPr>
        <w:t>3.项目联系方式</w:t>
      </w:r>
    </w:p>
    <w:p>
      <w:pPr>
        <w:spacing w:line="400" w:lineRule="exact"/>
        <w:ind w:firstLine="735" w:firstLineChars="350"/>
        <w:rPr>
          <w:rFonts w:ascii="宋体" w:hAnsi="宋体" w:cs="宋体"/>
          <w:color w:val="auto"/>
          <w:szCs w:val="21"/>
          <w:highlight w:val="none"/>
        </w:rPr>
      </w:pPr>
      <w:r>
        <w:rPr>
          <w:rFonts w:hint="eastAsia" w:ascii="宋体" w:hAnsi="宋体" w:cs="宋体"/>
          <w:color w:val="auto"/>
          <w:szCs w:val="21"/>
          <w:highlight w:val="none"/>
        </w:rPr>
        <w:t xml:space="preserve">项目联系人：陆宏宾、刘雅婷、谭琦辉           电    话： 0771-2821389  </w:t>
      </w:r>
    </w:p>
    <w:p>
      <w:pPr>
        <w:spacing w:line="400" w:lineRule="exact"/>
        <w:ind w:firstLine="5460" w:firstLineChars="2600"/>
        <w:rPr>
          <w:rFonts w:ascii="宋体" w:hAnsi="宋体" w:cs="宋体"/>
          <w:color w:val="auto"/>
          <w:szCs w:val="21"/>
          <w:highlight w:val="none"/>
        </w:rPr>
      </w:pPr>
      <w:bookmarkStart w:id="35" w:name="PO_3000001866_PM031_2"/>
    </w:p>
    <w:p>
      <w:pPr>
        <w:spacing w:line="400" w:lineRule="exact"/>
        <w:ind w:firstLine="5460" w:firstLineChars="2600"/>
        <w:rPr>
          <w:rFonts w:ascii="宋体" w:hAnsi="宋体"/>
          <w:color w:val="auto"/>
          <w:szCs w:val="21"/>
          <w:highlight w:val="none"/>
        </w:rPr>
      </w:pPr>
      <w:r>
        <w:rPr>
          <w:rFonts w:hint="eastAsia" w:ascii="宋体" w:hAnsi="宋体" w:cs="宋体"/>
          <w:color w:val="auto"/>
          <w:szCs w:val="21"/>
          <w:highlight w:val="none"/>
        </w:rPr>
        <w:t>广西建设工程机电设备招标中心有</w:t>
      </w:r>
      <w:r>
        <w:rPr>
          <w:rFonts w:hint="eastAsia" w:ascii="宋体" w:hAnsi="宋体"/>
          <w:color w:val="auto"/>
          <w:szCs w:val="21"/>
          <w:highlight w:val="none"/>
        </w:rPr>
        <w:t>限公司</w:t>
      </w:r>
      <w:bookmarkEnd w:id="35"/>
    </w:p>
    <w:p>
      <w:pPr>
        <w:spacing w:line="400" w:lineRule="exact"/>
        <w:ind w:firstLine="210" w:firstLineChars="100"/>
        <w:jc w:val="right"/>
        <w:rPr>
          <w:rFonts w:ascii="宋体" w:hAnsi="宋体"/>
          <w:color w:val="auto"/>
          <w:highlight w:val="none"/>
        </w:rPr>
      </w:pP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2024年</w:t>
      </w:r>
      <w:r>
        <w:rPr>
          <w:rFonts w:hint="eastAsia" w:ascii="宋体" w:hAnsi="宋体"/>
          <w:color w:val="auto"/>
          <w:szCs w:val="21"/>
          <w:highlight w:val="none"/>
          <w:lang w:val="en-US" w:eastAsia="zh-CN"/>
        </w:rPr>
        <w:t>7</w:t>
      </w:r>
      <w:r>
        <w:rPr>
          <w:rFonts w:hint="eastAsia" w:ascii="宋体" w:hAnsi="宋体"/>
          <w:color w:val="auto"/>
          <w:szCs w:val="21"/>
          <w:highlight w:val="none"/>
        </w:rPr>
        <w:t>月</w:t>
      </w:r>
      <w:r>
        <w:rPr>
          <w:rFonts w:hint="eastAsia" w:ascii="宋体" w:hAnsi="宋体"/>
          <w:color w:val="auto"/>
          <w:szCs w:val="21"/>
          <w:highlight w:val="none"/>
          <w:lang w:val="en-US" w:eastAsia="zh-CN"/>
        </w:rPr>
        <w:t>3</w:t>
      </w:r>
      <w:r>
        <w:rPr>
          <w:rFonts w:hint="eastAsia" w:ascii="宋体" w:hAnsi="宋体"/>
          <w:color w:val="auto"/>
          <w:szCs w:val="21"/>
          <w:highlight w:val="none"/>
        </w:rPr>
        <w:t>日</w:t>
      </w:r>
    </w:p>
    <w:p>
      <w:pPr>
        <w:snapToGrid w:val="0"/>
        <w:spacing w:line="400" w:lineRule="exact"/>
        <w:ind w:firstLine="420"/>
        <w:rPr>
          <w:rFonts w:ascii="宋体" w:hAnsi="宋体" w:cs="宋体"/>
          <w:color w:val="auto"/>
          <w:sz w:val="24"/>
          <w:highlight w:val="none"/>
          <w:lang w:val="zh-CN"/>
        </w:rPr>
        <w:sectPr>
          <w:pgSz w:w="11906" w:h="16838"/>
          <w:pgMar w:top="1134" w:right="1134" w:bottom="1134" w:left="1134" w:header="720" w:footer="720" w:gutter="0"/>
          <w:pgNumType w:start="1"/>
          <w:cols w:space="720" w:num="1"/>
          <w:docGrid w:type="lines" w:linePitch="331" w:charSpace="0"/>
        </w:sectPr>
      </w:pPr>
    </w:p>
    <w:p>
      <w:pPr>
        <w:pStyle w:val="18"/>
        <w:jc w:val="center"/>
        <w:outlineLvl w:val="0"/>
        <w:rPr>
          <w:rFonts w:ascii="Times New Roman" w:hAnsi="Times New Roman"/>
          <w:b/>
          <w:color w:val="auto"/>
          <w:sz w:val="36"/>
          <w:highlight w:val="none"/>
        </w:rPr>
      </w:pPr>
      <w:bookmarkStart w:id="36" w:name="_Toc532545042"/>
      <w:bookmarkStart w:id="37" w:name="_Toc80092991"/>
      <w:r>
        <w:rPr>
          <w:rFonts w:hint="eastAsia" w:ascii="Times New Roman" w:hAnsi="Times New Roman"/>
          <w:b/>
          <w:color w:val="auto"/>
          <w:sz w:val="36"/>
          <w:highlight w:val="none"/>
        </w:rPr>
        <w:t>第二章</w:t>
      </w:r>
      <w:r>
        <w:rPr>
          <w:rFonts w:ascii="Times New Roman" w:hAnsi="Times New Roman"/>
          <w:b/>
          <w:color w:val="auto"/>
          <w:sz w:val="36"/>
          <w:highlight w:val="none"/>
        </w:rPr>
        <w:t xml:space="preserve">  </w:t>
      </w:r>
      <w:bookmarkEnd w:id="36"/>
      <w:r>
        <w:rPr>
          <w:rFonts w:hint="eastAsia" w:ascii="Times New Roman" w:hAnsi="Times New Roman"/>
          <w:b/>
          <w:color w:val="auto"/>
          <w:sz w:val="36"/>
          <w:highlight w:val="none"/>
        </w:rPr>
        <w:t>采购需求</w:t>
      </w:r>
      <w:bookmarkEnd w:id="37"/>
    </w:p>
    <w:p>
      <w:pPr>
        <w:spacing w:line="420" w:lineRule="exact"/>
        <w:jc w:val="left"/>
        <w:rPr>
          <w:rFonts w:ascii="宋体" w:hAnsi="宋体" w:cs="宋体"/>
          <w:b/>
          <w:color w:val="auto"/>
          <w:szCs w:val="21"/>
          <w:highlight w:val="none"/>
        </w:rPr>
      </w:pPr>
      <w:bookmarkStart w:id="38" w:name="_Toc254970490"/>
      <w:bookmarkStart w:id="39" w:name="_Toc254970631"/>
      <w:bookmarkStart w:id="40" w:name="PO_TDCUS_ITEM_PB_REQ_FILE_1_1"/>
      <w:r>
        <w:rPr>
          <w:rFonts w:hint="eastAsia" w:ascii="宋体" w:hAnsi="宋体" w:cs="宋体"/>
          <w:b/>
          <w:color w:val="auto"/>
          <w:szCs w:val="21"/>
          <w:highlight w:val="none"/>
        </w:rPr>
        <w:t>说明：</w:t>
      </w:r>
    </w:p>
    <w:p>
      <w:pPr>
        <w:tabs>
          <w:tab w:val="left" w:pos="1620"/>
        </w:tabs>
        <w:spacing w:line="440" w:lineRule="exact"/>
        <w:ind w:firstLine="420" w:firstLineChars="200"/>
        <w:jc w:val="left"/>
        <w:rPr>
          <w:rFonts w:ascii="宋体" w:cs="Arial"/>
          <w:color w:val="auto"/>
          <w:kern w:val="0"/>
          <w:szCs w:val="21"/>
          <w:highlight w:val="none"/>
        </w:rPr>
      </w:pPr>
      <w:r>
        <w:rPr>
          <w:rFonts w:ascii="宋体" w:hAnsi="宋体" w:cs="Arial"/>
          <w:color w:val="auto"/>
          <w:kern w:val="0"/>
          <w:szCs w:val="21"/>
          <w:highlight w:val="none"/>
        </w:rPr>
        <w:t>1.</w:t>
      </w:r>
      <w:r>
        <w:rPr>
          <w:rFonts w:hint="eastAsia" w:ascii="宋体" w:hAnsi="宋体" w:cs="Arial"/>
          <w:color w:val="auto"/>
          <w:kern w:val="0"/>
          <w:szCs w:val="21"/>
          <w:highlight w:val="none"/>
        </w:rPr>
        <w:t>“实质性要求”是指采购需求中带“▲”的条款或者不能负偏离的条款或者已经指明不满足按响应文件作无效处理的条款。</w:t>
      </w:r>
    </w:p>
    <w:p>
      <w:pPr>
        <w:tabs>
          <w:tab w:val="left" w:pos="1620"/>
        </w:tabs>
        <w:spacing w:line="440" w:lineRule="exact"/>
        <w:ind w:firstLine="420" w:firstLineChars="200"/>
        <w:jc w:val="left"/>
        <w:rPr>
          <w:rFonts w:ascii="宋体" w:cs="Arial"/>
          <w:color w:val="auto"/>
          <w:kern w:val="0"/>
          <w:szCs w:val="21"/>
          <w:highlight w:val="none"/>
        </w:rPr>
      </w:pPr>
      <w:r>
        <w:rPr>
          <w:rFonts w:ascii="宋体" w:hAnsi="宋体" w:cs="Arial"/>
          <w:color w:val="auto"/>
          <w:kern w:val="0"/>
          <w:szCs w:val="21"/>
          <w:highlight w:val="none"/>
        </w:rPr>
        <w:t>2.</w:t>
      </w:r>
      <w:r>
        <w:rPr>
          <w:rFonts w:hint="eastAsia" w:ascii="宋体" w:hAnsi="宋体" w:cs="Arial"/>
          <w:color w:val="auto"/>
          <w:kern w:val="0"/>
          <w:szCs w:val="21"/>
          <w:highlight w:val="none"/>
        </w:rPr>
        <w:t>采购需求中出现的品牌、型号或者生产供应商仅起参考作用，不属于指定品牌、型号或者生产供应商的情形。供应商可参照或者选用其他相当的品牌、型号或者生产供应商替代。</w:t>
      </w:r>
    </w:p>
    <w:p>
      <w:pPr>
        <w:tabs>
          <w:tab w:val="left" w:pos="1620"/>
        </w:tabs>
        <w:spacing w:line="440" w:lineRule="exact"/>
        <w:ind w:firstLine="420" w:firstLineChars="200"/>
        <w:jc w:val="left"/>
        <w:rPr>
          <w:rFonts w:ascii="宋体" w:cs="Arial"/>
          <w:color w:val="auto"/>
          <w:kern w:val="0"/>
          <w:szCs w:val="21"/>
          <w:highlight w:val="none"/>
        </w:rPr>
      </w:pPr>
      <w:r>
        <w:rPr>
          <w:rFonts w:ascii="宋体" w:hAnsi="宋体" w:cs="Arial"/>
          <w:color w:val="auto"/>
          <w:kern w:val="0"/>
          <w:szCs w:val="21"/>
          <w:highlight w:val="none"/>
        </w:rPr>
        <w:t>3.</w:t>
      </w:r>
      <w:r>
        <w:rPr>
          <w:rFonts w:hint="eastAsia" w:ascii="宋体" w:hAnsi="宋体" w:cs="Arial"/>
          <w:color w:val="auto"/>
          <w:kern w:val="0"/>
          <w:szCs w:val="21"/>
          <w:highlight w:val="none"/>
        </w:rPr>
        <w:t>供应商应根据自身实际情况如实响应招标文件。</w:t>
      </w:r>
    </w:p>
    <w:p>
      <w:pPr>
        <w:tabs>
          <w:tab w:val="left" w:pos="1620"/>
        </w:tabs>
        <w:spacing w:line="440" w:lineRule="exact"/>
        <w:ind w:firstLine="420" w:firstLineChars="200"/>
        <w:jc w:val="left"/>
        <w:rPr>
          <w:rFonts w:ascii="宋体" w:hAnsi="宋体" w:cs="Arial"/>
          <w:color w:val="auto"/>
          <w:kern w:val="0"/>
          <w:szCs w:val="21"/>
          <w:highlight w:val="none"/>
        </w:rPr>
      </w:pPr>
      <w:r>
        <w:rPr>
          <w:rFonts w:ascii="宋体" w:hAnsi="宋体" w:cs="Arial"/>
          <w:color w:val="auto"/>
          <w:kern w:val="0"/>
          <w:szCs w:val="21"/>
          <w:highlight w:val="none"/>
        </w:rPr>
        <w:t>4.</w:t>
      </w:r>
      <w:r>
        <w:rPr>
          <w:rFonts w:hint="eastAsia" w:ascii="宋体" w:hAnsi="宋体" w:cs="Arial"/>
          <w:color w:val="auto"/>
          <w:kern w:val="0"/>
          <w:szCs w:val="21"/>
          <w:highlight w:val="none"/>
        </w:rPr>
        <w:t>供应商必须自行为其投标产品侵犯他人的知识产权或者专利成果的行为承担相应法律责任。</w:t>
      </w:r>
    </w:p>
    <w:p>
      <w:pPr>
        <w:tabs>
          <w:tab w:val="left" w:pos="1620"/>
        </w:tabs>
        <w:spacing w:line="440" w:lineRule="exact"/>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5.本服务需求一览表中内容如与“合同主要条款及格式”相关条款不一致的，以本表为准。</w:t>
      </w:r>
    </w:p>
    <w:p>
      <w:pPr>
        <w:tabs>
          <w:tab w:val="left" w:pos="1620"/>
        </w:tabs>
        <w:spacing w:line="440" w:lineRule="exact"/>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6.本项目所属行业：其他未列明行业。</w:t>
      </w:r>
    </w:p>
    <w:p>
      <w:pPr>
        <w:tabs>
          <w:tab w:val="left" w:pos="1620"/>
        </w:tabs>
        <w:spacing w:line="440" w:lineRule="exact"/>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7.说明：</w:t>
      </w:r>
    </w:p>
    <w:p>
      <w:pPr>
        <w:tabs>
          <w:tab w:val="left" w:pos="165"/>
        </w:tabs>
        <w:wordWrap w:val="0"/>
        <w:spacing w:line="380" w:lineRule="exact"/>
        <w:ind w:firstLine="424" w:firstLineChars="201"/>
        <w:rPr>
          <w:rFonts w:ascii="宋体" w:hAnsi="宋体" w:cs="宋体"/>
          <w:b/>
          <w:bCs/>
          <w:color w:val="auto"/>
          <w:szCs w:val="21"/>
          <w:highlight w:val="none"/>
        </w:rPr>
      </w:pPr>
      <w:r>
        <w:rPr>
          <w:rFonts w:hint="eastAsia" w:ascii="宋体" w:hAnsi="宋体" w:cs="宋体"/>
          <w:b/>
          <w:bCs/>
          <w:color w:val="auto"/>
          <w:szCs w:val="21"/>
          <w:highlight w:val="none"/>
        </w:rPr>
        <w:t>（1）供应商可就本项目全部分标或部分分标进行投标，但其所投入的各课题组人员最终只能参与一个课题研究项目。[说明：同一投标人在同一分标同时投入两个或以上课题组的，该投标人所投该分标将作投标无效处理。如自然人的依托单位（依托</w:t>
      </w:r>
      <w:r>
        <w:rPr>
          <w:rFonts w:ascii="宋体" w:hAnsi="宋体" w:cs="宋体"/>
          <w:b/>
          <w:bCs/>
          <w:color w:val="auto"/>
          <w:szCs w:val="21"/>
          <w:highlight w:val="none"/>
        </w:rPr>
        <w:t>单位是</w:t>
      </w:r>
      <w:r>
        <w:rPr>
          <w:rFonts w:hint="eastAsia" w:ascii="宋体" w:hAnsi="宋体" w:cs="宋体"/>
          <w:b/>
          <w:bCs/>
          <w:color w:val="auto"/>
          <w:szCs w:val="21"/>
          <w:highlight w:val="none"/>
        </w:rPr>
        <w:t>证明</w:t>
      </w:r>
      <w:r>
        <w:rPr>
          <w:rFonts w:ascii="宋体" w:hAnsi="宋体" w:cs="宋体"/>
          <w:b/>
          <w:bCs/>
          <w:color w:val="auto"/>
          <w:szCs w:val="21"/>
          <w:highlight w:val="none"/>
        </w:rPr>
        <w:t>自然人</w:t>
      </w:r>
      <w:r>
        <w:rPr>
          <w:rFonts w:hint="eastAsia" w:ascii="宋体" w:hAnsi="宋体" w:cs="宋体"/>
          <w:b/>
          <w:bCs/>
          <w:color w:val="auto"/>
          <w:szCs w:val="21"/>
          <w:highlight w:val="none"/>
        </w:rPr>
        <w:t>组成的课题组具有开展课题研究的能力，开展的课题研究具有真实性；</w:t>
      </w:r>
      <w:r>
        <w:rPr>
          <w:rFonts w:ascii="宋体" w:hAnsi="宋体" w:cs="宋体"/>
          <w:b/>
          <w:bCs/>
          <w:color w:val="auto"/>
          <w:szCs w:val="21"/>
          <w:highlight w:val="none"/>
        </w:rPr>
        <w:t>监督</w:t>
      </w:r>
      <w:r>
        <w:rPr>
          <w:rFonts w:hint="eastAsia" w:ascii="宋体" w:hAnsi="宋体" w:cs="宋体"/>
          <w:b/>
          <w:bCs/>
          <w:color w:val="auto"/>
          <w:szCs w:val="21"/>
          <w:highlight w:val="none"/>
        </w:rPr>
        <w:t>自然人</w:t>
      </w:r>
      <w:r>
        <w:rPr>
          <w:rFonts w:ascii="宋体" w:hAnsi="宋体" w:cs="宋体"/>
          <w:b/>
          <w:bCs/>
          <w:color w:val="auto"/>
          <w:szCs w:val="21"/>
          <w:highlight w:val="none"/>
        </w:rPr>
        <w:t>承担的</w:t>
      </w:r>
      <w:r>
        <w:rPr>
          <w:rFonts w:hint="eastAsia" w:ascii="宋体" w:hAnsi="宋体" w:cs="宋体"/>
          <w:b/>
          <w:bCs/>
          <w:color w:val="auto"/>
          <w:szCs w:val="21"/>
          <w:highlight w:val="none"/>
        </w:rPr>
        <w:t>课题不转包给其他研究机构或个人进行研究，并</w:t>
      </w:r>
      <w:r>
        <w:rPr>
          <w:rFonts w:ascii="宋体" w:hAnsi="宋体" w:cs="宋体"/>
          <w:b/>
          <w:bCs/>
          <w:color w:val="auto"/>
          <w:szCs w:val="21"/>
          <w:highlight w:val="none"/>
        </w:rPr>
        <w:t>监督</w:t>
      </w:r>
      <w:r>
        <w:rPr>
          <w:rFonts w:hint="eastAsia" w:ascii="宋体" w:hAnsi="宋体" w:cs="宋体"/>
          <w:b/>
          <w:bCs/>
          <w:color w:val="auto"/>
          <w:szCs w:val="21"/>
          <w:highlight w:val="none"/>
        </w:rPr>
        <w:t>课题组没有围标等违规行为。如自然人</w:t>
      </w:r>
      <w:r>
        <w:rPr>
          <w:rFonts w:ascii="宋体" w:hAnsi="宋体" w:cs="宋体"/>
          <w:b/>
          <w:bCs/>
          <w:color w:val="auto"/>
          <w:szCs w:val="21"/>
          <w:highlight w:val="none"/>
        </w:rPr>
        <w:t>承担</w:t>
      </w:r>
      <w:r>
        <w:rPr>
          <w:rFonts w:hint="eastAsia" w:ascii="宋体" w:hAnsi="宋体" w:cs="宋体"/>
          <w:b/>
          <w:bCs/>
          <w:color w:val="auto"/>
          <w:szCs w:val="21"/>
          <w:highlight w:val="none"/>
        </w:rPr>
        <w:t>的课题研究成果评审验收不合格或签订合同后有其他违约行为，依托</w:t>
      </w:r>
      <w:r>
        <w:rPr>
          <w:rFonts w:ascii="宋体" w:hAnsi="宋体" w:cs="宋体"/>
          <w:b/>
          <w:bCs/>
          <w:color w:val="auto"/>
          <w:szCs w:val="21"/>
          <w:highlight w:val="none"/>
        </w:rPr>
        <w:t>单位</w:t>
      </w:r>
      <w:r>
        <w:rPr>
          <w:rFonts w:hint="eastAsia" w:ascii="宋体" w:hAnsi="宋体" w:cs="宋体"/>
          <w:b/>
          <w:bCs/>
          <w:color w:val="auto"/>
          <w:szCs w:val="21"/>
          <w:highlight w:val="none"/>
        </w:rPr>
        <w:t>有责任协助采购人做出必要处置，并追回已拨付的全部课题研究经费）与某一投标单位为同一单位的，且同时参与同一分标课题投标的，该自然人与该投标单位所投该分标将作投标无效处理。）]</w:t>
      </w:r>
    </w:p>
    <w:p>
      <w:pPr>
        <w:tabs>
          <w:tab w:val="left" w:pos="165"/>
        </w:tabs>
        <w:wordWrap w:val="0"/>
        <w:spacing w:line="380" w:lineRule="exact"/>
        <w:ind w:firstLine="413" w:firstLineChars="196"/>
        <w:rPr>
          <w:rFonts w:ascii="宋体" w:hAnsi="宋体" w:cs="宋体"/>
          <w:b/>
          <w:bCs/>
          <w:color w:val="auto"/>
          <w:szCs w:val="21"/>
          <w:highlight w:val="none"/>
        </w:rPr>
      </w:pPr>
      <w:r>
        <w:rPr>
          <w:rFonts w:hint="eastAsia" w:ascii="宋体" w:hAnsi="宋体" w:cs="宋体"/>
          <w:b/>
          <w:bCs/>
          <w:color w:val="auto"/>
          <w:szCs w:val="21"/>
          <w:highlight w:val="none"/>
        </w:rPr>
        <w:t>（2）每个分标由评标委员会依据本招标文件“中标候选人推荐原则”对各供应商其所投各分标综合得分进行排名</w:t>
      </w:r>
      <w:r>
        <w:rPr>
          <w:rFonts w:hint="eastAsia" w:ascii="宋体" w:hAnsi="宋体" w:cs="宋体"/>
          <w:b/>
          <w:color w:val="auto"/>
          <w:szCs w:val="21"/>
          <w:highlight w:val="none"/>
        </w:rPr>
        <w:t>，排名第一的</w:t>
      </w:r>
      <w:r>
        <w:rPr>
          <w:rFonts w:hint="eastAsia" w:ascii="宋体" w:hAnsi="宋体" w:cs="宋体"/>
          <w:b/>
          <w:bCs/>
          <w:color w:val="auto"/>
          <w:szCs w:val="21"/>
          <w:highlight w:val="none"/>
        </w:rPr>
        <w:t>供应商</w:t>
      </w:r>
      <w:r>
        <w:rPr>
          <w:rFonts w:hint="eastAsia" w:ascii="宋体" w:hAnsi="宋体" w:cs="宋体"/>
          <w:b/>
          <w:color w:val="auto"/>
          <w:szCs w:val="21"/>
          <w:highlight w:val="none"/>
        </w:rPr>
        <w:t>将成为第一中标候选人</w:t>
      </w:r>
      <w:r>
        <w:rPr>
          <w:rFonts w:hint="eastAsia" w:ascii="宋体" w:hAnsi="宋体" w:cs="宋体"/>
          <w:b/>
          <w:bCs/>
          <w:color w:val="auto"/>
          <w:szCs w:val="21"/>
          <w:highlight w:val="none"/>
        </w:rPr>
        <w:t>。若某供应商有2个（或2个以上）分标综合评分最高，则在保持各分标有效的情况下，同一供应商同一个课题组将按</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16分标顺序优先成为第一中标候选人，不能累计中标；同一供应商的不同课题组可分别中不同分标。按分标顺序推荐中标候选人后，后续分标若进入详评的供应商均被推荐成为前列分标的第一中标候选人的，该分标废标。</w:t>
      </w:r>
      <w:r>
        <w:rPr>
          <w:rFonts w:hint="eastAsia" w:ascii="宋体" w:hAnsi="宋体" w:cs="宋体"/>
          <w:b/>
          <w:color w:val="auto"/>
          <w:szCs w:val="21"/>
          <w:highlight w:val="none"/>
        </w:rPr>
        <w:t>排名第一的中标候选人将与采购人签订采购合同。</w:t>
      </w:r>
    </w:p>
    <w:p>
      <w:pPr>
        <w:wordWrap w:val="0"/>
        <w:spacing w:line="380" w:lineRule="exact"/>
        <w:ind w:firstLine="420"/>
        <w:rPr>
          <w:rFonts w:ascii="宋体" w:hAnsi="宋体" w:cs="宋体"/>
          <w:b/>
          <w:bCs/>
          <w:color w:val="auto"/>
          <w:szCs w:val="21"/>
          <w:highlight w:val="none"/>
        </w:rPr>
      </w:pPr>
      <w:r>
        <w:rPr>
          <w:rFonts w:hint="eastAsia" w:ascii="宋体" w:hAnsi="宋体" w:cs="宋体"/>
          <w:b/>
          <w:bCs/>
          <w:color w:val="auto"/>
          <w:szCs w:val="21"/>
          <w:highlight w:val="none"/>
        </w:rPr>
        <w:t>（3）人员要求：</w:t>
      </w:r>
    </w:p>
    <w:p>
      <w:pPr>
        <w:wordWrap w:val="0"/>
        <w:spacing w:line="380" w:lineRule="exact"/>
        <w:ind w:firstLine="420"/>
        <w:rPr>
          <w:rFonts w:ascii="宋体" w:hAnsi="宋体" w:cs="宋体"/>
          <w:b/>
          <w:bCs/>
          <w:color w:val="auto"/>
          <w:kern w:val="0"/>
          <w:szCs w:val="21"/>
          <w:highlight w:val="none"/>
        </w:rPr>
      </w:pPr>
      <w:r>
        <w:rPr>
          <w:rFonts w:hint="eastAsia" w:ascii="宋体" w:hAnsi="宋体" w:cs="宋体"/>
          <w:b/>
          <w:bCs/>
          <w:color w:val="auto"/>
          <w:szCs w:val="21"/>
          <w:highlight w:val="none"/>
        </w:rPr>
        <w:t>①为确保服务质量，并在时限内完成课题研究进度要求，供应商拟投入各分标中的课题小组，不得再以课题小组成员身份出现在其他投标人的课题小组中，如有出现该情况，其所在其他投标人课题小组的小组成员身份按除名处理；如两位不同的投标人拟投入的课题负责人为同一人的，则使用该名课题负责人的投标人均投标无效。</w:t>
      </w:r>
    </w:p>
    <w:p>
      <w:pPr>
        <w:tabs>
          <w:tab w:val="left" w:pos="1620"/>
        </w:tabs>
        <w:spacing w:line="440" w:lineRule="exact"/>
        <w:ind w:firstLine="422" w:firstLineChars="200"/>
        <w:jc w:val="left"/>
        <w:rPr>
          <w:rFonts w:ascii="宋体" w:hAnsi="宋体" w:cs="Arial"/>
          <w:color w:val="auto"/>
          <w:kern w:val="0"/>
          <w:szCs w:val="21"/>
          <w:highlight w:val="none"/>
        </w:rPr>
      </w:pPr>
      <w:r>
        <w:rPr>
          <w:rFonts w:hint="eastAsia" w:ascii="宋体" w:hAnsi="宋体" w:cs="宋体"/>
          <w:b/>
          <w:bCs/>
          <w:color w:val="auto"/>
          <w:kern w:val="0"/>
          <w:szCs w:val="21"/>
          <w:highlight w:val="none"/>
        </w:rPr>
        <w:t>②课题小组成员也只能参与一个课题研究，如同一人员出现在同一分标（或不同分标）不同投标人的课题小组中，则根据各分标中标候选人推荐情况按</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→16分标</w:t>
      </w:r>
      <w:r>
        <w:rPr>
          <w:rFonts w:hint="eastAsia" w:ascii="宋体" w:hAnsi="宋体" w:cs="宋体"/>
          <w:b/>
          <w:bCs/>
          <w:color w:val="auto"/>
          <w:kern w:val="0"/>
          <w:szCs w:val="21"/>
          <w:highlight w:val="none"/>
        </w:rPr>
        <w:t>顺序及中标人排名先后进行确定，经确定后，其所在其他投标人课题小组的小组成员身份按除名处理。</w:t>
      </w:r>
    </w:p>
    <w:p>
      <w:pPr>
        <w:tabs>
          <w:tab w:val="left" w:pos="1620"/>
        </w:tabs>
        <w:spacing w:line="440" w:lineRule="exact"/>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8.项目需求一览表：</w:t>
      </w:r>
    </w:p>
    <w:p>
      <w:pPr>
        <w:rPr>
          <w:rFonts w:ascii="宋体" w:hAnsi="宋体" w:cs="宋体"/>
          <w:b/>
          <w:color w:val="auto"/>
          <w:szCs w:val="21"/>
          <w:highlight w:val="none"/>
        </w:rPr>
      </w:pPr>
      <w:r>
        <w:rPr>
          <w:rFonts w:hint="eastAsia" w:ascii="宋体" w:hAnsi="宋体" w:cs="宋体"/>
          <w:b/>
          <w:color w:val="auto"/>
          <w:szCs w:val="21"/>
          <w:highlight w:val="none"/>
        </w:rPr>
        <w:br w:type="page"/>
      </w:r>
    </w:p>
    <w:bookmarkEnd w:id="38"/>
    <w:bookmarkEnd w:id="39"/>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分标2  采购预算：20万元</w:t>
      </w:r>
    </w:p>
    <w:tbl>
      <w:tblPr>
        <w:tblStyle w:val="34"/>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1"/>
        <w:gridCol w:w="759"/>
        <w:gridCol w:w="359"/>
        <w:gridCol w:w="692"/>
        <w:gridCol w:w="68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序号</w:t>
            </w:r>
          </w:p>
        </w:tc>
        <w:tc>
          <w:tcPr>
            <w:tcW w:w="1118" w:type="dxa"/>
            <w:gridSpan w:val="2"/>
            <w:tcBorders>
              <w:top w:val="single" w:color="auto" w:sz="4" w:space="0"/>
              <w:left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标的名称</w:t>
            </w:r>
          </w:p>
        </w:tc>
        <w:tc>
          <w:tcPr>
            <w:tcW w:w="692" w:type="dxa"/>
            <w:tcBorders>
              <w:top w:val="single" w:color="auto" w:sz="4" w:space="0"/>
              <w:left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数量</w:t>
            </w:r>
          </w:p>
        </w:tc>
        <w:tc>
          <w:tcPr>
            <w:tcW w:w="6827" w:type="dxa"/>
            <w:tcBorders>
              <w:top w:val="single" w:color="auto" w:sz="4" w:space="0"/>
              <w:left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主要内容及服务要求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5" w:hRule="atLeast"/>
          <w:jc w:val="center"/>
        </w:trPr>
        <w:tc>
          <w:tcPr>
            <w:tcW w:w="641" w:type="dxa"/>
            <w:tcBorders>
              <w:top w:val="single" w:color="auto" w:sz="4" w:space="0"/>
              <w:bottom w:val="single" w:color="auto" w:sz="4" w:space="0"/>
              <w:right w:val="single" w:color="auto" w:sz="4" w:space="0"/>
            </w:tcBorders>
          </w:tcPr>
          <w:p>
            <w:pPr>
              <w:spacing w:line="400" w:lineRule="exact"/>
              <w:rPr>
                <w:rFonts w:ascii="宋体" w:hAnsi="宋体" w:cs="宋体"/>
                <w:b/>
                <w:color w:val="auto"/>
                <w:szCs w:val="21"/>
                <w:highlight w:val="none"/>
              </w:rPr>
            </w:pPr>
            <w:r>
              <w:rPr>
                <w:rFonts w:hint="eastAsia" w:ascii="宋体" w:hAnsi="宋体" w:cs="宋体"/>
                <w:b/>
                <w:bCs/>
                <w:color w:val="auto"/>
                <w:kern w:val="0"/>
                <w:szCs w:val="21"/>
                <w:highlight w:val="none"/>
              </w:rPr>
              <w:t>1</w:t>
            </w:r>
          </w:p>
        </w:tc>
        <w:tc>
          <w:tcPr>
            <w:tcW w:w="1118" w:type="dxa"/>
            <w:gridSpan w:val="2"/>
            <w:tcBorders>
              <w:top w:val="single" w:color="auto" w:sz="4" w:space="0"/>
              <w:bottom w:val="single" w:color="auto" w:sz="4" w:space="0"/>
              <w:right w:val="single" w:color="auto" w:sz="4" w:space="0"/>
            </w:tcBorders>
          </w:tcPr>
          <w:p>
            <w:pPr>
              <w:spacing w:line="400" w:lineRule="exact"/>
              <w:rPr>
                <w:color w:val="auto"/>
                <w:highlight w:val="none"/>
              </w:rPr>
            </w:pPr>
            <w:r>
              <w:rPr>
                <w:rFonts w:hint="eastAsia"/>
                <w:color w:val="auto"/>
                <w:highlight w:val="none"/>
              </w:rPr>
              <w:t>广西重点产业链链式数字化转型研究</w:t>
            </w:r>
          </w:p>
          <w:p>
            <w:pPr>
              <w:spacing w:line="400" w:lineRule="exact"/>
              <w:rPr>
                <w:rFonts w:ascii="宋体" w:hAnsi="宋体" w:cs="宋体"/>
                <w:color w:val="auto"/>
                <w:szCs w:val="21"/>
                <w:highlight w:val="none"/>
              </w:rPr>
            </w:pPr>
          </w:p>
        </w:tc>
        <w:tc>
          <w:tcPr>
            <w:tcW w:w="692" w:type="dxa"/>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1项</w:t>
            </w:r>
          </w:p>
        </w:tc>
        <w:tc>
          <w:tcPr>
            <w:tcW w:w="6827" w:type="dxa"/>
            <w:tcBorders>
              <w:top w:val="single" w:color="auto" w:sz="4" w:space="0"/>
              <w:bottom w:val="single" w:color="auto" w:sz="4" w:space="0"/>
            </w:tcBorders>
          </w:tcPr>
          <w:p>
            <w:pPr>
              <w:spacing w:line="400" w:lineRule="exact"/>
              <w:rPr>
                <w:b/>
                <w:bCs/>
                <w:color w:val="auto"/>
                <w:highlight w:val="none"/>
              </w:rPr>
            </w:pPr>
            <w:r>
              <w:rPr>
                <w:rFonts w:hint="eastAsia"/>
                <w:b/>
                <w:bCs/>
                <w:color w:val="auto"/>
                <w:highlight w:val="none"/>
              </w:rPr>
              <w:t>一、立项背景</w:t>
            </w:r>
          </w:p>
          <w:p>
            <w:pPr>
              <w:spacing w:line="400" w:lineRule="exact"/>
              <w:rPr>
                <w:color w:val="auto"/>
                <w:highlight w:val="none"/>
              </w:rPr>
            </w:pPr>
            <w:r>
              <w:rPr>
                <w:rFonts w:hint="eastAsia"/>
                <w:color w:val="auto"/>
                <w:highlight w:val="none"/>
              </w:rPr>
              <w:t>（一）2024年，中央经济工作会议提出“提升产业链供应链韧性和安全水平”。</w:t>
            </w:r>
          </w:p>
          <w:p>
            <w:pPr>
              <w:spacing w:line="400" w:lineRule="exact"/>
              <w:rPr>
                <w:color w:val="auto"/>
                <w:highlight w:val="none"/>
              </w:rPr>
            </w:pPr>
            <w:r>
              <w:rPr>
                <w:rFonts w:hint="eastAsia"/>
                <w:color w:val="auto"/>
                <w:highlight w:val="none"/>
              </w:rPr>
              <w:t>（二）2023年12月，《工业和信息化部等八部门关于加快传统制造业转型升级的指导意见》提出“鼓励龙头企业共享解决方案和工具包，带动产业链上下游整体推进数字化转型”“推动工业互联网与重点产业链“链网协同”发展”等要求。</w:t>
            </w:r>
          </w:p>
          <w:p>
            <w:pPr>
              <w:spacing w:line="400" w:lineRule="exact"/>
              <w:rPr>
                <w:color w:val="auto"/>
                <w:highlight w:val="none"/>
              </w:rPr>
            </w:pPr>
            <w:r>
              <w:rPr>
                <w:rFonts w:hint="eastAsia"/>
                <w:color w:val="auto"/>
                <w:highlight w:val="none"/>
              </w:rPr>
              <w:t>（三）《广西实施新一轮工业振兴三年行动方案》提出，推动制造业高端化、智能化、绿色化转型，实施“产业群链升级行动”“智改数转赋能行动”。</w:t>
            </w:r>
          </w:p>
          <w:p>
            <w:pPr>
              <w:spacing w:line="400" w:lineRule="exact"/>
              <w:rPr>
                <w:b/>
                <w:bCs/>
                <w:color w:val="auto"/>
                <w:highlight w:val="none"/>
              </w:rPr>
            </w:pPr>
            <w:r>
              <w:rPr>
                <w:rFonts w:hint="eastAsia"/>
                <w:b/>
                <w:bCs/>
                <w:color w:val="auto"/>
                <w:highlight w:val="none"/>
              </w:rPr>
              <w:t>二、研究意义</w:t>
            </w:r>
          </w:p>
          <w:p>
            <w:pPr>
              <w:spacing w:line="400" w:lineRule="exact"/>
              <w:ind w:firstLine="210" w:firstLineChars="100"/>
              <w:rPr>
                <w:color w:val="auto"/>
                <w:highlight w:val="none"/>
              </w:rPr>
            </w:pPr>
            <w:r>
              <w:rPr>
                <w:rFonts w:hint="eastAsia"/>
                <w:color w:val="auto"/>
                <w:highlight w:val="none"/>
              </w:rPr>
              <w:t>开展广西重点产业链链式数字化转型研究，对制定推动重点产业链式数字化转型政策措施、具体工作抓手具有重要意义。</w:t>
            </w:r>
          </w:p>
          <w:p>
            <w:pPr>
              <w:numPr>
                <w:ilvl w:val="0"/>
                <w:numId w:val="1"/>
              </w:numPr>
              <w:spacing w:line="400" w:lineRule="exact"/>
              <w:rPr>
                <w:b/>
                <w:bCs/>
                <w:color w:val="auto"/>
                <w:highlight w:val="none"/>
              </w:rPr>
            </w:pPr>
            <w:r>
              <w:rPr>
                <w:rFonts w:hint="eastAsia"/>
                <w:b/>
                <w:bCs/>
                <w:color w:val="auto"/>
                <w:highlight w:val="none"/>
              </w:rPr>
              <w:t>主要研究内容</w:t>
            </w:r>
          </w:p>
          <w:p>
            <w:pPr>
              <w:spacing w:line="400" w:lineRule="exact"/>
              <w:rPr>
                <w:color w:val="auto"/>
                <w:highlight w:val="none"/>
              </w:rPr>
            </w:pPr>
            <w:r>
              <w:rPr>
                <w:rFonts w:hint="eastAsia"/>
                <w:color w:val="auto"/>
                <w:highlight w:val="none"/>
              </w:rPr>
              <w:t>（一）围绕糖、轻工纺织、高端绿色家居、新能源及储能、新材料等相对国内同行业数字化转型水平较低的广西重点产业链，分别摸清重点产业链数字化转型现状、存在问题，</w:t>
            </w:r>
          </w:p>
          <w:p>
            <w:pPr>
              <w:spacing w:line="400" w:lineRule="exact"/>
              <w:rPr>
                <w:color w:val="auto"/>
                <w:highlight w:val="none"/>
              </w:rPr>
            </w:pPr>
            <w:r>
              <w:rPr>
                <w:rFonts w:hint="eastAsia"/>
                <w:color w:val="auto"/>
                <w:highlight w:val="none"/>
              </w:rPr>
              <w:t>（二）精准提出推动重点产业链式数字化转型的举措建议，</w:t>
            </w:r>
          </w:p>
          <w:p>
            <w:pPr>
              <w:spacing w:line="400" w:lineRule="exact"/>
              <w:rPr>
                <w:color w:val="auto"/>
                <w:highlight w:val="none"/>
              </w:rPr>
            </w:pPr>
            <w:r>
              <w:rPr>
                <w:rFonts w:hint="eastAsia"/>
                <w:color w:val="auto"/>
                <w:highlight w:val="none"/>
              </w:rPr>
              <w:t>（三）梳理2024年重点产业链数字化转型百个智改数转典型应用场景。</w:t>
            </w:r>
          </w:p>
          <w:p>
            <w:pPr>
              <w:spacing w:line="400" w:lineRule="exact"/>
              <w:rPr>
                <w:color w:val="auto"/>
                <w:highlight w:val="none"/>
              </w:rPr>
            </w:pPr>
            <w:r>
              <w:rPr>
                <w:rFonts w:hint="eastAsia"/>
                <w:color w:val="auto"/>
                <w:highlight w:val="none"/>
              </w:rPr>
              <w:t>（四）从区域和行业两个维度研究分析数字化转型水平。</w:t>
            </w:r>
          </w:p>
          <w:p>
            <w:pPr>
              <w:spacing w:line="400" w:lineRule="exact"/>
              <w:rPr>
                <w:b/>
                <w:bCs/>
                <w:color w:val="auto"/>
                <w:highlight w:val="none"/>
              </w:rPr>
            </w:pPr>
            <w:r>
              <w:rPr>
                <w:rFonts w:hint="eastAsia"/>
                <w:b/>
                <w:bCs/>
                <w:color w:val="auto"/>
                <w:highlight w:val="none"/>
              </w:rPr>
              <w:t>四、工作要求</w:t>
            </w:r>
          </w:p>
          <w:p>
            <w:pPr>
              <w:spacing w:line="400" w:lineRule="exact"/>
              <w:ind w:firstLine="210" w:firstLineChars="100"/>
              <w:rPr>
                <w:color w:val="auto"/>
                <w:highlight w:val="none"/>
              </w:rPr>
            </w:pPr>
            <w:r>
              <w:rPr>
                <w:rFonts w:hint="eastAsia"/>
                <w:color w:val="auto"/>
                <w:highlight w:val="none"/>
              </w:rPr>
              <w:t>▲（一）组织课题组应深入调研，要定期或不定期地向采购人报告研究进展情况，要在提交研究成果的同时，提供主笔、参与写作人员名单，并注明参与合作的人员各自负责撰写的内容和字数。</w:t>
            </w:r>
          </w:p>
          <w:p>
            <w:pPr>
              <w:spacing w:line="400" w:lineRule="exact"/>
              <w:ind w:firstLine="210" w:firstLineChars="100"/>
              <w:rPr>
                <w:color w:val="auto"/>
                <w:highlight w:val="none"/>
              </w:rPr>
            </w:pPr>
            <w:r>
              <w:rPr>
                <w:rFonts w:hint="eastAsia"/>
                <w:color w:val="auto"/>
                <w:highlight w:val="none"/>
              </w:rPr>
              <w:t>（二）采购人对课题研究进行监督，如发现有违规行为，视情况作出相应处理。</w:t>
            </w:r>
          </w:p>
          <w:p>
            <w:pPr>
              <w:spacing w:line="400" w:lineRule="exact"/>
              <w:ind w:firstLine="210" w:firstLineChars="100"/>
              <w:rPr>
                <w:color w:val="auto"/>
                <w:highlight w:val="none"/>
              </w:rPr>
            </w:pPr>
            <w:r>
              <w:rPr>
                <w:rFonts w:hint="eastAsia"/>
                <w:color w:val="auto"/>
                <w:highlight w:val="none"/>
              </w:rPr>
              <w:t>▲（三）进度要求：</w:t>
            </w:r>
          </w:p>
          <w:p>
            <w:pPr>
              <w:spacing w:line="400" w:lineRule="exact"/>
              <w:ind w:firstLine="210" w:firstLineChars="100"/>
              <w:rPr>
                <w:color w:val="auto"/>
                <w:highlight w:val="none"/>
              </w:rPr>
            </w:pPr>
            <w:r>
              <w:rPr>
                <w:rFonts w:hint="eastAsia"/>
                <w:color w:val="auto"/>
                <w:highlight w:val="none"/>
              </w:rPr>
              <w:t>1、课题开题：2024年</w:t>
            </w:r>
            <w:r>
              <w:rPr>
                <w:rFonts w:hint="eastAsia"/>
                <w:color w:val="auto"/>
                <w:highlight w:val="none"/>
                <w:lang w:val="en-US" w:eastAsia="zh-CN"/>
              </w:rPr>
              <w:t>7</w:t>
            </w:r>
            <w:r>
              <w:rPr>
                <w:rFonts w:hint="eastAsia"/>
                <w:color w:val="auto"/>
                <w:highlight w:val="none"/>
              </w:rPr>
              <w:t>月底前</w:t>
            </w:r>
          </w:p>
          <w:p>
            <w:pPr>
              <w:spacing w:line="400" w:lineRule="exact"/>
              <w:ind w:firstLine="210" w:firstLineChars="100"/>
              <w:rPr>
                <w:color w:val="auto"/>
                <w:highlight w:val="none"/>
              </w:rPr>
            </w:pPr>
            <w:r>
              <w:rPr>
                <w:rFonts w:hint="eastAsia"/>
                <w:color w:val="auto"/>
                <w:highlight w:val="none"/>
              </w:rPr>
              <w:t>2、中期交流：2024年8月底前</w:t>
            </w:r>
          </w:p>
          <w:p>
            <w:pPr>
              <w:spacing w:line="400" w:lineRule="exact"/>
              <w:ind w:firstLine="210" w:firstLineChars="100"/>
              <w:rPr>
                <w:color w:val="auto"/>
                <w:highlight w:val="none"/>
              </w:rPr>
            </w:pPr>
            <w:r>
              <w:rPr>
                <w:rFonts w:hint="eastAsia"/>
                <w:color w:val="auto"/>
                <w:highlight w:val="none"/>
              </w:rPr>
              <w:t>3、课题评审：2024年9月底前</w:t>
            </w:r>
          </w:p>
          <w:p>
            <w:pPr>
              <w:spacing w:line="400" w:lineRule="exact"/>
              <w:ind w:firstLine="210" w:firstLineChars="100"/>
              <w:rPr>
                <w:color w:val="auto"/>
                <w:highlight w:val="none"/>
              </w:rPr>
            </w:pPr>
            <w:r>
              <w:rPr>
                <w:rFonts w:hint="eastAsia"/>
                <w:color w:val="auto"/>
                <w:highlight w:val="none"/>
              </w:rPr>
              <w:t>4、课题验收：2024年9月底前</w:t>
            </w:r>
          </w:p>
          <w:p>
            <w:pPr>
              <w:spacing w:line="400" w:lineRule="exact"/>
              <w:ind w:firstLine="210" w:firstLineChars="100"/>
              <w:rPr>
                <w:color w:val="auto"/>
                <w:highlight w:val="none"/>
              </w:rPr>
            </w:pPr>
            <w:r>
              <w:rPr>
                <w:rFonts w:hint="eastAsia"/>
                <w:color w:val="auto"/>
                <w:highlight w:val="none"/>
              </w:rPr>
              <w:t>5、成果备案：2024年12月底前</w:t>
            </w:r>
          </w:p>
          <w:p>
            <w:pPr>
              <w:spacing w:line="400" w:lineRule="exact"/>
              <w:ind w:firstLine="210" w:firstLineChars="100"/>
              <w:rPr>
                <w:color w:val="auto"/>
                <w:highlight w:val="none"/>
              </w:rPr>
            </w:pPr>
            <w:r>
              <w:rPr>
                <w:rFonts w:hint="eastAsia"/>
                <w:color w:val="auto"/>
                <w:highlight w:val="none"/>
              </w:rPr>
              <w:t>▲（四）成果为《广西重点产业链链式数字化转型研究报告》、《重点产业链数字化转型百个典型应用场景》应按合同约定的时间向采购人提交成果。研究成果归采购人所有，不能做其他用途。</w:t>
            </w:r>
          </w:p>
          <w:p>
            <w:pPr>
              <w:spacing w:line="400" w:lineRule="exact"/>
              <w:ind w:firstLine="210" w:firstLineChars="100"/>
              <w:rPr>
                <w:color w:val="auto"/>
                <w:highlight w:val="none"/>
              </w:rPr>
            </w:pPr>
            <w:r>
              <w:rPr>
                <w:rFonts w:hint="eastAsia"/>
                <w:color w:val="auto"/>
                <w:highlight w:val="none"/>
              </w:rPr>
              <w:t>▲（五）要求了解国内外食品、轻工、家居、新能源、新材料等产业链数字化转型情况，分析广西区内糖、轻工纺织、高端绿色家居、新能源及储能、新材料等重点产业链的数字化转型现状和问题，提出推动广西重点产业链式数字化转型的对策建议。</w:t>
            </w:r>
          </w:p>
          <w:p>
            <w:pPr>
              <w:spacing w:line="400" w:lineRule="exact"/>
              <w:rPr>
                <w:b/>
                <w:bCs/>
                <w:color w:val="auto"/>
                <w:highlight w:val="none"/>
              </w:rPr>
            </w:pPr>
            <w:r>
              <w:rPr>
                <w:rFonts w:hint="eastAsia"/>
                <w:b/>
                <w:bCs/>
                <w:color w:val="auto"/>
                <w:highlight w:val="none"/>
              </w:rPr>
              <w:t>五、人员要求</w:t>
            </w:r>
          </w:p>
          <w:p>
            <w:pPr>
              <w:spacing w:line="400" w:lineRule="exact"/>
              <w:ind w:firstLine="210" w:firstLineChars="100"/>
              <w:rPr>
                <w:color w:val="auto"/>
                <w:highlight w:val="none"/>
              </w:rPr>
            </w:pPr>
            <w:r>
              <w:rPr>
                <w:rFonts w:hint="eastAsia"/>
                <w:color w:val="auto"/>
                <w:highlight w:val="none"/>
              </w:rPr>
              <w:t>（一）投标人需针对课题项目研究的需要组成课题组，其成员的数量、业务骨干所占比重和专业构成要符合课题项目的要求，课题组可在研究过程中视具体情况向采购人书面申请更改研究人员，否则该课题负责人将为其违约行为承担责任。</w:t>
            </w:r>
          </w:p>
          <w:p>
            <w:pPr>
              <w:spacing w:line="400" w:lineRule="exact"/>
              <w:ind w:firstLine="210" w:firstLineChars="100"/>
              <w:rPr>
                <w:color w:val="auto"/>
                <w:highlight w:val="none"/>
              </w:rPr>
            </w:pPr>
            <w:r>
              <w:rPr>
                <w:rFonts w:hint="eastAsia"/>
                <w:color w:val="auto"/>
                <w:highlight w:val="none"/>
              </w:rPr>
              <w:t>▲（二）课题负责人须具有高级专业技术职称，如无上述条件者须持有两名或以上高级专业技术职称者的书面推荐（推荐书中必须附有推荐人的高级专业技术职称证书作为证明材料）。</w:t>
            </w:r>
          </w:p>
          <w:p>
            <w:pPr>
              <w:spacing w:line="400" w:lineRule="exact"/>
              <w:ind w:firstLine="210" w:firstLineChars="100"/>
              <w:rPr>
                <w:color w:val="auto"/>
                <w:highlight w:val="none"/>
              </w:rPr>
            </w:pPr>
            <w:r>
              <w:rPr>
                <w:rFonts w:hint="eastAsia"/>
                <w:color w:val="auto"/>
                <w:highlight w:val="none"/>
              </w:rPr>
              <w:t>▲（三）课题组前3名主要研究成员（含课题负责人）应为</w:t>
            </w:r>
            <w:r>
              <w:rPr>
                <w:rFonts w:hint="eastAsia"/>
                <w:color w:val="auto"/>
                <w:highlight w:val="none"/>
                <w:lang w:eastAsia="zh-CN"/>
              </w:rPr>
              <w:t>硕士</w:t>
            </w:r>
            <w:r>
              <w:rPr>
                <w:rFonts w:hint="eastAsia"/>
                <w:color w:val="auto"/>
                <w:highlight w:val="none"/>
              </w:rPr>
              <w:t>（含</w:t>
            </w:r>
            <w:r>
              <w:rPr>
                <w:rFonts w:hint="eastAsia"/>
                <w:color w:val="auto"/>
                <w:highlight w:val="none"/>
                <w:lang w:eastAsia="zh-CN"/>
              </w:rPr>
              <w:t>硕士</w:t>
            </w:r>
            <w:r>
              <w:rPr>
                <w:rFonts w:hint="eastAsia"/>
                <w:color w:val="auto"/>
                <w:highlight w:val="none"/>
              </w:rPr>
              <w:t>）以上</w:t>
            </w:r>
            <w:r>
              <w:rPr>
                <w:rFonts w:hint="eastAsia"/>
                <w:color w:val="auto"/>
                <w:highlight w:val="none"/>
                <w:lang w:eastAsia="zh-CN"/>
              </w:rPr>
              <w:t>学位</w:t>
            </w:r>
            <w:r>
              <w:rPr>
                <w:rFonts w:hint="eastAsia"/>
                <w:color w:val="auto"/>
                <w:highlight w:val="none"/>
              </w:rPr>
              <w:t>或具有高级专业技术职称（二者满足其一即可，需提供相关证书复印件），所从事工作和研究领域应与课题研究领域相关。</w:t>
            </w:r>
          </w:p>
          <w:p>
            <w:pPr>
              <w:widowControl/>
              <w:spacing w:line="40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六、成果验收</w:t>
            </w:r>
          </w:p>
          <w:p>
            <w:pPr>
              <w:spacing w:line="400" w:lineRule="exact"/>
              <w:ind w:firstLine="210" w:firstLineChars="100"/>
              <w:rPr>
                <w:color w:val="auto"/>
                <w:highlight w:val="none"/>
              </w:rPr>
            </w:pPr>
            <w:r>
              <w:rPr>
                <w:rFonts w:hint="eastAsia"/>
                <w:color w:val="auto"/>
                <w:highlight w:val="none"/>
              </w:rPr>
              <w:t>（一）课题研究任务完成后，由采购人根据课题涉密等级，成立研究成果评审验收委员会，组织专家对课题研究成果进行评审验收。</w:t>
            </w:r>
          </w:p>
          <w:p>
            <w:pPr>
              <w:spacing w:line="400" w:lineRule="exact"/>
              <w:ind w:firstLine="210" w:firstLineChars="100"/>
              <w:rPr>
                <w:color w:val="auto"/>
                <w:highlight w:val="none"/>
              </w:rPr>
            </w:pPr>
            <w:r>
              <w:rPr>
                <w:rFonts w:hint="eastAsia"/>
                <w:color w:val="auto"/>
                <w:highlight w:val="none"/>
              </w:rPr>
              <w:t>▲（二）研究成果通过评审验收后，课题组必须报送如下材料的纸质版和电子版各1份：</w:t>
            </w:r>
          </w:p>
          <w:p>
            <w:pPr>
              <w:spacing w:line="400" w:lineRule="exact"/>
              <w:ind w:firstLine="210" w:firstLineChars="100"/>
              <w:rPr>
                <w:color w:val="auto"/>
                <w:highlight w:val="none"/>
              </w:rPr>
            </w:pPr>
            <w:r>
              <w:rPr>
                <w:rFonts w:hint="eastAsia"/>
                <w:color w:val="auto"/>
                <w:highlight w:val="none"/>
              </w:rPr>
              <w:t>1.完成3万字左右的研究报告；</w:t>
            </w:r>
          </w:p>
          <w:p>
            <w:pPr>
              <w:spacing w:line="400" w:lineRule="exact"/>
              <w:ind w:firstLine="210" w:firstLineChars="100"/>
              <w:rPr>
                <w:color w:val="auto"/>
                <w:highlight w:val="none"/>
              </w:rPr>
            </w:pPr>
            <w:r>
              <w:rPr>
                <w:rFonts w:hint="eastAsia"/>
                <w:color w:val="auto"/>
                <w:highlight w:val="none"/>
              </w:rPr>
              <w:t>2.完成5000字以内的研究成果提要；</w:t>
            </w:r>
          </w:p>
          <w:p>
            <w:pPr>
              <w:spacing w:line="400" w:lineRule="exact"/>
              <w:ind w:firstLine="210" w:firstLineChars="100"/>
              <w:rPr>
                <w:color w:val="auto"/>
                <w:highlight w:val="none"/>
              </w:rPr>
            </w:pPr>
            <w:r>
              <w:rPr>
                <w:rFonts w:hint="eastAsia"/>
                <w:color w:val="auto"/>
                <w:highlight w:val="none"/>
              </w:rPr>
              <w:t>3.课题研究工作报告。内容包括：成果名称、课题项目批准号、项目负责人、起止研究时间、课题组主要成员及各成员撰写的内容和字数、课题研究主要过程、技术路线、主要研究方法、成果主要内容及特点、主要应用方式等。</w:t>
            </w:r>
          </w:p>
          <w:p>
            <w:pPr>
              <w:spacing w:line="400" w:lineRule="exact"/>
              <w:ind w:firstLine="210" w:firstLineChars="100"/>
              <w:rPr>
                <w:color w:val="auto"/>
                <w:highlight w:val="none"/>
              </w:rPr>
            </w:pPr>
            <w:r>
              <w:rPr>
                <w:rFonts w:hint="eastAsia"/>
                <w:color w:val="auto"/>
                <w:highlight w:val="none"/>
              </w:rPr>
              <w:t xml:space="preserve"> （三）评审验收的标准与内容</w:t>
            </w:r>
          </w:p>
          <w:p>
            <w:pPr>
              <w:spacing w:line="400" w:lineRule="exact"/>
              <w:ind w:firstLine="210" w:firstLineChars="100"/>
              <w:rPr>
                <w:color w:val="auto"/>
                <w:highlight w:val="none"/>
              </w:rPr>
            </w:pPr>
            <w:r>
              <w:rPr>
                <w:rFonts w:hint="eastAsia"/>
                <w:color w:val="auto"/>
                <w:highlight w:val="none"/>
              </w:rPr>
              <w:t>1.课题研究的技术路线是否正确，研究方法是否科学。</w:t>
            </w:r>
          </w:p>
          <w:p>
            <w:pPr>
              <w:spacing w:line="400" w:lineRule="exact"/>
              <w:ind w:firstLine="210" w:firstLineChars="100"/>
              <w:rPr>
                <w:color w:val="auto"/>
                <w:highlight w:val="none"/>
              </w:rPr>
            </w:pPr>
            <w:r>
              <w:rPr>
                <w:rFonts w:hint="eastAsia"/>
                <w:color w:val="auto"/>
                <w:highlight w:val="none"/>
              </w:rPr>
              <w:t>2.课题研究所使用的资料、数据是否准确、完整、详实、可信，论证的方法是否可靠，推算结论是否具有实践的检验性。</w:t>
            </w:r>
          </w:p>
          <w:p>
            <w:pPr>
              <w:spacing w:line="400" w:lineRule="exact"/>
              <w:ind w:firstLine="210" w:firstLineChars="100"/>
              <w:rPr>
                <w:color w:val="auto"/>
                <w:highlight w:val="none"/>
              </w:rPr>
            </w:pPr>
            <w:r>
              <w:rPr>
                <w:rFonts w:hint="eastAsia"/>
                <w:color w:val="auto"/>
                <w:highlight w:val="none"/>
              </w:rPr>
              <w:t>3.课题成果有无理论意义、实践意义，观点是否正确，论据是否充分，在理论和实践上有何创新，填补了哪些方面研究的空白，对策或政策建议是否具有可操作性，可以预期的经济效益、社会效益和理论价值、实践价值如何。</w:t>
            </w:r>
          </w:p>
          <w:p>
            <w:pPr>
              <w:spacing w:line="400" w:lineRule="exact"/>
              <w:ind w:firstLine="210" w:firstLineChars="100"/>
              <w:rPr>
                <w:color w:val="auto"/>
                <w:highlight w:val="none"/>
              </w:rPr>
            </w:pPr>
            <w:r>
              <w:rPr>
                <w:rFonts w:hint="eastAsia"/>
                <w:color w:val="auto"/>
                <w:highlight w:val="none"/>
              </w:rPr>
              <w:t>4.课题成果尚存在哪些问题与不足，需要作出哪些方面的补充、修改和完善。</w:t>
            </w:r>
          </w:p>
          <w:p>
            <w:pPr>
              <w:spacing w:line="400" w:lineRule="exact"/>
              <w:ind w:firstLine="210" w:firstLineChars="100"/>
              <w:rPr>
                <w:color w:val="auto"/>
                <w:highlight w:val="none"/>
              </w:rPr>
            </w:pPr>
            <w:r>
              <w:rPr>
                <w:rFonts w:hint="eastAsia"/>
                <w:color w:val="auto"/>
                <w:highlight w:val="none"/>
              </w:rPr>
              <w:t>5.课题研究成果是否通过鉴定，达到何种水平。</w:t>
            </w:r>
          </w:p>
          <w:p>
            <w:pPr>
              <w:spacing w:line="400" w:lineRule="exact"/>
              <w:ind w:firstLine="210" w:firstLineChars="100"/>
              <w:rPr>
                <w:color w:val="auto"/>
                <w:highlight w:val="none"/>
              </w:rPr>
            </w:pPr>
            <w:r>
              <w:rPr>
                <w:rFonts w:hint="eastAsia"/>
                <w:color w:val="auto"/>
                <w:highlight w:val="none"/>
              </w:rPr>
              <w:t>（四）采购人根据评审验收委员会的评审意见，提出该课题研究成果是否通过验收的意见，提交采购人审定。</w:t>
            </w:r>
          </w:p>
          <w:p>
            <w:pPr>
              <w:spacing w:line="400" w:lineRule="exact"/>
              <w:ind w:firstLine="210" w:firstLineChars="100"/>
              <w:rPr>
                <w:color w:val="auto"/>
                <w:highlight w:val="none"/>
              </w:rPr>
            </w:pPr>
            <w:r>
              <w:rPr>
                <w:rFonts w:hint="eastAsia"/>
                <w:color w:val="auto"/>
                <w:highlight w:val="none"/>
              </w:rPr>
              <w:t>▲（五）课题组在合同规定结题日期内上交研究成果，由采购人组织专家对研究成果进行集中或通讯评审验收。若课题研究成果评审未通过，课题组必须根据评审专家提出的意见及建议进行进一步修改完善，由采购人另行组织复审，复审费用由课题组承担，若复审仍未通过，按合同约定予以撤项，剩余课题研究经费不再支付，退回自治区财政。</w:t>
            </w:r>
          </w:p>
          <w:p>
            <w:pPr>
              <w:spacing w:line="400" w:lineRule="exact"/>
              <w:ind w:firstLine="210" w:firstLineChars="100"/>
              <w:rPr>
                <w:color w:val="auto"/>
                <w:highlight w:val="none"/>
              </w:rPr>
            </w:pPr>
            <w:r>
              <w:rPr>
                <w:rFonts w:hint="eastAsia"/>
                <w:color w:val="auto"/>
                <w:highlight w:val="none"/>
              </w:rPr>
              <w:t>▲（六）因不可抗力原因需要延期验收的课题，课题组须向采购方提出书面申请。经批准后在一定期限内仍无法完成研究任务的，应提前报告并办理撤项手续。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color w:val="auto"/>
                <w:szCs w:val="21"/>
                <w:highlight w:val="none"/>
              </w:rPr>
              <w:t>▲二、</w:t>
            </w:r>
            <w:r>
              <w:rPr>
                <w:rFonts w:hint="eastAsia" w:ascii="宋体" w:hAnsi="宋体" w:cs="宋体"/>
                <w:b/>
                <w:color w:val="auto"/>
                <w:szCs w:val="21"/>
                <w:highlight w:val="none"/>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合同签订期</w:t>
            </w:r>
          </w:p>
        </w:tc>
        <w:tc>
          <w:tcPr>
            <w:tcW w:w="7878" w:type="dxa"/>
            <w:gridSpan w:val="3"/>
            <w:tcBorders>
              <w:top w:val="single" w:color="auto" w:sz="4" w:space="0"/>
              <w:left w:val="single" w:color="auto" w:sz="4" w:space="0"/>
              <w:bottom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自成交通知书发出之日起15个日历日内。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提交服务成果时间</w:t>
            </w:r>
          </w:p>
        </w:tc>
        <w:tc>
          <w:tcPr>
            <w:tcW w:w="7878" w:type="dxa"/>
            <w:gridSpan w:val="3"/>
            <w:tcBorders>
              <w:top w:val="single" w:color="auto" w:sz="4" w:space="0"/>
              <w:left w:val="single" w:color="auto" w:sz="4" w:space="0"/>
              <w:bottom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2024年12月底前。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服务地点</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付款方式</w:t>
            </w:r>
          </w:p>
        </w:tc>
        <w:tc>
          <w:tcPr>
            <w:tcW w:w="7878" w:type="dxa"/>
            <w:gridSpan w:val="3"/>
            <w:tcBorders>
              <w:top w:val="single" w:color="auto" w:sz="4" w:space="0"/>
              <w:left w:val="single" w:color="auto" w:sz="4" w:space="0"/>
              <w:bottom w:val="single" w:color="auto" w:sz="4" w:space="0"/>
            </w:tcBorders>
          </w:tcPr>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1.分两次拨付：</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（1）签订课题研究合同后，首次拨付合同金额的50%作为课题研究启动资金；</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（2）研究成果经专家评审验收后，课题组根据专家评审验收时提出的意见建议以及采购人的要求修改完善研究成果，并经采购人审核通过后拨付合同金额剩余的50%。</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2.评审验收未达到合同规定要求的课题研究成果，课题组必须根据评审验收委员会的意见和建议，在规定的时间内进行修改、补充和完善。重新验收仍不合格的按违约予以撤项。剩余50%课题研究经费不再拨付。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验收标准</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1、验收小组在服务的质量和数量及其他验收时，对照招标文件、投标文件及政府采购合同的功能目标及技术指标进行抽查核对，对所有要求出具的证明文件的原件进行核查，如不符合招标文件的技术需求及要求以及提供虚假承诺的，应及时书面向采购人反映。经确认属质量等问题的，采购人当及时与中标人进行交涉，追究其违约责任。中标人承担所有责任和费用，采购人保留进一步追究责任的权利。</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2、其他未尽事宜应严格按照《关于印发广西壮族自治区政府采购项目履约验收管理办法的通知》[桂财采〔2015〕22号]以及《财政部关于进一步加强政府采购需求和履约验收管理的指导意见》[财库〔2016〕205号]规定执行。</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3、本项目《采购需求》有其他要求的按其要求执行。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b/>
                <w:color w:val="auto"/>
                <w:szCs w:val="21"/>
                <w:highlight w:val="none"/>
              </w:rPr>
              <w:t>三、其他要求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▲特别说明</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供应商在投标文件中提供的所有证件材料必须真实有效，否则采购人依据相关法律规定追究供应商的责任，由此带来的一切损失由供应商自行承担，供应商不得做任何辩解。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color w:val="auto"/>
                <w:spacing w:val="-1"/>
                <w:szCs w:val="21"/>
                <w:highlight w:val="none"/>
              </w:rPr>
              <w:t>负偏离要求</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服务需求评审中允许负偏离的条款数为</w:t>
            </w:r>
            <w:r>
              <w:rPr>
                <w:rFonts w:hint="eastAsia" w:ascii="宋体" w:hAnsi="宋体" w:cs="宋体"/>
                <w:color w:val="auto"/>
                <w:szCs w:val="21"/>
                <w:highlight w:val="none"/>
                <w:u w:val="single"/>
              </w:rPr>
              <w:t xml:space="preserve"> 0</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报价要求</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.按总价报价，报价超出采购预算按投标无效处理，投标报价由供应商按自身情况和承受能力进行报价。</w:t>
            </w:r>
          </w:p>
          <w:p>
            <w:pPr>
              <w:tabs>
                <w:tab w:val="left" w:pos="312"/>
              </w:tabs>
              <w:spacing w:line="400" w:lineRule="exac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.供应商的竞标报价均已包括了承担相应服务工作所需的劳务费、技术服务费、编审、交通、通讯、保险、税费和利润等一切费用，国家规定的相关调整系数自行考虑在内。合同期内，下浮系数不再调整。</w:t>
            </w:r>
          </w:p>
          <w:p>
            <w:pPr>
              <w:tabs>
                <w:tab w:val="left" w:pos="312"/>
              </w:tabs>
              <w:spacing w:line="400" w:lineRule="exact"/>
              <w:rPr>
                <w:rFonts w:ascii="宋体" w:hAnsi="宋体" w:cs="宋体"/>
                <w:bCs/>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.本项目为总价包干，</w:t>
            </w:r>
            <w:r>
              <w:rPr>
                <w:rFonts w:hint="eastAsia"/>
                <w:color w:val="auto"/>
                <w:highlight w:val="none"/>
              </w:rPr>
              <w:t>课题研究成果通过鉴定</w:t>
            </w:r>
            <w:r>
              <w:rPr>
                <w:rFonts w:hint="eastAsia" w:ascii="宋体" w:hAnsi="宋体" w:cs="宋体"/>
                <w:color w:val="auto"/>
                <w:szCs w:val="21"/>
                <w:highlight w:val="none"/>
              </w:rPr>
              <w:t>后采购人支付全部价款。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其他要求</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1.供应商保证针对本项目涉及到的知识产权和所提供的相关技术资料是合法取得，不会因为采购人的使用而被责令停止使用、追偿或要求赔偿损失，如出现此情况，一切经济和法律责任均由供应商承担。</w:t>
            </w:r>
          </w:p>
        </w:tc>
      </w:tr>
    </w:tbl>
    <w:p>
      <w:pPr>
        <w:rPr>
          <w:rFonts w:ascii="宋体" w:hAnsi="宋体" w:cs="宋体"/>
          <w:b/>
          <w:color w:val="auto"/>
          <w:szCs w:val="21"/>
          <w:highlight w:val="none"/>
        </w:rPr>
      </w:pPr>
    </w:p>
    <w:p>
      <w:pPr>
        <w:rPr>
          <w:rFonts w:ascii="宋体" w:hAnsi="宋体" w:cs="宋体"/>
          <w:b/>
          <w:color w:val="auto"/>
          <w:szCs w:val="21"/>
          <w:highlight w:val="none"/>
        </w:rPr>
      </w:pPr>
      <w:r>
        <w:rPr>
          <w:rFonts w:hint="eastAsia" w:ascii="宋体" w:hAnsi="宋体" w:cs="宋体"/>
          <w:b/>
          <w:color w:val="auto"/>
          <w:szCs w:val="21"/>
          <w:highlight w:val="none"/>
        </w:rPr>
        <w:br w:type="page"/>
      </w:r>
    </w:p>
    <w:p>
      <w:pPr>
        <w:spacing w:line="400" w:lineRule="exact"/>
        <w:ind w:firstLine="422" w:firstLineChars="200"/>
        <w:rPr>
          <w:color w:val="auto"/>
          <w:highlight w:val="none"/>
        </w:rPr>
      </w:pPr>
      <w:r>
        <w:rPr>
          <w:rFonts w:hint="eastAsia" w:ascii="宋体" w:hAnsi="宋体" w:cs="宋体"/>
          <w:b/>
          <w:color w:val="auto"/>
          <w:szCs w:val="21"/>
          <w:highlight w:val="none"/>
        </w:rPr>
        <w:t>分标11 采购预算：16万元</w:t>
      </w:r>
    </w:p>
    <w:tbl>
      <w:tblPr>
        <w:tblStyle w:val="34"/>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1"/>
        <w:gridCol w:w="759"/>
        <w:gridCol w:w="359"/>
        <w:gridCol w:w="692"/>
        <w:gridCol w:w="68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序号</w:t>
            </w:r>
          </w:p>
        </w:tc>
        <w:tc>
          <w:tcPr>
            <w:tcW w:w="1118" w:type="dxa"/>
            <w:gridSpan w:val="2"/>
            <w:tcBorders>
              <w:top w:val="single" w:color="auto" w:sz="4" w:space="0"/>
              <w:left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标的名称</w:t>
            </w:r>
          </w:p>
        </w:tc>
        <w:tc>
          <w:tcPr>
            <w:tcW w:w="692" w:type="dxa"/>
            <w:tcBorders>
              <w:top w:val="single" w:color="auto" w:sz="4" w:space="0"/>
              <w:left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数量</w:t>
            </w:r>
          </w:p>
        </w:tc>
        <w:tc>
          <w:tcPr>
            <w:tcW w:w="6827" w:type="dxa"/>
            <w:tcBorders>
              <w:top w:val="single" w:color="auto" w:sz="4" w:space="0"/>
              <w:left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主要内容及服务要求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5" w:hRule="atLeast"/>
          <w:jc w:val="center"/>
        </w:trPr>
        <w:tc>
          <w:tcPr>
            <w:tcW w:w="641" w:type="dxa"/>
            <w:tcBorders>
              <w:top w:val="single" w:color="auto" w:sz="4" w:space="0"/>
              <w:bottom w:val="single" w:color="auto" w:sz="4" w:space="0"/>
              <w:right w:val="single" w:color="auto" w:sz="4" w:space="0"/>
            </w:tcBorders>
          </w:tcPr>
          <w:p>
            <w:pPr>
              <w:spacing w:line="400" w:lineRule="exact"/>
              <w:rPr>
                <w:rFonts w:ascii="宋体" w:hAnsi="宋体" w:cs="宋体"/>
                <w:b/>
                <w:color w:val="auto"/>
                <w:szCs w:val="21"/>
                <w:highlight w:val="none"/>
              </w:rPr>
            </w:pPr>
            <w:r>
              <w:rPr>
                <w:rFonts w:hint="eastAsia" w:ascii="宋体" w:hAnsi="宋体" w:cs="宋体"/>
                <w:b/>
                <w:bCs/>
                <w:color w:val="auto"/>
                <w:kern w:val="0"/>
                <w:szCs w:val="21"/>
                <w:highlight w:val="none"/>
              </w:rPr>
              <w:t>1</w:t>
            </w:r>
          </w:p>
        </w:tc>
        <w:tc>
          <w:tcPr>
            <w:tcW w:w="1118"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广西船舶制造业发展路径及对策研究</w:t>
            </w:r>
          </w:p>
        </w:tc>
        <w:tc>
          <w:tcPr>
            <w:tcW w:w="692" w:type="dxa"/>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1项</w:t>
            </w:r>
          </w:p>
        </w:tc>
        <w:tc>
          <w:tcPr>
            <w:tcW w:w="6827" w:type="dxa"/>
            <w:tcBorders>
              <w:top w:val="single" w:color="auto" w:sz="4" w:space="0"/>
              <w:bottom w:val="single" w:color="auto" w:sz="4" w:space="0"/>
            </w:tcBorders>
          </w:tcPr>
          <w:p>
            <w:pPr>
              <w:spacing w:line="400" w:lineRule="exact"/>
              <w:ind w:firstLine="422" w:firstLineChars="200"/>
              <w:rPr>
                <w:b/>
                <w:bCs/>
                <w:color w:val="auto"/>
                <w:highlight w:val="none"/>
              </w:rPr>
            </w:pPr>
            <w:r>
              <w:rPr>
                <w:rFonts w:hint="eastAsia"/>
                <w:b/>
                <w:bCs/>
                <w:color w:val="auto"/>
                <w:highlight w:val="none"/>
              </w:rPr>
              <w:t>一、立项背景</w:t>
            </w:r>
          </w:p>
          <w:p>
            <w:pPr>
              <w:spacing w:line="400" w:lineRule="exact"/>
              <w:ind w:firstLine="420" w:firstLineChars="200"/>
              <w:rPr>
                <w:color w:val="auto"/>
                <w:highlight w:val="none"/>
              </w:rPr>
            </w:pPr>
            <w:r>
              <w:rPr>
                <w:rFonts w:hint="eastAsia"/>
                <w:color w:val="auto"/>
                <w:highlight w:val="none"/>
              </w:rPr>
              <w:t>（一）产业政策支持船舶工业集聚发展。国家层面出台《关于加快内河船舶绿色智能发展的实施意见》《船舶制造业绿色发展行动纲要（2024—2030年）》，自治区层面出台《广西实施新一轮工业振兴三年行动方案》，加快船舶工业产品体系、制造体系、供应链体系建设。</w:t>
            </w:r>
          </w:p>
          <w:p>
            <w:pPr>
              <w:spacing w:line="400" w:lineRule="exact"/>
              <w:ind w:firstLine="420" w:firstLineChars="200"/>
              <w:rPr>
                <w:color w:val="auto"/>
                <w:highlight w:val="none"/>
              </w:rPr>
            </w:pPr>
            <w:r>
              <w:rPr>
                <w:rFonts w:hint="eastAsia"/>
                <w:color w:val="auto"/>
                <w:highlight w:val="none"/>
              </w:rPr>
              <w:t>（二）区位优势决定广西船舶工业大有作为。江河湖海是船舶工业的保障，只要有江河湖海，就会有船舶行业。西江黄金水道为广西为广西经济发展提供源源不断的动力，广西90%的内河运量及西部地区大量煤炭、水泥等资源，都经过西江航道运往粤港澳大湾区。大藤峡、长洲、红花等水利枢纽、以及未来开通的平陆运河极大地提升了广西船舶运力，为大吨位的船舶制造提供了基础。</w:t>
            </w:r>
          </w:p>
          <w:p>
            <w:pPr>
              <w:spacing w:line="400" w:lineRule="exact"/>
              <w:ind w:firstLine="420" w:firstLineChars="200"/>
              <w:rPr>
                <w:color w:val="auto"/>
                <w:highlight w:val="none"/>
              </w:rPr>
            </w:pPr>
            <w:r>
              <w:rPr>
                <w:rFonts w:hint="eastAsia"/>
                <w:color w:val="auto"/>
                <w:highlight w:val="none"/>
              </w:rPr>
              <w:t>（三）产业基础提供广西船舶工业发展动力。广西造船产业优势明显，尤其内河造船方面，贵港、梧州、南宁等市造船产业发展具有一定的基础，中船钦州基地的建立结束了广西沿海没有大型修造船设施的历史，对加快培育广西北部湾海工装备制造业具有里程碑式的意义，实现了广西高技术、高附加值船舶建造“零”突破；承建的“绿色珠江”工程首批船舶标志着广西具备万吨级造船生产能力。</w:t>
            </w:r>
          </w:p>
          <w:p>
            <w:pPr>
              <w:spacing w:line="400" w:lineRule="exact"/>
              <w:ind w:firstLine="422" w:firstLineChars="200"/>
              <w:rPr>
                <w:b/>
                <w:bCs/>
                <w:color w:val="auto"/>
                <w:highlight w:val="none"/>
              </w:rPr>
            </w:pPr>
            <w:r>
              <w:rPr>
                <w:rFonts w:hint="eastAsia"/>
                <w:b/>
                <w:bCs/>
                <w:color w:val="auto"/>
                <w:highlight w:val="none"/>
              </w:rPr>
              <w:t>二、研究意义</w:t>
            </w:r>
          </w:p>
          <w:p>
            <w:pPr>
              <w:spacing w:line="400" w:lineRule="exact"/>
              <w:ind w:firstLine="420" w:firstLineChars="200"/>
              <w:rPr>
                <w:b/>
                <w:bCs/>
                <w:color w:val="auto"/>
                <w:highlight w:val="none"/>
              </w:rPr>
            </w:pPr>
            <w:r>
              <w:rPr>
                <w:rFonts w:hint="eastAsia"/>
                <w:color w:val="auto"/>
                <w:highlight w:val="none"/>
              </w:rPr>
              <w:t>广西河流纵横，以西江黄金水道为主脉，呈叶脉状分布全区，是整个西南地区唯一的沿海省份，也是中国与东南亚经济联系的枢纽地域。丰富的水运资源催生产业发展，广西形成了以内河船舶制造为主、海洋船舶制造为辅的船舶产业制造规模，但产业基础相对薄弱，仍以“沙滩船厂”为主，产品研发能力不足。船舶制造业作为深海空天产业（未来产业）的重要组成部分，在实施新一轮工业振兴三年行动中，亟需船舶发展路径及对策研究，加快结构调整促进转型升级，推动广西船舶产业高质量发展。</w:t>
            </w:r>
          </w:p>
          <w:p>
            <w:pPr>
              <w:spacing w:line="400" w:lineRule="exact"/>
              <w:ind w:firstLine="422" w:firstLineChars="200"/>
              <w:rPr>
                <w:b/>
                <w:bCs/>
                <w:color w:val="auto"/>
                <w:highlight w:val="none"/>
              </w:rPr>
            </w:pPr>
            <w:r>
              <w:rPr>
                <w:rFonts w:hint="eastAsia"/>
                <w:b/>
                <w:bCs/>
                <w:color w:val="auto"/>
                <w:highlight w:val="none"/>
              </w:rPr>
              <w:t>三、主要研究内容</w:t>
            </w:r>
          </w:p>
          <w:p>
            <w:pPr>
              <w:spacing w:line="400" w:lineRule="exact"/>
              <w:ind w:firstLine="210" w:firstLineChars="100"/>
              <w:rPr>
                <w:color w:val="auto"/>
                <w:highlight w:val="none"/>
              </w:rPr>
            </w:pPr>
            <w:r>
              <w:rPr>
                <w:rFonts w:hint="eastAsia"/>
                <w:color w:val="auto"/>
                <w:highlight w:val="none"/>
              </w:rPr>
              <w:t>一是形成《广西船舶制造业发展路径及对策研究》。</w:t>
            </w:r>
          </w:p>
          <w:p>
            <w:pPr>
              <w:spacing w:line="400" w:lineRule="exact"/>
              <w:ind w:firstLine="210" w:firstLineChars="100"/>
              <w:rPr>
                <w:color w:val="auto"/>
                <w:highlight w:val="none"/>
              </w:rPr>
            </w:pPr>
            <w:r>
              <w:rPr>
                <w:rFonts w:hint="eastAsia"/>
                <w:color w:val="auto"/>
                <w:highlight w:val="none"/>
              </w:rPr>
              <w:t>二是形成广西船舶制造产业全景图。</w:t>
            </w:r>
          </w:p>
          <w:p>
            <w:pPr>
              <w:spacing w:line="400" w:lineRule="exact"/>
              <w:ind w:firstLine="210" w:firstLineChars="100"/>
              <w:rPr>
                <w:color w:val="auto"/>
                <w:highlight w:val="none"/>
              </w:rPr>
            </w:pPr>
            <w:r>
              <w:rPr>
                <w:rFonts w:hint="eastAsia"/>
                <w:color w:val="auto"/>
                <w:highlight w:val="none"/>
              </w:rPr>
              <w:t>三是形成广西船舶制造产业招商思路，为壮大船舶工业提供政策支撑。</w:t>
            </w:r>
          </w:p>
          <w:p>
            <w:pPr>
              <w:spacing w:line="400" w:lineRule="exact"/>
              <w:ind w:firstLine="422" w:firstLineChars="200"/>
              <w:rPr>
                <w:b/>
                <w:bCs/>
                <w:color w:val="auto"/>
                <w:highlight w:val="none"/>
              </w:rPr>
            </w:pPr>
            <w:r>
              <w:rPr>
                <w:rFonts w:hint="eastAsia"/>
                <w:b/>
                <w:bCs/>
                <w:color w:val="auto"/>
                <w:highlight w:val="none"/>
              </w:rPr>
              <w:t>四、工作要求</w:t>
            </w:r>
          </w:p>
          <w:p>
            <w:pPr>
              <w:spacing w:line="400" w:lineRule="exact"/>
              <w:ind w:firstLine="210" w:firstLineChars="100"/>
              <w:rPr>
                <w:color w:val="auto"/>
                <w:highlight w:val="none"/>
              </w:rPr>
            </w:pPr>
            <w:r>
              <w:rPr>
                <w:rFonts w:hint="eastAsia"/>
                <w:color w:val="auto"/>
                <w:highlight w:val="none"/>
              </w:rPr>
              <w:t>▲（一）组织课题组应深入调研，要定期或不定期地向采购人报告研究进展情况，要在提交研究成果的同时，提供主笔、参与写作人员名单，并注明参与合作的人员各自负责撰写的内容和字数。</w:t>
            </w:r>
          </w:p>
          <w:p>
            <w:pPr>
              <w:spacing w:line="400" w:lineRule="exact"/>
              <w:ind w:firstLine="210" w:firstLineChars="100"/>
              <w:rPr>
                <w:color w:val="auto"/>
                <w:highlight w:val="none"/>
              </w:rPr>
            </w:pPr>
            <w:r>
              <w:rPr>
                <w:rFonts w:hint="eastAsia"/>
                <w:color w:val="auto"/>
                <w:highlight w:val="none"/>
              </w:rPr>
              <w:t>（二）采购人对课题研究进行监督，如发现有违规行为，视情况作出相应处理。</w:t>
            </w:r>
          </w:p>
          <w:p>
            <w:pPr>
              <w:spacing w:line="400" w:lineRule="exact"/>
              <w:ind w:firstLine="210" w:firstLineChars="100"/>
              <w:rPr>
                <w:color w:val="auto"/>
                <w:highlight w:val="none"/>
              </w:rPr>
            </w:pPr>
            <w:r>
              <w:rPr>
                <w:rFonts w:hint="eastAsia"/>
                <w:color w:val="auto"/>
                <w:highlight w:val="none"/>
              </w:rPr>
              <w:t>▲（三）进度要求：</w:t>
            </w:r>
          </w:p>
          <w:p>
            <w:pPr>
              <w:spacing w:line="400" w:lineRule="exact"/>
              <w:ind w:firstLine="210" w:firstLineChars="100"/>
              <w:rPr>
                <w:color w:val="auto"/>
                <w:highlight w:val="none"/>
              </w:rPr>
            </w:pPr>
            <w:r>
              <w:rPr>
                <w:rFonts w:hint="eastAsia"/>
                <w:color w:val="auto"/>
                <w:highlight w:val="none"/>
              </w:rPr>
              <w:t>1、课题开题：2024年</w:t>
            </w:r>
            <w:r>
              <w:rPr>
                <w:rFonts w:hint="eastAsia"/>
                <w:color w:val="auto"/>
                <w:highlight w:val="none"/>
                <w:lang w:val="en-US" w:eastAsia="zh-CN"/>
              </w:rPr>
              <w:t>7</w:t>
            </w:r>
            <w:r>
              <w:rPr>
                <w:rFonts w:hint="eastAsia"/>
                <w:color w:val="auto"/>
                <w:highlight w:val="none"/>
              </w:rPr>
              <w:t>月底前</w:t>
            </w:r>
          </w:p>
          <w:p>
            <w:pPr>
              <w:spacing w:line="400" w:lineRule="exact"/>
              <w:ind w:firstLine="210" w:firstLineChars="100"/>
              <w:rPr>
                <w:color w:val="auto"/>
                <w:highlight w:val="none"/>
              </w:rPr>
            </w:pPr>
            <w:r>
              <w:rPr>
                <w:rFonts w:hint="eastAsia"/>
                <w:color w:val="auto"/>
                <w:highlight w:val="none"/>
              </w:rPr>
              <w:t>2、中期交流：2024年8月底前</w:t>
            </w:r>
          </w:p>
          <w:p>
            <w:pPr>
              <w:spacing w:line="400" w:lineRule="exact"/>
              <w:ind w:firstLine="210" w:firstLineChars="100"/>
              <w:rPr>
                <w:color w:val="auto"/>
                <w:highlight w:val="none"/>
              </w:rPr>
            </w:pPr>
            <w:r>
              <w:rPr>
                <w:rFonts w:hint="eastAsia"/>
                <w:color w:val="auto"/>
                <w:highlight w:val="none"/>
              </w:rPr>
              <w:t>3、课题评审：2024年9月底前</w:t>
            </w:r>
          </w:p>
          <w:p>
            <w:pPr>
              <w:spacing w:line="400" w:lineRule="exact"/>
              <w:ind w:firstLine="210" w:firstLineChars="100"/>
              <w:rPr>
                <w:color w:val="auto"/>
                <w:highlight w:val="none"/>
              </w:rPr>
            </w:pPr>
            <w:r>
              <w:rPr>
                <w:rFonts w:hint="eastAsia"/>
                <w:color w:val="auto"/>
                <w:highlight w:val="none"/>
              </w:rPr>
              <w:t>4、课题验收：2024年9月底前</w:t>
            </w:r>
          </w:p>
          <w:p>
            <w:pPr>
              <w:spacing w:line="400" w:lineRule="exact"/>
              <w:ind w:firstLine="210" w:firstLineChars="100"/>
              <w:rPr>
                <w:color w:val="auto"/>
                <w:highlight w:val="none"/>
              </w:rPr>
            </w:pPr>
            <w:r>
              <w:rPr>
                <w:rFonts w:hint="eastAsia"/>
                <w:color w:val="auto"/>
                <w:highlight w:val="none"/>
              </w:rPr>
              <w:t>5、成果备案：2024年12月底前</w:t>
            </w:r>
          </w:p>
          <w:p>
            <w:pPr>
              <w:spacing w:line="400" w:lineRule="exact"/>
              <w:ind w:firstLine="210" w:firstLineChars="100"/>
              <w:rPr>
                <w:color w:val="auto"/>
                <w:highlight w:val="none"/>
              </w:rPr>
            </w:pPr>
            <w:r>
              <w:rPr>
                <w:rFonts w:hint="eastAsia"/>
                <w:color w:val="auto"/>
                <w:highlight w:val="none"/>
              </w:rPr>
              <w:t>▲（四）广西船舶制造业发展路径及对策研究，应按合同约定的时间向采购人提交成果。研究成果归采购人所有，不能做其他用途。</w:t>
            </w:r>
          </w:p>
          <w:p>
            <w:pPr>
              <w:spacing w:line="400" w:lineRule="exact"/>
              <w:ind w:firstLine="422" w:firstLineChars="200"/>
              <w:rPr>
                <w:b/>
                <w:bCs/>
                <w:color w:val="auto"/>
                <w:highlight w:val="none"/>
              </w:rPr>
            </w:pPr>
            <w:r>
              <w:rPr>
                <w:rFonts w:hint="eastAsia"/>
                <w:b/>
                <w:bCs/>
                <w:color w:val="auto"/>
                <w:highlight w:val="none"/>
              </w:rPr>
              <w:t>五、人员要求</w:t>
            </w:r>
          </w:p>
          <w:p>
            <w:pPr>
              <w:spacing w:line="400" w:lineRule="exact"/>
              <w:ind w:firstLine="210" w:firstLineChars="100"/>
              <w:rPr>
                <w:color w:val="auto"/>
                <w:highlight w:val="none"/>
              </w:rPr>
            </w:pPr>
            <w:r>
              <w:rPr>
                <w:rFonts w:hint="eastAsia"/>
                <w:color w:val="auto"/>
                <w:highlight w:val="none"/>
              </w:rPr>
              <w:t>（一）投标人需针对课题项目研究的需要组成课题组，其成员的数量、业务骨干所占比重和专业构成要符合课题项目的要求，课题组可在研究过程中视具体情况向采购人书面申请更改研究人员，否则该课题负责人将为其违约行为承担责任。</w:t>
            </w:r>
          </w:p>
          <w:p>
            <w:pPr>
              <w:spacing w:line="400" w:lineRule="exact"/>
              <w:ind w:firstLine="210" w:firstLineChars="100"/>
              <w:rPr>
                <w:color w:val="auto"/>
                <w:highlight w:val="none"/>
              </w:rPr>
            </w:pPr>
            <w:r>
              <w:rPr>
                <w:rFonts w:hint="eastAsia"/>
                <w:color w:val="auto"/>
                <w:highlight w:val="none"/>
              </w:rPr>
              <w:t>▲（二）课题负责人须具有正高级专业技术职称，如无上述条件者须持有两名或以上高级专业技术职称者的书面推荐（推荐书中必须附有推荐人的高级专业技术职称证书作为证明材料）。</w:t>
            </w:r>
          </w:p>
          <w:p>
            <w:pPr>
              <w:spacing w:line="400" w:lineRule="exact"/>
              <w:ind w:firstLine="210" w:firstLineChars="100"/>
              <w:rPr>
                <w:color w:val="auto"/>
                <w:highlight w:val="none"/>
              </w:rPr>
            </w:pPr>
            <w:r>
              <w:rPr>
                <w:rFonts w:hint="eastAsia"/>
                <w:color w:val="auto"/>
                <w:highlight w:val="none"/>
              </w:rPr>
              <w:t>▲（三）课题组前3名主要研究成员（含课题负责人）应为硕士研究生（含硕士研究生）以上学历或具有高级专业技术职称（二者满足其一即可，需提供相关证书复印件），所从事工作和研究领域应与课题研究领域相关。</w:t>
            </w:r>
          </w:p>
          <w:p>
            <w:pPr>
              <w:widowControl/>
              <w:spacing w:line="400" w:lineRule="exact"/>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六、成果验收</w:t>
            </w:r>
          </w:p>
          <w:p>
            <w:pPr>
              <w:spacing w:line="400" w:lineRule="exact"/>
              <w:ind w:firstLine="210" w:firstLineChars="100"/>
              <w:rPr>
                <w:color w:val="auto"/>
                <w:highlight w:val="none"/>
              </w:rPr>
            </w:pPr>
            <w:r>
              <w:rPr>
                <w:rFonts w:hint="eastAsia"/>
                <w:color w:val="auto"/>
                <w:highlight w:val="none"/>
              </w:rPr>
              <w:t>（一）课题研究任务完成后，由采购人根据课题涉密等级，成立研究成果评审验收委员会，组织专家对课题研究成果进行评审验收。</w:t>
            </w:r>
          </w:p>
          <w:p>
            <w:pPr>
              <w:spacing w:line="400" w:lineRule="exact"/>
              <w:ind w:firstLine="210" w:firstLineChars="100"/>
              <w:rPr>
                <w:color w:val="auto"/>
                <w:highlight w:val="none"/>
              </w:rPr>
            </w:pPr>
            <w:r>
              <w:rPr>
                <w:rFonts w:hint="eastAsia"/>
                <w:color w:val="auto"/>
                <w:highlight w:val="none"/>
              </w:rPr>
              <w:t>▲（二）研究成果通过评审验收后，课题组必须报送如下材料的纸质版和电子版各1份：</w:t>
            </w:r>
          </w:p>
          <w:p>
            <w:pPr>
              <w:spacing w:line="400" w:lineRule="exact"/>
              <w:ind w:firstLine="210" w:firstLineChars="100"/>
              <w:rPr>
                <w:color w:val="auto"/>
                <w:highlight w:val="none"/>
              </w:rPr>
            </w:pPr>
            <w:r>
              <w:rPr>
                <w:rFonts w:hint="eastAsia"/>
                <w:color w:val="auto"/>
                <w:highlight w:val="none"/>
              </w:rPr>
              <w:t>一是形成《广西船舶制造业发展路径及对策研究》，内容包括但不限于广西船舶制造业发展现状，区外省份船舶制造业发展借鉴案例，我区船舶制造业发展条件分析，制约产业发展的问题分析，着重分析发展路径及对策，研究适配平陆运河船只设计制造，对加强造船行业集群化龙头化发展提出政策措施建议，改变只统计加工费的现状，推动行业做强做大做规范，提高数据统计质量，对船舶制造全过程应统尽统。</w:t>
            </w:r>
          </w:p>
          <w:p>
            <w:pPr>
              <w:spacing w:line="400" w:lineRule="exact"/>
              <w:ind w:firstLine="210" w:firstLineChars="100"/>
              <w:rPr>
                <w:color w:val="auto"/>
                <w:highlight w:val="none"/>
              </w:rPr>
            </w:pPr>
            <w:r>
              <w:rPr>
                <w:rFonts w:hint="eastAsia"/>
                <w:color w:val="auto"/>
                <w:highlight w:val="none"/>
              </w:rPr>
              <w:t>二是形成广西船舶制造产业全景图，分析强链补链延链环节。</w:t>
            </w:r>
          </w:p>
          <w:p>
            <w:pPr>
              <w:spacing w:line="400" w:lineRule="exact"/>
              <w:ind w:firstLine="210" w:firstLineChars="100"/>
              <w:rPr>
                <w:color w:val="auto"/>
                <w:highlight w:val="none"/>
              </w:rPr>
            </w:pPr>
            <w:r>
              <w:rPr>
                <w:rFonts w:hint="eastAsia"/>
                <w:color w:val="auto"/>
                <w:highlight w:val="none"/>
              </w:rPr>
              <w:t>三是形成《广西船舶造修企业生产条件和设计单位设计条件评价实施办法（试行）》（暂定名）。</w:t>
            </w:r>
          </w:p>
          <w:p>
            <w:pPr>
              <w:spacing w:line="400" w:lineRule="exact"/>
              <w:ind w:firstLine="210" w:firstLineChars="100"/>
              <w:rPr>
                <w:color w:val="auto"/>
                <w:highlight w:val="none"/>
              </w:rPr>
            </w:pPr>
            <w:r>
              <w:rPr>
                <w:rFonts w:hint="eastAsia"/>
                <w:color w:val="auto"/>
                <w:highlight w:val="none"/>
              </w:rPr>
              <w:t>（三）评审验收的标准与内容</w:t>
            </w:r>
          </w:p>
          <w:p>
            <w:pPr>
              <w:spacing w:line="400" w:lineRule="exact"/>
              <w:ind w:firstLine="210" w:firstLineChars="100"/>
              <w:rPr>
                <w:color w:val="auto"/>
                <w:highlight w:val="none"/>
              </w:rPr>
            </w:pPr>
            <w:r>
              <w:rPr>
                <w:rFonts w:hint="eastAsia"/>
                <w:color w:val="auto"/>
                <w:highlight w:val="none"/>
              </w:rPr>
              <w:t>1.课题研究的技术路线是否正确，研究方法是否科学。</w:t>
            </w:r>
          </w:p>
          <w:p>
            <w:pPr>
              <w:spacing w:line="400" w:lineRule="exact"/>
              <w:ind w:firstLine="210" w:firstLineChars="100"/>
              <w:rPr>
                <w:color w:val="auto"/>
                <w:highlight w:val="none"/>
              </w:rPr>
            </w:pPr>
            <w:r>
              <w:rPr>
                <w:rFonts w:hint="eastAsia"/>
                <w:color w:val="auto"/>
                <w:highlight w:val="none"/>
              </w:rPr>
              <w:t>2.课题研究所使用的资料、数据是否准确、完整、详实、可信，论证的方法是否可靠，推算结论是否具有实践的检验性。</w:t>
            </w:r>
          </w:p>
          <w:p>
            <w:pPr>
              <w:spacing w:line="400" w:lineRule="exact"/>
              <w:ind w:firstLine="210" w:firstLineChars="100"/>
              <w:rPr>
                <w:color w:val="auto"/>
                <w:highlight w:val="none"/>
              </w:rPr>
            </w:pPr>
            <w:r>
              <w:rPr>
                <w:rFonts w:hint="eastAsia"/>
                <w:color w:val="auto"/>
                <w:highlight w:val="none"/>
              </w:rPr>
              <w:t>3.课题成果有无理论意义、实践意义，观点是否正确，论据是否充分，在理论和实践上有何创新，填补了哪些方面研究的空白，对策或政策建议是否具有可操作性，可以预期的经济效益、社会效益和理论价值、实践价值如何。</w:t>
            </w:r>
          </w:p>
          <w:p>
            <w:pPr>
              <w:spacing w:line="400" w:lineRule="exact"/>
              <w:ind w:firstLine="210" w:firstLineChars="100"/>
              <w:rPr>
                <w:color w:val="auto"/>
                <w:highlight w:val="none"/>
              </w:rPr>
            </w:pPr>
            <w:r>
              <w:rPr>
                <w:rFonts w:hint="eastAsia"/>
                <w:color w:val="auto"/>
                <w:highlight w:val="none"/>
              </w:rPr>
              <w:t>4.课题成果尚存在哪些问题与不足，需要作出哪些方面的补充、修改和完善。</w:t>
            </w:r>
          </w:p>
          <w:p>
            <w:pPr>
              <w:spacing w:line="400" w:lineRule="exact"/>
              <w:ind w:firstLine="210" w:firstLineChars="100"/>
              <w:rPr>
                <w:color w:val="auto"/>
                <w:highlight w:val="none"/>
              </w:rPr>
            </w:pPr>
            <w:r>
              <w:rPr>
                <w:rFonts w:hint="eastAsia"/>
                <w:color w:val="auto"/>
                <w:highlight w:val="none"/>
              </w:rPr>
              <w:t>5.课题研究成果是否通过鉴定，达到何种水平。</w:t>
            </w:r>
          </w:p>
          <w:p>
            <w:pPr>
              <w:spacing w:line="400" w:lineRule="exact"/>
              <w:ind w:firstLine="210" w:firstLineChars="100"/>
              <w:rPr>
                <w:color w:val="auto"/>
                <w:highlight w:val="none"/>
              </w:rPr>
            </w:pPr>
            <w:r>
              <w:rPr>
                <w:rFonts w:hint="eastAsia"/>
                <w:color w:val="auto"/>
                <w:highlight w:val="none"/>
              </w:rPr>
              <w:t>（四）采购人根据评审验收委员会的评审意见，提出该课题研究成果是否通过验收的意见，提交采购人审定。</w:t>
            </w:r>
          </w:p>
          <w:p>
            <w:pPr>
              <w:spacing w:line="400" w:lineRule="exact"/>
              <w:ind w:firstLine="210" w:firstLineChars="100"/>
              <w:rPr>
                <w:color w:val="auto"/>
                <w:highlight w:val="none"/>
              </w:rPr>
            </w:pPr>
            <w:r>
              <w:rPr>
                <w:rFonts w:hint="eastAsia"/>
                <w:color w:val="auto"/>
                <w:highlight w:val="none"/>
              </w:rPr>
              <w:t>▲（五）课题组在合同规定结题日期内上交研究成果，由采购人组织专家对研究成果进行集中或通讯评审验收。若课题研究成果评审未通过，课题组必须根据评审专家提出的意见及建议进行进一步修改完善，由采购人另行组织复审，复审费用由课题组承担，若复审仍未通过，按合同约定予以撤项，剩余课题研究经费不再支付，退回自治区财政。</w:t>
            </w:r>
          </w:p>
          <w:p>
            <w:pPr>
              <w:spacing w:line="400" w:lineRule="exact"/>
              <w:ind w:firstLine="210" w:firstLineChars="100"/>
              <w:rPr>
                <w:color w:val="auto"/>
                <w:highlight w:val="none"/>
              </w:rPr>
            </w:pPr>
            <w:r>
              <w:rPr>
                <w:rFonts w:hint="eastAsia"/>
                <w:color w:val="auto"/>
                <w:highlight w:val="none"/>
              </w:rPr>
              <w:t>▲（六）因不可抗力原因需要延期验收的课题，课题组须向采购方提出书面申请。经批准后在一定期限内仍无法完成研究任务的，应提前报告并办理撤项手续。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color w:val="auto"/>
                <w:szCs w:val="21"/>
                <w:highlight w:val="none"/>
              </w:rPr>
              <w:t>▲二、</w:t>
            </w:r>
            <w:r>
              <w:rPr>
                <w:rFonts w:hint="eastAsia" w:ascii="宋体" w:hAnsi="宋体" w:cs="宋体"/>
                <w:b/>
                <w:color w:val="auto"/>
                <w:szCs w:val="21"/>
                <w:highlight w:val="none"/>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合同签订期</w:t>
            </w:r>
          </w:p>
        </w:tc>
        <w:tc>
          <w:tcPr>
            <w:tcW w:w="7878" w:type="dxa"/>
            <w:gridSpan w:val="3"/>
            <w:tcBorders>
              <w:top w:val="single" w:color="auto" w:sz="4" w:space="0"/>
              <w:left w:val="single" w:color="auto" w:sz="4" w:space="0"/>
              <w:bottom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自成交通知书发出之日起15个日历日内。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提交服务成果时间</w:t>
            </w:r>
          </w:p>
        </w:tc>
        <w:tc>
          <w:tcPr>
            <w:tcW w:w="7878" w:type="dxa"/>
            <w:gridSpan w:val="3"/>
            <w:tcBorders>
              <w:top w:val="single" w:color="auto" w:sz="4" w:space="0"/>
              <w:left w:val="single" w:color="auto" w:sz="4" w:space="0"/>
              <w:bottom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2024年12月底前。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服务地点</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广西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付款方式</w:t>
            </w:r>
          </w:p>
        </w:tc>
        <w:tc>
          <w:tcPr>
            <w:tcW w:w="7878" w:type="dxa"/>
            <w:gridSpan w:val="3"/>
            <w:tcBorders>
              <w:top w:val="single" w:color="auto" w:sz="4" w:space="0"/>
              <w:left w:val="single" w:color="auto" w:sz="4" w:space="0"/>
              <w:bottom w:val="single" w:color="auto" w:sz="4" w:space="0"/>
            </w:tcBorders>
          </w:tcPr>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1.分两次拨付：</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（1）签订课题研究合同后，首次拨付合同金额的50%作为课题研究启动资金；</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（2）研究成果经专家评审验收后，课题组根据专家评审验收时提出的意见建议以及采购人的要求修改完善研究成果，并经采购人审核通过后拨付合同金额剩余的50%。</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2.评审验收未达到合同规定要求的课题研究成果，课题组必须根据评审验收委员会的意见和建议，在规定的时间内进行修改、补充和完善。重新验收仍不合格的按违约予以撤项。剩余50%课题研究经费不再拨付。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验收标准</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1.验收小组在服务的质量和数量及其他验收时，对照招标文件、投标文件及政府采购合同的功能目标及技术指标进行抽查核对，对所有要求出具的证明文件的原件进行核查，如不符合招标文件的技术需求及要求以及提供虚假承诺的，应及时书面向采购人反映。经确认属质量等问题的，采购人当及时与中标人进行交涉，追究其违约责任。中标人承担所有责任和费用，采购人保留进一步追究责任的权利。</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2.其他未尽事宜应严格按照《关于印发广西壮族自治区政府采购项目履约验收管理办法的通知》[桂财采〔2015〕22号]以及《财政部关于进一步加强政府采购需求和履约验收管理的指导意见》[财库〔2016〕205号]规定执行。</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3.本项目《采购需求》有其他要求的按其要求执行。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b/>
                <w:color w:val="auto"/>
                <w:szCs w:val="21"/>
                <w:highlight w:val="none"/>
              </w:rPr>
              <w:t>三、其他要求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▲特别说明</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供应商在投标文件中提供的所有证件材料必须真实有效，否则采购人依据相关法律规定追究供应商的责任，由此带来的一切损失由供应商自行承担，供应商不得做任何辩解。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color w:val="auto"/>
                <w:spacing w:val="-1"/>
                <w:szCs w:val="21"/>
                <w:highlight w:val="none"/>
              </w:rPr>
              <w:t>负偏离要求</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服务需求评审中允许负偏离的条款数为</w:t>
            </w:r>
            <w:r>
              <w:rPr>
                <w:rFonts w:hint="eastAsia" w:ascii="宋体" w:hAnsi="宋体" w:cs="宋体"/>
                <w:color w:val="auto"/>
                <w:szCs w:val="21"/>
                <w:highlight w:val="none"/>
                <w:u w:val="single"/>
              </w:rPr>
              <w:t xml:space="preserve"> 0</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报价要求</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.按总价报价，报价超出采购预算按投标无效处理，投标报价由供应商按自身情况和承受能力进行报价。</w:t>
            </w:r>
          </w:p>
          <w:p>
            <w:pPr>
              <w:tabs>
                <w:tab w:val="left" w:pos="312"/>
              </w:tabs>
              <w:spacing w:line="400" w:lineRule="exac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.供应商的竞标报价均已包括了承担相应服务工作所需的劳务费、技术服务费、编审、交通、通讯、保险、税费和利润等一切费用，国家规定的相关调整系数自行考虑在内。合同期内，下浮系数不再调整。</w:t>
            </w:r>
          </w:p>
          <w:p>
            <w:pPr>
              <w:tabs>
                <w:tab w:val="left" w:pos="312"/>
              </w:tabs>
              <w:spacing w:line="400" w:lineRule="exact"/>
              <w:rPr>
                <w:rFonts w:ascii="宋体" w:hAnsi="宋体" w:cs="宋体"/>
                <w:bCs/>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.本项目为总价包干，</w:t>
            </w:r>
            <w:r>
              <w:rPr>
                <w:rFonts w:hint="eastAsia"/>
                <w:color w:val="auto"/>
                <w:highlight w:val="none"/>
              </w:rPr>
              <w:t>课题研究成果通过鉴定</w:t>
            </w:r>
            <w:r>
              <w:rPr>
                <w:rFonts w:hint="eastAsia" w:ascii="宋体" w:hAnsi="宋体" w:cs="宋体"/>
                <w:color w:val="auto"/>
                <w:szCs w:val="21"/>
                <w:highlight w:val="none"/>
              </w:rPr>
              <w:t>后采购人支付全部价款。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其他要求</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1.供应商保证针对本项目涉及到的知识产权和所提供的相关技术资料是合法取得，不会因为采购人的使用而被责令停止使用、追偿或要求赔偿损失，如出现此情况，一切经济和法律责任均由供应商承担。</w:t>
            </w:r>
          </w:p>
        </w:tc>
      </w:tr>
    </w:tbl>
    <w:p>
      <w:pPr>
        <w:rPr>
          <w:color w:val="auto"/>
          <w:highlight w:val="none"/>
        </w:rPr>
      </w:pPr>
    </w:p>
    <w:p>
      <w:pPr>
        <w:rPr>
          <w:color w:val="auto"/>
          <w:highlight w:val="none"/>
        </w:rPr>
      </w:pPr>
      <w:r>
        <w:rPr>
          <w:rFonts w:hint="eastAsia"/>
          <w:color w:val="auto"/>
          <w:highlight w:val="none"/>
        </w:rPr>
        <w:br w:type="page"/>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分标16采购预算：15万元</w:t>
      </w:r>
    </w:p>
    <w:tbl>
      <w:tblPr>
        <w:tblStyle w:val="34"/>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1"/>
        <w:gridCol w:w="759"/>
        <w:gridCol w:w="359"/>
        <w:gridCol w:w="692"/>
        <w:gridCol w:w="68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41" w:type="dxa"/>
            <w:tcBorders>
              <w:top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序号</w:t>
            </w:r>
          </w:p>
        </w:tc>
        <w:tc>
          <w:tcPr>
            <w:tcW w:w="1118" w:type="dxa"/>
            <w:gridSpan w:val="2"/>
            <w:tcBorders>
              <w:top w:val="single" w:color="auto" w:sz="4" w:space="0"/>
              <w:left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标的名称</w:t>
            </w:r>
          </w:p>
        </w:tc>
        <w:tc>
          <w:tcPr>
            <w:tcW w:w="692" w:type="dxa"/>
            <w:tcBorders>
              <w:top w:val="single" w:color="auto" w:sz="4" w:space="0"/>
              <w:left w:val="single" w:color="auto" w:sz="4" w:space="0"/>
              <w:bottom w:val="single" w:color="auto" w:sz="4" w:space="0"/>
              <w:right w:val="single" w:color="auto" w:sz="4" w:space="0"/>
            </w:tcBorders>
          </w:tcPr>
          <w:p>
            <w:pPr>
              <w:tabs>
                <w:tab w:val="left" w:pos="180"/>
                <w:tab w:val="left" w:pos="1620"/>
              </w:tabs>
              <w:spacing w:line="400" w:lineRule="exact"/>
              <w:rPr>
                <w:rFonts w:ascii="宋体" w:hAnsi="宋体" w:cs="宋体"/>
                <w:b/>
                <w:color w:val="auto"/>
                <w:szCs w:val="21"/>
                <w:highlight w:val="none"/>
              </w:rPr>
            </w:pPr>
            <w:r>
              <w:rPr>
                <w:rFonts w:hint="eastAsia" w:ascii="宋体" w:hAnsi="宋体" w:cs="宋体"/>
                <w:b/>
                <w:color w:val="auto"/>
                <w:szCs w:val="21"/>
                <w:highlight w:val="none"/>
              </w:rPr>
              <w:t>数量</w:t>
            </w:r>
          </w:p>
        </w:tc>
        <w:tc>
          <w:tcPr>
            <w:tcW w:w="6827" w:type="dxa"/>
            <w:tcBorders>
              <w:top w:val="single" w:color="auto" w:sz="4" w:space="0"/>
              <w:left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b/>
                <w:color w:val="auto"/>
                <w:szCs w:val="21"/>
                <w:highlight w:val="none"/>
              </w:rPr>
              <w:t>主要内容及服务要求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71" w:hRule="atLeast"/>
          <w:jc w:val="center"/>
        </w:trPr>
        <w:tc>
          <w:tcPr>
            <w:tcW w:w="641" w:type="dxa"/>
            <w:tcBorders>
              <w:top w:val="single" w:color="auto" w:sz="4" w:space="0"/>
              <w:bottom w:val="single" w:color="auto" w:sz="4" w:space="0"/>
              <w:right w:val="single" w:color="auto" w:sz="4" w:space="0"/>
            </w:tcBorders>
          </w:tcPr>
          <w:p>
            <w:pPr>
              <w:spacing w:line="400" w:lineRule="exact"/>
              <w:rPr>
                <w:rFonts w:ascii="宋体" w:hAnsi="宋体" w:cs="宋体"/>
                <w:b/>
                <w:color w:val="auto"/>
                <w:szCs w:val="21"/>
                <w:highlight w:val="none"/>
              </w:rPr>
            </w:pPr>
            <w:r>
              <w:rPr>
                <w:rFonts w:hint="eastAsia" w:ascii="宋体" w:hAnsi="宋体" w:cs="宋体"/>
                <w:b/>
                <w:bCs/>
                <w:color w:val="auto"/>
                <w:kern w:val="0"/>
                <w:szCs w:val="21"/>
                <w:highlight w:val="none"/>
              </w:rPr>
              <w:t>1</w:t>
            </w:r>
          </w:p>
        </w:tc>
        <w:tc>
          <w:tcPr>
            <w:tcW w:w="1118"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广西电子信息制造业突破发展研究</w:t>
            </w:r>
          </w:p>
        </w:tc>
        <w:tc>
          <w:tcPr>
            <w:tcW w:w="692" w:type="dxa"/>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1项</w:t>
            </w:r>
          </w:p>
        </w:tc>
        <w:tc>
          <w:tcPr>
            <w:tcW w:w="6827" w:type="dxa"/>
            <w:tcBorders>
              <w:top w:val="single" w:color="auto" w:sz="4" w:space="0"/>
              <w:bottom w:val="single" w:color="auto" w:sz="4" w:space="0"/>
            </w:tcBorders>
          </w:tcPr>
          <w:p>
            <w:pPr>
              <w:spacing w:line="400" w:lineRule="exact"/>
              <w:rPr>
                <w:b/>
                <w:bCs/>
                <w:color w:val="auto"/>
                <w:highlight w:val="none"/>
              </w:rPr>
            </w:pPr>
            <w:r>
              <w:rPr>
                <w:rFonts w:hint="eastAsia"/>
                <w:b/>
                <w:bCs/>
                <w:color w:val="auto"/>
                <w:highlight w:val="none"/>
              </w:rPr>
              <w:t>一、立项背景</w:t>
            </w:r>
          </w:p>
          <w:p>
            <w:pPr>
              <w:spacing w:line="400" w:lineRule="exact"/>
              <w:rPr>
                <w:color w:val="auto"/>
                <w:highlight w:val="none"/>
              </w:rPr>
            </w:pPr>
            <w:r>
              <w:rPr>
                <w:rFonts w:hint="eastAsia"/>
                <w:color w:val="auto"/>
                <w:highlight w:val="none"/>
              </w:rPr>
              <w:t>（一）电子信息制造业是国民经济的战略性、基础性、先导性产业，规模总量大、产业链条长、涉及领域广，是稳定工业经济增长、维护国家政治经济安全的重要领域。2023年，广西电子信息制造业规上工业产值1295.5亿元，同比下降14.8%。计算机、通信和其他电子设备制造业11种重点产品中，8种产品产量同比下降，降幅较多的有：组合音响产量下降近7成，电视接收机顶盒产量下降超5成，路由器、电子元件产量下降超4成。当前，广西电子信息制造业正在面临“瓶颈期”和“阵痛期”，产业亟需转型升级谋求新的增长点和突破口。</w:t>
            </w:r>
          </w:p>
          <w:p>
            <w:pPr>
              <w:spacing w:line="400" w:lineRule="exact"/>
              <w:rPr>
                <w:color w:val="auto"/>
                <w:highlight w:val="none"/>
              </w:rPr>
            </w:pPr>
            <w:r>
              <w:rPr>
                <w:rFonts w:hint="eastAsia"/>
                <w:color w:val="auto"/>
                <w:highlight w:val="none"/>
              </w:rPr>
              <w:t>（二）2023年8月，自治区政府办印发《中国—东盟产业合作区建设实施方案》，其中纳入中国—东盟产业合作区的7个片区中，有5个片区（南宁、北海、防城港、钦州、崇左）提出明确将电子信息作为重点发展的主导产业。下一步，如何合理指导各相关市做好电子信息产业的规划布局和错位发展，整合产业园区，加强政策协同，承接产业转移，避免重复建设和恶性竞争，将作为课题研究的一项重要内容。</w:t>
            </w:r>
          </w:p>
          <w:p>
            <w:pPr>
              <w:spacing w:line="400" w:lineRule="exact"/>
              <w:rPr>
                <w:b/>
                <w:bCs/>
                <w:color w:val="auto"/>
                <w:highlight w:val="none"/>
              </w:rPr>
            </w:pPr>
            <w:r>
              <w:rPr>
                <w:rFonts w:hint="eastAsia"/>
                <w:b/>
                <w:bCs/>
                <w:color w:val="auto"/>
                <w:highlight w:val="none"/>
              </w:rPr>
              <w:t>二、研究意义</w:t>
            </w:r>
          </w:p>
          <w:p>
            <w:pPr>
              <w:spacing w:line="400" w:lineRule="exact"/>
              <w:ind w:firstLine="210" w:firstLineChars="100"/>
              <w:rPr>
                <w:color w:val="auto"/>
                <w:highlight w:val="none"/>
              </w:rPr>
            </w:pPr>
            <w:r>
              <w:rPr>
                <w:rFonts w:hint="eastAsia"/>
                <w:color w:val="auto"/>
                <w:highlight w:val="none"/>
              </w:rPr>
              <w:t>当前，全球电子信息产业链供应链面临深刻调整和变革，美西方以“脱钩断链”“小院高墙”为着力点全面发起对华产业链的“打压式”竞争持续发酵，广西以富士康为代表的一批电子信息加贸企业正在加速向东南亚等国家转移，我区行业发展面临较大下行压力，开展相关研究，有助于了解当前电子信息产品市场需求变化、行业发展趋势，有针对性地提出促进行业稳存量、挖掘新增量的对策措施。同时，根据国家支持新时代壮美广西建设重要文件精神，中央赋予广西在承接产业转移过程中维护国家产业链供应链安全稳定作用，开展本课题研究，有助于分析产业转移过程中广西承接电子信息产业的哪些核心环节、哪些关键产品，为我区电子信息制造业实现转型升级，打造跨境跨区域发展体系指明前进方向。</w:t>
            </w:r>
          </w:p>
          <w:p>
            <w:pPr>
              <w:numPr>
                <w:ilvl w:val="0"/>
                <w:numId w:val="1"/>
              </w:numPr>
              <w:spacing w:line="400" w:lineRule="exact"/>
              <w:rPr>
                <w:b/>
                <w:bCs/>
                <w:color w:val="auto"/>
                <w:highlight w:val="none"/>
              </w:rPr>
            </w:pPr>
            <w:r>
              <w:rPr>
                <w:rFonts w:hint="eastAsia"/>
                <w:b/>
                <w:bCs/>
                <w:color w:val="auto"/>
                <w:highlight w:val="none"/>
              </w:rPr>
              <w:t>主要研究内容</w:t>
            </w:r>
          </w:p>
          <w:p>
            <w:pPr>
              <w:spacing w:line="400" w:lineRule="exact"/>
              <w:ind w:firstLine="420" w:firstLineChars="200"/>
              <w:rPr>
                <w:color w:val="auto"/>
                <w:highlight w:val="none"/>
              </w:rPr>
            </w:pPr>
            <w:r>
              <w:rPr>
                <w:rFonts w:hint="eastAsia"/>
                <w:color w:val="auto"/>
                <w:highlight w:val="none"/>
              </w:rPr>
              <w:t xml:space="preserve">一是调研了解国内重点区域特别是粤港澳大湾区、长江经济带、成渝地区等电子信息产业发展情况，分析行业发展趋势等。 </w:t>
            </w:r>
          </w:p>
          <w:p>
            <w:pPr>
              <w:spacing w:line="400" w:lineRule="exact"/>
              <w:ind w:firstLine="420" w:firstLineChars="200"/>
              <w:rPr>
                <w:color w:val="auto"/>
                <w:highlight w:val="none"/>
              </w:rPr>
            </w:pPr>
            <w:r>
              <w:rPr>
                <w:rFonts w:hint="eastAsia"/>
                <w:color w:val="auto"/>
                <w:highlight w:val="none"/>
              </w:rPr>
              <w:t>二是梳理广西电子信息产业产品结构特点，与汽车、机械等传统产业及新能源电池、人工智能、元宇宙等新兴产业和未来产业的关联，增强电子产品等硬件支撑。</w:t>
            </w:r>
          </w:p>
          <w:p>
            <w:pPr>
              <w:spacing w:line="400" w:lineRule="exact"/>
              <w:ind w:firstLine="420" w:firstLineChars="200"/>
              <w:rPr>
                <w:color w:val="auto"/>
                <w:highlight w:val="none"/>
              </w:rPr>
            </w:pPr>
            <w:r>
              <w:rPr>
                <w:rFonts w:hint="eastAsia"/>
                <w:color w:val="auto"/>
                <w:highlight w:val="none"/>
              </w:rPr>
              <w:t>三是分析广西与越南等东盟国家电子信息产业中间品的关联，研究跨境跨区域产业合作可行性和发展空间。</w:t>
            </w:r>
          </w:p>
          <w:p>
            <w:pPr>
              <w:spacing w:line="400" w:lineRule="exact"/>
              <w:ind w:firstLine="420" w:firstLineChars="200"/>
              <w:rPr>
                <w:color w:val="auto"/>
                <w:highlight w:val="none"/>
              </w:rPr>
            </w:pPr>
            <w:r>
              <w:rPr>
                <w:rFonts w:hint="eastAsia"/>
                <w:color w:val="auto"/>
                <w:highlight w:val="none"/>
              </w:rPr>
              <w:t>四是提出广西电子信息产业重点抓的方向、目标产品、重点招引对象和方法路径。</w:t>
            </w:r>
          </w:p>
          <w:p>
            <w:pPr>
              <w:spacing w:line="400" w:lineRule="exact"/>
              <w:rPr>
                <w:b/>
                <w:bCs/>
                <w:color w:val="auto"/>
                <w:highlight w:val="none"/>
              </w:rPr>
            </w:pPr>
            <w:r>
              <w:rPr>
                <w:rFonts w:hint="eastAsia"/>
                <w:b/>
                <w:bCs/>
                <w:color w:val="auto"/>
                <w:highlight w:val="none"/>
              </w:rPr>
              <w:t>四、工作要求</w:t>
            </w:r>
          </w:p>
          <w:p>
            <w:pPr>
              <w:spacing w:line="400" w:lineRule="exact"/>
              <w:ind w:firstLine="210" w:firstLineChars="100"/>
              <w:rPr>
                <w:color w:val="auto"/>
                <w:highlight w:val="none"/>
              </w:rPr>
            </w:pPr>
            <w:r>
              <w:rPr>
                <w:rFonts w:hint="eastAsia"/>
                <w:color w:val="auto"/>
                <w:highlight w:val="none"/>
              </w:rPr>
              <w:t>▲（一）组织课题组应深入调研，要定期或不定期地向采购人报告研究进展情况，要在提交研究成果的同时，提供主笔、参与写作人员名单，并注明参与合作的人员各自负责撰写的内容和字数。</w:t>
            </w:r>
          </w:p>
          <w:p>
            <w:pPr>
              <w:spacing w:line="400" w:lineRule="exact"/>
              <w:ind w:firstLine="210" w:firstLineChars="100"/>
              <w:rPr>
                <w:color w:val="auto"/>
                <w:highlight w:val="none"/>
              </w:rPr>
            </w:pPr>
            <w:r>
              <w:rPr>
                <w:rFonts w:hint="eastAsia"/>
                <w:color w:val="auto"/>
                <w:highlight w:val="none"/>
              </w:rPr>
              <w:t>（二）采购人对课题研究进行监督，如发现有违规行为，视情况作出相应处理。</w:t>
            </w:r>
          </w:p>
          <w:p>
            <w:pPr>
              <w:spacing w:line="400" w:lineRule="exact"/>
              <w:ind w:firstLine="210" w:firstLineChars="100"/>
              <w:rPr>
                <w:color w:val="auto"/>
                <w:highlight w:val="none"/>
              </w:rPr>
            </w:pPr>
            <w:r>
              <w:rPr>
                <w:rFonts w:hint="eastAsia"/>
                <w:color w:val="auto"/>
                <w:highlight w:val="none"/>
              </w:rPr>
              <w:t>▲（三）进度要求：</w:t>
            </w:r>
          </w:p>
          <w:p>
            <w:pPr>
              <w:spacing w:line="400" w:lineRule="exact"/>
              <w:ind w:firstLine="210" w:firstLineChars="100"/>
              <w:rPr>
                <w:color w:val="auto"/>
                <w:highlight w:val="none"/>
              </w:rPr>
            </w:pPr>
            <w:r>
              <w:rPr>
                <w:rFonts w:hint="eastAsia"/>
                <w:color w:val="auto"/>
                <w:highlight w:val="none"/>
              </w:rPr>
              <w:t>1、课题开题：2024年</w:t>
            </w:r>
            <w:r>
              <w:rPr>
                <w:rFonts w:hint="eastAsia"/>
                <w:color w:val="auto"/>
                <w:highlight w:val="none"/>
                <w:lang w:val="en-US" w:eastAsia="zh-CN"/>
              </w:rPr>
              <w:t>7</w:t>
            </w:r>
            <w:r>
              <w:rPr>
                <w:rFonts w:hint="eastAsia"/>
                <w:color w:val="auto"/>
                <w:highlight w:val="none"/>
              </w:rPr>
              <w:t>月底前</w:t>
            </w:r>
          </w:p>
          <w:p>
            <w:pPr>
              <w:spacing w:line="400" w:lineRule="exact"/>
              <w:ind w:firstLine="210" w:firstLineChars="100"/>
              <w:rPr>
                <w:color w:val="auto"/>
                <w:highlight w:val="none"/>
              </w:rPr>
            </w:pPr>
            <w:r>
              <w:rPr>
                <w:rFonts w:hint="eastAsia"/>
                <w:color w:val="auto"/>
                <w:highlight w:val="none"/>
              </w:rPr>
              <w:t>2、中期交流：2024年8月底前</w:t>
            </w:r>
          </w:p>
          <w:p>
            <w:pPr>
              <w:spacing w:line="400" w:lineRule="exact"/>
              <w:ind w:firstLine="210" w:firstLineChars="100"/>
              <w:rPr>
                <w:color w:val="auto"/>
                <w:highlight w:val="none"/>
              </w:rPr>
            </w:pPr>
            <w:r>
              <w:rPr>
                <w:rFonts w:hint="eastAsia"/>
                <w:color w:val="auto"/>
                <w:highlight w:val="none"/>
              </w:rPr>
              <w:t>3、课题评审：2024年9月底前</w:t>
            </w:r>
          </w:p>
          <w:p>
            <w:pPr>
              <w:spacing w:line="400" w:lineRule="exact"/>
              <w:ind w:firstLine="210" w:firstLineChars="100"/>
              <w:rPr>
                <w:color w:val="auto"/>
                <w:highlight w:val="none"/>
              </w:rPr>
            </w:pPr>
            <w:r>
              <w:rPr>
                <w:rFonts w:hint="eastAsia"/>
                <w:color w:val="auto"/>
                <w:highlight w:val="none"/>
              </w:rPr>
              <w:t>4、课题验收：2024年9月底前</w:t>
            </w:r>
          </w:p>
          <w:p>
            <w:pPr>
              <w:spacing w:line="400" w:lineRule="exact"/>
              <w:ind w:firstLine="210" w:firstLineChars="100"/>
              <w:rPr>
                <w:color w:val="auto"/>
                <w:highlight w:val="none"/>
              </w:rPr>
            </w:pPr>
            <w:r>
              <w:rPr>
                <w:rFonts w:hint="eastAsia"/>
                <w:color w:val="auto"/>
                <w:highlight w:val="none"/>
              </w:rPr>
              <w:t>5、成果备案：2024年12月底前</w:t>
            </w:r>
          </w:p>
          <w:p>
            <w:pPr>
              <w:spacing w:line="400" w:lineRule="exact"/>
              <w:ind w:firstLine="210" w:firstLineChars="100"/>
              <w:rPr>
                <w:color w:val="auto"/>
                <w:highlight w:val="none"/>
              </w:rPr>
            </w:pPr>
            <w:r>
              <w:rPr>
                <w:rFonts w:hint="eastAsia"/>
                <w:color w:val="auto"/>
                <w:highlight w:val="none"/>
              </w:rPr>
              <w:t>▲（四）应按合同约定的时间向采购人提交成果。研究成果归采购人所有，不能做其他用途。</w:t>
            </w:r>
          </w:p>
          <w:p>
            <w:pPr>
              <w:spacing w:line="400" w:lineRule="exact"/>
              <w:rPr>
                <w:b/>
                <w:bCs/>
                <w:color w:val="auto"/>
                <w:highlight w:val="none"/>
              </w:rPr>
            </w:pPr>
            <w:r>
              <w:rPr>
                <w:rFonts w:hint="eastAsia"/>
                <w:b/>
                <w:bCs/>
                <w:color w:val="auto"/>
                <w:highlight w:val="none"/>
              </w:rPr>
              <w:t>五、人员要求</w:t>
            </w:r>
          </w:p>
          <w:p>
            <w:pPr>
              <w:spacing w:line="400" w:lineRule="exact"/>
              <w:ind w:firstLine="210" w:firstLineChars="100"/>
              <w:rPr>
                <w:color w:val="auto"/>
                <w:highlight w:val="none"/>
              </w:rPr>
            </w:pPr>
            <w:r>
              <w:rPr>
                <w:rFonts w:hint="eastAsia"/>
                <w:color w:val="auto"/>
                <w:highlight w:val="none"/>
              </w:rPr>
              <w:t>投标人需针对课题项目研究的需要组成课题组，其成员的数量、业务骨干所占比重和专业构成要符合课题项目的要求，课题组可在研究过程中视具体情况向采购人书面申请更改研究人员，否则该课题负责人将为其违约行为承担责任。</w:t>
            </w:r>
          </w:p>
          <w:p>
            <w:pPr>
              <w:widowControl/>
              <w:spacing w:line="400" w:lineRule="exact"/>
              <w:ind w:firstLine="211" w:firstLineChars="100"/>
              <w:rPr>
                <w:rFonts w:ascii="宋体" w:hAnsi="宋体" w:cs="宋体"/>
                <w:b/>
                <w:bCs/>
                <w:color w:val="auto"/>
                <w:kern w:val="0"/>
                <w:szCs w:val="21"/>
                <w:highlight w:val="none"/>
              </w:rPr>
            </w:pPr>
            <w:r>
              <w:rPr>
                <w:rFonts w:hint="eastAsia" w:ascii="宋体" w:hAnsi="宋体" w:cs="宋体"/>
                <w:b/>
                <w:bCs/>
                <w:color w:val="auto"/>
                <w:kern w:val="0"/>
                <w:szCs w:val="21"/>
                <w:highlight w:val="none"/>
              </w:rPr>
              <w:t>六、成果验收</w:t>
            </w:r>
          </w:p>
          <w:p>
            <w:pPr>
              <w:spacing w:line="400" w:lineRule="exact"/>
              <w:ind w:firstLine="210" w:firstLineChars="100"/>
              <w:rPr>
                <w:color w:val="auto"/>
                <w:highlight w:val="none"/>
              </w:rPr>
            </w:pPr>
            <w:r>
              <w:rPr>
                <w:rFonts w:hint="eastAsia"/>
                <w:color w:val="auto"/>
                <w:highlight w:val="none"/>
              </w:rPr>
              <w:t>（一）课题研究任务完成后，由采购人根据课题涉密等级，成立研究成果评审验收委员会，组织专家对课题研究成果进行评审验收。</w:t>
            </w:r>
          </w:p>
          <w:p>
            <w:pPr>
              <w:spacing w:line="400" w:lineRule="exact"/>
              <w:ind w:firstLine="210" w:firstLineChars="100"/>
              <w:rPr>
                <w:color w:val="auto"/>
                <w:highlight w:val="none"/>
              </w:rPr>
            </w:pPr>
            <w:r>
              <w:rPr>
                <w:rFonts w:hint="eastAsia"/>
                <w:color w:val="auto"/>
                <w:highlight w:val="none"/>
              </w:rPr>
              <w:t>▲（二）研究成果通过评审验收后，课题组必须报送如下材料的纸质版和电子版各1份：</w:t>
            </w:r>
          </w:p>
          <w:p>
            <w:pPr>
              <w:spacing w:line="400" w:lineRule="exact"/>
              <w:ind w:firstLine="210" w:firstLineChars="100"/>
              <w:rPr>
                <w:color w:val="auto"/>
                <w:highlight w:val="none"/>
              </w:rPr>
            </w:pPr>
            <w:r>
              <w:rPr>
                <w:rFonts w:hint="eastAsia"/>
                <w:color w:val="auto"/>
                <w:highlight w:val="none"/>
              </w:rPr>
              <w:t>1.完成3万字左右的研究报告；</w:t>
            </w:r>
          </w:p>
          <w:p>
            <w:pPr>
              <w:spacing w:line="400" w:lineRule="exact"/>
              <w:ind w:firstLine="210" w:firstLineChars="100"/>
              <w:rPr>
                <w:color w:val="auto"/>
                <w:highlight w:val="none"/>
              </w:rPr>
            </w:pPr>
            <w:r>
              <w:rPr>
                <w:rFonts w:hint="eastAsia"/>
                <w:color w:val="auto"/>
                <w:highlight w:val="none"/>
              </w:rPr>
              <w:t>2.形成《广西电子信息制造业突破发展实施方案》（代拟稿）</w:t>
            </w:r>
          </w:p>
          <w:p>
            <w:pPr>
              <w:spacing w:line="400" w:lineRule="exact"/>
              <w:ind w:firstLine="210" w:firstLineChars="100"/>
              <w:rPr>
                <w:color w:val="auto"/>
                <w:highlight w:val="none"/>
              </w:rPr>
            </w:pPr>
            <w:r>
              <w:rPr>
                <w:rFonts w:hint="eastAsia"/>
                <w:color w:val="auto"/>
                <w:highlight w:val="none"/>
              </w:rPr>
              <w:t>3.修订完善广西电子信息产业全景图。</w:t>
            </w:r>
          </w:p>
          <w:p>
            <w:pPr>
              <w:spacing w:line="400" w:lineRule="exact"/>
              <w:ind w:firstLine="210" w:firstLineChars="100"/>
              <w:rPr>
                <w:color w:val="auto"/>
                <w:highlight w:val="none"/>
              </w:rPr>
            </w:pPr>
            <w:r>
              <w:rPr>
                <w:rFonts w:hint="eastAsia"/>
                <w:color w:val="auto"/>
                <w:highlight w:val="none"/>
              </w:rPr>
              <w:t>4.课题研究工作报告。内容包括：成果名称、课题项目批准号、项目负责人、起止研究时间、课题组主要成员及各成员撰写的内容和字数、课题研究主要过程、技术路线、主要研究方法、成果主要内容及特点、主要应用方式等。</w:t>
            </w:r>
          </w:p>
          <w:p>
            <w:pPr>
              <w:spacing w:line="400" w:lineRule="exact"/>
              <w:ind w:firstLine="210" w:firstLineChars="100"/>
              <w:rPr>
                <w:color w:val="auto"/>
                <w:highlight w:val="none"/>
              </w:rPr>
            </w:pPr>
            <w:r>
              <w:rPr>
                <w:rFonts w:hint="eastAsia"/>
                <w:color w:val="auto"/>
                <w:highlight w:val="none"/>
              </w:rPr>
              <w:t xml:space="preserve"> （三）评审验收的标准与内容</w:t>
            </w:r>
          </w:p>
          <w:p>
            <w:pPr>
              <w:spacing w:line="400" w:lineRule="exact"/>
              <w:ind w:firstLine="210" w:firstLineChars="100"/>
              <w:rPr>
                <w:color w:val="auto"/>
                <w:highlight w:val="none"/>
              </w:rPr>
            </w:pPr>
            <w:r>
              <w:rPr>
                <w:rFonts w:hint="eastAsia"/>
                <w:color w:val="auto"/>
                <w:highlight w:val="none"/>
              </w:rPr>
              <w:t>1.课题研究的技术路线是否正确，研究方法是否科学。</w:t>
            </w:r>
          </w:p>
          <w:p>
            <w:pPr>
              <w:spacing w:line="400" w:lineRule="exact"/>
              <w:ind w:firstLine="210" w:firstLineChars="100"/>
              <w:rPr>
                <w:color w:val="auto"/>
                <w:highlight w:val="none"/>
              </w:rPr>
            </w:pPr>
            <w:r>
              <w:rPr>
                <w:rFonts w:hint="eastAsia"/>
                <w:color w:val="auto"/>
                <w:highlight w:val="none"/>
              </w:rPr>
              <w:t>2.课题研究所使用的资料、数据是否准确、完整、详实、可信，论证的方法是否可靠，推算结论是否具有实践的检验性。</w:t>
            </w:r>
          </w:p>
          <w:p>
            <w:pPr>
              <w:spacing w:line="400" w:lineRule="exact"/>
              <w:ind w:firstLine="210" w:firstLineChars="100"/>
              <w:rPr>
                <w:color w:val="auto"/>
                <w:highlight w:val="none"/>
              </w:rPr>
            </w:pPr>
            <w:r>
              <w:rPr>
                <w:rFonts w:hint="eastAsia"/>
                <w:color w:val="auto"/>
                <w:highlight w:val="none"/>
              </w:rPr>
              <w:t>3.课题成果观点是否正确，论据是否充分，对策或政策建议是否具有可操作性，可以预期的经济效益、社会效益和实践价值如何。</w:t>
            </w:r>
          </w:p>
          <w:p>
            <w:pPr>
              <w:spacing w:line="400" w:lineRule="exact"/>
              <w:ind w:firstLine="210" w:firstLineChars="100"/>
              <w:rPr>
                <w:color w:val="auto"/>
                <w:highlight w:val="none"/>
              </w:rPr>
            </w:pPr>
            <w:r>
              <w:rPr>
                <w:rFonts w:hint="eastAsia"/>
                <w:color w:val="auto"/>
                <w:highlight w:val="none"/>
              </w:rPr>
              <w:t>4.课题成果尚存在哪些问题与不足，需要作出哪些方面的补充、修改和完善。</w:t>
            </w:r>
          </w:p>
          <w:p>
            <w:pPr>
              <w:spacing w:line="400" w:lineRule="exact"/>
              <w:ind w:firstLine="210" w:firstLineChars="100"/>
              <w:rPr>
                <w:color w:val="auto"/>
                <w:highlight w:val="none"/>
              </w:rPr>
            </w:pPr>
            <w:r>
              <w:rPr>
                <w:rFonts w:hint="eastAsia"/>
                <w:color w:val="auto"/>
                <w:highlight w:val="none"/>
              </w:rPr>
              <w:t>5.课题研究成果是否通过鉴定，达到何种水平。</w:t>
            </w:r>
          </w:p>
          <w:p>
            <w:pPr>
              <w:spacing w:line="400" w:lineRule="exact"/>
              <w:ind w:firstLine="210" w:firstLineChars="100"/>
              <w:rPr>
                <w:color w:val="auto"/>
                <w:highlight w:val="none"/>
              </w:rPr>
            </w:pPr>
            <w:r>
              <w:rPr>
                <w:rFonts w:hint="eastAsia"/>
                <w:color w:val="auto"/>
                <w:highlight w:val="none"/>
              </w:rPr>
              <w:t>（四）采购人根据评审验收委员会的评审意见，提出该课题研究成果是否通过验收的意见，提交采购人审定。</w:t>
            </w:r>
          </w:p>
          <w:p>
            <w:pPr>
              <w:spacing w:line="400" w:lineRule="exact"/>
              <w:ind w:firstLine="210" w:firstLineChars="100"/>
              <w:rPr>
                <w:color w:val="auto"/>
                <w:highlight w:val="none"/>
              </w:rPr>
            </w:pPr>
            <w:r>
              <w:rPr>
                <w:rFonts w:hint="eastAsia"/>
                <w:color w:val="auto"/>
                <w:highlight w:val="none"/>
              </w:rPr>
              <w:t>▲（五）课题组在合同规定结题日期内上交研究成果，由采购人组织专家对研究成果进行集中或通讯评审验收。若课题研究成果评审未通过，课题组必须根据评审专家提出的意见及建议进行进一步修改完善，由采购人另行组织复审，复审费用由课题组承担，若复审仍未通过，按合同约定予以撤项，剩余课题研究经费不再支付，退回自治区财政。</w:t>
            </w:r>
          </w:p>
          <w:p>
            <w:pPr>
              <w:spacing w:line="400" w:lineRule="exact"/>
              <w:ind w:firstLine="210" w:firstLineChars="100"/>
              <w:rPr>
                <w:color w:val="auto"/>
                <w:highlight w:val="none"/>
              </w:rPr>
            </w:pPr>
            <w:r>
              <w:rPr>
                <w:rFonts w:hint="eastAsia"/>
                <w:color w:val="auto"/>
                <w:highlight w:val="none"/>
              </w:rPr>
              <w:t>▲（六）因不可抗力原因需要延期验收的课题，课题组须向采购方提出书面申请。经批准后在一定期限内仍无法完成研究任务的，应提前报告并办理撤项手续。</w:t>
            </w:r>
          </w:p>
          <w:p>
            <w:pPr>
              <w:widowControl/>
              <w:spacing w:line="40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七、成果应用</w:t>
            </w:r>
          </w:p>
          <w:p>
            <w:pPr>
              <w:spacing w:line="400" w:lineRule="exact"/>
              <w:ind w:firstLine="420" w:firstLineChars="200"/>
              <w:rPr>
                <w:color w:val="auto"/>
                <w:highlight w:val="none"/>
              </w:rPr>
            </w:pPr>
            <w:r>
              <w:rPr>
                <w:rFonts w:hint="eastAsia"/>
                <w:color w:val="auto"/>
                <w:highlight w:val="none"/>
              </w:rPr>
              <w:t>成果应用形成《广西电子信息制造业突破发展实施方案》（代拟稿），帮助修订完善广西电子信息产业全景图。</w:t>
            </w:r>
          </w:p>
          <w:p>
            <w:pPr>
              <w:pStyle w:val="132"/>
              <w:ind w:firstLine="420" w:firstLineChars="200"/>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b/>
                <w:color w:val="auto"/>
                <w:szCs w:val="21"/>
                <w:highlight w:val="none"/>
              </w:rPr>
            </w:pPr>
            <w:r>
              <w:rPr>
                <w:rFonts w:hint="eastAsia" w:ascii="宋体" w:hAnsi="宋体" w:cs="宋体"/>
                <w:color w:val="auto"/>
                <w:szCs w:val="21"/>
                <w:highlight w:val="none"/>
              </w:rPr>
              <w:t>▲二、</w:t>
            </w:r>
            <w:r>
              <w:rPr>
                <w:rFonts w:hint="eastAsia" w:ascii="宋体" w:hAnsi="宋体" w:cs="宋体"/>
                <w:b/>
                <w:color w:val="auto"/>
                <w:szCs w:val="21"/>
                <w:highlight w:val="none"/>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合同签订期</w:t>
            </w:r>
          </w:p>
        </w:tc>
        <w:tc>
          <w:tcPr>
            <w:tcW w:w="7878" w:type="dxa"/>
            <w:gridSpan w:val="3"/>
            <w:tcBorders>
              <w:top w:val="single" w:color="auto" w:sz="4" w:space="0"/>
              <w:left w:val="single" w:color="auto" w:sz="4" w:space="0"/>
              <w:bottom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自成交通知书发出之日起15个日历日内。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提交服务成果时间</w:t>
            </w:r>
          </w:p>
        </w:tc>
        <w:tc>
          <w:tcPr>
            <w:tcW w:w="7878" w:type="dxa"/>
            <w:gridSpan w:val="3"/>
            <w:tcBorders>
              <w:top w:val="single" w:color="auto" w:sz="4" w:space="0"/>
              <w:left w:val="single" w:color="auto" w:sz="4" w:space="0"/>
              <w:bottom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2024年12月底前。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服务地点</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jc w:val="left"/>
              <w:rPr>
                <w:rFonts w:ascii="宋体" w:hAnsi="宋体" w:cs="宋体"/>
                <w:color w:val="auto"/>
                <w:szCs w:val="21"/>
                <w:highlight w:val="none"/>
              </w:rPr>
            </w:pPr>
            <w:r>
              <w:rPr>
                <w:rFonts w:hint="eastAsia" w:ascii="宋体" w:hAnsi="宋体" w:cs="宋体"/>
                <w:color w:val="auto"/>
                <w:szCs w:val="21"/>
                <w:highlight w:val="none"/>
              </w:rPr>
              <w:t>付款方式</w:t>
            </w:r>
          </w:p>
        </w:tc>
        <w:tc>
          <w:tcPr>
            <w:tcW w:w="7878" w:type="dxa"/>
            <w:gridSpan w:val="3"/>
            <w:tcBorders>
              <w:top w:val="single" w:color="auto" w:sz="4" w:space="0"/>
              <w:left w:val="single" w:color="auto" w:sz="4" w:space="0"/>
              <w:bottom w:val="single" w:color="auto" w:sz="4" w:space="0"/>
            </w:tcBorders>
          </w:tcPr>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1.分两次拨付：</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（1）签订课题研究合同后，首次拨付合同金额的50%作为课题研究启动资金；</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（2）研究成果经专家评审验收后，课题组根据专家评审验收时提出的意见建议以及采购人的要求修改完善研究成果，并经采购人审核通过后拨付合同金额剩余的50%。</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2.评审验收未达到合同规定要求的课题研究成果，课题组必须根据评审验收委员会的意见和建议，在规定的时间内进行修改、补充和完善。重新验收仍不合格的按违约予以撤项。剩余50%课题研究经费不再拨付。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验收标准</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1、验收小组在服务的质量和数量及其他验收时，对照招标文件、投标文件及政府采购合同的功能目标及技术指标进行抽查核对，对所有要求出具的证明文件的原件进行核查，如不符合招标文件的技术需求及要求以及提供虚假承诺的，应及时书面向采购人反映。经确认属质量等问题的，采购人当及时与中标人进行交涉，追究其违约责任。中标人承担所有责任和费用，采购人保留进一步追究责任的权利。</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2、其他未尽事宜应严格按照《关于印发广西壮族自治区政府采购项目履约验收管理办法的通知》[桂财采〔2015〕22号]以及《财政部关于进一步加强政府采购需求和履约验收管理的指导意见》[财库〔2016〕205号]规定执行。</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3、本项目《采购需求》有其他要求的按其要求执行。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9278" w:type="dxa"/>
            <w:gridSpan w:val="5"/>
            <w:tcBorders>
              <w:top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b/>
                <w:color w:val="auto"/>
                <w:szCs w:val="21"/>
                <w:highlight w:val="none"/>
              </w:rPr>
              <w:t>三、其他要求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▲特别说明</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供应商在投标文件中提供的所有证件材料必须真实有效，否则采购人依据相关法律规定追究供应商的责任，由此带来的一切损失由供应商自行承担，供应商不得做任何辩解。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color w:val="auto"/>
                <w:spacing w:val="-1"/>
                <w:szCs w:val="21"/>
                <w:highlight w:val="none"/>
              </w:rPr>
              <w:t>负偏离要求</w:t>
            </w:r>
          </w:p>
        </w:tc>
        <w:tc>
          <w:tcPr>
            <w:tcW w:w="7878" w:type="dxa"/>
            <w:gridSpan w:val="3"/>
            <w:tcBorders>
              <w:top w:val="single" w:color="auto" w:sz="4" w:space="0"/>
              <w:left w:val="single" w:color="auto" w:sz="4" w:space="0"/>
              <w:bottom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服务需求评审中允许负偏离的条款数为</w:t>
            </w:r>
            <w:r>
              <w:rPr>
                <w:rFonts w:hint="eastAsia" w:ascii="宋体" w:hAnsi="宋体" w:cs="宋体"/>
                <w:color w:val="auto"/>
                <w:szCs w:val="21"/>
                <w:highlight w:val="none"/>
                <w:u w:val="single"/>
              </w:rPr>
              <w:t xml:space="preserve"> 0</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报价要求</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.按总价报价，报价超出采购预算按投标无效处理，投标报价由供应商按自身情况和承受能力进行报价。</w:t>
            </w:r>
          </w:p>
          <w:p>
            <w:pPr>
              <w:tabs>
                <w:tab w:val="left" w:pos="312"/>
              </w:tabs>
              <w:spacing w:line="400" w:lineRule="exac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.供应商的竞标报价均已包括了承担相应服务工作所需的劳务费、技术服务费、编审、交通、通讯、保险、税费和利润等一切费用，国家规定的相关调整系数自行考虑在内。合同期内，下浮系数不再调整。</w:t>
            </w:r>
          </w:p>
          <w:p>
            <w:pPr>
              <w:tabs>
                <w:tab w:val="left" w:pos="312"/>
              </w:tabs>
              <w:spacing w:line="400" w:lineRule="exact"/>
              <w:rPr>
                <w:rFonts w:ascii="宋体" w:hAnsi="宋体" w:cs="宋体"/>
                <w:bCs/>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.本项目为总价包干，</w:t>
            </w:r>
            <w:r>
              <w:rPr>
                <w:rFonts w:hint="eastAsia"/>
                <w:color w:val="auto"/>
                <w:highlight w:val="none"/>
              </w:rPr>
              <w:t>课题研究成果通过鉴定</w:t>
            </w:r>
            <w:r>
              <w:rPr>
                <w:rFonts w:hint="eastAsia" w:ascii="宋体" w:hAnsi="宋体" w:cs="宋体"/>
                <w:color w:val="auto"/>
                <w:szCs w:val="21"/>
                <w:highlight w:val="none"/>
              </w:rPr>
              <w:t>后采购人支付全部价款。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1400" w:type="dxa"/>
            <w:gridSpan w:val="2"/>
            <w:tcBorders>
              <w:top w:val="single" w:color="auto" w:sz="4" w:space="0"/>
              <w:bottom w:val="single" w:color="auto" w:sz="4" w:space="0"/>
              <w:right w:val="single" w:color="auto" w:sz="4" w:space="0"/>
            </w:tcBorders>
          </w:tcPr>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其他要求</w:t>
            </w:r>
          </w:p>
        </w:tc>
        <w:tc>
          <w:tcPr>
            <w:tcW w:w="7878" w:type="dxa"/>
            <w:gridSpan w:val="3"/>
            <w:tcBorders>
              <w:top w:val="single" w:color="auto" w:sz="4" w:space="0"/>
              <w:left w:val="single" w:color="auto" w:sz="4" w:space="0"/>
              <w:bottom w:val="single" w:color="auto" w:sz="4" w:space="0"/>
            </w:tcBorders>
          </w:tcPr>
          <w:p>
            <w:pPr>
              <w:tabs>
                <w:tab w:val="left" w:pos="312"/>
              </w:tabs>
              <w:spacing w:line="400" w:lineRule="exact"/>
              <w:rPr>
                <w:rFonts w:ascii="宋体" w:hAnsi="宋体" w:cs="宋体"/>
                <w:color w:val="auto"/>
                <w:szCs w:val="21"/>
                <w:highlight w:val="none"/>
              </w:rPr>
            </w:pPr>
            <w:r>
              <w:rPr>
                <w:rFonts w:hint="eastAsia" w:ascii="宋体" w:hAnsi="宋体" w:cs="宋体"/>
                <w:color w:val="auto"/>
                <w:szCs w:val="21"/>
                <w:highlight w:val="none"/>
              </w:rPr>
              <w:t>1.供应商保证针对本项目涉及到的知识产权和所提供的相关技术资料是合法取得，不会因为采购人的使用而被责令停止使用、追偿或要求赔偿损失，如出现此情况，一切经济和法律责任均由供应商承担。</w:t>
            </w:r>
          </w:p>
        </w:tc>
      </w:tr>
    </w:tbl>
    <w:p>
      <w:pPr>
        <w:pStyle w:val="2"/>
        <w:rPr>
          <w:color w:val="auto"/>
          <w:highlight w:val="none"/>
        </w:rPr>
      </w:pPr>
    </w:p>
    <w:p>
      <w:pPr>
        <w:pStyle w:val="2"/>
        <w:rPr>
          <w:color w:val="auto"/>
          <w:highlight w:val="none"/>
        </w:rPr>
      </w:pPr>
    </w:p>
    <w:p>
      <w:pPr>
        <w:spacing w:line="428" w:lineRule="exact"/>
        <w:ind w:left="119"/>
        <w:rPr>
          <w:rFonts w:ascii="宋体" w:hAnsi="宋体" w:cs="宋体"/>
          <w:color w:val="auto"/>
          <w:sz w:val="20"/>
          <w:szCs w:val="20"/>
          <w:highlight w:val="none"/>
        </w:rPr>
      </w:pPr>
      <w:r>
        <w:rPr>
          <w:rFonts w:hAnsi="宋体"/>
          <w:color w:val="auto"/>
          <w:highlight w:val="none"/>
        </w:rPr>
        <w:br w:type="page"/>
      </w:r>
      <w:r>
        <w:rPr>
          <w:rFonts w:hAnsi="宋体"/>
          <w:color w:val="auto"/>
          <w:highlight w:val="none"/>
        </w:rPr>
        <w:t xml:space="preserve"> </w:t>
      </w:r>
      <w:r>
        <w:rPr>
          <w:rFonts w:hint="eastAsia" w:ascii="Arial Unicode MS" w:hAnsi="Arial Unicode MS" w:eastAsia="Arial Unicode MS" w:cs="Arial Unicode MS"/>
          <w:color w:val="auto"/>
          <w:sz w:val="32"/>
          <w:szCs w:val="32"/>
          <w:highlight w:val="none"/>
        </w:rPr>
        <w:t>附件1：</w:t>
      </w:r>
    </w:p>
    <w:p>
      <w:pPr>
        <w:spacing w:line="528" w:lineRule="exact"/>
        <w:jc w:val="center"/>
        <w:rPr>
          <w:rFonts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中小微企业划型标准</w:t>
      </w:r>
    </w:p>
    <w:tbl>
      <w:tblPr>
        <w:tblStyle w:val="34"/>
        <w:tblW w:w="9197" w:type="dxa"/>
        <w:tblInd w:w="250" w:type="dxa"/>
        <w:tblLayout w:type="fixed"/>
        <w:tblCellMar>
          <w:top w:w="0" w:type="dxa"/>
          <w:left w:w="108" w:type="dxa"/>
          <w:bottom w:w="0" w:type="dxa"/>
          <w:right w:w="108" w:type="dxa"/>
        </w:tblCellMar>
      </w:tblPr>
      <w:tblGrid>
        <w:gridCol w:w="1960"/>
        <w:gridCol w:w="1594"/>
        <w:gridCol w:w="1052"/>
        <w:gridCol w:w="1866"/>
        <w:gridCol w:w="1659"/>
        <w:gridCol w:w="1066"/>
      </w:tblGrid>
      <w:tr>
        <w:tblPrEx>
          <w:tblCellMar>
            <w:top w:w="0" w:type="dxa"/>
            <w:left w:w="108" w:type="dxa"/>
            <w:bottom w:w="0" w:type="dxa"/>
            <w:right w:w="108" w:type="dxa"/>
          </w:tblCellMar>
        </w:tblPrEx>
        <w:trPr>
          <w:trHeight w:val="668" w:hRule="atLeast"/>
        </w:trPr>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行业名称</w:t>
            </w:r>
          </w:p>
        </w:tc>
        <w:tc>
          <w:tcPr>
            <w:tcW w:w="15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指标名称</w:t>
            </w:r>
          </w:p>
        </w:tc>
        <w:tc>
          <w:tcPr>
            <w:tcW w:w="105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计量单位</w:t>
            </w:r>
          </w:p>
        </w:tc>
        <w:tc>
          <w:tcPr>
            <w:tcW w:w="186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中型</w:t>
            </w:r>
          </w:p>
        </w:tc>
        <w:tc>
          <w:tcPr>
            <w:tcW w:w="16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小型</w:t>
            </w:r>
          </w:p>
        </w:tc>
        <w:tc>
          <w:tcPr>
            <w:tcW w:w="106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微型</w:t>
            </w:r>
          </w:p>
        </w:tc>
      </w:tr>
      <w:tr>
        <w:tblPrEx>
          <w:tblCellMar>
            <w:top w:w="0" w:type="dxa"/>
            <w:left w:w="108" w:type="dxa"/>
            <w:bottom w:w="0" w:type="dxa"/>
            <w:right w:w="108" w:type="dxa"/>
          </w:tblCellMar>
        </w:tblPrEx>
        <w:trPr>
          <w:trHeight w:val="339" w:hRule="atLeast"/>
        </w:trPr>
        <w:tc>
          <w:tcPr>
            <w:tcW w:w="196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农、林、牧、渔</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工业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建筑业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批发业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零售业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10≤X＜50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交通运输业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仓储业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邮政业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住宿业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餐饮业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信息传输业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软件和信息技术服务业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房地产开发经营</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100≤X＜1000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2000≤Y＜5000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物业管理</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CellMar>
            <w:top w:w="0" w:type="dxa"/>
            <w:left w:w="108" w:type="dxa"/>
            <w:bottom w:w="0" w:type="dxa"/>
            <w:right w:w="108" w:type="dxa"/>
          </w:tblCellMar>
        </w:tblPrEx>
        <w:trPr>
          <w:trHeight w:val="339" w:hRule="atLeast"/>
        </w:trPr>
        <w:tc>
          <w:tcPr>
            <w:tcW w:w="1960"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其他未列明行业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339" w:hRule="atLeast"/>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349" w:hRule="atLeast"/>
        </w:trPr>
        <w:tc>
          <w:tcPr>
            <w:tcW w:w="196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其他未列明行业</w:t>
            </w:r>
          </w:p>
        </w:tc>
        <w:tc>
          <w:tcPr>
            <w:tcW w:w="159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10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6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rPr>
          <w:color w:val="auto"/>
          <w:highlight w:val="none"/>
        </w:rPr>
      </w:pPr>
    </w:p>
    <w:bookmarkEnd w:id="40"/>
    <w:p>
      <w:pPr>
        <w:spacing w:line="360" w:lineRule="auto"/>
        <w:ind w:firstLine="525" w:firstLineChars="250"/>
        <w:rPr>
          <w:rFonts w:ascii="仿宋_GB2312" w:hAnsi="仿宋" w:eastAsia="仿宋_GB2312"/>
          <w:color w:val="auto"/>
          <w:szCs w:val="21"/>
          <w:highlight w:val="none"/>
        </w:rPr>
      </w:pPr>
      <w:bookmarkStart w:id="41" w:name="PO_TDCUS_ITEM_PB_REQ_FILE_3_1"/>
    </w:p>
    <w:p>
      <w:pPr>
        <w:rPr>
          <w:color w:val="auto"/>
          <w:highlight w:val="none"/>
        </w:rPr>
      </w:pPr>
    </w:p>
    <w:bookmarkEnd w:id="41"/>
    <w:p>
      <w:pPr>
        <w:pStyle w:val="18"/>
        <w:jc w:val="center"/>
        <w:outlineLvl w:val="0"/>
        <w:rPr>
          <w:rFonts w:hAnsi="宋体"/>
          <w:b/>
          <w:color w:val="auto"/>
          <w:sz w:val="36"/>
          <w:szCs w:val="36"/>
          <w:highlight w:val="none"/>
        </w:rPr>
      </w:pPr>
      <w:bookmarkStart w:id="42" w:name="_Toc532545044"/>
      <w:bookmarkStart w:id="43" w:name="_Toc80092992"/>
      <w:r>
        <w:rPr>
          <w:rFonts w:hint="eastAsia" w:ascii="Times New Roman" w:hAnsi="Times New Roman"/>
          <w:b/>
          <w:color w:val="auto"/>
          <w:sz w:val="36"/>
          <w:highlight w:val="none"/>
        </w:rPr>
        <w:t>第三章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供应商须知</w:t>
      </w:r>
      <w:bookmarkEnd w:id="42"/>
      <w:bookmarkEnd w:id="43"/>
    </w:p>
    <w:p>
      <w:pPr>
        <w:pStyle w:val="18"/>
        <w:spacing w:line="720" w:lineRule="auto"/>
        <w:jc w:val="center"/>
        <w:outlineLvl w:val="1"/>
        <w:rPr>
          <w:rFonts w:ascii="Times New Roman" w:hAnsi="Times New Roman"/>
          <w:b/>
          <w:color w:val="auto"/>
          <w:sz w:val="30"/>
          <w:szCs w:val="30"/>
          <w:highlight w:val="none"/>
        </w:rPr>
      </w:pPr>
      <w:bookmarkStart w:id="44" w:name="_Toc80092993"/>
      <w:r>
        <w:rPr>
          <w:rFonts w:hint="eastAsia" w:ascii="Times New Roman" w:hAnsi="Times New Roman"/>
          <w:b/>
          <w:color w:val="auto"/>
          <w:sz w:val="30"/>
          <w:szCs w:val="30"/>
          <w:highlight w:val="none"/>
        </w:rPr>
        <w:t>第一节 供应商须知前附表</w:t>
      </w:r>
      <w:bookmarkEnd w:id="44"/>
    </w:p>
    <w:tbl>
      <w:tblPr>
        <w:tblStyle w:val="34"/>
        <w:tblW w:w="10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1"/>
        <w:gridCol w:w="1972"/>
        <w:gridCol w:w="7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条款号</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项目内容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olor w:val="auto"/>
                <w:szCs w:val="21"/>
                <w:highlight w:val="none"/>
              </w:rPr>
              <w:t>供应商的资格要求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ascii="宋体" w:hAnsi="宋体" w:cs="宋体"/>
                <w:color w:val="auto"/>
                <w:szCs w:val="21"/>
                <w:highlight w:val="none"/>
              </w:rPr>
            </w:pPr>
            <w:r>
              <w:rPr>
                <w:rFonts w:hint="eastAsia" w:ascii="宋体" w:hAnsi="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6.1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45" w:name="_8.1"/>
            <w:bookmarkEnd w:id="45"/>
            <w:bookmarkStart w:id="46" w:name="_5"/>
            <w:bookmarkEnd w:id="46"/>
            <w:bookmarkStart w:id="47" w:name="_9.2"/>
            <w:bookmarkEnd w:id="47"/>
            <w:r>
              <w:rPr>
                <w:rFonts w:hint="eastAsia" w:ascii="宋体" w:hAnsi="宋体" w:cs="宋体"/>
                <w:color w:val="auto"/>
                <w:szCs w:val="21"/>
                <w:highlight w:val="none"/>
              </w:rPr>
              <w:t>是否接受联合体投标</w:t>
            </w:r>
          </w:p>
        </w:tc>
        <w:tc>
          <w:tcPr>
            <w:tcW w:w="7297"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ascii="宋体" w:hAnsi="宋体" w:cs="宋体"/>
                <w:color w:val="auto"/>
                <w:szCs w:val="21"/>
                <w:highlight w:val="none"/>
              </w:rPr>
            </w:pPr>
            <w:r>
              <w:rPr>
                <w:rFonts w:hint="eastAsia" w:ascii="宋体" w:hAnsi="宋体"/>
                <w:color w:val="auto"/>
                <w:szCs w:val="21"/>
                <w:highlight w:val="none"/>
              </w:rPr>
              <w:t>详见“招标公告”</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6.2</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联合体投标要求</w:t>
            </w:r>
          </w:p>
        </w:tc>
        <w:tc>
          <w:tcPr>
            <w:tcW w:w="729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两个以上投标人可以组成一个投标联合体，以一个投标人的身份共同参加投标，联合体投标人的名称应统一按“XXX公司与XXX公司的联合体”的规则填写。联合体投标的，须提供《联合体投标协议书》（格式后附）。</w:t>
            </w:r>
          </w:p>
          <w:p>
            <w:pPr>
              <w:pStyle w:val="13"/>
              <w:spacing w:line="360" w:lineRule="auto"/>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pStyle w:val="13"/>
              <w:spacing w:line="360" w:lineRule="auto"/>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联合体各方之间必须签订联合投标协议，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p>
          <w:p>
            <w:pPr>
              <w:pStyle w:val="13"/>
              <w:spacing w:line="360" w:lineRule="auto"/>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以联合体形式参加政府采购活动的，联合体各方不得再单独参加或者与其他投标人另外组成联合体参加同一合同项下的政府采购活动。</w:t>
            </w:r>
          </w:p>
          <w:p>
            <w:pPr>
              <w:pStyle w:val="13"/>
              <w:spacing w:line="360" w:lineRule="auto"/>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联合体中有同类资质的投标人按照联合体分工承担相同工作的，应当按照资质等级较低的投标人确定资质等级。</w:t>
            </w:r>
          </w:p>
          <w:p>
            <w:pPr>
              <w:pStyle w:val="13"/>
              <w:spacing w:line="360" w:lineRule="auto"/>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w:t>
            </w:r>
            <w:r>
              <w:rPr>
                <w:rFonts w:hint="eastAsia" w:ascii="宋体" w:hAnsi="宋体"/>
                <w:color w:val="auto"/>
                <w:szCs w:val="21"/>
                <w:highlight w:val="none"/>
              </w:rPr>
              <w:t>联合体投标业绩、履约能力按照联合体各方其中较高的一方认定并计算（招标文件另有规定的除外）。</w:t>
            </w:r>
          </w:p>
          <w:p>
            <w:pPr>
              <w:pStyle w:val="13"/>
              <w:spacing w:line="360" w:lineRule="auto"/>
              <w:rPr>
                <w:rFonts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rPr>
              <w:t>.</w:t>
            </w:r>
            <w:r>
              <w:rPr>
                <w:rFonts w:hint="eastAsia" w:ascii="宋体" w:hAnsi="宋体"/>
                <w:color w:val="auto"/>
                <w:szCs w:val="21"/>
                <w:highlight w:val="none"/>
              </w:rPr>
              <w:t>投标人为联合体的，可以由联合体中的一方或者多方共同交纳投标保证金，其交纳的保证金对联合体各方均具有约束力。</w:t>
            </w:r>
          </w:p>
          <w:p>
            <w:pPr>
              <w:pStyle w:val="13"/>
              <w:spacing w:line="400" w:lineRule="exact"/>
              <w:rPr>
                <w:rFonts w:ascii="宋体" w:hAnsi="宋体" w:cs="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w:t>
            </w:r>
            <w:r>
              <w:rPr>
                <w:rFonts w:hint="eastAsia" w:ascii="宋体" w:hAnsi="宋体"/>
                <w:color w:val="auto"/>
                <w:szCs w:val="21"/>
                <w:highlight w:val="none"/>
              </w:rPr>
              <w:t>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7.2</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是否允许转包/分包</w:t>
            </w:r>
          </w:p>
        </w:tc>
        <w:tc>
          <w:tcPr>
            <w:tcW w:w="7297" w:type="dxa"/>
            <w:tcBorders>
              <w:top w:val="single" w:color="auto" w:sz="4" w:space="0"/>
              <w:left w:val="single" w:color="auto" w:sz="4" w:space="0"/>
              <w:bottom w:val="single" w:color="auto" w:sz="4" w:space="0"/>
              <w:right w:val="single" w:color="auto" w:sz="4" w:space="0"/>
            </w:tcBorders>
            <w:vAlign w:val="center"/>
          </w:tcPr>
          <w:p>
            <w:pPr>
              <w:pStyle w:val="13"/>
              <w:spacing w:line="400" w:lineRule="exact"/>
              <w:rPr>
                <w:rFonts w:ascii="宋体" w:hAnsi="宋体" w:cs="宋体"/>
                <w:color w:val="auto"/>
                <w:szCs w:val="21"/>
                <w:highlight w:val="none"/>
              </w:rPr>
            </w:pPr>
            <w:bookmarkStart w:id="48" w:name="PO_3000001866_PM044"/>
            <w:r>
              <w:rPr>
                <w:rFonts w:hint="eastAsia" w:ascii="宋体" w:hAnsi="宋体" w:cs="宋体"/>
                <w:color w:val="auto"/>
                <w:szCs w:val="21"/>
                <w:highlight w:val="none"/>
              </w:rPr>
              <w:t>不允许分包</w:t>
            </w:r>
            <w:bookmarkEnd w:id="48"/>
          </w:p>
          <w:p>
            <w:pPr>
              <w:pStyle w:val="13"/>
              <w:spacing w:line="400" w:lineRule="exact"/>
              <w:rPr>
                <w:rFonts w:ascii="宋体" w:hAnsi="宋体" w:cs="宋体"/>
                <w:color w:val="auto"/>
                <w:szCs w:val="21"/>
                <w:highlight w:val="none"/>
              </w:rPr>
            </w:pPr>
            <w:r>
              <w:rPr>
                <w:rFonts w:hint="eastAsia" w:ascii="宋体" w:hAnsi="宋体" w:cs="宋体"/>
                <w:color w:val="auto"/>
                <w:szCs w:val="21"/>
                <w:highlight w:val="none"/>
              </w:rPr>
              <w:t>转包/分包内容：</w:t>
            </w:r>
            <w:r>
              <w:rPr>
                <w:rFonts w:hint="eastAsia" w:ascii="宋体" w:hAnsi="宋体" w:cs="宋体"/>
                <w:color w:val="auto"/>
                <w:szCs w:val="21"/>
                <w:highlight w:val="none"/>
                <w:u w:val="single"/>
              </w:rPr>
              <w:t xml:space="preserve">    /     </w:t>
            </w:r>
          </w:p>
          <w:p>
            <w:pPr>
              <w:pStyle w:val="13"/>
              <w:spacing w:line="400" w:lineRule="exact"/>
              <w:rPr>
                <w:rFonts w:ascii="宋体" w:hAnsi="宋体" w:cs="宋体"/>
                <w:color w:val="auto"/>
                <w:szCs w:val="21"/>
                <w:highlight w:val="none"/>
              </w:rPr>
            </w:pPr>
            <w:r>
              <w:rPr>
                <w:rFonts w:hint="eastAsia" w:ascii="宋体" w:hAnsi="宋体" w:cs="宋体"/>
                <w:color w:val="auto"/>
                <w:szCs w:val="21"/>
                <w:highlight w:val="none"/>
              </w:rPr>
              <w:t>转包/分包金额或者比例：</w:t>
            </w:r>
            <w:r>
              <w:rPr>
                <w:rFonts w:hint="eastAsia" w:ascii="宋体" w:hAnsi="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11.3</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媒体发布渠道</w:t>
            </w:r>
          </w:p>
        </w:tc>
        <w:tc>
          <w:tcPr>
            <w:tcW w:w="72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与本项目相关的政府采购业务澄清、更正及与之相关的事项将在采购公告中“六、其他补充事宜”中网上查询地址上发布</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11.5</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是否组织标前答疑会</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☑不组织召开开标前答疑会</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□组织召开开标前答疑会</w:t>
            </w:r>
          </w:p>
          <w:p>
            <w:pP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会议开始时间：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分</w:t>
            </w:r>
            <w:r>
              <w:rPr>
                <w:rFonts w:hint="eastAsia" w:ascii="宋体" w:hAnsi="宋体" w:cs="宋体"/>
                <w:color w:val="auto"/>
                <w:szCs w:val="21"/>
                <w:highlight w:val="none"/>
              </w:rPr>
              <w:t>，逾期后果自负。会议地点：</w:t>
            </w:r>
            <w:r>
              <w:rPr>
                <w:rFonts w:hint="eastAsia" w:ascii="宋体" w:hAnsi="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13.1</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bookmarkStart w:id="49" w:name="_13.2"/>
            <w:bookmarkEnd w:id="49"/>
            <w:r>
              <w:rPr>
                <w:rFonts w:hint="eastAsia" w:ascii="宋体" w:hAnsi="宋体" w:cs="宋体"/>
                <w:color w:val="auto"/>
                <w:szCs w:val="21"/>
                <w:highlight w:val="none"/>
              </w:rPr>
              <w:t>资格证明文件组成</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Courier New"/>
                <w:b/>
                <w:color w:val="auto"/>
                <w:szCs w:val="21"/>
                <w:highlight w:val="none"/>
              </w:rPr>
              <w:t>资格证明文件：</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1、供应商为法人或者其他组织的，提供营业执照等证明文件（如营业执照或者事业单位法人证书或者</w:t>
            </w:r>
            <w:r>
              <w:rPr>
                <w:rStyle w:val="68"/>
                <w:rFonts w:hint="eastAsia"/>
                <w:color w:val="auto"/>
                <w:sz w:val="21"/>
                <w:szCs w:val="21"/>
                <w:highlight w:val="none"/>
              </w:rPr>
              <w:t>执业许可证</w:t>
            </w:r>
            <w:r>
              <w:rPr>
                <w:rFonts w:hint="eastAsia" w:ascii="宋体" w:hAnsi="宋体" w:cs="宋体"/>
                <w:color w:val="auto"/>
                <w:szCs w:val="21"/>
                <w:highlight w:val="none"/>
              </w:rPr>
              <w:t>等），供应商为自然人的，提供身份证复印件。（</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2、供应商依法缴纳税收的相关材料[</w:t>
            </w:r>
            <w:r>
              <w:rPr>
                <w:rFonts w:hint="eastAsia" w:ascii="宋体" w:hAnsi="宋体" w:cs="宋体"/>
                <w:color w:val="auto"/>
                <w:szCs w:val="21"/>
                <w:highlight w:val="none"/>
                <w:u w:val="single"/>
                <w:lang w:eastAsia="zh-CN"/>
              </w:rPr>
              <w:t>2024年1月至2024年6月</w:t>
            </w:r>
            <w:r>
              <w:rPr>
                <w:rFonts w:hint="eastAsia" w:ascii="宋体" w:hAnsi="宋体" w:cs="宋体"/>
                <w:color w:val="auto"/>
                <w:szCs w:val="21"/>
                <w:highlight w:val="none"/>
              </w:rPr>
              <w:t>内任意</w:t>
            </w:r>
            <w:r>
              <w:rPr>
                <w:rFonts w:hint="eastAsia" w:ascii="宋体" w:hAnsi="宋体" w:cs="宋体"/>
                <w:color w:val="auto"/>
                <w:szCs w:val="21"/>
                <w:highlight w:val="none"/>
                <w:u w:val="single"/>
              </w:rPr>
              <w:t>1</w:t>
            </w:r>
            <w:r>
              <w:rPr>
                <w:rFonts w:hint="eastAsia" w:ascii="宋体" w:hAnsi="宋体" w:cs="宋体"/>
                <w:color w:val="auto"/>
                <w:szCs w:val="21"/>
                <w:highlight w:val="none"/>
              </w:rPr>
              <w:t>个月的依法缴纳税收的凭据复印件</w:t>
            </w:r>
            <w:r>
              <w:rPr>
                <w:rFonts w:hint="eastAsia" w:ascii="宋体" w:hAnsi="宋体"/>
                <w:b/>
                <w:color w:val="auto"/>
                <w:szCs w:val="21"/>
                <w:highlight w:val="none"/>
                <w:u w:val="single"/>
              </w:rPr>
              <w:t>（如</w:t>
            </w:r>
            <w:r>
              <w:rPr>
                <w:rFonts w:ascii="宋体" w:hAnsi="宋体"/>
                <w:b/>
                <w:color w:val="auto"/>
                <w:szCs w:val="21"/>
                <w:highlight w:val="none"/>
                <w:u w:val="single"/>
              </w:rPr>
              <w:t>税务部门开具的完税</w:t>
            </w:r>
            <w:r>
              <w:rPr>
                <w:rFonts w:hint="eastAsia" w:ascii="宋体" w:hAnsi="宋体"/>
                <w:b/>
                <w:color w:val="auto"/>
                <w:szCs w:val="21"/>
                <w:highlight w:val="none"/>
                <w:u w:val="single"/>
              </w:rPr>
              <w:t>银行</w:t>
            </w:r>
            <w:r>
              <w:rPr>
                <w:rFonts w:ascii="宋体" w:hAnsi="宋体"/>
                <w:b/>
                <w:color w:val="auto"/>
                <w:szCs w:val="21"/>
                <w:highlight w:val="none"/>
                <w:u w:val="single"/>
              </w:rPr>
              <w:t>缴税付款</w:t>
            </w:r>
            <w:r>
              <w:rPr>
                <w:rFonts w:hint="eastAsia" w:ascii="宋体" w:hAnsi="宋体"/>
                <w:b/>
                <w:color w:val="auto"/>
                <w:szCs w:val="21"/>
                <w:highlight w:val="none"/>
                <w:u w:val="single"/>
              </w:rPr>
              <w:t>凭证</w:t>
            </w:r>
            <w:r>
              <w:rPr>
                <w:rFonts w:ascii="宋体" w:hAnsi="宋体"/>
                <w:b/>
                <w:color w:val="auto"/>
                <w:szCs w:val="21"/>
                <w:highlight w:val="none"/>
                <w:u w:val="single"/>
              </w:rPr>
              <w:t>或缴款回单等；如为非税务部门开具的凭证或回单的，应清晰反映：付款人名称、</w:t>
            </w:r>
            <w:r>
              <w:rPr>
                <w:rFonts w:hint="eastAsia" w:ascii="宋体" w:hAnsi="宋体"/>
                <w:b/>
                <w:color w:val="auto"/>
                <w:szCs w:val="21"/>
                <w:highlight w:val="none"/>
                <w:u w:val="single"/>
              </w:rPr>
              <w:t>账号</w:t>
            </w:r>
            <w:r>
              <w:rPr>
                <w:rFonts w:ascii="宋体" w:hAnsi="宋体"/>
                <w:b/>
                <w:color w:val="auto"/>
                <w:szCs w:val="21"/>
                <w:highlight w:val="none"/>
                <w:u w:val="single"/>
              </w:rPr>
              <w:t>。</w:t>
            </w:r>
            <w:r>
              <w:rPr>
                <w:rFonts w:hint="eastAsia" w:ascii="宋体" w:hAnsi="宋体"/>
                <w:b/>
                <w:color w:val="auto"/>
                <w:szCs w:val="21"/>
                <w:highlight w:val="none"/>
                <w:u w:val="single"/>
              </w:rPr>
              <w:t>征收机关</w:t>
            </w:r>
            <w:r>
              <w:rPr>
                <w:rFonts w:ascii="宋体" w:hAnsi="宋体"/>
                <w:b/>
                <w:color w:val="auto"/>
                <w:szCs w:val="21"/>
                <w:highlight w:val="none"/>
                <w:u w:val="single"/>
              </w:rPr>
              <w:t>名称，缴款金额，税种名称，所属时期等内容；</w:t>
            </w:r>
            <w:r>
              <w:rPr>
                <w:rFonts w:hint="eastAsia" w:ascii="宋体" w:hAnsi="宋体"/>
                <w:b/>
                <w:color w:val="auto"/>
                <w:szCs w:val="21"/>
                <w:highlight w:val="none"/>
                <w:u w:val="single"/>
              </w:rPr>
              <w:t>如供应商</w:t>
            </w:r>
            <w:r>
              <w:rPr>
                <w:rFonts w:ascii="宋体" w:hAnsi="宋体"/>
                <w:b/>
                <w:color w:val="auto"/>
                <w:szCs w:val="21"/>
                <w:highlight w:val="none"/>
                <w:u w:val="single"/>
              </w:rPr>
              <w:t>在项目截标前连续三个月零纳税的，应出具截标前半年内的缴纳税收</w:t>
            </w:r>
            <w:r>
              <w:rPr>
                <w:rFonts w:hint="eastAsia" w:ascii="宋体" w:hAnsi="宋体"/>
                <w:b/>
                <w:color w:val="auto"/>
                <w:szCs w:val="21"/>
                <w:highlight w:val="none"/>
                <w:u w:val="single"/>
              </w:rPr>
              <w:t>凭证</w:t>
            </w:r>
            <w:r>
              <w:rPr>
                <w:rFonts w:ascii="宋体" w:hAnsi="宋体"/>
                <w:b/>
                <w:color w:val="auto"/>
                <w:szCs w:val="21"/>
                <w:highlight w:val="none"/>
                <w:u w:val="single"/>
              </w:rPr>
              <w:t>，如半年内仍为零纳税的，</w:t>
            </w:r>
            <w:r>
              <w:rPr>
                <w:rFonts w:hint="eastAsia" w:ascii="宋体" w:hAnsi="宋体"/>
                <w:b/>
                <w:color w:val="auto"/>
                <w:szCs w:val="21"/>
                <w:highlight w:val="none"/>
                <w:u w:val="single"/>
              </w:rPr>
              <w:t>供应商</w:t>
            </w:r>
            <w:r>
              <w:rPr>
                <w:rFonts w:ascii="宋体" w:hAnsi="宋体"/>
                <w:b/>
                <w:color w:val="auto"/>
                <w:szCs w:val="21"/>
                <w:highlight w:val="none"/>
                <w:u w:val="single"/>
              </w:rPr>
              <w:t>应出具其具备经验能力的相关证明材料）</w:t>
            </w:r>
            <w:r>
              <w:rPr>
                <w:rFonts w:hint="eastAsia" w:ascii="宋体" w:hAnsi="宋体" w:cs="宋体"/>
                <w:color w:val="auto"/>
                <w:szCs w:val="21"/>
                <w:highlight w:val="none"/>
              </w:rPr>
              <w:t>；依法免税的供应商，必须提供相应文件证明其依法免税。从取得营业执照时间起到投标文件提交截止时间为止不足要求月数的，只需提供从取得营业执照起的依法缴纳税收相应证明文件）。</w:t>
            </w:r>
            <w:r>
              <w:rPr>
                <w:rFonts w:hint="eastAsia" w:ascii="宋体" w:hAnsi="宋体" w:cs="宋体"/>
                <w:b/>
                <w:bCs/>
                <w:color w:val="auto"/>
                <w:szCs w:val="21"/>
                <w:highlight w:val="none"/>
              </w:rPr>
              <w:t>（如有请提供）</w:t>
            </w:r>
          </w:p>
          <w:p>
            <w:pPr>
              <w:snapToGrid w:val="0"/>
              <w:spacing w:line="400" w:lineRule="exact"/>
              <w:jc w:val="left"/>
              <w:rPr>
                <w:rFonts w:ascii="宋体" w:hAnsi="宋体" w:cs="宋体"/>
                <w:b/>
                <w:bCs/>
                <w:color w:val="auto"/>
                <w:szCs w:val="21"/>
                <w:highlight w:val="none"/>
              </w:rPr>
            </w:pPr>
            <w:r>
              <w:rPr>
                <w:rFonts w:hint="eastAsia" w:ascii="宋体" w:hAnsi="宋体" w:cs="宋体"/>
                <w:color w:val="auto"/>
                <w:szCs w:val="21"/>
                <w:highlight w:val="none"/>
              </w:rPr>
              <w:t>3、供应商依法缴纳社会保障资金的相关材料[</w:t>
            </w:r>
            <w:r>
              <w:rPr>
                <w:rFonts w:hint="eastAsia" w:ascii="宋体" w:hAnsi="宋体" w:cs="宋体"/>
                <w:color w:val="auto"/>
                <w:szCs w:val="21"/>
                <w:highlight w:val="none"/>
                <w:u w:val="single"/>
                <w:lang w:eastAsia="zh-CN"/>
              </w:rPr>
              <w:t>2024年1月至2024年6月</w:t>
            </w:r>
            <w:r>
              <w:rPr>
                <w:rFonts w:hint="eastAsia" w:ascii="宋体" w:hAnsi="宋体" w:cs="宋体"/>
                <w:color w:val="auto"/>
                <w:szCs w:val="21"/>
                <w:highlight w:val="none"/>
              </w:rPr>
              <w:t>内连续</w:t>
            </w:r>
            <w:r>
              <w:rPr>
                <w:rFonts w:hint="eastAsia" w:ascii="宋体" w:hAnsi="宋体" w:cs="宋体"/>
                <w:color w:val="auto"/>
                <w:szCs w:val="21"/>
                <w:highlight w:val="none"/>
                <w:u w:val="single"/>
              </w:rPr>
              <w:t>1</w:t>
            </w:r>
            <w:r>
              <w:rPr>
                <w:rFonts w:hint="eastAsia" w:ascii="宋体" w:hAnsi="宋体" w:cs="宋体"/>
                <w:color w:val="auto"/>
                <w:szCs w:val="21"/>
                <w:highlight w:val="none"/>
              </w:rPr>
              <w:t>个月的依法缴纳社会保障资金的缴费凭证（专用收据或者社会保险缴纳清单）复印件；</w:t>
            </w:r>
            <w:r>
              <w:rPr>
                <w:rFonts w:hint="eastAsia" w:ascii="宋体" w:hAnsi="宋体" w:cs="宋体"/>
                <w:color w:val="auto"/>
                <w:szCs w:val="21"/>
                <w:highlight w:val="none"/>
                <w:lang w:eastAsia="zh-CN"/>
              </w:rPr>
              <w:t>未缴纳</w:t>
            </w:r>
            <w:r>
              <w:rPr>
                <w:rFonts w:hint="eastAsia" w:ascii="宋体" w:hAnsi="宋体" w:cs="宋体"/>
                <w:color w:val="auto"/>
                <w:szCs w:val="21"/>
                <w:highlight w:val="none"/>
              </w:rPr>
              <w:t>社会保障资金的供应商，必须提供相应文件证明不需要缴纳社会保障资金。从取得营业执照时间起到投标文件提交截止时间为止不足要求月数的只需提供从取得营业执照起的依法缴纳社会保障资金的相应证明文件。</w:t>
            </w:r>
            <w:r>
              <w:rPr>
                <w:rFonts w:hint="eastAsia" w:ascii="宋体" w:hAnsi="宋体" w:cs="宋体"/>
                <w:b/>
                <w:bCs/>
                <w:color w:val="auto"/>
                <w:szCs w:val="21"/>
                <w:highlight w:val="none"/>
              </w:rPr>
              <w:t>（如有请提供）</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4、供应商财务状况报告（2022年或2023年度财务报表复印件或者银行出具的资信证明；投标人属于成立时间在规定年度之后的法人或其他组织，需提供成立之日起至投标截止时间前的月报表或银行出具的资信证明；资信证明应在有效期内，未注明有效期的，银行出具时间至投标截止时间不超过一年）；（除自然人外必须提供，否则按无效投标处理）</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5、供应商直接控股、管理关系信息表。（</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numPr>
                <w:ilvl w:val="0"/>
                <w:numId w:val="2"/>
              </w:num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投标资格声明。（</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b/>
                <w:color w:val="auto"/>
                <w:szCs w:val="21"/>
                <w:highlight w:val="none"/>
              </w:rPr>
            </w:pPr>
            <w:r>
              <w:rPr>
                <w:rFonts w:hint="eastAsia" w:ascii="宋体" w:hAnsi="宋体" w:cs="宋体"/>
                <w:color w:val="auto"/>
                <w:szCs w:val="21"/>
                <w:highlight w:val="none"/>
              </w:rPr>
              <w:t>7、供应商根据招标公告对应的特定资格要求设置供应商提供的资格证明材料；</w:t>
            </w:r>
            <w:r>
              <w:rPr>
                <w:rFonts w:hint="eastAsia" w:ascii="宋体" w:hAnsi="宋体" w:cs="宋体"/>
                <w:b/>
                <w:color w:val="auto"/>
                <w:szCs w:val="21"/>
                <w:highlight w:val="none"/>
              </w:rPr>
              <w:t>（如有请提供）</w:t>
            </w:r>
          </w:p>
          <w:p>
            <w:pPr>
              <w:pStyle w:val="2"/>
              <w:rPr>
                <w:color w:val="auto"/>
                <w:highlight w:val="none"/>
              </w:rPr>
            </w:pPr>
            <w:r>
              <w:rPr>
                <w:rFonts w:hint="eastAsia"/>
                <w:color w:val="auto"/>
                <w:highlight w:val="none"/>
              </w:rPr>
              <w:t>8、</w:t>
            </w:r>
            <w:r>
              <w:rPr>
                <w:rFonts w:hint="eastAsia" w:ascii="宋体" w:hAnsi="宋体"/>
                <w:color w:val="auto"/>
                <w:szCs w:val="21"/>
                <w:highlight w:val="none"/>
              </w:rPr>
              <w:t>联合体协议书。（</w:t>
            </w:r>
            <w:r>
              <w:rPr>
                <w:rFonts w:hint="eastAsia" w:ascii="宋体" w:hAnsi="宋体"/>
                <w:b/>
                <w:color w:val="auto"/>
                <w:szCs w:val="21"/>
                <w:highlight w:val="none"/>
              </w:rPr>
              <w:t>联合体投标时必须提供，否则作无效投标处理</w:t>
            </w:r>
            <w:r>
              <w:rPr>
                <w:rFonts w:hint="eastAsia" w:ascii="宋体" w:hAnsi="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9、除招标文件规定必须提供以外，供应商认为需要提供的其他证明材料。</w:t>
            </w:r>
          </w:p>
          <w:p>
            <w:pPr>
              <w:snapToGrid w:val="0"/>
              <w:spacing w:line="400" w:lineRule="exact"/>
              <w:ind w:firstLine="422" w:firstLineChars="200"/>
              <w:jc w:val="left"/>
              <w:rPr>
                <w:rFonts w:ascii="宋体" w:hAnsi="宋体" w:cs="宋体"/>
                <w:b/>
                <w:color w:val="auto"/>
                <w:szCs w:val="21"/>
                <w:highlight w:val="none"/>
              </w:rPr>
            </w:pPr>
            <w:r>
              <w:rPr>
                <w:rFonts w:hint="eastAsia" w:ascii="宋体" w:hAnsi="宋体" w:cs="宋体"/>
                <w:b/>
                <w:bCs/>
                <w:color w:val="auto"/>
                <w:szCs w:val="21"/>
                <w:highlight w:val="none"/>
              </w:rPr>
              <w:t>注：1.</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，必须加盖供应商电子公章，否则</w:t>
            </w:r>
            <w:r>
              <w:rPr>
                <w:rFonts w:hint="eastAsia" w:ascii="宋体" w:hAnsi="宋体" w:cs="宋体"/>
                <w:b/>
                <w:color w:val="auto"/>
                <w:szCs w:val="21"/>
                <w:highlight w:val="none"/>
              </w:rPr>
              <w:t>作无效投标处理。</w:t>
            </w:r>
          </w:p>
          <w:p>
            <w:pPr>
              <w:snapToGrid w:val="0"/>
              <w:spacing w:line="400" w:lineRule="exact"/>
              <w:ind w:firstLine="422" w:firstLineChars="200"/>
              <w:jc w:val="left"/>
              <w:rPr>
                <w:rFonts w:ascii="宋体" w:hAnsi="宋体" w:cs="宋体"/>
                <w:b/>
                <w:bCs/>
                <w:color w:val="auto"/>
                <w:szCs w:val="21"/>
                <w:highlight w:val="none"/>
              </w:rPr>
            </w:pPr>
            <w:r>
              <w:rPr>
                <w:rFonts w:hint="eastAsia" w:ascii="宋体" w:hAnsi="宋体" w:cs="宋体"/>
                <w:b/>
                <w:color w:val="auto"/>
                <w:szCs w:val="21"/>
                <w:highlight w:val="none"/>
              </w:rPr>
              <w:t>2</w:t>
            </w:r>
            <w:r>
              <w:rPr>
                <w:rFonts w:hint="eastAsia" w:ascii="宋体" w:hAnsi="宋体" w:cs="宋体"/>
                <w:b/>
                <w:bCs/>
                <w:color w:val="auto"/>
                <w:szCs w:val="21"/>
                <w:highlight w:val="none"/>
              </w:rPr>
              <w:t>.投标资格声明必须加盖供应商公章，否则响应文件按无效响应处理。</w:t>
            </w:r>
          </w:p>
          <w:p>
            <w:pPr>
              <w:snapToGrid w:val="0"/>
              <w:spacing w:line="40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3.供应商直接控股、管理关系信息表必须加盖供应商公章，否则响应文件按无效响应处理。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bookmarkStart w:id="50" w:name="_13.3"/>
            <w:bookmarkEnd w:id="50"/>
            <w:r>
              <w:rPr>
                <w:rFonts w:hint="eastAsia" w:ascii="宋体" w:hAnsi="宋体" w:cs="宋体"/>
                <w:color w:val="auto"/>
                <w:szCs w:val="21"/>
                <w:highlight w:val="none"/>
              </w:rPr>
              <w:t>商务文件组成</w:t>
            </w:r>
          </w:p>
          <w:p>
            <w:pPr>
              <w:spacing w:line="400" w:lineRule="exact"/>
              <w:rPr>
                <w:rFonts w:ascii="宋体" w:hAnsi="宋体" w:cs="宋体"/>
                <w:color w:val="auto"/>
                <w:szCs w:val="21"/>
                <w:highlight w:val="none"/>
              </w:rPr>
            </w:pP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1、无串通投标行为的承诺函；（</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2、法定代表人身份证明及法定代表人有效身份证正反面复印件；（</w:t>
            </w:r>
            <w:r>
              <w:rPr>
                <w:rFonts w:hint="eastAsia" w:ascii="宋体" w:hAnsi="宋体" w:cs="宋体"/>
                <w:b/>
                <w:bCs/>
                <w:color w:val="auto"/>
                <w:szCs w:val="21"/>
                <w:highlight w:val="none"/>
              </w:rPr>
              <w:t>除自然人投标外</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3、法定代表人授权委托书及委托代理人有效身份证正反面复印件；（</w:t>
            </w:r>
            <w:r>
              <w:rPr>
                <w:rFonts w:hint="eastAsia" w:ascii="宋体" w:hAnsi="宋体" w:cs="宋体"/>
                <w:b/>
                <w:color w:val="auto"/>
                <w:szCs w:val="21"/>
                <w:highlight w:val="none"/>
              </w:rPr>
              <w:t>委托时必须提供，否则作无效投标处理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olor w:val="auto"/>
                <w:szCs w:val="21"/>
                <w:highlight w:val="none"/>
              </w:rPr>
              <w:t>商务要求偏离表（格式后附）；（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olor w:val="auto"/>
                <w:szCs w:val="21"/>
                <w:highlight w:val="none"/>
              </w:rPr>
              <w:t>售后服务承诺（格式自拟）</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olor w:val="auto"/>
                <w:szCs w:val="21"/>
                <w:highlight w:val="none"/>
              </w:rPr>
              <w:t>供应商情况介绍（格式自拟）</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7、除招标文件规定必须提供以外，供应商认为需要提供的其他证明材料。（供应商根据“第二章 采购需求”及“第四章 评标方法及评标标准”提供有关证明材料）。</w:t>
            </w:r>
          </w:p>
          <w:p>
            <w:pPr>
              <w:snapToGrid w:val="0"/>
              <w:spacing w:line="400" w:lineRule="exact"/>
              <w:jc w:val="left"/>
              <w:rPr>
                <w:rFonts w:ascii="宋体" w:hAnsi="宋体" w:cs="宋体"/>
                <w:b/>
                <w:bCs/>
                <w:color w:val="auto"/>
                <w:szCs w:val="21"/>
                <w:highlight w:val="none"/>
              </w:rPr>
            </w:pPr>
            <w:r>
              <w:rPr>
                <w:rFonts w:hint="eastAsia" w:ascii="宋体" w:hAnsi="宋体" w:cs="宋体"/>
                <w:b/>
                <w:bCs/>
                <w:color w:val="auto"/>
                <w:szCs w:val="21"/>
                <w:highlight w:val="none"/>
              </w:rPr>
              <w:t>注： 1.法定代表人授权委托书必须由法定代表人及委托代理人签字，并加盖供应商公章，否则作无效投标处理。</w:t>
            </w:r>
          </w:p>
          <w:p>
            <w:pPr>
              <w:snapToGrid w:val="0"/>
              <w:spacing w:line="400" w:lineRule="exact"/>
              <w:ind w:firstLine="422" w:firstLineChars="200"/>
              <w:jc w:val="left"/>
              <w:rPr>
                <w:rFonts w:ascii="宋体" w:hAnsi="宋体" w:cs="宋体"/>
                <w:b/>
                <w:color w:val="auto"/>
                <w:szCs w:val="21"/>
                <w:highlight w:val="none"/>
              </w:rPr>
            </w:pPr>
            <w:r>
              <w:rPr>
                <w:rFonts w:hint="eastAsia" w:ascii="宋体" w:hAnsi="宋体" w:cs="宋体"/>
                <w:b/>
                <w:bCs/>
                <w:color w:val="auto"/>
                <w:szCs w:val="21"/>
                <w:highlight w:val="none"/>
              </w:rPr>
              <w:t>2.</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，必须加盖供应商电子公章，否则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vMerge w:val="restart"/>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bookmarkStart w:id="51" w:name="_13.4"/>
            <w:bookmarkEnd w:id="51"/>
            <w:r>
              <w:rPr>
                <w:rFonts w:hint="eastAsia" w:ascii="宋体" w:hAnsi="宋体" w:cs="宋体"/>
                <w:color w:val="auto"/>
                <w:szCs w:val="21"/>
                <w:highlight w:val="none"/>
              </w:rPr>
              <w:t>技术文件组成</w:t>
            </w:r>
          </w:p>
          <w:p>
            <w:pPr>
              <w:spacing w:line="400" w:lineRule="exact"/>
              <w:rPr>
                <w:rFonts w:ascii="宋体" w:hAnsi="宋体" w:cs="宋体"/>
                <w:color w:val="auto"/>
                <w:szCs w:val="21"/>
                <w:highlight w:val="none"/>
              </w:rPr>
            </w:pP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技术要求偏离表（格式后附）</w:t>
            </w:r>
            <w:r>
              <w:rPr>
                <w:rFonts w:hint="eastAsia" w:ascii="宋体" w:hAnsi="宋体" w:cs="宋体"/>
                <w:color w:val="auto"/>
                <w:szCs w:val="21"/>
                <w:highlight w:val="none"/>
              </w:rPr>
              <w:t>；（</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olor w:val="auto"/>
                <w:szCs w:val="21"/>
                <w:highlight w:val="none"/>
              </w:rPr>
              <w:t>服务实施方案（格式自拟）【内容包括但不限于服务方案、保障方案及承诺、</w:t>
            </w:r>
            <w:r>
              <w:rPr>
                <w:rFonts w:hint="eastAsia" w:ascii="宋体" w:hAnsi="宋体"/>
                <w:bCs/>
                <w:color w:val="auto"/>
                <w:szCs w:val="21"/>
                <w:highlight w:val="none"/>
              </w:rPr>
              <w:t>拟投入人员</w:t>
            </w:r>
            <w:r>
              <w:rPr>
                <w:rFonts w:hint="eastAsia" w:ascii="宋体" w:hAnsi="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olor w:val="auto"/>
                <w:szCs w:val="21"/>
                <w:highlight w:val="none"/>
              </w:rPr>
              <w:t>项目实施人员一览表（格式后附）；（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4、课题研究大纲；（</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snapToGrid w:val="0"/>
              <w:spacing w:line="400" w:lineRule="exact"/>
              <w:jc w:val="left"/>
              <w:rPr>
                <w:rFonts w:ascii="宋体" w:hAnsi="宋体" w:cs="宋体"/>
                <w:bCs/>
                <w:color w:val="auto"/>
                <w:szCs w:val="21"/>
                <w:highlight w:val="none"/>
              </w:rPr>
            </w:pPr>
            <w:r>
              <w:rPr>
                <w:rFonts w:hint="eastAsia" w:ascii="宋体" w:hAnsi="宋体" w:cs="宋体"/>
                <w:color w:val="auto"/>
                <w:szCs w:val="21"/>
                <w:highlight w:val="none"/>
              </w:rPr>
              <w:t>5、除招标文件规定必须提供以外，供应商需要说明的其他文件和说明。</w:t>
            </w:r>
          </w:p>
          <w:p>
            <w:pPr>
              <w:snapToGrid w:val="0"/>
              <w:spacing w:line="400" w:lineRule="exact"/>
              <w:jc w:val="left"/>
              <w:rPr>
                <w:rFonts w:ascii="宋体" w:hAnsi="宋体" w:cs="宋体"/>
                <w:b/>
                <w:bCs/>
                <w:color w:val="auto"/>
                <w:szCs w:val="21"/>
                <w:highlight w:val="none"/>
              </w:rPr>
            </w:pPr>
            <w:r>
              <w:rPr>
                <w:rFonts w:hint="eastAsia" w:ascii="宋体" w:hAnsi="宋体" w:cs="宋体"/>
                <w:b/>
                <w:bCs/>
                <w:color w:val="auto"/>
                <w:szCs w:val="21"/>
                <w:highlight w:val="none"/>
              </w:rPr>
              <w:t>注：以上标明“必须提供”的材料</w:t>
            </w:r>
            <w:r>
              <w:rPr>
                <w:rFonts w:hint="eastAsia" w:ascii="宋体" w:hAnsi="宋体" w:cs="宋体"/>
                <w:b/>
                <w:color w:val="auto"/>
                <w:szCs w:val="21"/>
                <w:highlight w:val="none"/>
              </w:rPr>
              <w:t>属于复印件的扫描件的</w:t>
            </w:r>
            <w:r>
              <w:rPr>
                <w:rFonts w:hint="eastAsia" w:ascii="宋体" w:hAnsi="宋体" w:cs="宋体"/>
                <w:b/>
                <w:bCs/>
                <w:color w:val="auto"/>
                <w:szCs w:val="21"/>
                <w:highlight w:val="none"/>
              </w:rPr>
              <w:t>，必须加盖供应商电子公章，否则</w:t>
            </w:r>
            <w:r>
              <w:rPr>
                <w:rFonts w:hint="eastAsia" w:ascii="宋体" w:hAnsi="宋体" w:cs="宋体"/>
                <w:b/>
                <w:color w:val="auto"/>
                <w:szCs w:val="21"/>
                <w:highlight w:val="none"/>
              </w:rPr>
              <w:t>作无效投标处理</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报价文件组成</w:t>
            </w:r>
          </w:p>
        </w:tc>
        <w:tc>
          <w:tcPr>
            <w:tcW w:w="7297" w:type="dxa"/>
            <w:tcBorders>
              <w:top w:val="single" w:color="auto" w:sz="4" w:space="0"/>
              <w:left w:val="single" w:color="auto" w:sz="4" w:space="0"/>
              <w:bottom w:val="single" w:color="auto" w:sz="4" w:space="0"/>
              <w:right w:val="single" w:color="auto" w:sz="4" w:space="0"/>
            </w:tcBorders>
            <w:vAlign w:val="center"/>
          </w:tcPr>
          <w:p>
            <w:pPr>
              <w:tabs>
                <w:tab w:val="left" w:pos="459"/>
              </w:tabs>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1、投标函；</w:t>
            </w:r>
            <w:r>
              <w:rPr>
                <w:rFonts w:hint="eastAsia" w:ascii="宋体" w:hAnsi="宋体" w:cs="宋体"/>
                <w:b/>
                <w:color w:val="auto"/>
                <w:szCs w:val="21"/>
                <w:highlight w:val="none"/>
              </w:rPr>
              <w:t>（必须提供，否则作无效投标处理）</w:t>
            </w:r>
          </w:p>
          <w:p>
            <w:pPr>
              <w:tabs>
                <w:tab w:val="left" w:pos="459"/>
              </w:tabs>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2、开标一览表；（</w:t>
            </w:r>
            <w:r>
              <w:rPr>
                <w:rFonts w:hint="eastAsia" w:ascii="宋体" w:hAnsi="宋体" w:cs="宋体"/>
                <w:b/>
                <w:color w:val="auto"/>
                <w:szCs w:val="21"/>
                <w:highlight w:val="none"/>
              </w:rPr>
              <w:t>必须提供，否则作无效投标处理</w:t>
            </w:r>
            <w:r>
              <w:rPr>
                <w:rFonts w:hint="eastAsia" w:ascii="宋体" w:hAnsi="宋体" w:cs="宋体"/>
                <w:color w:val="auto"/>
                <w:szCs w:val="21"/>
                <w:highlight w:val="none"/>
              </w:rPr>
              <w:t>）</w:t>
            </w:r>
          </w:p>
          <w:p>
            <w:pPr>
              <w:widowControl/>
              <w:kinsoku w:val="0"/>
              <w:autoSpaceDE w:val="0"/>
              <w:autoSpaceDN w:val="0"/>
              <w:adjustRightInd w:val="0"/>
              <w:snapToGrid w:val="0"/>
              <w:spacing w:line="400" w:lineRule="exact"/>
              <w:textAlignment w:val="baseline"/>
              <w:rPr>
                <w:rFonts w:ascii="宋体" w:hAnsi="宋体" w:cs="宋体"/>
                <w:color w:val="auto"/>
                <w:szCs w:val="21"/>
                <w:highlight w:val="none"/>
              </w:rPr>
            </w:pPr>
            <w:r>
              <w:rPr>
                <w:rFonts w:hint="eastAsia" w:ascii="宋体" w:hAnsi="宋体" w:cs="宋体"/>
                <w:color w:val="auto"/>
                <w:szCs w:val="21"/>
                <w:highlight w:val="none"/>
              </w:rPr>
              <w:t>3、投标人针对报价需要说明的其他文件（如中小企业声明函、残疾人福利性单位声明函、监狱企业声明函等） 和说明（格式自拟）（如有请提供）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16.2</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52" w:name="_16.2"/>
            <w:bookmarkEnd w:id="52"/>
            <w:r>
              <w:rPr>
                <w:rFonts w:hint="eastAsia" w:ascii="宋体" w:hAnsi="宋体" w:cs="宋体"/>
                <w:color w:val="auto"/>
                <w:szCs w:val="21"/>
                <w:highlight w:val="none"/>
              </w:rPr>
              <w:t>投标报价要求</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auto"/>
                <w:szCs w:val="21"/>
                <w:highlight w:val="none"/>
              </w:rPr>
            </w:pPr>
            <w:r>
              <w:rPr>
                <w:rFonts w:hint="eastAsia" w:ascii="宋体" w:hAnsi="宋体"/>
                <w:color w:val="auto"/>
                <w:szCs w:val="21"/>
                <w:highlight w:val="none"/>
              </w:rPr>
              <w:t>投标报价是履行合同的最终价格，</w:t>
            </w:r>
            <w:r>
              <w:rPr>
                <w:rFonts w:hint="eastAsia" w:ascii="宋体" w:hAnsi="宋体" w:cs="宋体"/>
                <w:color w:val="auto"/>
                <w:szCs w:val="21"/>
                <w:highlight w:val="none"/>
              </w:rPr>
              <w:t>即满足全部采购需求所应提供的服务的价格；包括投标服务的成本、运输（含保险）（如有）、技术服务、培训、税费等所有费用。</w:t>
            </w:r>
            <w:r>
              <w:rPr>
                <w:rFonts w:hint="eastAsia" w:ascii="宋体" w:hAnsi="宋体" w:cs="宋体"/>
                <w:b/>
                <w:bCs/>
                <w:color w:val="auto"/>
                <w:szCs w:val="21"/>
                <w:highlight w:val="none"/>
              </w:rPr>
              <w:t>（采购需求另有约定的，从其约定）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17.2</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53" w:name="_17.1"/>
            <w:bookmarkEnd w:id="53"/>
            <w:r>
              <w:rPr>
                <w:rFonts w:hint="eastAsia" w:ascii="宋体" w:hAnsi="宋体" w:cs="宋体"/>
                <w:color w:val="auto"/>
                <w:szCs w:val="21"/>
                <w:highlight w:val="none"/>
              </w:rPr>
              <w:t>投标有效期</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自投标截止之日起</w:t>
            </w:r>
            <w:r>
              <w:rPr>
                <w:rFonts w:hint="eastAsia" w:ascii="宋体" w:hAnsi="宋体" w:cs="宋体"/>
                <w:color w:val="auto"/>
                <w:szCs w:val="21"/>
                <w:highlight w:val="none"/>
                <w:u w:val="single"/>
              </w:rPr>
              <w:t xml:space="preserve"> </w:t>
            </w:r>
            <w:bookmarkStart w:id="54" w:name="PO_3000001866_PM046"/>
            <w:r>
              <w:rPr>
                <w:rFonts w:hint="eastAsia" w:ascii="宋体" w:hAnsi="宋体" w:cs="宋体"/>
                <w:color w:val="auto"/>
                <w:szCs w:val="21"/>
                <w:highlight w:val="none"/>
                <w:u w:val="single"/>
              </w:rPr>
              <w:t>60</w:t>
            </w:r>
            <w:bookmarkEnd w:id="54"/>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18</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55" w:name="_18"/>
            <w:bookmarkEnd w:id="55"/>
            <w:r>
              <w:rPr>
                <w:rFonts w:hint="eastAsia" w:ascii="宋体" w:hAnsi="宋体" w:cs="宋体"/>
                <w:color w:val="auto"/>
                <w:szCs w:val="21"/>
                <w:highlight w:val="none"/>
              </w:rPr>
              <w:t>投标保证金金额</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19.1</w:t>
            </w:r>
          </w:p>
        </w:tc>
        <w:tc>
          <w:tcPr>
            <w:tcW w:w="1972"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投标文件编制要求</w:t>
            </w:r>
          </w:p>
        </w:tc>
        <w:tc>
          <w:tcPr>
            <w:tcW w:w="72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投标人应按本招标文件规定的格式和顺序编制、装订投标文件并标注页码，投标文件内容不完整、编排混乱导致投标文件被误读、漏读或者查找不到相关内容的，由此引发的后果由投标人承担.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19.2</w:t>
            </w:r>
          </w:p>
        </w:tc>
        <w:tc>
          <w:tcPr>
            <w:tcW w:w="1972"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72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auto"/>
                <w:szCs w:val="21"/>
                <w:highlight w:val="none"/>
                <w:u w:val="single"/>
              </w:rPr>
            </w:pPr>
            <w:r>
              <w:rPr>
                <w:rFonts w:hint="eastAsia" w:ascii="宋体" w:hAnsi="宋体"/>
                <w:color w:val="auto"/>
                <w:szCs w:val="21"/>
                <w:highlight w:val="none"/>
              </w:rPr>
              <w:t>投标文件应按报价文件、资格证明文件、商务文件、技术文件分别编制，</w:t>
            </w:r>
            <w:r>
              <w:rPr>
                <w:rFonts w:hint="eastAsia" w:ascii="宋体" w:hAnsi="宋体" w:cs="宋体"/>
                <w:color w:val="auto"/>
                <w:szCs w:val="21"/>
                <w:highlight w:val="none"/>
                <w:lang w:bidi="ar"/>
              </w:rPr>
              <w:t>并按“政采云”平台的要求编制、加密、上传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20.1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投标文件的加密、解密</w:t>
            </w:r>
          </w:p>
        </w:tc>
        <w:tc>
          <w:tcPr>
            <w:tcW w:w="729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电子投标文件应在制作完成后，投标人应按“政采云”平台的要求进行加密，并在规定时间内解密，否则，由此产生的后果由投标人自行负责。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971"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21.1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56" w:name="_21.1"/>
            <w:bookmarkEnd w:id="56"/>
            <w:r>
              <w:rPr>
                <w:rFonts w:hint="eastAsia" w:ascii="宋体" w:hAnsi="宋体" w:cs="宋体"/>
                <w:color w:val="auto"/>
                <w:szCs w:val="21"/>
                <w:highlight w:val="none"/>
              </w:rPr>
              <w:t>投标截止时间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71" w:type="dxa"/>
            <w:vMerge w:val="continue"/>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投标文件提交起止时间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71" w:type="dxa"/>
            <w:vMerge w:val="continue"/>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投标地点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71" w:type="dxa"/>
            <w:vMerge w:val="continue"/>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供应商递交投标样品截止时间及地点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Cs/>
                <w:color w:val="auto"/>
                <w:szCs w:val="21"/>
                <w:highlight w:val="none"/>
              </w:rPr>
            </w:pPr>
            <w:r>
              <w:rPr>
                <w:rFonts w:hint="eastAsia" w:ascii="宋体" w:hAnsi="宋体" w:cs="宋体"/>
                <w:bCs/>
                <w:color w:val="auto"/>
                <w:szCs w:val="21"/>
                <w:highlight w:val="none"/>
              </w:rPr>
              <w:t>时间：</w:t>
            </w:r>
            <w:r>
              <w:rPr>
                <w:rFonts w:hint="eastAsia" w:ascii="宋体" w:hAnsi="宋体" w:cs="宋体"/>
                <w:bCs/>
                <w:color w:val="auto"/>
                <w:szCs w:val="21"/>
                <w:highlight w:val="none"/>
                <w:u w:val="single"/>
              </w:rPr>
              <w:t xml:space="preserve">  /  年 / 月 / 日  /  时  /  分</w:t>
            </w:r>
            <w:r>
              <w:rPr>
                <w:rFonts w:hint="eastAsia" w:ascii="宋体" w:hAnsi="宋体" w:cs="宋体"/>
                <w:bCs/>
                <w:color w:val="auto"/>
                <w:szCs w:val="21"/>
                <w:highlight w:val="none"/>
              </w:rPr>
              <w:t>（北京时间）</w:t>
            </w:r>
          </w:p>
          <w:p>
            <w:pPr>
              <w:snapToGrid w:val="0"/>
              <w:spacing w:line="400" w:lineRule="exact"/>
              <w:rPr>
                <w:rFonts w:ascii="宋体" w:hAnsi="宋体" w:cs="宋体"/>
                <w:color w:val="auto"/>
                <w:szCs w:val="21"/>
                <w:highlight w:val="none"/>
              </w:rPr>
            </w:pPr>
            <w:r>
              <w:rPr>
                <w:rFonts w:hint="eastAsia" w:ascii="宋体" w:hAnsi="宋体" w:cs="宋体"/>
                <w:bCs/>
                <w:color w:val="auto"/>
                <w:szCs w:val="21"/>
                <w:highlight w:val="none"/>
              </w:rPr>
              <w:t>地点：</w:t>
            </w:r>
            <w:r>
              <w:rPr>
                <w:rFonts w:hint="eastAsia" w:ascii="宋体" w:hAnsi="宋体" w:cs="宋体"/>
                <w:bCs/>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23</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57" w:name="_23"/>
            <w:bookmarkEnd w:id="57"/>
            <w:r>
              <w:rPr>
                <w:rFonts w:hint="eastAsia" w:ascii="宋体" w:hAnsi="宋体" w:cs="宋体"/>
                <w:color w:val="auto"/>
                <w:szCs w:val="21"/>
                <w:highlight w:val="none"/>
              </w:rPr>
              <w:t>开标时间、地点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trPr>
        <w:tc>
          <w:tcPr>
            <w:tcW w:w="971"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25.3（2）</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58" w:name="_25.3"/>
            <w:bookmarkEnd w:id="58"/>
            <w:r>
              <w:rPr>
                <w:rFonts w:hint="eastAsia" w:ascii="宋体" w:hAnsi="宋体" w:cs="宋体"/>
                <w:color w:val="auto"/>
                <w:szCs w:val="21"/>
                <w:highlight w:val="none"/>
              </w:rPr>
              <w:t>供应商信用查询渠道</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采购人或者采购代理机构在资格审查结束前，对供应商进行信用查询。</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971" w:type="dxa"/>
            <w:vMerge w:val="continue"/>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信用查询截止时点</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71" w:type="dxa"/>
            <w:vMerge w:val="continue"/>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查询记录和证据留存方式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在查询网站中直接截图查询记录，截图作为在“政采云”平台作为附件上传保存。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71"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信用信息使用规则</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26</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olor w:val="auto"/>
                <w:szCs w:val="21"/>
                <w:highlight w:val="none"/>
              </w:rPr>
              <w:t>评标委员会的人数</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5人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29.1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59" w:name="_28.3"/>
            <w:bookmarkEnd w:id="59"/>
            <w:bookmarkStart w:id="60" w:name="_26"/>
            <w:bookmarkEnd w:id="60"/>
            <w:r>
              <w:rPr>
                <w:rFonts w:hint="eastAsia" w:ascii="宋体" w:hAnsi="宋体" w:cs="宋体"/>
                <w:color w:val="auto"/>
                <w:szCs w:val="21"/>
                <w:highlight w:val="none"/>
              </w:rPr>
              <w:t>评标方法</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b/>
                <w:bCs/>
                <w:color w:val="auto"/>
                <w:szCs w:val="21"/>
                <w:highlight w:val="none"/>
              </w:rPr>
            </w:pPr>
            <w:r>
              <w:rPr>
                <w:rFonts w:hint="eastAsia" w:ascii="宋体" w:hAnsi="宋体" w:cs="宋体"/>
                <w:b/>
                <w:bCs/>
                <w:color w:val="auto"/>
                <w:szCs w:val="21"/>
                <w:highlight w:val="none"/>
              </w:rPr>
              <w:t>☑综合评分法</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7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29.2</w:t>
            </w:r>
          </w:p>
        </w:tc>
        <w:tc>
          <w:tcPr>
            <w:tcW w:w="1972"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61" w:name="_29.2.2（2）"/>
            <w:bookmarkEnd w:id="61"/>
            <w:r>
              <w:rPr>
                <w:rFonts w:hint="eastAsia" w:ascii="宋体" w:hAnsi="宋体" w:cs="宋体"/>
                <w:color w:val="auto"/>
                <w:szCs w:val="21"/>
                <w:highlight w:val="none"/>
              </w:rPr>
              <w:t>允许负偏离项</w:t>
            </w:r>
          </w:p>
        </w:tc>
        <w:tc>
          <w:tcPr>
            <w:tcW w:w="7297" w:type="dxa"/>
            <w:tcBorders>
              <w:top w:val="single" w:color="auto" w:sz="4" w:space="0"/>
              <w:left w:val="single" w:color="auto" w:sz="4" w:space="0"/>
              <w:right w:val="single" w:color="auto" w:sz="4" w:space="0"/>
            </w:tcBorders>
            <w:vAlign w:val="center"/>
          </w:tcPr>
          <w:p>
            <w:pPr>
              <w:snapToGrid w:val="0"/>
              <w:spacing w:line="276" w:lineRule="auto"/>
              <w:rPr>
                <w:rFonts w:ascii="宋体" w:hAnsi="宋体"/>
                <w:color w:val="auto"/>
                <w:szCs w:val="21"/>
                <w:highlight w:val="none"/>
              </w:rPr>
            </w:pPr>
            <w:r>
              <w:rPr>
                <w:rFonts w:hint="eastAsia" w:ascii="宋体" w:hAnsi="宋体" w:cs="宋体"/>
                <w:color w:val="auto"/>
                <w:szCs w:val="21"/>
                <w:highlight w:val="none"/>
              </w:rPr>
              <w:t>商务要求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详见第二章采购需求，否则投标无效</w:t>
            </w:r>
            <w:r>
              <w:rPr>
                <w:rFonts w:hint="eastAsia" w:ascii="宋体" w:hAnsi="宋体"/>
                <w:color w:val="auto"/>
                <w:szCs w:val="21"/>
                <w:highlight w:val="none"/>
              </w:rPr>
              <w:t>。</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技术要求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详见第二章采购需求，否则投标无效</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30.1</w:t>
            </w:r>
          </w:p>
        </w:tc>
        <w:tc>
          <w:tcPr>
            <w:tcW w:w="197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 xml:space="preserve">确定中标供应商时，出现中标候选人分数并列的情形，确定中标供应商方式 </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 xml:space="preserve">□采用最低评标价法的，投标文件满足招标文件全部实质性要求且投标报价最低的供应商为排名第一的中标候选人； </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b/>
                <w:bCs/>
                <w:color w:val="auto"/>
                <w:szCs w:val="21"/>
                <w:highlight w:val="none"/>
              </w:rPr>
              <w:t>☑采用综合评分法的，按投标报价由低到高顺序排列。得分且投标报价相同的并列。投标文件满足招标文件全部实质性要求，且按照评审因素的量化指标评审得分最高的供应商为排名第一的中标候选人。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35.1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62" w:name="_39.1"/>
            <w:bookmarkEnd w:id="62"/>
            <w:r>
              <w:rPr>
                <w:rFonts w:hint="eastAsia" w:ascii="宋体" w:hAnsi="宋体" w:cs="宋体"/>
                <w:color w:val="auto"/>
                <w:szCs w:val="21"/>
                <w:highlight w:val="none"/>
              </w:rPr>
              <w:t>履约保证金金额</w:t>
            </w:r>
          </w:p>
        </w:tc>
        <w:tc>
          <w:tcPr>
            <w:tcW w:w="7297" w:type="dxa"/>
            <w:tcBorders>
              <w:top w:val="single" w:color="auto" w:sz="4" w:space="0"/>
              <w:left w:val="single" w:color="auto" w:sz="4" w:space="0"/>
              <w:bottom w:val="single" w:color="auto" w:sz="4" w:space="0"/>
              <w:right w:val="single" w:color="auto" w:sz="4" w:space="0"/>
            </w:tcBorders>
            <w:vAlign w:val="bottom"/>
          </w:tcPr>
          <w:p>
            <w:pPr>
              <w:autoSpaceDE w:val="0"/>
              <w:autoSpaceDN w:val="0"/>
              <w:snapToGrid w:val="0"/>
              <w:spacing w:line="400" w:lineRule="exact"/>
              <w:jc w:val="left"/>
              <w:textAlignment w:val="bottom"/>
              <w:rPr>
                <w:rFonts w:ascii="宋体" w:hAnsi="宋体" w:cs="宋体"/>
                <w:color w:val="auto"/>
                <w:szCs w:val="21"/>
                <w:highlight w:val="none"/>
              </w:rPr>
            </w:pPr>
            <w:r>
              <w:rPr>
                <w:rFonts w:hint="eastAsia" w:ascii="宋体" w:hAnsi="宋体" w:cs="宋体"/>
                <w:color w:val="auto"/>
                <w:szCs w:val="21"/>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36.1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63" w:name="_40.1"/>
            <w:bookmarkEnd w:id="63"/>
            <w:r>
              <w:rPr>
                <w:rFonts w:hint="eastAsia" w:ascii="宋体" w:hAnsi="宋体" w:cs="宋体"/>
                <w:color w:val="auto"/>
                <w:szCs w:val="21"/>
                <w:highlight w:val="none"/>
              </w:rPr>
              <w:t>签订电子合同携带的材料</w:t>
            </w:r>
          </w:p>
        </w:tc>
        <w:tc>
          <w:tcPr>
            <w:tcW w:w="729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电子采购合同需要供应商通过有效CA证书进行电子签署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971"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38.2.1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接收质疑函方式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71" w:type="dxa"/>
            <w:vMerge w:val="continue"/>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质疑联系部门及联系方式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u w:val="single"/>
              </w:rPr>
              <w:t>（1）</w:t>
            </w:r>
            <w:bookmarkStart w:id="64" w:name="PO_3000001866_PM031_3"/>
            <w:r>
              <w:rPr>
                <w:rFonts w:hint="eastAsia" w:ascii="宋体" w:hAnsi="宋体" w:cs="宋体"/>
                <w:color w:val="auto"/>
                <w:szCs w:val="21"/>
                <w:highlight w:val="none"/>
                <w:u w:val="single"/>
              </w:rPr>
              <w:t>广西建设工程机电设备招标中心有限公司</w:t>
            </w:r>
            <w:bookmarkEnd w:id="64"/>
            <w:r>
              <w:rPr>
                <w:rFonts w:hint="eastAsia" w:ascii="宋体" w:hAnsi="宋体" w:cs="宋体"/>
                <w:color w:val="auto"/>
                <w:szCs w:val="21"/>
                <w:highlight w:val="none"/>
              </w:rPr>
              <w:t>部门；</w:t>
            </w:r>
          </w:p>
          <w:p>
            <w:pPr>
              <w:snapToGrid w:val="0"/>
              <w:spacing w:line="400" w:lineRule="exact"/>
              <w:rPr>
                <w:rFonts w:ascii="宋体" w:hAnsi="宋体" w:cs="宋体"/>
                <w:color w:val="auto"/>
                <w:szCs w:val="21"/>
                <w:highlight w:val="none"/>
              </w:rPr>
            </w:pPr>
            <w:r>
              <w:rPr>
                <w:rFonts w:hint="eastAsia" w:ascii="宋体" w:hAnsi="宋体"/>
                <w:color w:val="auto"/>
                <w:szCs w:val="21"/>
                <w:highlight w:val="none"/>
              </w:rPr>
              <w:t>质疑联系人：陆宏宾、刘雅婷</w:t>
            </w:r>
            <w:r>
              <w:rPr>
                <w:rFonts w:hint="eastAsia" w:ascii="宋体" w:hAnsi="宋体" w:cs="宋体"/>
                <w:color w:val="auto"/>
                <w:szCs w:val="21"/>
                <w:highlight w:val="none"/>
              </w:rPr>
              <w:t>、谭琦辉</w:t>
            </w:r>
            <w:r>
              <w:rPr>
                <w:rFonts w:hint="eastAsia" w:ascii="宋体" w:hAnsi="宋体"/>
                <w:color w:val="auto"/>
                <w:szCs w:val="21"/>
                <w:highlight w:val="none"/>
              </w:rPr>
              <w:t xml:space="preserve">   </w:t>
            </w:r>
            <w:r>
              <w:rPr>
                <w:rFonts w:hint="eastAsia" w:ascii="宋体" w:hAnsi="宋体" w:cs="宋体"/>
                <w:color w:val="auto"/>
                <w:szCs w:val="21"/>
                <w:highlight w:val="none"/>
              </w:rPr>
              <w:t>联系电话：</w:t>
            </w:r>
            <w:bookmarkStart w:id="65" w:name="PO_3000001866_PM033_1"/>
            <w:r>
              <w:rPr>
                <w:rFonts w:hint="eastAsia" w:ascii="宋体" w:hAnsi="宋体" w:cs="宋体"/>
                <w:color w:val="auto"/>
                <w:szCs w:val="21"/>
                <w:highlight w:val="none"/>
              </w:rPr>
              <w:t>0771-</w:t>
            </w:r>
            <w:bookmarkEnd w:id="65"/>
            <w:r>
              <w:rPr>
                <w:rFonts w:hint="eastAsia" w:ascii="宋体" w:hAnsi="宋体" w:cs="宋体"/>
                <w:color w:val="auto"/>
                <w:szCs w:val="21"/>
                <w:highlight w:val="none"/>
              </w:rPr>
              <w:t>2821389</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通讯地址：</w:t>
            </w:r>
            <w:r>
              <w:rPr>
                <w:rFonts w:hint="eastAsia" w:ascii="宋体" w:hAnsi="宋体"/>
                <w:color w:val="auto"/>
                <w:szCs w:val="21"/>
                <w:highlight w:val="none"/>
              </w:rPr>
              <w:t>广西南宁市良庆区凯旋路15号南宁绿地中心</w:t>
            </w:r>
            <w:bookmarkStart w:id="150" w:name="_GoBack"/>
            <w:bookmarkEnd w:id="150"/>
            <w:r>
              <w:rPr>
                <w:rFonts w:hint="eastAsia" w:ascii="宋体" w:hAnsi="宋体"/>
                <w:color w:val="auto"/>
                <w:szCs w:val="21"/>
                <w:highlight w:val="none"/>
              </w:rPr>
              <w:t>5号楼608室</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u w:val="single"/>
              </w:rPr>
              <w:t xml:space="preserve">（2）广西壮族自治区工业和信息化厅    </w:t>
            </w:r>
            <w:r>
              <w:rPr>
                <w:rFonts w:hint="eastAsia" w:ascii="宋体" w:hAnsi="宋体" w:cs="宋体"/>
                <w:color w:val="auto"/>
                <w:szCs w:val="21"/>
                <w:highlight w:val="none"/>
              </w:rPr>
              <w:t>部门；</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0771-8095215  </w:t>
            </w:r>
            <w:r>
              <w:rPr>
                <w:rFonts w:hint="eastAsia" w:ascii="宋体" w:hAnsi="宋体" w:cs="宋体"/>
                <w:color w:val="auto"/>
                <w:szCs w:val="21"/>
                <w:highlight w:val="none"/>
              </w:rPr>
              <w:t>，</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通讯地址： </w:t>
            </w:r>
            <w:r>
              <w:rPr>
                <w:rFonts w:hint="eastAsia" w:ascii="宋体" w:hAnsi="宋体" w:cs="宋体"/>
                <w:color w:val="auto"/>
                <w:szCs w:val="21"/>
                <w:highlight w:val="none"/>
                <w:u w:val="single"/>
              </w:rPr>
              <w:t>广西南宁市民族大道113号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971"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现场提交质疑办理业务时间</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质疑期内每个工作日</w:t>
            </w:r>
            <w:r>
              <w:rPr>
                <w:rFonts w:hint="eastAsia" w:ascii="宋体" w:hAnsi="宋体" w:cs="宋体"/>
                <w:color w:val="auto"/>
                <w:szCs w:val="21"/>
                <w:highlight w:val="none"/>
                <w:u w:val="single"/>
              </w:rPr>
              <w:t xml:space="preserve"> 8</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30 </w:t>
            </w:r>
            <w:r>
              <w:rPr>
                <w:rFonts w:hint="eastAsia" w:ascii="宋体" w:hAnsi="宋体" w:cs="宋体"/>
                <w:color w:val="auto"/>
                <w:szCs w:val="21"/>
                <w:highlight w:val="none"/>
              </w:rPr>
              <w:t>分到</w:t>
            </w:r>
            <w:r>
              <w:rPr>
                <w:rFonts w:hint="eastAsia" w:ascii="宋体" w:hAnsi="宋体" w:cs="宋体"/>
                <w:color w:val="auto"/>
                <w:szCs w:val="21"/>
                <w:highlight w:val="none"/>
                <w:u w:val="single"/>
              </w:rPr>
              <w:t xml:space="preserve"> 12 </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w:t>
            </w:r>
            <w:r>
              <w:rPr>
                <w:rFonts w:hint="eastAsia" w:ascii="宋体" w:hAnsi="宋体" w:cs="宋体"/>
                <w:color w:val="auto"/>
                <w:szCs w:val="21"/>
                <w:highlight w:val="none"/>
                <w:u w:val="single"/>
              </w:rPr>
              <w:t xml:space="preserve">15 </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分到</w:t>
            </w:r>
            <w:r>
              <w:rPr>
                <w:rFonts w:hint="eastAsia" w:ascii="宋体" w:hAnsi="宋体" w:cs="宋体"/>
                <w:color w:val="auto"/>
                <w:szCs w:val="21"/>
                <w:highlight w:val="none"/>
                <w:u w:val="single"/>
              </w:rPr>
              <w:t>18</w:t>
            </w:r>
            <w:r>
              <w:rPr>
                <w:rFonts w:hint="eastAsia" w:ascii="宋体" w:hAnsi="宋体" w:cs="宋体"/>
                <w:color w:val="auto"/>
                <w:szCs w:val="21"/>
                <w:highlight w:val="none"/>
              </w:rPr>
              <w:t>时</w:t>
            </w:r>
            <w:r>
              <w:rPr>
                <w:rFonts w:hint="eastAsia" w:ascii="宋体" w:hAnsi="宋体" w:cs="宋体"/>
                <w:color w:val="auto"/>
                <w:szCs w:val="21"/>
                <w:highlight w:val="none"/>
                <w:u w:val="single"/>
              </w:rPr>
              <w:t>00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971" w:type="dxa"/>
            <w:tcBorders>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38.3.1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投诉受理方式</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Ansi="宋体"/>
                <w:color w:val="auto"/>
                <w:highlight w:val="none"/>
              </w:rPr>
            </w:pPr>
            <w:r>
              <w:rPr>
                <w:rFonts w:hint="eastAsia" w:hAnsi="宋体"/>
                <w:color w:val="auto"/>
                <w:highlight w:val="none"/>
              </w:rPr>
              <w:t>1、受理方式：纸质方式受理，投诉书正、副本（经过质疑的事项才可投诉）。</w:t>
            </w:r>
          </w:p>
          <w:p>
            <w:pPr>
              <w:snapToGrid w:val="0"/>
              <w:spacing w:line="380" w:lineRule="exact"/>
              <w:rPr>
                <w:rFonts w:hAnsi="宋体"/>
                <w:color w:val="auto"/>
                <w:highlight w:val="none"/>
              </w:rPr>
            </w:pPr>
            <w:r>
              <w:rPr>
                <w:rFonts w:hint="eastAsia" w:hAnsi="宋体"/>
                <w:color w:val="auto"/>
                <w:highlight w:val="none"/>
              </w:rPr>
              <w:t xml:space="preserve">2、名称： 广西壮族自治区财政厅 </w:t>
            </w:r>
          </w:p>
          <w:p>
            <w:pPr>
              <w:snapToGrid w:val="0"/>
              <w:spacing w:line="380" w:lineRule="exact"/>
              <w:rPr>
                <w:rFonts w:hAnsi="宋体"/>
                <w:color w:val="auto"/>
                <w:highlight w:val="none"/>
              </w:rPr>
            </w:pPr>
            <w:r>
              <w:rPr>
                <w:rFonts w:hint="eastAsia" w:hAnsi="宋体"/>
                <w:color w:val="auto"/>
                <w:highlight w:val="none"/>
              </w:rPr>
              <w:t xml:space="preserve">地址： 南宁市青秀区桃园路69号 </w:t>
            </w:r>
          </w:p>
          <w:p>
            <w:pPr>
              <w:snapToGrid w:val="0"/>
              <w:spacing w:line="380" w:lineRule="exact"/>
              <w:rPr>
                <w:rFonts w:ascii="宋体" w:hAnsi="宋体" w:cs="宋体"/>
                <w:color w:val="auto"/>
                <w:szCs w:val="21"/>
                <w:highlight w:val="none"/>
              </w:rPr>
            </w:pPr>
            <w:r>
              <w:rPr>
                <w:rFonts w:hint="eastAsia" w:hAnsi="宋体"/>
                <w:color w:val="auto"/>
                <w:highlight w:val="none"/>
              </w:rPr>
              <w:t>联系电话：0771-5331544。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971"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39.1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bookmarkStart w:id="66" w:name="_42"/>
            <w:bookmarkEnd w:id="66"/>
            <w:bookmarkStart w:id="67" w:name="_41"/>
            <w:bookmarkEnd w:id="67"/>
            <w:r>
              <w:rPr>
                <w:rFonts w:hint="eastAsia" w:ascii="宋体" w:hAnsi="宋体" w:cs="宋体"/>
                <w:color w:val="auto"/>
                <w:szCs w:val="21"/>
                <w:highlight w:val="none"/>
              </w:rPr>
              <w:t>采购代理费支付方式</w:t>
            </w:r>
          </w:p>
        </w:tc>
        <w:tc>
          <w:tcPr>
            <w:tcW w:w="7297" w:type="dxa"/>
            <w:tcBorders>
              <w:top w:val="single" w:color="auto" w:sz="4" w:space="0"/>
              <w:left w:val="single" w:color="auto" w:sz="4" w:space="0"/>
              <w:bottom w:val="single" w:color="auto" w:sz="4" w:space="0"/>
              <w:right w:val="single" w:color="auto" w:sz="4" w:space="0"/>
            </w:tcBorders>
            <w:vAlign w:val="center"/>
          </w:tcPr>
          <w:p>
            <w:pPr>
              <w:pStyle w:val="18"/>
              <w:snapToGrid w:val="0"/>
              <w:spacing w:line="400" w:lineRule="exact"/>
              <w:rPr>
                <w:rFonts w:hAnsi="宋体" w:cs="宋体"/>
                <w:color w:val="auto"/>
                <w:szCs w:val="21"/>
                <w:highlight w:val="none"/>
              </w:rPr>
            </w:pPr>
            <w:r>
              <w:rPr>
                <w:rFonts w:hint="eastAsia" w:hAnsi="宋体" w:cs="宋体"/>
                <w:color w:val="auto"/>
                <w:szCs w:val="21"/>
                <w:highlight w:val="none"/>
              </w:rPr>
              <w:t>☑本项目代理服务费由</w:t>
            </w:r>
            <w:r>
              <w:rPr>
                <w:rFonts w:hint="eastAsia" w:hAnsi="宋体" w:cs="宋体"/>
                <w:color w:val="auto"/>
                <w:szCs w:val="21"/>
                <w:highlight w:val="none"/>
                <w:u w:val="single"/>
              </w:rPr>
              <w:t>中标供应商</w:t>
            </w:r>
            <w:r>
              <w:rPr>
                <w:rFonts w:hint="eastAsia" w:hAnsi="宋体" w:cs="宋体"/>
                <w:color w:val="auto"/>
                <w:szCs w:val="21"/>
                <w:highlight w:val="none"/>
              </w:rPr>
              <w:t>在领取中标通知书前，一次性向采购代理机构支付。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71" w:type="dxa"/>
            <w:vMerge w:val="continue"/>
            <w:tcBorders>
              <w:left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采购代理费收取标准</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ascii="宋体" w:hAnsi="宋体" w:cs="宋体"/>
                <w:color w:val="auto"/>
                <w:szCs w:val="21"/>
                <w:highlight w:val="none"/>
                <w:u w:val="single"/>
              </w:rPr>
            </w:pPr>
            <w:r>
              <w:rPr>
                <w:rFonts w:hint="eastAsia" w:ascii="宋体" w:hAnsi="宋体" w:cs="宋体"/>
                <w:color w:val="auto"/>
                <w:szCs w:val="21"/>
                <w:highlight w:val="none"/>
              </w:rPr>
              <w:t>☑以分标（中标金额）为计费额，按服务招标采用差额定率累进法计算出收费基准价格，采购代理收费以（收费基准价格</w:t>
            </w:r>
            <w:r>
              <w:rPr>
                <w:rFonts w:hint="eastAsia" w:hAnsi="宋体" w:cs="宋体"/>
                <w:color w:val="auto"/>
                <w:szCs w:val="21"/>
                <w:highlight w:val="none"/>
              </w:rPr>
              <w:t>-服务类</w:t>
            </w:r>
            <w:r>
              <w:rPr>
                <w:rFonts w:hint="eastAsia" w:ascii="宋体" w:hAnsi="宋体" w:cs="宋体"/>
                <w:color w:val="auto"/>
                <w:szCs w:val="21"/>
                <w:highlight w:val="none"/>
              </w:rPr>
              <w:t>）收取。</w:t>
            </w:r>
            <w:r>
              <w:rPr>
                <w:rStyle w:val="72"/>
                <w:rFonts w:ascii="宋体" w:hAnsi="宋体"/>
                <w:color w:val="auto"/>
                <w:kern w:val="0"/>
                <w:szCs w:val="21"/>
                <w:highlight w:val="none"/>
              </w:rPr>
              <w:t>单个项目（或分标）招标代理服务费不达陆仟元整（¥6000.00元）的，按陆仟元整（¥6000.00元）计算。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971"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p>
        </w:tc>
        <w:tc>
          <w:tcPr>
            <w:tcW w:w="19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代理服务费收款账户信息</w:t>
            </w:r>
          </w:p>
        </w:tc>
        <w:tc>
          <w:tcPr>
            <w:tcW w:w="7297" w:type="dxa"/>
            <w:tcBorders>
              <w:top w:val="single" w:color="auto" w:sz="4" w:space="0"/>
              <w:left w:val="single" w:color="auto" w:sz="4" w:space="0"/>
              <w:bottom w:val="single" w:color="auto" w:sz="4" w:space="0"/>
              <w:right w:val="single" w:color="auto" w:sz="4" w:space="0"/>
            </w:tcBorders>
            <w:vAlign w:val="center"/>
          </w:tcPr>
          <w:p>
            <w:pPr>
              <w:pStyle w:val="18"/>
              <w:snapToGrid w:val="0"/>
              <w:spacing w:line="400" w:lineRule="exact"/>
              <w:rPr>
                <w:rFonts w:hAnsi="宋体" w:cs="宋体"/>
                <w:color w:val="auto"/>
                <w:szCs w:val="21"/>
                <w:highlight w:val="none"/>
              </w:rPr>
            </w:pPr>
            <w:r>
              <w:rPr>
                <w:rFonts w:hint="eastAsia" w:hAnsi="宋体" w:cs="宋体"/>
                <w:color w:val="auto"/>
                <w:szCs w:val="21"/>
                <w:highlight w:val="none"/>
              </w:rPr>
              <w:t>账户名称：广西建设工程机电设备招标中心有限公司</w:t>
            </w:r>
          </w:p>
          <w:p>
            <w:pPr>
              <w:pStyle w:val="18"/>
              <w:snapToGrid w:val="0"/>
              <w:spacing w:line="400" w:lineRule="exact"/>
              <w:rPr>
                <w:rFonts w:hAnsi="宋体" w:cs="宋体"/>
                <w:color w:val="auto"/>
                <w:szCs w:val="21"/>
                <w:highlight w:val="none"/>
              </w:rPr>
            </w:pPr>
            <w:r>
              <w:rPr>
                <w:rFonts w:hint="eastAsia" w:hAnsi="宋体" w:cs="宋体"/>
                <w:color w:val="auto"/>
                <w:szCs w:val="21"/>
                <w:highlight w:val="none"/>
              </w:rPr>
              <w:t xml:space="preserve">开户银行：招商银行南宁分行营业部 </w:t>
            </w:r>
          </w:p>
          <w:p>
            <w:pPr>
              <w:pStyle w:val="18"/>
              <w:snapToGrid w:val="0"/>
              <w:spacing w:line="400" w:lineRule="exact"/>
              <w:rPr>
                <w:rFonts w:hAnsi="宋体" w:cs="宋体"/>
                <w:color w:val="auto"/>
                <w:szCs w:val="21"/>
                <w:highlight w:val="none"/>
              </w:rPr>
            </w:pPr>
            <w:r>
              <w:rPr>
                <w:rFonts w:hint="eastAsia" w:hAnsi="宋体" w:cs="宋体"/>
                <w:color w:val="auto"/>
                <w:szCs w:val="21"/>
                <w:highlight w:val="none"/>
              </w:rPr>
              <w:t>银行账号： 771901423310201</w:t>
            </w:r>
          </w:p>
          <w:p>
            <w:pPr>
              <w:pStyle w:val="18"/>
              <w:snapToGrid w:val="0"/>
              <w:spacing w:line="400" w:lineRule="exact"/>
              <w:rPr>
                <w:rFonts w:hAnsi="宋体" w:cs="宋体"/>
                <w:color w:val="auto"/>
                <w:szCs w:val="21"/>
                <w:highlight w:val="none"/>
              </w:rPr>
            </w:pPr>
            <w:r>
              <w:rPr>
                <w:rFonts w:hint="eastAsia" w:hAnsi="宋体" w:cs="宋体"/>
                <w:color w:val="auto"/>
                <w:szCs w:val="21"/>
                <w:highlight w:val="none"/>
              </w:rPr>
              <w:t>开户行行号：308611000032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40.1</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解释</w:t>
            </w:r>
          </w:p>
        </w:tc>
        <w:tc>
          <w:tcPr>
            <w:tcW w:w="72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Cs/>
                <w:color w:val="auto"/>
                <w:szCs w:val="21"/>
                <w:highlight w:val="none"/>
              </w:rPr>
            </w:pPr>
            <w:r>
              <w:rPr>
                <w:rFonts w:hint="eastAsia" w:ascii="宋体" w:hAnsi="宋体" w:cs="宋体"/>
                <w:bCs/>
                <w:color w:val="auto"/>
                <w:szCs w:val="21"/>
                <w:highlight w:val="none"/>
              </w:rPr>
              <w:t>解释权：构成本招标文件的各个组成文件应互为解释，互为说明；除招标文件中有特别规定外，仅适用于招标投标阶段的规定，按更正公告（澄清公告）、招标公告、采购需求、供应商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p>
            <w:pPr>
              <w:snapToGrid w:val="0"/>
              <w:spacing w:line="400" w:lineRule="exact"/>
              <w:rPr>
                <w:rFonts w:ascii="宋体" w:hAnsi="宋体" w:cs="宋体"/>
                <w:bCs/>
                <w:color w:val="auto"/>
                <w:szCs w:val="21"/>
                <w:highlight w:val="none"/>
              </w:rPr>
            </w:pPr>
            <w:r>
              <w:rPr>
                <w:rFonts w:hint="eastAsia" w:ascii="宋体" w:hAnsi="宋体" w:cs="宋体"/>
                <w:bCs/>
                <w:color w:val="auto"/>
                <w:szCs w:val="21"/>
                <w:highlight w:val="none"/>
              </w:rPr>
              <w:t>法律责任：</w:t>
            </w:r>
          </w:p>
          <w:p>
            <w:pPr>
              <w:snapToGrid w:val="0"/>
              <w:spacing w:line="400" w:lineRule="exact"/>
              <w:rPr>
                <w:rFonts w:ascii="宋体" w:hAnsi="宋体" w:cs="宋体"/>
                <w:bCs/>
                <w:color w:val="auto"/>
                <w:szCs w:val="21"/>
                <w:highlight w:val="none"/>
              </w:rPr>
            </w:pPr>
            <w:r>
              <w:rPr>
                <w:rFonts w:hint="eastAsia" w:ascii="宋体" w:hAnsi="宋体" w:cs="宋体"/>
                <w:bCs/>
                <w:color w:val="auto"/>
                <w:szCs w:val="21"/>
                <w:highlight w:val="none"/>
              </w:rPr>
              <w:t>1.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p>
            <w:pPr>
              <w:spacing w:line="400" w:lineRule="exact"/>
              <w:rPr>
                <w:rFonts w:ascii="宋体" w:hAnsi="宋体" w:cs="宋体"/>
                <w:bCs/>
                <w:color w:val="auto"/>
                <w:szCs w:val="21"/>
                <w:highlight w:val="none"/>
              </w:rPr>
            </w:pPr>
            <w:r>
              <w:rPr>
                <w:rFonts w:hint="eastAsia" w:ascii="宋体" w:hAnsi="宋体" w:cs="宋体"/>
                <w:bCs/>
                <w:color w:val="auto"/>
                <w:szCs w:val="21"/>
                <w:highlight w:val="none"/>
              </w:rPr>
              <w:t>2.本项目采购代理机构应严格按照“政采云”平台项目采购全流程电子化电子开评标规程执行项目采购活动，代理机构在“政采云”平台的“项目管理”—“采购文件管理”内开评标规则设置作为本采购文件的组成部分，截标之后不可更改，因代理机构开评标规则设置错误导致采购活动无法开展下去的情况，由代理机构负责解释并承担其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40.2</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其他释义</w:t>
            </w:r>
          </w:p>
        </w:tc>
        <w:tc>
          <w:tcPr>
            <w:tcW w:w="7297" w:type="dxa"/>
            <w:tcBorders>
              <w:top w:val="single" w:color="auto" w:sz="4" w:space="0"/>
              <w:left w:val="single" w:color="auto" w:sz="4" w:space="0"/>
              <w:bottom w:val="single" w:color="auto" w:sz="4" w:space="0"/>
              <w:right w:val="single" w:color="auto" w:sz="4" w:space="0"/>
            </w:tcBorders>
            <w:vAlign w:val="center"/>
          </w:tcPr>
          <w:p>
            <w:pPr>
              <w:pStyle w:val="18"/>
              <w:snapToGrid w:val="0"/>
              <w:spacing w:line="400" w:lineRule="exact"/>
              <w:rPr>
                <w:rFonts w:hAnsi="宋体" w:cs="宋体"/>
                <w:bCs/>
                <w:color w:val="auto"/>
                <w:highlight w:val="none"/>
              </w:rPr>
            </w:pPr>
            <w:r>
              <w:rPr>
                <w:rFonts w:hint="eastAsia" w:hAnsi="宋体" w:cs="宋体"/>
                <w:bCs/>
                <w:color w:val="auto"/>
                <w:highlight w:val="none"/>
              </w:rPr>
              <w:t>1、本招标文件中描述投标人的“公章”是指根据我国对公章的管理规定，用投标人法定主体行为名称制作的印章</w:t>
            </w:r>
            <w:r>
              <w:rPr>
                <w:rFonts w:hint="eastAsia" w:hAnsi="宋体" w:cs="宋体"/>
                <w:color w:val="auto"/>
                <w:highlight w:val="none"/>
              </w:rPr>
              <w:t>（含电子印章）</w:t>
            </w:r>
            <w:r>
              <w:rPr>
                <w:rFonts w:hint="eastAsia" w:hAnsi="宋体" w:cs="宋体"/>
                <w:bCs/>
                <w:color w:val="auto"/>
                <w:highlight w:val="none"/>
              </w:rPr>
              <w:t>，除本招标文件有特殊规定外，投标人的财务章、部门章、分公司章、工会章、合同章、投标专用章、业务专用章及银行的转账章、现金收讫章、现金付讫章等其他形式印章均不能代替公章。</w:t>
            </w:r>
          </w:p>
          <w:p>
            <w:pPr>
              <w:pStyle w:val="18"/>
              <w:snapToGrid w:val="0"/>
              <w:spacing w:line="400" w:lineRule="exact"/>
              <w:rPr>
                <w:rFonts w:hAnsi="宋体" w:cs="宋体"/>
                <w:bCs/>
                <w:color w:val="auto"/>
                <w:highlight w:val="none"/>
              </w:rPr>
            </w:pPr>
            <w:r>
              <w:rPr>
                <w:rFonts w:hint="eastAsia" w:hAnsi="宋体" w:cs="宋体"/>
                <w:bCs/>
                <w:color w:val="auto"/>
                <w:highlight w:val="none"/>
              </w:rPr>
              <w:t>2、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18"/>
              <w:snapToGrid w:val="0"/>
              <w:spacing w:line="400" w:lineRule="exact"/>
              <w:rPr>
                <w:rFonts w:hAnsi="宋体" w:cs="宋体"/>
                <w:bCs/>
                <w:color w:val="auto"/>
                <w:highlight w:val="none"/>
              </w:rPr>
            </w:pPr>
            <w:r>
              <w:rPr>
                <w:rFonts w:hint="eastAsia" w:hAnsi="宋体" w:cs="宋体"/>
                <w:bCs/>
                <w:color w:val="auto"/>
                <w:highlight w:val="none"/>
              </w:rPr>
              <w:t>3、本招标文件中描述投标人的“签字”是指投标人的法定代表人或者委托代理人</w:t>
            </w:r>
            <w:r>
              <w:rPr>
                <w:rFonts w:hint="eastAsia" w:hAnsi="宋体" w:cs="宋体"/>
                <w:color w:val="auto"/>
                <w:highlight w:val="none"/>
              </w:rPr>
              <w:t>在文件规定签署处签名（含电子签名）的行为，私章、印鉴等其他形式均不能代替签字</w:t>
            </w:r>
            <w:r>
              <w:rPr>
                <w:rFonts w:hint="eastAsia" w:hAnsi="宋体" w:cs="宋体"/>
                <w:bCs/>
                <w:color w:val="auto"/>
                <w:highlight w:val="none"/>
              </w:rPr>
              <w:t>。</w:t>
            </w:r>
          </w:p>
          <w:p>
            <w:pPr>
              <w:pStyle w:val="18"/>
              <w:snapToGrid w:val="0"/>
              <w:spacing w:line="400" w:lineRule="exact"/>
              <w:rPr>
                <w:rFonts w:hAnsi="宋体" w:cs="宋体"/>
                <w:bCs/>
                <w:color w:val="auto"/>
                <w:highlight w:val="none"/>
              </w:rPr>
            </w:pPr>
            <w:r>
              <w:rPr>
                <w:rFonts w:hint="eastAsia" w:hAnsi="宋体" w:cs="宋体"/>
                <w:bCs/>
                <w:color w:val="auto"/>
                <w:highlight w:val="none"/>
              </w:rPr>
              <w:t>4、自然人投标的，招标文件规定盖公章处由自然人摁手指指印。</w:t>
            </w:r>
          </w:p>
          <w:p>
            <w:pPr>
              <w:spacing w:line="400" w:lineRule="exact"/>
              <w:jc w:val="left"/>
              <w:rPr>
                <w:rFonts w:ascii="宋体" w:hAnsi="宋体" w:cs="宋体"/>
                <w:bCs/>
                <w:color w:val="auto"/>
                <w:szCs w:val="21"/>
                <w:highlight w:val="none"/>
              </w:rPr>
            </w:pPr>
            <w:r>
              <w:rPr>
                <w:rFonts w:hint="eastAsia" w:ascii="宋体" w:hAnsi="宋体" w:cs="宋体"/>
                <w:bCs/>
                <w:color w:val="auto"/>
                <w:szCs w:val="21"/>
                <w:highlight w:val="none"/>
              </w:rPr>
              <w:t>5、本招标文件所称的“以上”“以下”“以内”“届满”，包括本数；所称的“不满”“超过”“以外”，不包括本数。</w:t>
            </w:r>
          </w:p>
        </w:tc>
      </w:tr>
    </w:tbl>
    <w:p>
      <w:pPr>
        <w:pStyle w:val="4"/>
        <w:rPr>
          <w:color w:val="auto"/>
          <w:highlight w:val="none"/>
        </w:rPr>
        <w:sectPr>
          <w:footerReference r:id="rId6" w:type="default"/>
          <w:pgSz w:w="11906" w:h="16838"/>
          <w:pgMar w:top="1134" w:right="1134" w:bottom="1134" w:left="1134" w:header="720" w:footer="720" w:gutter="0"/>
          <w:cols w:space="720" w:num="1"/>
          <w:docGrid w:type="lines" w:linePitch="331" w:charSpace="0"/>
        </w:sectPr>
      </w:pPr>
    </w:p>
    <w:p>
      <w:pPr>
        <w:pStyle w:val="4"/>
        <w:jc w:val="center"/>
        <w:rPr>
          <w:color w:val="auto"/>
          <w:highlight w:val="none"/>
        </w:rPr>
      </w:pPr>
      <w:bookmarkStart w:id="68" w:name="_Toc80092994"/>
      <w:r>
        <w:rPr>
          <w:rFonts w:hint="eastAsia"/>
          <w:color w:val="auto"/>
          <w:highlight w:val="none"/>
        </w:rPr>
        <w:t>第二节 供应商须知正文</w:t>
      </w:r>
      <w:bookmarkEnd w:id="68"/>
    </w:p>
    <w:p>
      <w:pPr>
        <w:pStyle w:val="5"/>
        <w:keepNext w:val="0"/>
        <w:keepLines w:val="0"/>
        <w:spacing w:line="400" w:lineRule="exact"/>
        <w:ind w:firstLine="0" w:firstLineChars="0"/>
        <w:jc w:val="center"/>
        <w:rPr>
          <w:rFonts w:ascii="宋体" w:hAnsi="宋体" w:cs="宋体"/>
          <w:color w:val="auto"/>
          <w:sz w:val="24"/>
          <w:szCs w:val="24"/>
          <w:highlight w:val="none"/>
        </w:rPr>
      </w:pPr>
      <w:r>
        <w:rPr>
          <w:rFonts w:hint="eastAsia" w:ascii="宋体" w:hAnsi="宋体" w:cs="宋体"/>
          <w:color w:val="auto"/>
          <w:sz w:val="24"/>
          <w:szCs w:val="24"/>
          <w:highlight w:val="none"/>
        </w:rPr>
        <w:t>一、总  则</w:t>
      </w:r>
    </w:p>
    <w:p>
      <w:pPr>
        <w:pStyle w:val="7"/>
        <w:keepNext w:val="0"/>
        <w:keepLines w:val="0"/>
        <w:spacing w:before="0" w:after="0" w:line="400" w:lineRule="exact"/>
        <w:ind w:left="420" w:leftChars="200"/>
        <w:rPr>
          <w:rFonts w:ascii="宋体" w:hAnsi="宋体" w:cs="宋体"/>
          <w:color w:val="auto"/>
          <w:sz w:val="21"/>
          <w:szCs w:val="21"/>
          <w:highlight w:val="none"/>
        </w:rPr>
      </w:pPr>
      <w:bookmarkStart w:id="69" w:name="_Toc254970668"/>
      <w:bookmarkStart w:id="70" w:name="_Toc254970527"/>
      <w:r>
        <w:rPr>
          <w:rFonts w:hint="eastAsia" w:ascii="宋体" w:hAnsi="宋体" w:cs="宋体"/>
          <w:color w:val="auto"/>
          <w:sz w:val="21"/>
          <w:szCs w:val="21"/>
          <w:highlight w:val="none"/>
        </w:rPr>
        <w:t>1.适用范围</w:t>
      </w:r>
      <w:bookmarkEnd w:id="69"/>
      <w:bookmarkEnd w:id="70"/>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7"/>
        <w:keepNext w:val="0"/>
        <w:keepLines w:val="0"/>
        <w:spacing w:before="0" w:after="0" w:line="400" w:lineRule="exact"/>
        <w:ind w:left="420" w:leftChars="200"/>
        <w:rPr>
          <w:rFonts w:ascii="宋体" w:hAnsi="宋体" w:cs="宋体"/>
          <w:color w:val="auto"/>
          <w:sz w:val="21"/>
          <w:szCs w:val="21"/>
          <w:highlight w:val="none"/>
        </w:rPr>
      </w:pPr>
      <w:bookmarkStart w:id="71" w:name="_Toc254970528"/>
      <w:bookmarkStart w:id="72" w:name="_Toc254970669"/>
      <w:r>
        <w:rPr>
          <w:rFonts w:hint="eastAsia" w:ascii="宋体" w:hAnsi="宋体" w:cs="宋体"/>
          <w:color w:val="auto"/>
          <w:sz w:val="21"/>
          <w:szCs w:val="21"/>
          <w:highlight w:val="none"/>
        </w:rPr>
        <w:t>2.定义</w:t>
      </w:r>
      <w:bookmarkEnd w:id="71"/>
      <w:bookmarkEnd w:id="72"/>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2.1“采购人”是指依法进行政府采购的国家机关、事业单位、团体组织。</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2.2“采购代理机构”是指政府采购集中采购机构和集中采购机构以外的采购代理机构。</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2.3“供应商”是指向采购人提供货物、工程或者服务的法人、其他组织或者自然人。</w:t>
      </w:r>
    </w:p>
    <w:p>
      <w:pPr>
        <w:pStyle w:val="8"/>
        <w:spacing w:line="400" w:lineRule="exact"/>
        <w:rPr>
          <w:rFonts w:ascii="宋体" w:hAnsi="宋体" w:cs="宋体"/>
          <w:color w:val="auto"/>
          <w:szCs w:val="21"/>
          <w:highlight w:val="none"/>
        </w:rPr>
      </w:pPr>
      <w:r>
        <w:rPr>
          <w:rFonts w:hint="eastAsia" w:ascii="宋体" w:hAnsi="宋体" w:cs="宋体"/>
          <w:color w:val="auto"/>
          <w:szCs w:val="21"/>
          <w:highlight w:val="none"/>
        </w:rPr>
        <w:t>2.4“投标人”是指响应招标、参加投标竞争的法人、其他组织或者自然人。</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2.5“货物”是指各种形态和种类的物品，包括原材料、燃料、设备、产品等；“服务”是指除货物和工程以外的其他政府采购对象。</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2.6“售后服务” 是指商品出售以后所提供的各种服务，包含但不限于投标人须承担的备品备件、包装、运输、装卸、保险、货到就位以及安装、调试、培训、保修以及其他各种服务。</w:t>
      </w:r>
    </w:p>
    <w:p>
      <w:pPr>
        <w:pStyle w:val="7"/>
        <w:keepNext w:val="0"/>
        <w:keepLines w:val="0"/>
        <w:spacing w:before="0" w:after="0" w:line="400" w:lineRule="exact"/>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2.7“书面形式”是指合同书、信件和数据电文（包括电报、电传、传真、电子数据交换和电子邮件）等可以有形地表现所载内容的形式。</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2.8“实质性要求”是指招标文件中已经指明不满足则投标无效的条款，或者不能负偏离的条款，或者采购需求中带“▲”的条款。</w:t>
      </w:r>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2.9 “正偏离”，是指投标文件对招标文件“采购需求”中有关条款作出的响应优于条款要求并有利于采购人的情形。</w:t>
      </w:r>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2.10“负偏离”，是指投标文件对招标文件“采购需求”中有关条款作出的响应不满足条款要求，导致采购人要求不能得到满足的情形。</w:t>
      </w:r>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2.11“允许负偏离的条款”是指采购需求中的不属于“实质性要求”的条款。</w:t>
      </w:r>
      <w:bookmarkStart w:id="73" w:name="_Toc254970529"/>
      <w:bookmarkStart w:id="74" w:name="_Toc254970670"/>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w:t>
      </w:r>
      <w:bookmarkEnd w:id="73"/>
      <w:bookmarkEnd w:id="74"/>
      <w:r>
        <w:rPr>
          <w:rFonts w:hint="eastAsia" w:ascii="宋体" w:hAnsi="宋体" w:cs="宋体"/>
          <w:color w:val="auto"/>
          <w:sz w:val="21"/>
          <w:szCs w:val="21"/>
          <w:highlight w:val="none"/>
        </w:rPr>
        <w:t>投标人的资格要求</w:t>
      </w:r>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投标人的资格要求详见“投标人须知前附表”。</w:t>
      </w:r>
    </w:p>
    <w:p>
      <w:pPr>
        <w:pStyle w:val="7"/>
        <w:keepNext w:val="0"/>
        <w:keepLines w:val="0"/>
        <w:spacing w:before="0" w:after="0" w:line="400" w:lineRule="exact"/>
        <w:ind w:left="420" w:leftChars="200"/>
        <w:rPr>
          <w:rFonts w:ascii="宋体" w:hAnsi="宋体" w:cs="宋体"/>
          <w:color w:val="auto"/>
          <w:sz w:val="21"/>
          <w:szCs w:val="21"/>
          <w:highlight w:val="none"/>
        </w:rPr>
      </w:pPr>
      <w:bookmarkStart w:id="75" w:name="_Toc254970530"/>
      <w:bookmarkStart w:id="76" w:name="_Toc254970671"/>
      <w:r>
        <w:rPr>
          <w:rFonts w:hint="eastAsia" w:ascii="宋体" w:hAnsi="宋体" w:cs="宋体"/>
          <w:color w:val="auto"/>
          <w:sz w:val="21"/>
          <w:szCs w:val="21"/>
          <w:highlight w:val="none"/>
        </w:rPr>
        <w:t>4.投标委托</w:t>
      </w:r>
      <w:bookmarkEnd w:id="75"/>
      <w:bookmarkEnd w:id="76"/>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投标人代表参加投标活动过程中必须携带个人有效身份证件。如投标人代表不是法定代表人，须持有授权委托书（按第六章要求格式填写）。</w:t>
      </w:r>
    </w:p>
    <w:p>
      <w:pPr>
        <w:pStyle w:val="7"/>
        <w:keepNext w:val="0"/>
        <w:keepLines w:val="0"/>
        <w:spacing w:before="0" w:after="0" w:line="400" w:lineRule="exact"/>
        <w:ind w:left="420" w:leftChars="200"/>
        <w:rPr>
          <w:rFonts w:ascii="宋体" w:hAnsi="宋体" w:cs="宋体"/>
          <w:color w:val="auto"/>
          <w:sz w:val="21"/>
          <w:szCs w:val="21"/>
          <w:highlight w:val="none"/>
        </w:rPr>
      </w:pPr>
      <w:bookmarkStart w:id="77" w:name="_5.投标费用"/>
      <w:bookmarkEnd w:id="77"/>
      <w:bookmarkStart w:id="78" w:name="_Toc254970672"/>
      <w:bookmarkStart w:id="79" w:name="_Toc254970531"/>
      <w:r>
        <w:rPr>
          <w:rFonts w:hint="eastAsia" w:ascii="宋体" w:hAnsi="宋体" w:cs="宋体"/>
          <w:color w:val="auto"/>
          <w:sz w:val="21"/>
          <w:szCs w:val="21"/>
          <w:highlight w:val="none"/>
        </w:rPr>
        <w:t>5.投标费用</w:t>
      </w:r>
      <w:bookmarkEnd w:id="78"/>
      <w:bookmarkEnd w:id="79"/>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6.联合体投标</w:t>
      </w:r>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6.1本项目是否接受联合体投标，详见“投标人须知前附表”。</w:t>
      </w:r>
    </w:p>
    <w:p>
      <w:pPr>
        <w:snapToGrid w:val="0"/>
        <w:spacing w:line="40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6.2如接受联合体投标，联合体投标要求详见“投标人须知前附表”。</w:t>
      </w:r>
    </w:p>
    <w:p>
      <w:pPr>
        <w:pStyle w:val="7"/>
        <w:keepNext w:val="0"/>
        <w:keepLines w:val="0"/>
        <w:spacing w:before="0" w:after="0" w:line="400" w:lineRule="exact"/>
        <w:ind w:firstLine="424" w:firstLineChars="202"/>
        <w:rPr>
          <w:rFonts w:ascii="宋体" w:hAnsi="宋体" w:cs="宋体"/>
          <w:color w:val="auto"/>
          <w:sz w:val="21"/>
          <w:szCs w:val="21"/>
          <w:highlight w:val="none"/>
        </w:rPr>
      </w:pPr>
      <w:r>
        <w:rPr>
          <w:rFonts w:hint="eastAsia" w:ascii="宋体" w:hAnsi="宋体" w:cs="宋体"/>
          <w:b w:val="0"/>
          <w:color w:val="auto"/>
          <w:sz w:val="21"/>
          <w:szCs w:val="21"/>
          <w:highlight w:val="none"/>
        </w:rPr>
        <w:t xml:space="preserve">6.3 </w:t>
      </w:r>
      <w:bookmarkStart w:id="80" w:name="_Hlk65857072"/>
      <w:r>
        <w:rPr>
          <w:rFonts w:hint="eastAsia" w:ascii="宋体" w:hAnsi="宋体" w:cs="宋体"/>
          <w:b w:val="0"/>
          <w:color w:val="auto"/>
          <w:sz w:val="21"/>
          <w:szCs w:val="21"/>
          <w:highlight w:val="none"/>
        </w:rPr>
        <w:t>根据《政府采购促进中小企业发展管理办法》（财库〔2020〕46号）第九条第二款的规定及《广西壮族自治区财政厅关于进一步发挥政府采购政采功能促进企业发展的通知》（桂财采〔2022〕30号）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的扣除，用扣除后的价格参加评审。</w:t>
      </w:r>
      <w:bookmarkEnd w:id="80"/>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 xml:space="preserve">7.转包与分包          </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7.1本项目不允许转包。</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400" w:lineRule="exact"/>
        <w:ind w:left="420" w:leftChars="200"/>
        <w:rPr>
          <w:rFonts w:ascii="宋体" w:hAnsi="宋体" w:cs="宋体"/>
          <w:color w:val="auto"/>
          <w:sz w:val="21"/>
          <w:szCs w:val="21"/>
          <w:highlight w:val="none"/>
        </w:rPr>
      </w:pPr>
      <w:bookmarkStart w:id="81" w:name="_Toc254970673"/>
      <w:bookmarkStart w:id="82" w:name="_Toc254970532"/>
      <w:r>
        <w:rPr>
          <w:rFonts w:hint="eastAsia" w:ascii="宋体" w:hAnsi="宋体" w:cs="宋体"/>
          <w:color w:val="auto"/>
          <w:sz w:val="21"/>
          <w:szCs w:val="21"/>
          <w:highlight w:val="none"/>
        </w:rPr>
        <w:t>8.特别说明</w:t>
      </w:r>
      <w:bookmarkEnd w:id="81"/>
      <w:bookmarkEnd w:id="82"/>
    </w:p>
    <w:p>
      <w:pPr>
        <w:pStyle w:val="7"/>
        <w:keepNext w:val="0"/>
        <w:keepLines w:val="0"/>
        <w:spacing w:before="0" w:after="0" w:line="400" w:lineRule="exact"/>
        <w:ind w:firstLine="315" w:firstLineChars="150"/>
        <w:rPr>
          <w:rFonts w:ascii="宋体" w:hAnsi="宋体" w:cs="宋体"/>
          <w:b w:val="0"/>
          <w:color w:val="auto"/>
          <w:sz w:val="21"/>
          <w:szCs w:val="21"/>
          <w:highlight w:val="none"/>
        </w:rPr>
      </w:pPr>
      <w:bookmarkStart w:id="83" w:name="_8.1提供相同品牌产品且通过资格审查、符合性审查的不同投标人参加同一合"/>
      <w:bookmarkEnd w:id="83"/>
      <w:r>
        <w:rPr>
          <w:rFonts w:hint="eastAsia" w:ascii="宋体" w:hAnsi="宋体" w:cs="宋体"/>
          <w:b w:val="0"/>
          <w:color w:val="auto"/>
          <w:sz w:val="21"/>
          <w:szCs w:val="21"/>
          <w:highlight w:val="none"/>
        </w:rPr>
        <w:t>8.1如果本招标文件要求提供投标人或制造商的资格、信誉、荣誉、业绩与企业认证等材料的，资格、信誉、荣誉、业绩与企业认证等必须为投标人或者制造商所拥有或自身获得 。</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8.2投标人应仔细阅读招标文件的所有内容，按照招标文件的要求提交投标文件，并对所提供的全部资料的真实性承担法律责任。</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8.3投标人在投标活动中提供任何虚假材料，将报监管部门查处；中标后发现的，中标人须依法赔偿采购人，且民事赔偿并不免除违法投标人的行政与刑事责任。</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9.回避与串通投标</w:t>
      </w:r>
    </w:p>
    <w:p>
      <w:pPr>
        <w:pStyle w:val="7"/>
        <w:keepNext w:val="0"/>
        <w:keepLines w:val="0"/>
        <w:spacing w:before="0" w:after="0" w:line="400" w:lineRule="exact"/>
        <w:ind w:firstLine="367" w:firstLineChars="175"/>
        <w:rPr>
          <w:rFonts w:ascii="宋体" w:hAnsi="宋体" w:cs="宋体"/>
          <w:b w:val="0"/>
          <w:color w:val="auto"/>
          <w:sz w:val="21"/>
          <w:szCs w:val="21"/>
          <w:highlight w:val="none"/>
        </w:rPr>
      </w:pPr>
      <w:r>
        <w:rPr>
          <w:rFonts w:hint="eastAsia" w:ascii="宋体" w:hAnsi="宋体" w:cs="宋体"/>
          <w:b w:val="0"/>
          <w:color w:val="auto"/>
          <w:sz w:val="21"/>
          <w:szCs w:val="21"/>
          <w:highlight w:val="none"/>
        </w:rPr>
        <w:t>9.1在政府采购活动中，采购人员及相关人员与供应商有下列利害关系之一的，应当回避：</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（1）参加采购活动前3年内与供应商存在劳动关系；</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（2）参加采购活动前3年内担任供应商的董事、监事；</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（3）参加采购活动前3年内是供应商的控股股东或者实际控制人；</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（4）与供应商的法定代表人或者负责人有夫妻、直系血亲、三代以内旁系血亲或者近姻亲关系；</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（5）与供应商有其他可能影响政府采购活动公平、公正进行的关系。</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9.2有下列情形之一的视为投标人相互串通投标，投标文件将被视为无效：</w:t>
      </w:r>
    </w:p>
    <w:p>
      <w:pPr>
        <w:pStyle w:val="18"/>
        <w:snapToGrid w:val="0"/>
        <w:spacing w:line="400" w:lineRule="exact"/>
        <w:ind w:left="2" w:leftChars="1" w:firstLine="422" w:firstLineChars="200"/>
        <w:rPr>
          <w:rFonts w:hAnsi="宋体" w:cs="宋体"/>
          <w:b/>
          <w:color w:val="auto"/>
          <w:szCs w:val="21"/>
          <w:highlight w:val="none"/>
        </w:rPr>
      </w:pPr>
      <w:r>
        <w:rPr>
          <w:rFonts w:hint="eastAsia" w:hAnsi="宋体" w:cs="宋体"/>
          <w:b/>
          <w:color w:val="auto"/>
          <w:szCs w:val="21"/>
          <w:highlight w:val="none"/>
        </w:rPr>
        <w:t xml:space="preserve">（1）不同投标人的投标文件由同一单位或者个人编制； </w:t>
      </w:r>
    </w:p>
    <w:p>
      <w:pPr>
        <w:pStyle w:val="18"/>
        <w:snapToGrid w:val="0"/>
        <w:spacing w:line="400" w:lineRule="exact"/>
        <w:ind w:left="2" w:leftChars="1" w:firstLine="422" w:firstLineChars="200"/>
        <w:rPr>
          <w:rFonts w:hAnsi="宋体" w:cs="宋体"/>
          <w:b/>
          <w:color w:val="auto"/>
          <w:szCs w:val="21"/>
          <w:highlight w:val="none"/>
        </w:rPr>
      </w:pPr>
      <w:r>
        <w:rPr>
          <w:rFonts w:hint="eastAsia" w:hAnsi="宋体" w:cs="宋体"/>
          <w:b/>
          <w:color w:val="auto"/>
          <w:szCs w:val="21"/>
          <w:highlight w:val="none"/>
        </w:rPr>
        <w:t>（2）不同投标人委托同一单位或者个人办理投标事宜；</w:t>
      </w:r>
    </w:p>
    <w:p>
      <w:pPr>
        <w:pStyle w:val="18"/>
        <w:snapToGrid w:val="0"/>
        <w:spacing w:line="400" w:lineRule="exact"/>
        <w:ind w:left="2" w:leftChars="1" w:firstLine="422" w:firstLineChars="200"/>
        <w:rPr>
          <w:rFonts w:hAnsi="宋体" w:cs="宋体"/>
          <w:b/>
          <w:color w:val="auto"/>
          <w:szCs w:val="21"/>
          <w:highlight w:val="none"/>
        </w:rPr>
      </w:pPr>
      <w:r>
        <w:rPr>
          <w:rFonts w:hint="eastAsia" w:hAnsi="宋体" w:cs="宋体"/>
          <w:b/>
          <w:color w:val="auto"/>
          <w:szCs w:val="21"/>
          <w:highlight w:val="none"/>
        </w:rPr>
        <w:t>（3）不同的投标人的投标文件载明的项目管理员为同一个人；</w:t>
      </w:r>
    </w:p>
    <w:p>
      <w:pPr>
        <w:pStyle w:val="18"/>
        <w:snapToGrid w:val="0"/>
        <w:spacing w:line="400" w:lineRule="exact"/>
        <w:ind w:left="2" w:leftChars="1" w:firstLine="422" w:firstLineChars="200"/>
        <w:rPr>
          <w:rFonts w:hAnsi="宋体" w:cs="宋体"/>
          <w:b/>
          <w:color w:val="auto"/>
          <w:szCs w:val="21"/>
          <w:highlight w:val="none"/>
        </w:rPr>
      </w:pPr>
      <w:r>
        <w:rPr>
          <w:rFonts w:hint="eastAsia" w:hAnsi="宋体" w:cs="宋体"/>
          <w:b/>
          <w:color w:val="auto"/>
          <w:szCs w:val="21"/>
          <w:highlight w:val="none"/>
        </w:rPr>
        <w:t>（4）不同投标人的投标文件异常一致或者投标报价呈规律性差异；</w:t>
      </w:r>
    </w:p>
    <w:p>
      <w:pPr>
        <w:pStyle w:val="18"/>
        <w:snapToGrid w:val="0"/>
        <w:spacing w:line="400" w:lineRule="exact"/>
        <w:ind w:left="2" w:leftChars="1" w:firstLine="422" w:firstLineChars="200"/>
        <w:rPr>
          <w:rFonts w:hAnsi="宋体" w:cs="宋体"/>
          <w:b/>
          <w:color w:val="auto"/>
          <w:szCs w:val="21"/>
          <w:highlight w:val="none"/>
        </w:rPr>
      </w:pPr>
      <w:r>
        <w:rPr>
          <w:rFonts w:hint="eastAsia" w:hAnsi="宋体" w:cs="宋体"/>
          <w:b/>
          <w:color w:val="auto"/>
          <w:szCs w:val="21"/>
          <w:highlight w:val="none"/>
        </w:rPr>
        <w:t>（5）不同投标人的投标文件相互混装；</w:t>
      </w:r>
    </w:p>
    <w:p>
      <w:pPr>
        <w:pStyle w:val="18"/>
        <w:snapToGrid w:val="0"/>
        <w:spacing w:line="400" w:lineRule="exact"/>
        <w:ind w:left="2" w:leftChars="1" w:firstLine="422" w:firstLineChars="200"/>
        <w:rPr>
          <w:rFonts w:hAnsi="宋体" w:cs="宋体"/>
          <w:b/>
          <w:color w:val="auto"/>
          <w:szCs w:val="21"/>
          <w:highlight w:val="none"/>
        </w:rPr>
      </w:pPr>
      <w:r>
        <w:rPr>
          <w:rFonts w:hint="eastAsia" w:hAnsi="宋体" w:cs="宋体"/>
          <w:b/>
          <w:color w:val="auto"/>
          <w:szCs w:val="21"/>
          <w:highlight w:val="none"/>
        </w:rPr>
        <w:t>（6）不同投标人的投标保证金从同一单位或者个人账户转出。</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9.3供应商有下列情形之一的，属于恶意串通行为，将报同级监督管理部门：</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（1）供应商直接或者间接从采购人或者采购代理机构处获得其他供应商的相关信息并修改其投标文件或者响应文件；</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（2）供应商按照采购人或者采购代理机构的授意撤换、修改投标文件或者响应文件；</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（3）供应商之间协商报价、技术方案等投标文件或者响应文件的实质性内容；</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（4）属于同一集团、协会、商会等组织成员的供应商按照该组织要求协同参加政府采购活动；</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（5）供应商之间事先约定一致抬高或者压低投标报价，或者在招标项目中事先约定轮流以高价位或者低价位中标，或者事先约定由某一特定供应商中标，然后再参加投标；</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（6）供应商之间商定部分供应商放弃参加政府采购活动或者放弃中标；</w:t>
      </w:r>
    </w:p>
    <w:p>
      <w:pPr>
        <w:pStyle w:val="18"/>
        <w:snapToGrid w:val="0"/>
        <w:spacing w:line="400" w:lineRule="exact"/>
        <w:ind w:left="2" w:leftChars="1" w:firstLine="420" w:firstLineChars="200"/>
        <w:rPr>
          <w:rFonts w:hAnsi="宋体" w:cs="宋体"/>
          <w:b/>
          <w:color w:val="auto"/>
          <w:szCs w:val="21"/>
          <w:highlight w:val="none"/>
        </w:rPr>
      </w:pPr>
      <w:r>
        <w:rPr>
          <w:rFonts w:hint="eastAsia" w:hAnsi="宋体" w:cs="宋体"/>
          <w:color w:val="auto"/>
          <w:szCs w:val="21"/>
          <w:highlight w:val="none"/>
        </w:rPr>
        <w:t>（7）供应商与采购人或者采购代理机构之间、供应商相互之间，为谋求特定供应商中标或者排斥其他供应商的其他串通行为。</w:t>
      </w:r>
    </w:p>
    <w:p>
      <w:pPr>
        <w:pStyle w:val="5"/>
        <w:keepNext w:val="0"/>
        <w:keepLines w:val="0"/>
        <w:spacing w:line="400" w:lineRule="exact"/>
        <w:ind w:firstLine="422"/>
        <w:jc w:val="center"/>
        <w:rPr>
          <w:rFonts w:ascii="宋体" w:hAnsi="宋体" w:cs="宋体"/>
          <w:color w:val="auto"/>
          <w:sz w:val="21"/>
          <w:szCs w:val="21"/>
          <w:highlight w:val="none"/>
        </w:rPr>
      </w:pPr>
      <w:bookmarkStart w:id="84" w:name="_Toc254970534"/>
      <w:bookmarkStart w:id="85" w:name="_Toc254970675"/>
      <w:r>
        <w:rPr>
          <w:rFonts w:hint="eastAsia" w:ascii="宋体" w:hAnsi="宋体" w:cs="宋体"/>
          <w:color w:val="auto"/>
          <w:sz w:val="21"/>
          <w:szCs w:val="21"/>
          <w:highlight w:val="none"/>
        </w:rPr>
        <w:t>二、招标文件</w:t>
      </w:r>
      <w:bookmarkEnd w:id="84"/>
      <w:bookmarkEnd w:id="85"/>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10.招标文件的组成</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（1）招标公告；</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 xml:space="preserve">（2）采购需求； </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（3）投标人须知；</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（4）评标方法及评标标准；</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（5）拟签订的合同文本；</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11.招标文件的澄清、修改 、现场考察和答疑会</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11.1投标人应认真审阅本招标文件，如有疑问，或发现其中有误或有要求不合理的，应在招标公告公告期限届满之日起7个工作日内以纸质书面形式要求采购人或采购代理机构对招标文件予以澄清；否则，由此产生的后果由投标人自行负责。</w:t>
      </w:r>
    </w:p>
    <w:p>
      <w:pPr>
        <w:pStyle w:val="7"/>
        <w:keepNext w:val="0"/>
        <w:keepLines w:val="0"/>
        <w:spacing w:before="0" w:after="0" w:line="400" w:lineRule="exact"/>
        <w:ind w:firstLine="420" w:firstLineChars="200"/>
        <w:rPr>
          <w:rFonts w:ascii="宋体" w:hAnsi="宋体" w:cs="宋体"/>
          <w:color w:val="auto"/>
          <w:sz w:val="21"/>
          <w:szCs w:val="21"/>
          <w:highlight w:val="none"/>
        </w:rPr>
      </w:pPr>
      <w:r>
        <w:rPr>
          <w:rFonts w:hint="eastAsia" w:ascii="宋体" w:hAnsi="宋体" w:cs="宋体"/>
          <w:b w:val="0"/>
          <w:color w:val="auto"/>
          <w:sz w:val="21"/>
          <w:szCs w:val="21"/>
          <w:highlight w:val="none"/>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11.3采购人和采购代理机构可以视采购具体情况，变更投标截止时间和开标时间，并在原公告发布媒体上发布更正公告。</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11.4招标文件澄清、答复、修改、补充的内容为招标文件的组成部分。</w:t>
      </w:r>
      <w:r>
        <w:rPr>
          <w:rFonts w:hint="eastAsia" w:ascii="宋体" w:hAnsi="宋体" w:cs="宋体"/>
          <w:b/>
          <w:color w:val="auto"/>
          <w:szCs w:val="21"/>
          <w:highlight w:val="none"/>
        </w:rPr>
        <w:t>当招标文件与招标文件的澄清、答复、修改、补充通知就同一内容的表述不一致时，以最后发出的文件为准。</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11.</w:t>
      </w:r>
      <w:bookmarkStart w:id="86" w:name="_Hlk53134511"/>
      <w:r>
        <w:rPr>
          <w:rFonts w:hint="eastAsia" w:hAnsi="宋体" w:cs="宋体"/>
          <w:color w:val="auto"/>
          <w:szCs w:val="21"/>
          <w:highlight w:val="none"/>
        </w:rPr>
        <w:t>5采购人或者采购代理机构可以在招标文件提供期限截止后，组织已获取招标文件的潜在投标人现场考察或者召开开标前答疑会，具体详见“投标人须知前附表”。</w:t>
      </w:r>
    </w:p>
    <w:bookmarkEnd w:id="86"/>
    <w:p>
      <w:pPr>
        <w:pStyle w:val="5"/>
        <w:keepNext w:val="0"/>
        <w:keepLines w:val="0"/>
        <w:spacing w:line="400" w:lineRule="exact"/>
        <w:ind w:firstLine="422"/>
        <w:jc w:val="center"/>
        <w:rPr>
          <w:rFonts w:ascii="宋体" w:hAnsi="宋体" w:cs="宋体"/>
          <w:color w:val="auto"/>
          <w:sz w:val="21"/>
          <w:szCs w:val="21"/>
          <w:highlight w:val="none"/>
        </w:rPr>
      </w:pPr>
      <w:bookmarkStart w:id="87" w:name="_Toc254970535"/>
      <w:bookmarkStart w:id="88" w:name="_Toc254970676"/>
      <w:r>
        <w:rPr>
          <w:rFonts w:hint="eastAsia" w:ascii="宋体" w:hAnsi="宋体" w:cs="宋体"/>
          <w:color w:val="auto"/>
          <w:sz w:val="21"/>
          <w:szCs w:val="21"/>
          <w:highlight w:val="none"/>
        </w:rPr>
        <w:t>三、投标文件的编制</w:t>
      </w:r>
      <w:bookmarkEnd w:id="87"/>
      <w:bookmarkEnd w:id="88"/>
    </w:p>
    <w:p>
      <w:pPr>
        <w:pStyle w:val="7"/>
        <w:keepNext w:val="0"/>
        <w:keepLines w:val="0"/>
        <w:spacing w:before="0" w:after="0" w:line="400" w:lineRule="exact"/>
        <w:ind w:left="420" w:leftChars="200"/>
        <w:rPr>
          <w:rFonts w:ascii="宋体" w:hAnsi="宋体" w:cs="宋体"/>
          <w:color w:val="auto"/>
          <w:sz w:val="21"/>
          <w:szCs w:val="21"/>
          <w:highlight w:val="none"/>
        </w:rPr>
      </w:pPr>
      <w:bookmarkStart w:id="89" w:name="_Toc254970677"/>
      <w:bookmarkStart w:id="90" w:name="_Toc254970536"/>
      <w:r>
        <w:rPr>
          <w:rFonts w:hint="eastAsia" w:ascii="宋体" w:hAnsi="宋体" w:cs="宋体"/>
          <w:color w:val="auto"/>
          <w:sz w:val="21"/>
          <w:szCs w:val="21"/>
          <w:highlight w:val="none"/>
        </w:rPr>
        <w:t>12.投标文件的编制原则</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投标人必须按照招标文件的要求编制投标文件。投标文件必须对招标文件提出的要求和条件作出明确响应。</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13.投标文件的组成</w:t>
      </w:r>
      <w:bookmarkEnd w:id="89"/>
      <w:bookmarkEnd w:id="90"/>
    </w:p>
    <w:p>
      <w:pPr>
        <w:snapToGrid w:val="0"/>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13.1投标文件由报价文件、资格证明文件、商务文件、技术文件四部分组成。</w:t>
      </w:r>
    </w:p>
    <w:p>
      <w:pPr>
        <w:pStyle w:val="7"/>
        <w:keepNext w:val="0"/>
        <w:keepLines w:val="0"/>
        <w:spacing w:before="0" w:after="0" w:line="400" w:lineRule="exact"/>
        <w:ind w:left="420" w:leftChars="200"/>
        <w:rPr>
          <w:rFonts w:ascii="宋体" w:hAnsi="宋体" w:cs="宋体"/>
          <w:b w:val="0"/>
          <w:color w:val="auto"/>
          <w:sz w:val="21"/>
          <w:szCs w:val="21"/>
          <w:highlight w:val="none"/>
        </w:rPr>
      </w:pPr>
      <w:bookmarkStart w:id="91" w:name="_13.1报价文件:_具体材料见“投标人须知前附表”。"/>
      <w:bookmarkEnd w:id="91"/>
      <w:r>
        <w:rPr>
          <w:rFonts w:hint="eastAsia" w:ascii="宋体" w:hAnsi="宋体" w:cs="宋体"/>
          <w:b w:val="0"/>
          <w:color w:val="auto"/>
          <w:sz w:val="21"/>
          <w:szCs w:val="21"/>
          <w:highlight w:val="none"/>
        </w:rPr>
        <w:t>（1）报价文件： 具体材料见“投标人须知前附表”。</w:t>
      </w:r>
    </w:p>
    <w:p>
      <w:pPr>
        <w:pStyle w:val="7"/>
        <w:keepNext w:val="0"/>
        <w:keepLines w:val="0"/>
        <w:spacing w:before="0" w:after="0" w:line="400" w:lineRule="exact"/>
        <w:ind w:left="420" w:leftChars="200"/>
        <w:rPr>
          <w:rFonts w:ascii="宋体" w:hAnsi="宋体" w:cs="宋体"/>
          <w:b w:val="0"/>
          <w:color w:val="auto"/>
          <w:sz w:val="21"/>
          <w:szCs w:val="21"/>
          <w:highlight w:val="none"/>
        </w:rPr>
      </w:pPr>
      <w:bookmarkStart w:id="92" w:name="_13.2资格证明文件：具体材料见“投标人须知前附表”。"/>
      <w:bookmarkEnd w:id="92"/>
      <w:r>
        <w:rPr>
          <w:rFonts w:hint="eastAsia" w:ascii="宋体" w:hAnsi="宋体" w:cs="宋体"/>
          <w:b w:val="0"/>
          <w:color w:val="auto"/>
          <w:sz w:val="21"/>
          <w:szCs w:val="21"/>
          <w:highlight w:val="none"/>
        </w:rPr>
        <w:t>（2）资格证明文件：具体材料见“投标人须知前附表”。</w:t>
      </w:r>
    </w:p>
    <w:p>
      <w:pPr>
        <w:pStyle w:val="7"/>
        <w:keepNext w:val="0"/>
        <w:keepLines w:val="0"/>
        <w:spacing w:before="0" w:after="0" w:line="400" w:lineRule="exact"/>
        <w:ind w:left="420" w:leftChars="200"/>
        <w:rPr>
          <w:rFonts w:ascii="宋体" w:hAnsi="宋体" w:cs="宋体"/>
          <w:b w:val="0"/>
          <w:color w:val="auto"/>
          <w:sz w:val="21"/>
          <w:szCs w:val="21"/>
          <w:highlight w:val="none"/>
        </w:rPr>
      </w:pPr>
      <w:bookmarkStart w:id="93" w:name="_13.3商务文件:_具体材料见“投标人须知前附表”。"/>
      <w:bookmarkEnd w:id="93"/>
      <w:r>
        <w:rPr>
          <w:rFonts w:hint="eastAsia" w:ascii="宋体" w:hAnsi="宋体" w:cs="宋体"/>
          <w:b w:val="0"/>
          <w:color w:val="auto"/>
          <w:sz w:val="21"/>
          <w:szCs w:val="21"/>
          <w:highlight w:val="none"/>
        </w:rPr>
        <w:t>（3）商务文件：具体材料见“投标人须知前附表”。</w:t>
      </w:r>
    </w:p>
    <w:p>
      <w:pPr>
        <w:pStyle w:val="7"/>
        <w:keepNext w:val="0"/>
        <w:keepLines w:val="0"/>
        <w:spacing w:before="0" w:after="0" w:line="400" w:lineRule="exact"/>
        <w:ind w:left="420" w:leftChars="200"/>
        <w:rPr>
          <w:rFonts w:ascii="宋体" w:hAnsi="宋体" w:cs="宋体"/>
          <w:b w:val="0"/>
          <w:color w:val="auto"/>
          <w:sz w:val="21"/>
          <w:szCs w:val="21"/>
          <w:highlight w:val="none"/>
        </w:rPr>
      </w:pPr>
      <w:bookmarkStart w:id="94" w:name="_13.4技术文件：具体材料见“投标人须知前附表”。"/>
      <w:bookmarkEnd w:id="94"/>
      <w:r>
        <w:rPr>
          <w:rFonts w:hint="eastAsia" w:ascii="宋体" w:hAnsi="宋体" w:cs="宋体"/>
          <w:b w:val="0"/>
          <w:color w:val="auto"/>
          <w:sz w:val="21"/>
          <w:szCs w:val="21"/>
          <w:highlight w:val="none"/>
        </w:rPr>
        <w:t>（4）技术文件：具体材料见“投标人须知前附表”。</w:t>
      </w:r>
      <w:bookmarkStart w:id="95" w:name="_13.5投标文件电子版：具体材料见“投标人须知前附表”。"/>
      <w:bookmarkEnd w:id="95"/>
    </w:p>
    <w:p>
      <w:pPr>
        <w:pStyle w:val="7"/>
        <w:keepNext w:val="0"/>
        <w:keepLines w:val="0"/>
        <w:spacing w:before="0" w:after="0" w:line="400" w:lineRule="exact"/>
        <w:ind w:left="420" w:leftChars="200"/>
        <w:rPr>
          <w:rFonts w:ascii="宋体" w:hAnsi="宋体" w:cs="宋体"/>
          <w:color w:val="auto"/>
          <w:sz w:val="21"/>
          <w:szCs w:val="21"/>
          <w:highlight w:val="none"/>
        </w:rPr>
      </w:pPr>
      <w:bookmarkStart w:id="96" w:name="_Toc254970537"/>
      <w:bookmarkStart w:id="97" w:name="_Toc254970678"/>
      <w:r>
        <w:rPr>
          <w:rFonts w:hint="eastAsia" w:ascii="宋体" w:hAnsi="宋体" w:cs="宋体"/>
          <w:color w:val="auto"/>
          <w:sz w:val="21"/>
          <w:szCs w:val="21"/>
          <w:highlight w:val="none"/>
        </w:rPr>
        <w:t>14.投标文件的语言及计量</w:t>
      </w:r>
      <w:bookmarkEnd w:id="96"/>
      <w:bookmarkEnd w:id="97"/>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14.1语言文字</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14.2投标计量单位</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15.投标的风险</w:t>
      </w:r>
    </w:p>
    <w:p>
      <w:pPr>
        <w:pStyle w:val="18"/>
        <w:snapToGrid w:val="0"/>
        <w:spacing w:line="400" w:lineRule="exact"/>
        <w:ind w:firstLine="420" w:firstLineChars="200"/>
        <w:jc w:val="left"/>
        <w:rPr>
          <w:rFonts w:hAnsi="宋体" w:cs="宋体"/>
          <w:color w:val="auto"/>
          <w:szCs w:val="21"/>
          <w:highlight w:val="none"/>
        </w:rPr>
      </w:pPr>
      <w:r>
        <w:rPr>
          <w:rFonts w:hint="eastAsia" w:hAnsi="宋体" w:cs="宋体"/>
          <w:color w:val="auto"/>
          <w:szCs w:val="21"/>
          <w:highlight w:val="none"/>
        </w:rPr>
        <w:t>投标人没有按照招标文件要求提供全部资料，或者投标人没有对招标文件作出实质性响应是投标人的风险，并可能导致其投标被拒绝。</w:t>
      </w:r>
    </w:p>
    <w:p>
      <w:pPr>
        <w:pStyle w:val="7"/>
        <w:keepNext w:val="0"/>
        <w:keepLines w:val="0"/>
        <w:spacing w:before="0" w:after="0" w:line="400" w:lineRule="exact"/>
        <w:ind w:left="420" w:leftChars="200"/>
        <w:rPr>
          <w:rFonts w:ascii="宋体" w:hAnsi="宋体" w:cs="宋体"/>
          <w:color w:val="auto"/>
          <w:sz w:val="21"/>
          <w:szCs w:val="21"/>
          <w:highlight w:val="none"/>
        </w:rPr>
      </w:pPr>
      <w:bookmarkStart w:id="98" w:name="_Toc254970538"/>
      <w:bookmarkStart w:id="99" w:name="_Toc254970679"/>
      <w:r>
        <w:rPr>
          <w:rFonts w:hint="eastAsia" w:ascii="宋体" w:hAnsi="宋体" w:cs="宋体"/>
          <w:color w:val="auto"/>
          <w:sz w:val="21"/>
          <w:szCs w:val="21"/>
          <w:highlight w:val="none"/>
        </w:rPr>
        <w:t>16.投标报价</w:t>
      </w:r>
      <w:bookmarkEnd w:id="98"/>
      <w:bookmarkEnd w:id="99"/>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16.1投标报价应按“第六章　投标文件格式”中“开标一览表”格式填写。</w:t>
      </w:r>
    </w:p>
    <w:p>
      <w:pPr>
        <w:pStyle w:val="7"/>
        <w:keepNext w:val="0"/>
        <w:keepLines w:val="0"/>
        <w:spacing w:before="0" w:after="0" w:line="400" w:lineRule="exact"/>
        <w:ind w:left="420" w:leftChars="200"/>
        <w:rPr>
          <w:rFonts w:ascii="宋体" w:hAnsi="宋体" w:cs="宋体"/>
          <w:b w:val="0"/>
          <w:color w:val="auto"/>
          <w:sz w:val="21"/>
          <w:szCs w:val="21"/>
          <w:highlight w:val="none"/>
        </w:rPr>
      </w:pPr>
      <w:bookmarkStart w:id="100" w:name="_16.2投标报价具体定义见投标人须知前附表。"/>
      <w:bookmarkEnd w:id="100"/>
      <w:r>
        <w:rPr>
          <w:rFonts w:hint="eastAsia" w:ascii="宋体" w:hAnsi="宋体" w:cs="宋体"/>
          <w:b w:val="0"/>
          <w:color w:val="auto"/>
          <w:sz w:val="21"/>
          <w:szCs w:val="21"/>
          <w:highlight w:val="none"/>
        </w:rPr>
        <w:t>16.2投标报价具体包括内容详见“投标人须知前附表”。</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17.投标有效期</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bookmarkStart w:id="101" w:name="_17.1投标有效期应按“投标人须知中的前附表”规定的期限。"/>
      <w:bookmarkEnd w:id="101"/>
      <w:r>
        <w:rPr>
          <w:rFonts w:hint="eastAsia" w:ascii="宋体" w:hAnsi="宋体" w:cs="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17.2</w:t>
      </w:r>
      <w:bookmarkStart w:id="102" w:name="_Toc254970540"/>
      <w:bookmarkStart w:id="103" w:name="_Toc254970681"/>
      <w:r>
        <w:rPr>
          <w:rFonts w:hint="eastAsia" w:ascii="宋体" w:hAnsi="宋体" w:cs="宋体"/>
          <w:b w:val="0"/>
          <w:color w:val="auto"/>
          <w:sz w:val="21"/>
          <w:szCs w:val="21"/>
          <w:highlight w:val="none"/>
        </w:rPr>
        <w:t xml:space="preserve"> 投标有效期应按规定的期限作出承诺，具体详见“投标人须知前附表”。</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17.3投标人的投标文件在投标有效期内均保持有效。</w:t>
      </w:r>
      <w:bookmarkEnd w:id="102"/>
      <w:bookmarkEnd w:id="103"/>
    </w:p>
    <w:p>
      <w:pPr>
        <w:pStyle w:val="7"/>
        <w:keepNext w:val="0"/>
        <w:keepLines w:val="0"/>
        <w:spacing w:before="0" w:after="0" w:line="400" w:lineRule="exact"/>
        <w:ind w:left="420" w:leftChars="200"/>
        <w:rPr>
          <w:rFonts w:ascii="宋体" w:hAnsi="宋体" w:cs="宋体"/>
          <w:color w:val="auto"/>
          <w:sz w:val="21"/>
          <w:szCs w:val="21"/>
          <w:highlight w:val="none"/>
        </w:rPr>
      </w:pPr>
      <w:bookmarkStart w:id="104" w:name="_18.投标保证金"/>
      <w:bookmarkEnd w:id="104"/>
      <w:bookmarkStart w:id="105" w:name="_Toc254970682"/>
      <w:bookmarkStart w:id="106" w:name="_Toc254970541"/>
      <w:r>
        <w:rPr>
          <w:rFonts w:hint="eastAsia" w:ascii="宋体" w:hAnsi="宋体" w:cs="宋体"/>
          <w:color w:val="auto"/>
          <w:sz w:val="21"/>
          <w:szCs w:val="21"/>
          <w:highlight w:val="none"/>
        </w:rPr>
        <w:t>18.投标保证金</w:t>
      </w:r>
      <w:bookmarkEnd w:id="105"/>
      <w:bookmarkEnd w:id="106"/>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18.1投标人须按“投标人须知前附表” 的规定提交投标保证金。</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18.2投标保证金的退还</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未中标人的投标保证金自中标通知书发出之日起4个工作日内退还；中标人的投标保证金自政府采购合同签订之日起4个工作日内退还。 </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18.3除逾期退还投标保证金和终止招标的情形以外，投标保证金不计息。</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18.4投标人有下列情形之一的，投标保证金将不予退还： </w:t>
      </w:r>
    </w:p>
    <w:p>
      <w:pPr>
        <w:snapToGrid w:val="0"/>
        <w:spacing w:line="400" w:lineRule="exact"/>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（1）投标人在投标有效期内撤销投标文件的；</w:t>
      </w:r>
    </w:p>
    <w:p>
      <w:pPr>
        <w:snapToGrid w:val="0"/>
        <w:spacing w:line="400" w:lineRule="exact"/>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（2）未按规定提交履约保证金的；</w:t>
      </w:r>
    </w:p>
    <w:p>
      <w:pPr>
        <w:snapToGrid w:val="0"/>
        <w:spacing w:line="400" w:lineRule="exact"/>
        <w:ind w:firstLine="411" w:firstLineChars="196"/>
        <w:jc w:val="left"/>
        <w:rPr>
          <w:rFonts w:ascii="宋体" w:hAnsi="宋体" w:cs="宋体"/>
          <w:color w:val="auto"/>
          <w:szCs w:val="21"/>
          <w:highlight w:val="none"/>
        </w:rPr>
      </w:pPr>
      <w:r>
        <w:rPr>
          <w:rFonts w:hint="eastAsia" w:ascii="宋体" w:hAnsi="宋体" w:cs="宋体"/>
          <w:color w:val="auto"/>
          <w:szCs w:val="21"/>
          <w:highlight w:val="none"/>
        </w:rPr>
        <w:t>（3）投标人在投标过程中弄虚作假，提供虚假材料的；</w:t>
      </w:r>
    </w:p>
    <w:p>
      <w:pPr>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（4）中标人无正当理由不与采购人签订合同的；</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（5）投标人出现本章第9.2、9.3情形的；</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（6）法律法规规定的其他情形。</w:t>
      </w:r>
    </w:p>
    <w:p>
      <w:pPr>
        <w:pStyle w:val="7"/>
        <w:keepNext w:val="0"/>
        <w:keepLines w:val="0"/>
        <w:spacing w:before="0" w:after="0" w:line="400" w:lineRule="exact"/>
        <w:ind w:left="420" w:leftChars="200"/>
        <w:rPr>
          <w:rFonts w:ascii="宋体" w:hAnsi="宋体" w:cs="宋体"/>
          <w:color w:val="auto"/>
          <w:sz w:val="21"/>
          <w:szCs w:val="21"/>
          <w:highlight w:val="none"/>
        </w:rPr>
      </w:pPr>
      <w:bookmarkStart w:id="107" w:name="_Toc254970683"/>
      <w:bookmarkStart w:id="108" w:name="_Toc254970542"/>
      <w:r>
        <w:rPr>
          <w:rFonts w:hint="eastAsia" w:ascii="宋体" w:hAnsi="宋体" w:cs="宋体"/>
          <w:color w:val="auto"/>
          <w:sz w:val="21"/>
          <w:szCs w:val="21"/>
          <w:highlight w:val="none"/>
        </w:rPr>
        <w:t>19.投标文件的</w:t>
      </w:r>
      <w:bookmarkEnd w:id="107"/>
      <w:bookmarkEnd w:id="108"/>
      <w:r>
        <w:rPr>
          <w:rFonts w:hint="eastAsia" w:ascii="宋体" w:hAnsi="宋体" w:cs="宋体"/>
          <w:color w:val="auto"/>
          <w:sz w:val="21"/>
          <w:szCs w:val="21"/>
          <w:highlight w:val="none"/>
        </w:rPr>
        <w:t>编制</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bookmarkStart w:id="109" w:name="_19.2投标文件应按报价文件、资格证明文件、商务文件、技术文件分别编制"/>
      <w:bookmarkEnd w:id="109"/>
      <w:r>
        <w:rPr>
          <w:rFonts w:hint="eastAsia" w:ascii="宋体" w:hAnsi="宋体" w:cs="宋体"/>
          <w:b w:val="0"/>
          <w:color w:val="auto"/>
          <w:sz w:val="21"/>
          <w:szCs w:val="21"/>
          <w:highlight w:val="none"/>
        </w:rPr>
        <w:t>19.2投标文件应按报价文件、资格证明文件、商务文件、技术文件分别编制电子文件，并按“政采云”平台的要求编制、加密、上传。</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19.</w:t>
      </w:r>
      <w:bookmarkStart w:id="110" w:name="_Hlk65832616"/>
      <w:r>
        <w:rPr>
          <w:rFonts w:hint="eastAsia" w:ascii="宋体" w:hAnsi="宋体" w:cs="宋体"/>
          <w:b w:val="0"/>
          <w:color w:val="auto"/>
          <w:sz w:val="21"/>
          <w:szCs w:val="21"/>
          <w:highlight w:val="none"/>
        </w:rPr>
        <w:t>3投标文件须由投标人在规定位置盖公章并签字</w:t>
      </w:r>
      <w:bookmarkStart w:id="111" w:name="_Hlk65832569"/>
      <w:r>
        <w:rPr>
          <w:rFonts w:hint="eastAsia" w:ascii="宋体" w:hAnsi="宋体" w:cs="宋体"/>
          <w:b w:val="0"/>
          <w:color w:val="auto"/>
          <w:sz w:val="21"/>
          <w:szCs w:val="21"/>
          <w:highlight w:val="none"/>
        </w:rPr>
        <w:t>（具体以投标人须知前附表或投标文件格式规定为准）</w:t>
      </w:r>
      <w:bookmarkEnd w:id="110"/>
      <w:bookmarkEnd w:id="111"/>
      <w:r>
        <w:rPr>
          <w:rFonts w:hint="eastAsia" w:ascii="宋体" w:hAnsi="宋体" w:cs="宋体"/>
          <w:b w:val="0"/>
          <w:color w:val="auto"/>
          <w:sz w:val="21"/>
          <w:szCs w:val="21"/>
          <w:highlight w:val="none"/>
        </w:rPr>
        <w:t>，</w:t>
      </w:r>
      <w:r>
        <w:rPr>
          <w:rFonts w:hint="eastAsia" w:ascii="宋体" w:hAnsi="宋体" w:cs="宋体"/>
          <w:color w:val="auto"/>
          <w:sz w:val="21"/>
          <w:szCs w:val="21"/>
          <w:highlight w:val="none"/>
        </w:rPr>
        <w:t>否则按无效投标处理</w:t>
      </w:r>
      <w:r>
        <w:rPr>
          <w:rFonts w:hint="eastAsia" w:ascii="宋体" w:hAnsi="宋体" w:cs="宋体"/>
          <w:b w:val="0"/>
          <w:color w:val="auto"/>
          <w:sz w:val="21"/>
          <w:szCs w:val="21"/>
          <w:highlight w:val="none"/>
        </w:rPr>
        <w:t>。</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19.4投标文件中标注的投标人名称应与主体资格证明（如营业执照、事业单位法人证书、执业许可证、自然人身份证等）及公章一致，</w:t>
      </w:r>
      <w:r>
        <w:rPr>
          <w:rFonts w:hint="eastAsia" w:ascii="宋体" w:hAnsi="宋体" w:cs="宋体"/>
          <w:color w:val="auto"/>
          <w:sz w:val="21"/>
          <w:szCs w:val="21"/>
          <w:highlight w:val="none"/>
        </w:rPr>
        <w:t>否则按无效投标处理</w:t>
      </w:r>
      <w:r>
        <w:rPr>
          <w:rFonts w:hint="eastAsia" w:ascii="宋体" w:hAnsi="宋体" w:cs="宋体"/>
          <w:b w:val="0"/>
          <w:color w:val="auto"/>
          <w:sz w:val="21"/>
          <w:szCs w:val="21"/>
          <w:highlight w:val="none"/>
        </w:rPr>
        <w:t>。</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20.投标文件的加密、解密</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20.1电子投标文件编制完成后，投标人应按“政采云”平台的要求进行加密，并在规定时间内解密，否则，由此产生的后果由投标人自行负责。</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21.投标文件的提交</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bookmarkStart w:id="112" w:name="_21.1投标人必须在“投标人须知中的前附表”规定的投标文件接收时间和投"/>
      <w:bookmarkEnd w:id="112"/>
      <w:r>
        <w:rPr>
          <w:rFonts w:hint="eastAsia" w:ascii="宋体" w:hAnsi="宋体" w:cs="宋体"/>
          <w:b w:val="0"/>
          <w:color w:val="auto"/>
          <w:sz w:val="21"/>
          <w:szCs w:val="21"/>
          <w:highlight w:val="none"/>
        </w:rPr>
        <w:t>21.1投标人必须在“投标人须知前附表”规定的投标文件接收时间和投标地点提交投标文件。</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21.2本项目为全流程电子化政府采购项目，通过“政采云”平台（http：//www.zcygov.cn）实行在线电子投标。投标人必须在“投标人须知前附表”规定的投标文件接收时间内通过网络将电子投标文件上传至“政采云”平台，供应商在“政采云”平台提交电子版投标文件时，请填写参加远程开标活动经办人联系方式。</w:t>
      </w:r>
    </w:p>
    <w:p>
      <w:pPr>
        <w:pStyle w:val="7"/>
        <w:keepNext w:val="0"/>
        <w:keepLines w:val="0"/>
        <w:spacing w:before="0" w:after="0" w:line="400" w:lineRule="exact"/>
        <w:ind w:firstLine="420" w:firstLineChars="200"/>
        <w:jc w:val="left"/>
        <w:rPr>
          <w:rFonts w:ascii="宋体" w:hAnsi="宋体" w:cs="宋体"/>
          <w:b w:val="0"/>
          <w:color w:val="auto"/>
          <w:sz w:val="21"/>
          <w:szCs w:val="21"/>
          <w:highlight w:val="none"/>
        </w:rPr>
      </w:pPr>
      <w:r>
        <w:rPr>
          <w:rFonts w:hint="eastAsia" w:ascii="宋体" w:hAnsi="宋体" w:cs="宋体"/>
          <w:b w:val="0"/>
          <w:color w:val="auto"/>
          <w:sz w:val="21"/>
          <w:szCs w:val="21"/>
          <w:highlight w:val="none"/>
        </w:rPr>
        <w:t>21.3未在规定时间内上传或者未按“政采云”平台的要求编制、加密的电子投标文件，“政采云”平台将拒收。</w:t>
      </w:r>
    </w:p>
    <w:p>
      <w:pPr>
        <w:pStyle w:val="7"/>
        <w:keepNext w:val="0"/>
        <w:keepLines w:val="0"/>
        <w:spacing w:before="0" w:after="0" w:line="400" w:lineRule="exact"/>
        <w:ind w:firstLine="420" w:firstLineChars="200"/>
        <w:jc w:val="left"/>
        <w:rPr>
          <w:rFonts w:ascii="宋体" w:hAnsi="宋体" w:cs="宋体"/>
          <w:b w:val="0"/>
          <w:color w:val="auto"/>
          <w:sz w:val="21"/>
          <w:szCs w:val="21"/>
          <w:highlight w:val="none"/>
        </w:rPr>
      </w:pPr>
      <w:r>
        <w:rPr>
          <w:rFonts w:hint="eastAsia" w:ascii="宋体" w:hAnsi="宋体" w:cs="宋体"/>
          <w:b w:val="0"/>
          <w:color w:val="auto"/>
          <w:sz w:val="21"/>
          <w:szCs w:val="21"/>
          <w:highlight w:val="none"/>
        </w:rPr>
        <w:t>21.4电子投标文件提交方式见“招标公告”中“四、提交投标文件截止时间、开标时间和地点”</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22. 投标文件的补充、修改、撤回与退回</w:t>
      </w:r>
    </w:p>
    <w:p>
      <w:pPr>
        <w:snapToGrid w:val="0"/>
        <w:spacing w:line="400" w:lineRule="exact"/>
        <w:ind w:firstLine="420"/>
        <w:jc w:val="left"/>
        <w:rPr>
          <w:rFonts w:ascii="宋体" w:hAnsi="宋体" w:cs="宋体"/>
          <w:color w:val="auto"/>
          <w:szCs w:val="21"/>
          <w:highlight w:val="none"/>
        </w:rPr>
      </w:pPr>
      <w:bookmarkStart w:id="113" w:name="_Toc254970543"/>
      <w:bookmarkStart w:id="114" w:name="_Toc254970684"/>
      <w:r>
        <w:rPr>
          <w:rFonts w:hint="eastAsia" w:ascii="宋体" w:hAnsi="宋体" w:cs="宋体"/>
          <w:color w:val="auto"/>
          <w:szCs w:val="21"/>
          <w:highlight w:val="none"/>
        </w:rPr>
        <w:t>22.1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bookmarkEnd w:id="113"/>
    <w:bookmarkEnd w:id="114"/>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22.2在投标截止时间止提交投标文件的投标人不足3家时，不得开标，采购代理机构将根据“政采云”平台的操作将电子版投标文件退回，除此之外采购人和采购代理机构对已提交的投标文件概不退回。</w:t>
      </w:r>
    </w:p>
    <w:p>
      <w:pPr>
        <w:spacing w:line="400" w:lineRule="exact"/>
        <w:ind w:firstLine="420" w:firstLineChars="200"/>
        <w:rPr>
          <w:rFonts w:ascii="宋体" w:hAnsi="宋体" w:cs="宋体"/>
          <w:snapToGrid w:val="0"/>
          <w:color w:val="auto"/>
          <w:szCs w:val="21"/>
          <w:highlight w:val="none"/>
        </w:rPr>
      </w:pPr>
      <w:r>
        <w:rPr>
          <w:rFonts w:hint="eastAsia" w:ascii="宋体" w:hAnsi="宋体" w:cs="宋体"/>
          <w:color w:val="auto"/>
          <w:szCs w:val="21"/>
          <w:highlight w:val="none"/>
        </w:rPr>
        <w:t>22.3 投标人在投标截止时间后书面通知采购人、采购代理机构撤销投标文件的，将根据本须知正文18.4的规定不予退还其投标保证金。</w:t>
      </w:r>
    </w:p>
    <w:p>
      <w:pPr>
        <w:pStyle w:val="5"/>
        <w:keepNext w:val="0"/>
        <w:keepLines w:val="0"/>
        <w:spacing w:line="400" w:lineRule="exact"/>
        <w:ind w:firstLine="422"/>
        <w:jc w:val="center"/>
        <w:rPr>
          <w:rFonts w:ascii="宋体" w:hAnsi="宋体" w:cs="宋体"/>
          <w:color w:val="auto"/>
          <w:sz w:val="21"/>
          <w:szCs w:val="21"/>
          <w:highlight w:val="none"/>
        </w:rPr>
      </w:pPr>
      <w:bookmarkStart w:id="115" w:name="_Toc254970685"/>
      <w:bookmarkStart w:id="116" w:name="_Toc254970544"/>
      <w:r>
        <w:rPr>
          <w:rFonts w:hint="eastAsia" w:ascii="宋体" w:hAnsi="宋体" w:cs="宋体"/>
          <w:color w:val="auto"/>
          <w:sz w:val="21"/>
          <w:szCs w:val="21"/>
          <w:highlight w:val="none"/>
        </w:rPr>
        <w:t>四、开    标</w:t>
      </w:r>
      <w:bookmarkEnd w:id="115"/>
      <w:bookmarkEnd w:id="116"/>
    </w:p>
    <w:p>
      <w:pPr>
        <w:pStyle w:val="7"/>
        <w:keepNext w:val="0"/>
        <w:keepLines w:val="0"/>
        <w:spacing w:before="0" w:after="0" w:line="400" w:lineRule="exact"/>
        <w:ind w:left="420" w:leftChars="200"/>
        <w:rPr>
          <w:rFonts w:ascii="宋体" w:hAnsi="宋体" w:cs="宋体"/>
          <w:color w:val="auto"/>
          <w:sz w:val="21"/>
          <w:szCs w:val="21"/>
          <w:highlight w:val="none"/>
        </w:rPr>
      </w:pPr>
      <w:bookmarkStart w:id="117" w:name="_23.开标时间和地点"/>
      <w:bookmarkEnd w:id="117"/>
      <w:r>
        <w:rPr>
          <w:rFonts w:hint="eastAsia" w:ascii="宋体" w:hAnsi="宋体" w:cs="宋体"/>
          <w:color w:val="auto"/>
          <w:sz w:val="21"/>
          <w:szCs w:val="21"/>
          <w:highlight w:val="none"/>
        </w:rPr>
        <w:t>23.开标时间和地点</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23.1开标时间及地点详见“投标人须知前附表”</w:t>
      </w:r>
    </w:p>
    <w:p>
      <w:pPr>
        <w:snapToGrid w:val="0"/>
        <w:spacing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23.2如投标人成功解密投标文件，但未在“政采云”电子开标大厅参加开标的，视同认可开标过程和结果，由此产生的后果由投标人自行负责。成功解密投标文件的投标人不足3家的，不得开标。</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24.开标程序</w:t>
      </w:r>
    </w:p>
    <w:p>
      <w:pPr>
        <w:autoSpaceDE w:val="0"/>
        <w:autoSpaceDN w:val="0"/>
        <w:adjustRightInd w:val="0"/>
        <w:spacing w:line="400" w:lineRule="exact"/>
        <w:ind w:firstLine="420" w:firstLineChars="200"/>
        <w:rPr>
          <w:rFonts w:ascii="宋体" w:hAnsi="宋体" w:cs="宋体"/>
          <w:color w:val="auto"/>
          <w:kern w:val="0"/>
          <w:szCs w:val="21"/>
          <w:highlight w:val="none"/>
        </w:rPr>
      </w:pPr>
      <w:r>
        <w:rPr>
          <w:rFonts w:hint="eastAsia" w:ascii="宋体" w:hAnsi="宋体" w:cs="宋体"/>
          <w:bCs/>
          <w:color w:val="auto"/>
          <w:szCs w:val="21"/>
          <w:highlight w:val="none"/>
        </w:rPr>
        <w:t>24.1</w:t>
      </w:r>
      <w:r>
        <w:rPr>
          <w:rFonts w:hint="eastAsia" w:ascii="宋体" w:hAnsi="宋体" w:cs="宋体"/>
          <w:color w:val="auto"/>
          <w:kern w:val="0"/>
          <w:szCs w:val="21"/>
          <w:highlight w:val="none"/>
        </w:rPr>
        <w:t>开标形式：</w:t>
      </w:r>
    </w:p>
    <w:p>
      <w:pPr>
        <w:autoSpaceDE w:val="0"/>
        <w:autoSpaceDN w:val="0"/>
        <w:adjustRightIn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采购代理机构将按照招标文件规定的时间通过“政采云”平台组织线上开标活动、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24.2开标程序：</w:t>
      </w:r>
    </w:p>
    <w:p>
      <w:pPr>
        <w:autoSpaceDE w:val="0"/>
        <w:autoSpaceDN w:val="0"/>
        <w:adjustRightIn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（1）解密电子投标文件。“政采云”平台按开标时间自动提取所有投标文件。采购代理机构依托“政采云”平台向各投标人发出电子加密投标文件【开始解密】通知，由投标人进行投标文件解密。</w:t>
      </w:r>
      <w:r>
        <w:rPr>
          <w:rFonts w:hint="eastAsia" w:ascii="宋体" w:hAnsi="宋体" w:cs="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cs="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cs="宋体"/>
          <w:b/>
          <w:bCs/>
          <w:color w:val="auto"/>
          <w:szCs w:val="21"/>
          <w:highlight w:val="none"/>
        </w:rPr>
        <w:t>对电子投标文件解密。投标文件未按时解密的，视为无效投标。</w:t>
      </w:r>
      <w:r>
        <w:rPr>
          <w:rFonts w:hint="eastAsia" w:ascii="宋体" w:hAnsi="宋体" w:cs="宋体"/>
          <w:bCs/>
          <w:color w:val="auto"/>
          <w:szCs w:val="21"/>
          <w:highlight w:val="none"/>
        </w:rPr>
        <w:t>（解密异常情况处理：详见本章29.4 电子交易活动的中止）</w:t>
      </w:r>
    </w:p>
    <w:p>
      <w:pPr>
        <w:autoSpaceDE w:val="0"/>
        <w:autoSpaceDN w:val="0"/>
        <w:adjustRightIn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（2）电子唱标。投标文件解密结束，各投标供应商报价均在“政采云”平台远程不见面开标大厅展示；</w:t>
      </w:r>
    </w:p>
    <w:p>
      <w:pPr>
        <w:autoSpaceDE w:val="0"/>
        <w:autoSpaceDN w:val="0"/>
        <w:adjustRightIn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（3）签署电子《政府采购活动现场确认声明书》。通过邮件形式在远程不见面开标大厅发送各投标人签署电子《政府采购活动现场确认声明书》。</w:t>
      </w:r>
    </w:p>
    <w:p>
      <w:pPr>
        <w:autoSpaceDE w:val="0"/>
        <w:autoSpaceDN w:val="0"/>
        <w:adjustRightIn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（6）开标结束。</w:t>
      </w:r>
    </w:p>
    <w:p>
      <w:pPr>
        <w:autoSpaceDE w:val="0"/>
        <w:autoSpaceDN w:val="0"/>
        <w:adjustRightInd w:val="0"/>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特别说明：如遇“政采云”平台电子化开标或评审程序调整的，按调整后执行。</w:t>
      </w:r>
    </w:p>
    <w:p>
      <w:pPr>
        <w:pStyle w:val="5"/>
        <w:keepNext w:val="0"/>
        <w:keepLines w:val="0"/>
        <w:spacing w:line="400" w:lineRule="exact"/>
        <w:ind w:firstLine="422"/>
        <w:jc w:val="center"/>
        <w:rPr>
          <w:rFonts w:ascii="宋体" w:hAnsi="宋体" w:cs="宋体"/>
          <w:color w:val="auto"/>
          <w:sz w:val="21"/>
          <w:szCs w:val="21"/>
          <w:highlight w:val="none"/>
        </w:rPr>
      </w:pPr>
      <w:r>
        <w:rPr>
          <w:rFonts w:hint="eastAsia" w:ascii="宋体" w:hAnsi="宋体" w:cs="宋体"/>
          <w:color w:val="auto"/>
          <w:sz w:val="21"/>
          <w:szCs w:val="21"/>
          <w:highlight w:val="none"/>
        </w:rPr>
        <w:t>五、资格审查</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25.资格审查</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25.1开标结束后，采购人或者采购代理机构依法对投标人的资格进行审查。</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7"/>
        <w:keepNext w:val="0"/>
        <w:keepLines w:val="0"/>
        <w:spacing w:before="0" w:after="0" w:line="400" w:lineRule="exact"/>
        <w:ind w:firstLine="422" w:firstLineChars="200"/>
        <w:rPr>
          <w:rFonts w:ascii="宋体" w:hAnsi="宋体" w:cs="宋体"/>
          <w:color w:val="auto"/>
          <w:sz w:val="21"/>
          <w:szCs w:val="21"/>
          <w:highlight w:val="none"/>
        </w:rPr>
      </w:pPr>
      <w:bookmarkStart w:id="118" w:name="_25.3_投标人有下列情形之一的，资格审查不通过而导致其投标无效："/>
      <w:bookmarkEnd w:id="118"/>
      <w:r>
        <w:rPr>
          <w:rFonts w:hint="eastAsia" w:ascii="宋体" w:hAnsi="宋体" w:cs="宋体"/>
          <w:color w:val="auto"/>
          <w:sz w:val="21"/>
          <w:szCs w:val="21"/>
          <w:highlight w:val="none"/>
        </w:rPr>
        <w:t>25.3 投标人有下列情形之一的，资格审查不通过，作无效投标处理：</w:t>
      </w:r>
    </w:p>
    <w:p>
      <w:pPr>
        <w:pStyle w:val="18"/>
        <w:snapToGrid w:val="0"/>
        <w:spacing w:line="400" w:lineRule="exact"/>
        <w:ind w:firstLine="422" w:firstLineChars="200"/>
        <w:rPr>
          <w:rFonts w:hAnsi="宋体" w:cs="宋体"/>
          <w:b/>
          <w:color w:val="auto"/>
          <w:szCs w:val="21"/>
          <w:highlight w:val="none"/>
        </w:rPr>
      </w:pPr>
      <w:r>
        <w:rPr>
          <w:rFonts w:hint="eastAsia" w:hAnsi="宋体" w:cs="宋体"/>
          <w:b/>
          <w:color w:val="auto"/>
          <w:szCs w:val="21"/>
          <w:highlight w:val="none"/>
        </w:rPr>
        <w:t>（1）未按招标文件规定的方式获取本招标文件的投标人；</w:t>
      </w:r>
    </w:p>
    <w:p>
      <w:pPr>
        <w:pStyle w:val="18"/>
        <w:snapToGrid w:val="0"/>
        <w:spacing w:line="400" w:lineRule="exact"/>
        <w:ind w:firstLine="422" w:firstLineChars="200"/>
        <w:rPr>
          <w:rFonts w:hAnsi="宋体" w:cs="宋体"/>
          <w:b/>
          <w:color w:val="auto"/>
          <w:szCs w:val="21"/>
          <w:highlight w:val="none"/>
        </w:rPr>
      </w:pPr>
      <w:r>
        <w:rPr>
          <w:rFonts w:hint="eastAsia" w:hAnsi="宋体" w:cs="宋体"/>
          <w:b/>
          <w:color w:val="auto"/>
          <w:szCs w:val="21"/>
          <w:highlight w:val="none"/>
        </w:rPr>
        <w:t>（2）不具备招标文件中规定的资格要求的；</w:t>
      </w:r>
    </w:p>
    <w:p>
      <w:pPr>
        <w:pStyle w:val="18"/>
        <w:snapToGrid w:val="0"/>
        <w:spacing w:line="400" w:lineRule="exact"/>
        <w:ind w:firstLine="422" w:firstLineChars="200"/>
        <w:rPr>
          <w:rFonts w:hAnsi="宋体" w:cs="宋体"/>
          <w:b/>
          <w:color w:val="auto"/>
          <w:szCs w:val="21"/>
          <w:highlight w:val="none"/>
        </w:rPr>
      </w:pPr>
      <w:r>
        <w:rPr>
          <w:rFonts w:hint="eastAsia" w:hAnsi="宋体" w:cs="宋体"/>
          <w:b/>
          <w:color w:val="auto"/>
          <w:szCs w:val="21"/>
          <w:highlight w:val="none"/>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18"/>
        <w:snapToGrid w:val="0"/>
        <w:spacing w:line="400" w:lineRule="exact"/>
        <w:ind w:firstLine="422" w:firstLineChars="200"/>
        <w:rPr>
          <w:rFonts w:hAnsi="宋体" w:cs="宋体"/>
          <w:b/>
          <w:color w:val="auto"/>
          <w:szCs w:val="21"/>
          <w:highlight w:val="none"/>
        </w:rPr>
      </w:pPr>
      <w:r>
        <w:rPr>
          <w:rFonts w:hint="eastAsia" w:hAnsi="宋体" w:cs="宋体"/>
          <w:b/>
          <w:color w:val="auto"/>
          <w:szCs w:val="21"/>
          <w:highlight w:val="none"/>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18"/>
        <w:snapToGrid w:val="0"/>
        <w:spacing w:line="400" w:lineRule="exact"/>
        <w:ind w:firstLine="422" w:firstLineChars="200"/>
        <w:rPr>
          <w:rFonts w:hAnsi="宋体" w:cs="宋体"/>
          <w:b/>
          <w:color w:val="auto"/>
          <w:szCs w:val="21"/>
          <w:highlight w:val="none"/>
        </w:rPr>
      </w:pPr>
      <w:r>
        <w:rPr>
          <w:rFonts w:hint="eastAsia" w:hAnsi="宋体" w:cs="宋体"/>
          <w:b/>
          <w:color w:val="auto"/>
          <w:szCs w:val="21"/>
          <w:highlight w:val="none"/>
        </w:rPr>
        <w:t>（5）投标文件中的资格证明文件缺少任一项“投标人须知前附表”资格证明文件规定“必须提供”的文件资料的；</w:t>
      </w:r>
    </w:p>
    <w:p>
      <w:pPr>
        <w:pStyle w:val="18"/>
        <w:snapToGrid w:val="0"/>
        <w:spacing w:line="400" w:lineRule="exact"/>
        <w:ind w:firstLine="422" w:firstLineChars="200"/>
        <w:rPr>
          <w:rFonts w:hAnsi="宋体" w:cs="宋体"/>
          <w:b/>
          <w:color w:val="auto"/>
          <w:szCs w:val="21"/>
          <w:highlight w:val="none"/>
        </w:rPr>
      </w:pPr>
      <w:r>
        <w:rPr>
          <w:rFonts w:hint="eastAsia" w:hAnsi="宋体" w:cs="宋体"/>
          <w:b/>
          <w:color w:val="auto"/>
          <w:szCs w:val="21"/>
          <w:highlight w:val="none"/>
        </w:rPr>
        <w:t>（6）投标文件中的资格证明文件出现任一项不符合“投标人须知前附表”资格证明文件规定“必须提供”的文件资料要求或者无效的。</w:t>
      </w:r>
    </w:p>
    <w:p>
      <w:pPr>
        <w:pStyle w:val="7"/>
        <w:keepNext w:val="0"/>
        <w:keepLines w:val="0"/>
        <w:snapToGrid w:val="0"/>
        <w:spacing w:before="0" w:after="0" w:line="400" w:lineRule="exact"/>
        <w:ind w:left="690" w:leftChars="228" w:hanging="211" w:hangingChars="100"/>
        <w:rPr>
          <w:rFonts w:ascii="宋体" w:hAnsi="宋体" w:cs="宋体"/>
          <w:color w:val="auto"/>
          <w:sz w:val="21"/>
          <w:szCs w:val="21"/>
          <w:highlight w:val="none"/>
        </w:rPr>
      </w:pPr>
      <w:r>
        <w:rPr>
          <w:rFonts w:hint="eastAsia" w:ascii="宋体" w:hAnsi="宋体" w:cs="宋体"/>
          <w:color w:val="auto"/>
          <w:sz w:val="21"/>
          <w:szCs w:val="21"/>
          <w:highlight w:val="none"/>
        </w:rPr>
        <w:t>25.4合格投标人不足3家的，不得评标。</w:t>
      </w:r>
    </w:p>
    <w:p>
      <w:pPr>
        <w:pStyle w:val="5"/>
        <w:keepNext w:val="0"/>
        <w:keepLines w:val="0"/>
        <w:spacing w:line="400" w:lineRule="exact"/>
        <w:ind w:firstLine="422"/>
        <w:jc w:val="center"/>
        <w:rPr>
          <w:rFonts w:ascii="宋体" w:hAnsi="宋体" w:cs="宋体"/>
          <w:color w:val="auto"/>
          <w:sz w:val="21"/>
          <w:szCs w:val="21"/>
          <w:highlight w:val="none"/>
        </w:rPr>
      </w:pPr>
      <w:r>
        <w:rPr>
          <w:rFonts w:hint="eastAsia" w:ascii="宋体" w:hAnsi="宋体" w:cs="宋体"/>
          <w:color w:val="auto"/>
          <w:sz w:val="21"/>
          <w:szCs w:val="21"/>
          <w:highlight w:val="none"/>
        </w:rPr>
        <w:t>六、评   标</w:t>
      </w:r>
    </w:p>
    <w:p>
      <w:pPr>
        <w:pStyle w:val="7"/>
        <w:keepNext w:val="0"/>
        <w:keepLines w:val="0"/>
        <w:spacing w:before="0" w:after="0" w:line="400" w:lineRule="exact"/>
        <w:ind w:left="420" w:leftChars="200"/>
        <w:rPr>
          <w:rFonts w:ascii="宋体" w:hAnsi="宋体" w:cs="宋体"/>
          <w:color w:val="auto"/>
          <w:sz w:val="21"/>
          <w:szCs w:val="21"/>
          <w:highlight w:val="none"/>
        </w:rPr>
      </w:pPr>
      <w:bookmarkStart w:id="119" w:name="_26.组建评标委员会"/>
      <w:bookmarkEnd w:id="119"/>
      <w:r>
        <w:rPr>
          <w:rFonts w:hint="eastAsia" w:ascii="宋体" w:hAnsi="宋体" w:cs="宋体"/>
          <w:color w:val="auto"/>
          <w:sz w:val="21"/>
          <w:szCs w:val="21"/>
          <w:highlight w:val="none"/>
        </w:rPr>
        <w:t>26.组建评标委员会</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评标委员会由采购人代表和评审专家组成，具体人数详见“投标人须知前附表”，其中评审专家不得少于成员总数的三分之二。</w:t>
      </w:r>
    </w:p>
    <w:p>
      <w:pPr>
        <w:pStyle w:val="18"/>
        <w:snapToGrid w:val="0"/>
        <w:spacing w:line="400" w:lineRule="exact"/>
        <w:ind w:left="2" w:leftChars="1" w:firstLine="420" w:firstLineChars="200"/>
        <w:rPr>
          <w:rFonts w:hAnsi="宋体" w:cs="宋体"/>
          <w:color w:val="auto"/>
          <w:szCs w:val="21"/>
          <w:highlight w:val="none"/>
        </w:rPr>
      </w:pPr>
      <w:r>
        <w:rPr>
          <w:rFonts w:hint="eastAsia" w:hAnsi="宋体" w:cs="宋体"/>
          <w:color w:val="auto"/>
          <w:szCs w:val="21"/>
          <w:highlight w:val="none"/>
        </w:rPr>
        <w:t>参加过采购项目前期咨询论证的专家，不得参加该采购项目的评审活动。</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27.评标的依据</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评标委员会以“第四章 评标方法和评标标准”为依据对投标文件进行评审，没有规定的方法、评审因素和标准，不作为评标依据。</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28.评标原则</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28.2</w:t>
      </w:r>
      <w:bookmarkStart w:id="120" w:name="_28.3评标方法。本项目将按须知前附表规定的评标办法进行评标，具体评标"/>
      <w:bookmarkEnd w:id="120"/>
      <w:r>
        <w:rPr>
          <w:rFonts w:hint="eastAsia" w:hAnsi="宋体" w:cs="宋体"/>
          <w:color w:val="auto"/>
          <w:szCs w:val="21"/>
          <w:highlight w:val="none"/>
        </w:rPr>
        <w:t>评委表决。评标委员会成员对需要共同认定的事项存在争议的，应当按照少数服从多数的原则作出结论。</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28.4评标过程的监控。本项目评标过程实行全程录音、录像监控，</w:t>
      </w:r>
      <w:r>
        <w:rPr>
          <w:rFonts w:hint="eastAsia" w:hAnsi="宋体" w:cs="宋体"/>
          <w:b/>
          <w:bCs/>
          <w:color w:val="auto"/>
          <w:szCs w:val="21"/>
          <w:highlight w:val="none"/>
        </w:rPr>
        <w:t>投标人在评标过程中所进行的试图影响评标结果的不公正活动，可能导致其投标无效</w:t>
      </w:r>
      <w:r>
        <w:rPr>
          <w:rFonts w:hint="eastAsia" w:hAnsi="宋体" w:cs="宋体"/>
          <w:color w:val="auto"/>
          <w:szCs w:val="21"/>
          <w:highlight w:val="none"/>
        </w:rPr>
        <w:t>。</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29.评标方法及中标候选人推荐</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29.1本项目的评标方法详见“投标人须知前附表”。</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29.2 中标候选人推荐数量详见“投标人须知前附表”。</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29.3评标委员会将按照“第四章 评标方法和评标标准”规定的方法、评审因素、标准和程序对投标文件进行评审。</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29.4电子交易活动的中止。采购过程中出现以下情形，导致电子交易平台无法正常运行，或者无法保证电子交易的公平、公正和安全时，采购代理机构可中止电子交易活动：</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 xml:space="preserve">（1）电子交易平台发生故障而无法登录访问的； </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（2）电子交易平台应用或数据库出现错误，不能进行正常操作的；</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（3）电子交易平台发现严重安全漏洞，有潜在泄密危险的；</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 xml:space="preserve">（4）病毒发作导致不能进行正常操作的； </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（4）其他无法保证电子交易的公平、公正和安全的情况。</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29.5出现以上情形，不影响采购公平、公正性的，采购代理机构可以待上述情形消除后继续组织电子交易活动；影响或可能影响采购公平、公正性的，经采购代理机构确认后，应当重新采购。</w:t>
      </w:r>
    </w:p>
    <w:p>
      <w:pPr>
        <w:pStyle w:val="5"/>
        <w:keepNext w:val="0"/>
        <w:keepLines w:val="0"/>
        <w:spacing w:line="400" w:lineRule="exact"/>
        <w:ind w:firstLine="422"/>
        <w:jc w:val="center"/>
        <w:rPr>
          <w:rFonts w:ascii="宋体" w:hAnsi="宋体" w:cs="宋体"/>
          <w:color w:val="auto"/>
          <w:sz w:val="21"/>
          <w:szCs w:val="21"/>
          <w:highlight w:val="none"/>
        </w:rPr>
      </w:pPr>
      <w:bookmarkStart w:id="121" w:name="_Toc254970546"/>
      <w:bookmarkStart w:id="122" w:name="_Toc254970687"/>
      <w:r>
        <w:rPr>
          <w:rFonts w:hint="eastAsia" w:ascii="宋体" w:hAnsi="宋体" w:cs="宋体"/>
          <w:color w:val="auto"/>
          <w:sz w:val="21"/>
          <w:szCs w:val="21"/>
          <w:highlight w:val="none"/>
        </w:rPr>
        <w:t>七、</w:t>
      </w:r>
      <w:bookmarkEnd w:id="121"/>
      <w:bookmarkEnd w:id="122"/>
      <w:r>
        <w:rPr>
          <w:rFonts w:hint="eastAsia" w:ascii="宋体" w:hAnsi="宋体" w:cs="宋体"/>
          <w:color w:val="auto"/>
          <w:sz w:val="21"/>
          <w:szCs w:val="21"/>
          <w:highlight w:val="none"/>
        </w:rPr>
        <w:t>中标和合同</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30 确定中标人</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30.1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30.2采购人在收到评标报告5个工作日内未按评标报告推荐的中标候选人顺序确定中标人，又不能说明合法理由的，视同按评标报告推荐的顺序确定排名第一的中标候选人为中标人。</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30.3出现下列情形之一的，应予废标：</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（1）符合专业条件的供应商或者对招标文件作实质响应的供应商不足三家的；</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（2）出现影响采购公正的违法、违规行为的；</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（3）投标人的报价均超过了采购预算，采购人不能支付的；</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（4）因重大变故，采购任务取消的。</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废标后，采购人应当将废标理由通知所有投标人。</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30.4 中标人拒绝签订政府采购合同（包括但不限于放弃中标、因不可抗力不能履行合同而放弃签订合同），采购人可以按照评审报告推荐的中标候选人名单排序，确定下一候选人为中标供应商，也可以重新开展政府采购活动。拒绝签订政府采购合同的中标人不得参加对该项目重新开展的采购活动。</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31. 结果公告</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31.1采购人或者采购代理机构应当自中标人确定之日起2个工作日内，在省级以上财政部门指定的媒体上公告中标结果，招标文件应当随中标结果同时公告。</w:t>
      </w:r>
      <w:r>
        <w:rPr>
          <w:rFonts w:hint="eastAsia" w:ascii="宋体" w:hAnsi="宋体" w:cs="宋体"/>
          <w:color w:val="auto"/>
          <w:sz w:val="21"/>
          <w:szCs w:val="21"/>
          <w:highlight w:val="none"/>
        </w:rPr>
        <w:t>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ascii="宋体" w:hAnsi="宋体" w:cs="宋体"/>
          <w:b w:val="0"/>
          <w:color w:val="auto"/>
          <w:sz w:val="21"/>
          <w:szCs w:val="21"/>
          <w:highlight w:val="none"/>
        </w:rPr>
        <w:t>排名第二的中标候选人因前款规定的同样原因被取消中标资格的，采购人可以确定排名第三的中标候选人为中标人，以此类推。以上信息查询记录及相关证据与采购文件一并保存。</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32.发出中标通知书</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在公告中标结果的同时，采购代理机构向中标人发出中标通知书。对未通过资格审查的投标人，应当告知其未通过的原因；采用综合评分办法评审的，还应当告知未中标人本人的评审得分与排序。</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33. 无义务解释未中标原因</w:t>
      </w:r>
    </w:p>
    <w:p>
      <w:pPr>
        <w:pStyle w:val="7"/>
        <w:keepNext w:val="0"/>
        <w:keepLines w:val="0"/>
        <w:spacing w:before="0" w:after="0" w:line="400" w:lineRule="exact"/>
        <w:ind w:left="420" w:leftChars="200"/>
        <w:rPr>
          <w:rFonts w:ascii="宋体" w:hAnsi="宋体" w:cs="宋体"/>
          <w:b w:val="0"/>
          <w:color w:val="auto"/>
          <w:sz w:val="21"/>
          <w:szCs w:val="21"/>
          <w:highlight w:val="none"/>
        </w:rPr>
      </w:pPr>
      <w:r>
        <w:rPr>
          <w:rFonts w:hint="eastAsia" w:ascii="宋体" w:hAnsi="宋体" w:cs="宋体"/>
          <w:b w:val="0"/>
          <w:color w:val="auto"/>
          <w:sz w:val="21"/>
          <w:szCs w:val="21"/>
          <w:highlight w:val="none"/>
        </w:rPr>
        <w:t>采购代理机构无义务向未中标的投标人解释未中标原因和退还投标文件。</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34.合同授予标准</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合同将授予被确定实质上响应招标文件要求，具备履行合同能力的中标人。</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35.履约保证金</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bookmarkStart w:id="123" w:name="_39.1中标人须于签订合同前按本须知前附表规定的金额转账或电汇到指定账"/>
      <w:bookmarkEnd w:id="123"/>
      <w:r>
        <w:rPr>
          <w:rFonts w:hint="eastAsia" w:ascii="宋体" w:hAnsi="宋体" w:cs="宋体"/>
          <w:b w:val="0"/>
          <w:color w:val="auto"/>
          <w:sz w:val="21"/>
          <w:szCs w:val="21"/>
          <w:highlight w:val="none"/>
        </w:rPr>
        <w:t xml:space="preserve"> 35.1 履约保证金的金额、提交方式、退付的时间和条件详见 “投标人须知前附表”。中标人未按规定提交履约保证金的，视为拒绝与采购人签订合同。</w:t>
      </w:r>
    </w:p>
    <w:p>
      <w:pPr>
        <w:pStyle w:val="7"/>
        <w:keepNext w:val="0"/>
        <w:keepLines w:val="0"/>
        <w:spacing w:before="0" w:after="0" w:line="400" w:lineRule="exact"/>
        <w:ind w:firstLine="316" w:firstLineChars="150"/>
        <w:rPr>
          <w:rFonts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b w:val="0"/>
          <w:color w:val="auto"/>
          <w:sz w:val="21"/>
          <w:szCs w:val="21"/>
          <w:highlight w:val="none"/>
        </w:rPr>
        <w:t>35.2在履约保证金退还日期前，若中标人的开户名称、开户银行、帐号有变动的，请以书面形式通知履约保证金收取单位，否则由此产生的后果由中标人自行承担。</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36.签订合同</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bookmarkStart w:id="124" w:name="_40.1投标人接到中标通知书后，按须知前附表规定向采购人出示相关资格证"/>
      <w:bookmarkEnd w:id="124"/>
      <w:r>
        <w:rPr>
          <w:rFonts w:hint="eastAsia" w:ascii="宋体" w:hAnsi="宋体" w:cs="宋体"/>
          <w:b w:val="0"/>
          <w:color w:val="auto"/>
          <w:sz w:val="21"/>
          <w:szCs w:val="21"/>
          <w:highlight w:val="none"/>
        </w:rPr>
        <w:t xml:space="preserve"> 36.1投标人领取中标通知书（书面或电子）后，按“投标人须知前附表”规定向采购人出示相关证明材料，经采购人核验合格后方可签订采购合同（书面或电子）。如中标人为联合体的，联合体各方应当共同与采购人签订采购合同，就采购合同约定的事项对采购人承担连带责任。</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36.2签订合同时间：按中标通知书规定的时间与采购人签订合同（最长不能超过25日）。</w:t>
      </w:r>
    </w:p>
    <w:p>
      <w:pPr>
        <w:pStyle w:val="7"/>
        <w:keepNext w:val="0"/>
        <w:keepLines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36.3中标人拒绝与采购人签订合同的，按照本须知正文第30.4条的规定执行。</w:t>
      </w:r>
    </w:p>
    <w:p>
      <w:pPr>
        <w:pStyle w:val="7"/>
        <w:keepNext w:val="0"/>
        <w:keepLines w:val="0"/>
        <w:spacing w:before="0" w:after="0" w:line="400" w:lineRule="exact"/>
        <w:ind w:left="420" w:leftChars="200"/>
        <w:rPr>
          <w:rFonts w:ascii="宋体" w:hAnsi="宋体" w:cs="宋体"/>
          <w:color w:val="auto"/>
          <w:sz w:val="21"/>
          <w:szCs w:val="21"/>
          <w:highlight w:val="none"/>
        </w:rPr>
      </w:pPr>
      <w:bookmarkStart w:id="125" w:name="_41.政府采购合同公告"/>
      <w:bookmarkEnd w:id="125"/>
      <w:r>
        <w:rPr>
          <w:rFonts w:hint="eastAsia" w:ascii="宋体" w:hAnsi="宋体" w:cs="宋体"/>
          <w:color w:val="auto"/>
          <w:sz w:val="21"/>
          <w:szCs w:val="21"/>
          <w:highlight w:val="none"/>
        </w:rPr>
        <w:t>37.政府采购合同公告</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采购人或者受托采购代理机构应当自政府采购合同签订之日起2个工作日内，将政府采购合同在省级以上人民政府财政部门指定的媒体上公告，但政府采购合同中涉及国家秘密、商业秘密的内容除外。</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38. 询问、质疑和投诉</w:t>
      </w:r>
    </w:p>
    <w:p>
      <w:pPr>
        <w:pStyle w:val="8"/>
        <w:spacing w:line="400" w:lineRule="exact"/>
        <w:rPr>
          <w:rFonts w:ascii="宋体" w:hAnsi="宋体" w:cs="宋体"/>
          <w:color w:val="auto"/>
          <w:szCs w:val="21"/>
          <w:highlight w:val="none"/>
        </w:rPr>
      </w:pPr>
      <w:r>
        <w:rPr>
          <w:rFonts w:hint="eastAsia" w:ascii="宋体" w:hAnsi="宋体" w:cs="宋体"/>
          <w:color w:val="auto"/>
          <w:szCs w:val="21"/>
          <w:highlight w:val="none"/>
        </w:rPr>
        <w:t>38.1供应商对政府采购活动事项有疑问的，可以向采购人提出询问，采购人或者采购代理机构应当在3个工作日内对供应商依法提出的询问作出答复，但答复的内容不得涉及商业秘密。</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 38.2供应商认为招标文件、采购过程或者中标结果使自己的合法权益受到损害的，必须在知道或者应知其权益受到损害之日起7个工作日内，以纸质书面形式向采购人、采购代理机构提出质疑。采购人、采购代理机构接收质疑函的方式、联系部门、联系电话和通讯地址等信息详见“投标人须知前附表”。具体质疑起算时间如下： </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（1）对可以质疑的招标文件提出质疑的，为收到招标文件之日或者招标文件公告期限届满之日；</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（2）对采购过程提出质疑的，为各采购程序环节结束之日；</w:t>
      </w:r>
    </w:p>
    <w:p>
      <w:pPr>
        <w:pStyle w:val="18"/>
        <w:snapToGrid w:val="0"/>
        <w:spacing w:line="400" w:lineRule="exact"/>
        <w:ind w:firstLine="420" w:firstLineChars="200"/>
        <w:rPr>
          <w:rFonts w:hAnsi="宋体" w:cs="宋体"/>
          <w:bCs/>
          <w:color w:val="auto"/>
          <w:szCs w:val="21"/>
          <w:highlight w:val="none"/>
        </w:rPr>
      </w:pPr>
      <w:r>
        <w:rPr>
          <w:rFonts w:hint="eastAsia" w:hAnsi="宋体" w:cs="宋体"/>
          <w:color w:val="auto"/>
          <w:szCs w:val="21"/>
          <w:highlight w:val="none"/>
        </w:rPr>
        <w:t>（3）对中标结果提出质疑的，为中标结果公告期限届满之日。</w:t>
      </w:r>
    </w:p>
    <w:p>
      <w:pPr>
        <w:pStyle w:val="7"/>
        <w:keepNext w:val="0"/>
        <w:keepLines w:val="0"/>
        <w:spacing w:before="0" w:after="0" w:line="400" w:lineRule="exact"/>
        <w:ind w:firstLine="315" w:firstLineChars="150"/>
        <w:rPr>
          <w:rFonts w:ascii="宋体" w:hAnsi="宋体" w:cs="宋体"/>
          <w:b w:val="0"/>
          <w:color w:val="auto"/>
          <w:sz w:val="21"/>
          <w:szCs w:val="21"/>
          <w:highlight w:val="none"/>
        </w:rPr>
      </w:pPr>
      <w:r>
        <w:rPr>
          <w:rFonts w:hint="eastAsia" w:ascii="宋体" w:hAnsi="宋体" w:cs="宋体"/>
          <w:b w:val="0"/>
          <w:color w:val="auto"/>
          <w:sz w:val="21"/>
          <w:szCs w:val="21"/>
          <w:highlight w:val="none"/>
        </w:rPr>
        <w:t xml:space="preserve">38.3 </w:t>
      </w:r>
      <w:r>
        <w:rPr>
          <w:rFonts w:hint="eastAsia" w:ascii="宋体" w:hAnsi="宋体" w:cs="宋体"/>
          <w:color w:val="auto"/>
          <w:sz w:val="21"/>
          <w:szCs w:val="21"/>
          <w:highlight w:val="none"/>
        </w:rPr>
        <w:t>供应商提出质疑应当提交质疑函和必要的证明材料，针对同一采购程序环节的质疑必须在法定质疑期内一次性提出。质疑函应当包括下列内容（质疑函格式后附）：</w:t>
      </w:r>
    </w:p>
    <w:p>
      <w:pPr>
        <w:pStyle w:val="18"/>
        <w:snapToGrid w:val="0"/>
        <w:spacing w:line="400" w:lineRule="exact"/>
        <w:ind w:firstLine="420" w:firstLineChars="200"/>
        <w:rPr>
          <w:rFonts w:hAnsi="宋体" w:cs="宋体"/>
          <w:bCs/>
          <w:color w:val="auto"/>
          <w:szCs w:val="21"/>
          <w:highlight w:val="none"/>
        </w:rPr>
      </w:pPr>
      <w:r>
        <w:rPr>
          <w:rFonts w:hint="eastAsia" w:hAnsi="宋体" w:cs="宋体"/>
          <w:bCs/>
          <w:color w:val="auto"/>
          <w:szCs w:val="21"/>
          <w:highlight w:val="none"/>
        </w:rPr>
        <w:t>（1）供应商的姓名或者名称、地址、邮编、联系人及联系电话；</w:t>
      </w:r>
    </w:p>
    <w:p>
      <w:pPr>
        <w:pStyle w:val="18"/>
        <w:snapToGrid w:val="0"/>
        <w:spacing w:line="400" w:lineRule="exact"/>
        <w:ind w:firstLine="420" w:firstLineChars="200"/>
        <w:rPr>
          <w:rFonts w:hAnsi="宋体" w:cs="宋体"/>
          <w:bCs/>
          <w:color w:val="auto"/>
          <w:szCs w:val="21"/>
          <w:highlight w:val="none"/>
        </w:rPr>
      </w:pPr>
      <w:r>
        <w:rPr>
          <w:rFonts w:hint="eastAsia" w:hAnsi="宋体" w:cs="宋体"/>
          <w:bCs/>
          <w:color w:val="auto"/>
          <w:szCs w:val="21"/>
          <w:highlight w:val="none"/>
        </w:rPr>
        <w:t>（2）质疑项目的名称、编号；</w:t>
      </w:r>
    </w:p>
    <w:p>
      <w:pPr>
        <w:pStyle w:val="18"/>
        <w:snapToGrid w:val="0"/>
        <w:spacing w:line="400" w:lineRule="exact"/>
        <w:ind w:firstLine="420" w:firstLineChars="200"/>
        <w:rPr>
          <w:rFonts w:hAnsi="宋体" w:cs="宋体"/>
          <w:bCs/>
          <w:color w:val="auto"/>
          <w:szCs w:val="21"/>
          <w:highlight w:val="none"/>
        </w:rPr>
      </w:pPr>
      <w:r>
        <w:rPr>
          <w:rFonts w:hint="eastAsia" w:hAnsi="宋体" w:cs="宋体"/>
          <w:bCs/>
          <w:color w:val="auto"/>
          <w:szCs w:val="21"/>
          <w:highlight w:val="none"/>
        </w:rPr>
        <w:t>（3）具体、明确的质疑事项和与质疑事项相关的请求；</w:t>
      </w:r>
    </w:p>
    <w:p>
      <w:pPr>
        <w:pStyle w:val="18"/>
        <w:snapToGrid w:val="0"/>
        <w:spacing w:line="400" w:lineRule="exact"/>
        <w:ind w:firstLine="420" w:firstLineChars="200"/>
        <w:rPr>
          <w:rFonts w:hAnsi="宋体" w:cs="宋体"/>
          <w:bCs/>
          <w:color w:val="auto"/>
          <w:szCs w:val="21"/>
          <w:highlight w:val="none"/>
        </w:rPr>
      </w:pPr>
      <w:r>
        <w:rPr>
          <w:rFonts w:hint="eastAsia" w:hAnsi="宋体" w:cs="宋体"/>
          <w:bCs/>
          <w:color w:val="auto"/>
          <w:szCs w:val="21"/>
          <w:highlight w:val="none"/>
        </w:rPr>
        <w:t>（4）事实依据；</w:t>
      </w:r>
    </w:p>
    <w:p>
      <w:pPr>
        <w:pStyle w:val="18"/>
        <w:snapToGrid w:val="0"/>
        <w:spacing w:line="400" w:lineRule="exact"/>
        <w:ind w:firstLine="420" w:firstLineChars="200"/>
        <w:rPr>
          <w:rFonts w:hAnsi="宋体" w:cs="宋体"/>
          <w:bCs/>
          <w:color w:val="auto"/>
          <w:szCs w:val="21"/>
          <w:highlight w:val="none"/>
        </w:rPr>
      </w:pPr>
      <w:r>
        <w:rPr>
          <w:rFonts w:hint="eastAsia" w:hAnsi="宋体" w:cs="宋体"/>
          <w:bCs/>
          <w:color w:val="auto"/>
          <w:szCs w:val="21"/>
          <w:highlight w:val="none"/>
        </w:rPr>
        <w:t>（5）必要的法律依据；</w:t>
      </w:r>
    </w:p>
    <w:p>
      <w:pPr>
        <w:pStyle w:val="18"/>
        <w:snapToGrid w:val="0"/>
        <w:spacing w:line="400" w:lineRule="exact"/>
        <w:ind w:firstLine="420" w:firstLineChars="200"/>
        <w:rPr>
          <w:rFonts w:hAnsi="宋体" w:cs="宋体"/>
          <w:bCs/>
          <w:color w:val="auto"/>
          <w:szCs w:val="21"/>
          <w:highlight w:val="none"/>
        </w:rPr>
      </w:pPr>
      <w:r>
        <w:rPr>
          <w:rFonts w:hint="eastAsia" w:hAnsi="宋体" w:cs="宋体"/>
          <w:bCs/>
          <w:color w:val="auto"/>
          <w:szCs w:val="21"/>
          <w:highlight w:val="none"/>
        </w:rPr>
        <w:t>（6）提出质疑的日期。</w:t>
      </w:r>
    </w:p>
    <w:p>
      <w:pPr>
        <w:pStyle w:val="18"/>
        <w:snapToGrid w:val="0"/>
        <w:spacing w:line="400" w:lineRule="exact"/>
        <w:ind w:firstLine="420" w:firstLineChars="200"/>
        <w:rPr>
          <w:rFonts w:hAnsi="宋体" w:cs="宋体"/>
          <w:bCs/>
          <w:color w:val="auto"/>
          <w:szCs w:val="21"/>
          <w:highlight w:val="none"/>
        </w:rPr>
      </w:pPr>
      <w:r>
        <w:rPr>
          <w:rFonts w:hint="eastAsia" w:hAnsi="宋体" w:cs="宋体"/>
          <w:bCs/>
          <w:color w:val="auto"/>
          <w:szCs w:val="21"/>
          <w:highlight w:val="none"/>
        </w:rPr>
        <w:t>供应商为自然人的，应当由本人签字；供应商为法人或者其他组织的，应当由法定代表人、主要负责人，或者其委托代理人签字或者盖章，并加盖公章。</w:t>
      </w:r>
    </w:p>
    <w:p>
      <w:pPr>
        <w:pStyle w:val="7"/>
        <w:keepNext w:val="0"/>
        <w:keepLines w:val="0"/>
        <w:snapToGrid w:val="0"/>
        <w:spacing w:before="0" w:after="0" w:line="400" w:lineRule="exact"/>
        <w:ind w:firstLine="420" w:firstLineChars="200"/>
        <w:rPr>
          <w:rFonts w:ascii="宋体" w:hAnsi="宋体" w:cs="宋体"/>
          <w:b w:val="0"/>
          <w:color w:val="auto"/>
          <w:sz w:val="21"/>
          <w:szCs w:val="21"/>
          <w:highlight w:val="none"/>
        </w:rPr>
      </w:pPr>
      <w:r>
        <w:rPr>
          <w:rFonts w:hint="eastAsia" w:ascii="宋体" w:hAnsi="宋体" w:cs="宋体"/>
          <w:b w:val="0"/>
          <w:color w:val="auto"/>
          <w:sz w:val="21"/>
          <w:szCs w:val="21"/>
          <w:highlight w:val="none"/>
        </w:rPr>
        <w:t>38.4采购人、采购代理机构认为供应商质疑不成立，或者成立但未对中标结果构成影响的，继续开展采购活动；认为供应商质疑成立且影响或者可能影响中标结果的，按照下列情况处理：</w:t>
      </w:r>
    </w:p>
    <w:p>
      <w:pPr>
        <w:pStyle w:val="18"/>
        <w:snapToGrid w:val="0"/>
        <w:spacing w:line="400" w:lineRule="exact"/>
        <w:rPr>
          <w:rFonts w:hAnsi="宋体" w:cs="宋体"/>
          <w:bCs/>
          <w:color w:val="auto"/>
          <w:szCs w:val="21"/>
          <w:highlight w:val="none"/>
        </w:rPr>
      </w:pPr>
      <w:r>
        <w:rPr>
          <w:rFonts w:hint="eastAsia" w:hAnsi="宋体" w:cs="宋体"/>
          <w:bCs/>
          <w:color w:val="auto"/>
          <w:szCs w:val="21"/>
          <w:highlight w:val="none"/>
        </w:rPr>
        <w:t>　　（1）对招标文件提出的质疑，依法通过澄清或者修改可以继续开展采购活动的，澄清或者修改招标文件后继续开展采购活动；否则应当修改招标文件后重新开展采购活动。</w:t>
      </w:r>
    </w:p>
    <w:p>
      <w:pPr>
        <w:pStyle w:val="18"/>
        <w:snapToGrid w:val="0"/>
        <w:spacing w:line="400" w:lineRule="exact"/>
        <w:rPr>
          <w:rFonts w:hAnsi="宋体" w:cs="宋体"/>
          <w:bCs/>
          <w:color w:val="auto"/>
          <w:szCs w:val="21"/>
          <w:highlight w:val="none"/>
        </w:rPr>
      </w:pPr>
      <w:r>
        <w:rPr>
          <w:rFonts w:hint="eastAsia" w:hAnsi="宋体" w:cs="宋体"/>
          <w:bCs/>
          <w:color w:val="auto"/>
          <w:szCs w:val="21"/>
          <w:highlight w:val="none"/>
        </w:rPr>
        <w:t>　　（2）对采购过程、中标结果提出的质疑，合格供应商符合法定数量时，可以从合格的中标候选人中另行确定中标供应商的，应当依法另行确定中标供应商；否则应当重新开展采购活动。</w:t>
      </w:r>
    </w:p>
    <w:p>
      <w:pPr>
        <w:pStyle w:val="18"/>
        <w:snapToGrid w:val="0"/>
        <w:spacing w:line="400" w:lineRule="exact"/>
        <w:ind w:firstLine="420"/>
        <w:rPr>
          <w:rFonts w:hAnsi="宋体" w:cs="宋体"/>
          <w:bCs/>
          <w:color w:val="auto"/>
          <w:szCs w:val="21"/>
          <w:highlight w:val="none"/>
        </w:rPr>
      </w:pPr>
      <w:r>
        <w:rPr>
          <w:rFonts w:hint="eastAsia" w:hAnsi="宋体" w:cs="宋体"/>
          <w:bCs/>
          <w:color w:val="auto"/>
          <w:szCs w:val="21"/>
          <w:highlight w:val="none"/>
        </w:rPr>
        <w:t>质疑答复导致中标结果改变的，采购人或者采购代理机构应当将有关情况书面报告本级财政部门。</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38.5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bookmarkStart w:id="126" w:name="_八、其他事项"/>
      <w:bookmarkEnd w:id="126"/>
    </w:p>
    <w:p>
      <w:pPr>
        <w:pStyle w:val="5"/>
        <w:keepNext w:val="0"/>
        <w:keepLines w:val="0"/>
        <w:spacing w:line="400" w:lineRule="exact"/>
        <w:ind w:firstLine="422"/>
        <w:jc w:val="center"/>
        <w:rPr>
          <w:rFonts w:ascii="宋体" w:hAnsi="宋体" w:cs="宋体"/>
          <w:color w:val="auto"/>
          <w:sz w:val="21"/>
          <w:szCs w:val="21"/>
          <w:highlight w:val="none"/>
        </w:rPr>
      </w:pPr>
      <w:r>
        <w:rPr>
          <w:rFonts w:hint="eastAsia" w:ascii="宋体" w:hAnsi="宋体" w:cs="宋体"/>
          <w:color w:val="auto"/>
          <w:sz w:val="21"/>
          <w:szCs w:val="21"/>
          <w:highlight w:val="none"/>
        </w:rPr>
        <w:t>八、其他事项</w:t>
      </w:r>
    </w:p>
    <w:p>
      <w:pPr>
        <w:pStyle w:val="7"/>
        <w:keepNext w:val="0"/>
        <w:keepLines w:val="0"/>
        <w:spacing w:before="0" w:after="0" w:line="400" w:lineRule="exact"/>
        <w:ind w:left="420" w:leftChars="200"/>
        <w:rPr>
          <w:rFonts w:ascii="宋体" w:hAnsi="宋体" w:cs="宋体"/>
          <w:color w:val="auto"/>
          <w:sz w:val="21"/>
          <w:szCs w:val="21"/>
          <w:highlight w:val="none"/>
        </w:rPr>
      </w:pPr>
      <w:bookmarkStart w:id="127" w:name="_42.代理服务费"/>
      <w:bookmarkEnd w:id="127"/>
      <w:r>
        <w:rPr>
          <w:rFonts w:hint="eastAsia" w:ascii="宋体" w:hAnsi="宋体" w:cs="宋体"/>
          <w:color w:val="auto"/>
          <w:sz w:val="21"/>
          <w:szCs w:val="21"/>
          <w:highlight w:val="none"/>
        </w:rPr>
        <w:t>39.代理服务费</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39.1代理服务收取标准及缴费账户详见“投标人须知前附表”，投标人为联合体的，可以由联合体中的一方或者多方共同交纳代理服务费。</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39.2代理服务收费标准：</w:t>
      </w:r>
    </w:p>
    <w:tbl>
      <w:tblPr>
        <w:tblStyle w:val="3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费率</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中标金额</w:t>
            </w:r>
          </w:p>
        </w:tc>
        <w:tc>
          <w:tcPr>
            <w:tcW w:w="1659" w:type="dxa"/>
            <w:vAlign w:val="center"/>
          </w:tcPr>
          <w:p>
            <w:pPr>
              <w:spacing w:line="400" w:lineRule="exact"/>
              <w:ind w:firstLine="105" w:firstLineChars="50"/>
              <w:jc w:val="center"/>
              <w:rPr>
                <w:rFonts w:ascii="宋体" w:hAnsi="宋体" w:cs="宋体"/>
                <w:color w:val="auto"/>
                <w:szCs w:val="21"/>
                <w:highlight w:val="none"/>
              </w:rPr>
            </w:pPr>
            <w:r>
              <w:rPr>
                <w:rFonts w:hint="eastAsia" w:ascii="宋体" w:hAnsi="宋体" w:cs="宋体"/>
                <w:color w:val="auto"/>
                <w:szCs w:val="21"/>
                <w:highlight w:val="none"/>
              </w:rPr>
              <w:t>货物招标</w:t>
            </w:r>
          </w:p>
        </w:tc>
        <w:tc>
          <w:tcPr>
            <w:tcW w:w="1687"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服务招标</w:t>
            </w:r>
          </w:p>
        </w:tc>
        <w:tc>
          <w:tcPr>
            <w:tcW w:w="1659" w:type="dxa"/>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100万元以下</w:t>
            </w:r>
          </w:p>
        </w:tc>
        <w:tc>
          <w:tcPr>
            <w:tcW w:w="1659" w:type="dxa"/>
          </w:tcPr>
          <w:p>
            <w:pPr>
              <w:spacing w:line="400" w:lineRule="exact"/>
              <w:rPr>
                <w:rFonts w:ascii="宋体" w:hAnsi="宋体" w:cs="宋体"/>
                <w:color w:val="auto"/>
                <w:szCs w:val="21"/>
                <w:highlight w:val="none"/>
              </w:rPr>
            </w:pPr>
            <w:r>
              <w:rPr>
                <w:rFonts w:hint="eastAsia" w:ascii="宋体" w:hAnsi="宋体" w:cs="宋体"/>
                <w:color w:val="auto"/>
                <w:kern w:val="0"/>
                <w:szCs w:val="21"/>
                <w:highlight w:val="none"/>
              </w:rPr>
              <w:t xml:space="preserve">  1.5%                </w:t>
            </w:r>
          </w:p>
        </w:tc>
        <w:tc>
          <w:tcPr>
            <w:tcW w:w="1687"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1.5%</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100～500万元</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1.1%                 </w:t>
            </w:r>
          </w:p>
        </w:tc>
        <w:tc>
          <w:tcPr>
            <w:tcW w:w="1687"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0.8%</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500～1000万元</w:t>
            </w:r>
          </w:p>
        </w:tc>
        <w:tc>
          <w:tcPr>
            <w:tcW w:w="1659" w:type="dxa"/>
          </w:tcPr>
          <w:p>
            <w:pPr>
              <w:spacing w:line="400" w:lineRule="exact"/>
              <w:rPr>
                <w:rFonts w:ascii="宋体" w:hAnsi="宋体" w:cs="宋体"/>
                <w:color w:val="auto"/>
                <w:szCs w:val="21"/>
                <w:highlight w:val="none"/>
              </w:rPr>
            </w:pPr>
            <w:r>
              <w:rPr>
                <w:rFonts w:hint="eastAsia" w:ascii="宋体" w:hAnsi="宋体" w:cs="宋体"/>
                <w:color w:val="auto"/>
                <w:kern w:val="0"/>
                <w:szCs w:val="21"/>
                <w:highlight w:val="none"/>
              </w:rPr>
              <w:t xml:space="preserve">  0.8%                </w:t>
            </w:r>
          </w:p>
        </w:tc>
        <w:tc>
          <w:tcPr>
            <w:tcW w:w="1687"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0.45%</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1000～5000万元</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0.5%                </w:t>
            </w:r>
          </w:p>
        </w:tc>
        <w:tc>
          <w:tcPr>
            <w:tcW w:w="1687"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0.25%</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5000万元～1亿元</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 xml:space="preserve">0.25%                 </w:t>
            </w:r>
          </w:p>
        </w:tc>
        <w:tc>
          <w:tcPr>
            <w:tcW w:w="1687"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0.1%</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1～5亿元</w:t>
            </w:r>
          </w:p>
        </w:tc>
        <w:tc>
          <w:tcPr>
            <w:tcW w:w="1659"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0.05%</w:t>
            </w:r>
          </w:p>
        </w:tc>
        <w:tc>
          <w:tcPr>
            <w:tcW w:w="1687"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0.05%</w:t>
            </w:r>
          </w:p>
        </w:tc>
        <w:tc>
          <w:tcPr>
            <w:tcW w:w="1659"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5～10亿元</w:t>
            </w:r>
          </w:p>
        </w:tc>
        <w:tc>
          <w:tcPr>
            <w:tcW w:w="1659" w:type="dxa"/>
          </w:tcPr>
          <w:p>
            <w:pPr>
              <w:spacing w:line="400" w:lineRule="exact"/>
              <w:ind w:firstLine="105" w:firstLineChars="50"/>
              <w:rPr>
                <w:rFonts w:ascii="宋体" w:hAnsi="宋体" w:cs="宋体"/>
                <w:color w:val="auto"/>
                <w:szCs w:val="21"/>
                <w:highlight w:val="none"/>
              </w:rPr>
            </w:pPr>
            <w:r>
              <w:rPr>
                <w:rFonts w:hint="eastAsia" w:ascii="宋体" w:hAnsi="宋体" w:cs="宋体"/>
                <w:color w:val="auto"/>
                <w:szCs w:val="21"/>
                <w:highlight w:val="none"/>
              </w:rPr>
              <w:t>0.035%</w:t>
            </w:r>
          </w:p>
        </w:tc>
        <w:tc>
          <w:tcPr>
            <w:tcW w:w="1687"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0.035%</w:t>
            </w:r>
          </w:p>
        </w:tc>
        <w:tc>
          <w:tcPr>
            <w:tcW w:w="1659" w:type="dxa"/>
          </w:tcPr>
          <w:p>
            <w:pPr>
              <w:spacing w:line="400" w:lineRule="exact"/>
              <w:ind w:firstLine="105" w:firstLineChars="50"/>
              <w:rPr>
                <w:rFonts w:ascii="宋体" w:hAnsi="宋体" w:cs="宋体"/>
                <w:color w:val="auto"/>
                <w:szCs w:val="21"/>
                <w:highlight w:val="none"/>
              </w:rPr>
            </w:pPr>
            <w:r>
              <w:rPr>
                <w:rFonts w:hint="eastAsia" w:ascii="宋体" w:hAnsi="宋体" w:cs="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10～50亿元</w:t>
            </w:r>
          </w:p>
        </w:tc>
        <w:tc>
          <w:tcPr>
            <w:tcW w:w="1659" w:type="dxa"/>
          </w:tcPr>
          <w:p>
            <w:pPr>
              <w:spacing w:line="400" w:lineRule="exact"/>
              <w:ind w:firstLine="105" w:firstLineChars="50"/>
              <w:rPr>
                <w:rFonts w:ascii="宋体" w:hAnsi="宋体" w:cs="宋体"/>
                <w:color w:val="auto"/>
                <w:szCs w:val="21"/>
                <w:highlight w:val="none"/>
              </w:rPr>
            </w:pPr>
            <w:r>
              <w:rPr>
                <w:rFonts w:hint="eastAsia" w:ascii="宋体" w:hAnsi="宋体" w:cs="宋体"/>
                <w:color w:val="auto"/>
                <w:szCs w:val="21"/>
                <w:highlight w:val="none"/>
              </w:rPr>
              <w:t>0.008%</w:t>
            </w:r>
          </w:p>
        </w:tc>
        <w:tc>
          <w:tcPr>
            <w:tcW w:w="1687"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0.008%</w:t>
            </w:r>
          </w:p>
        </w:tc>
        <w:tc>
          <w:tcPr>
            <w:tcW w:w="1659" w:type="dxa"/>
          </w:tcPr>
          <w:p>
            <w:pPr>
              <w:spacing w:line="400" w:lineRule="exact"/>
              <w:ind w:firstLine="105" w:firstLineChars="50"/>
              <w:rPr>
                <w:rFonts w:ascii="宋体" w:hAnsi="宋体" w:cs="宋体"/>
                <w:color w:val="auto"/>
                <w:szCs w:val="21"/>
                <w:highlight w:val="none"/>
              </w:rPr>
            </w:pPr>
            <w:r>
              <w:rPr>
                <w:rFonts w:hint="eastAsia" w:ascii="宋体" w:hAnsi="宋体" w:cs="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50～100亿元</w:t>
            </w:r>
          </w:p>
        </w:tc>
        <w:tc>
          <w:tcPr>
            <w:tcW w:w="1659"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0.006%</w:t>
            </w:r>
          </w:p>
        </w:tc>
        <w:tc>
          <w:tcPr>
            <w:tcW w:w="1687"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0.006%</w:t>
            </w:r>
          </w:p>
        </w:tc>
        <w:tc>
          <w:tcPr>
            <w:tcW w:w="1659" w:type="dxa"/>
          </w:tcPr>
          <w:p>
            <w:pPr>
              <w:spacing w:line="400" w:lineRule="exact"/>
              <w:ind w:firstLine="105" w:firstLineChars="50"/>
              <w:rPr>
                <w:rFonts w:ascii="宋体" w:hAnsi="宋体" w:cs="宋体"/>
                <w:color w:val="auto"/>
                <w:szCs w:val="21"/>
                <w:highlight w:val="none"/>
              </w:rPr>
            </w:pPr>
            <w:r>
              <w:rPr>
                <w:rFonts w:hint="eastAsia" w:ascii="宋体" w:hAnsi="宋体" w:cs="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100亿以上</w:t>
            </w:r>
          </w:p>
        </w:tc>
        <w:tc>
          <w:tcPr>
            <w:tcW w:w="1659" w:type="dxa"/>
          </w:tcPr>
          <w:p>
            <w:pPr>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 0.004%</w:t>
            </w:r>
          </w:p>
        </w:tc>
        <w:tc>
          <w:tcPr>
            <w:tcW w:w="1687" w:type="dxa"/>
          </w:tcPr>
          <w:p>
            <w:pPr>
              <w:spacing w:line="40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0.004%</w:t>
            </w:r>
          </w:p>
        </w:tc>
        <w:tc>
          <w:tcPr>
            <w:tcW w:w="1659" w:type="dxa"/>
          </w:tcPr>
          <w:p>
            <w:pPr>
              <w:spacing w:line="400" w:lineRule="exact"/>
              <w:ind w:firstLine="105" w:firstLineChars="50"/>
              <w:rPr>
                <w:rFonts w:ascii="宋体" w:hAnsi="宋体" w:cs="宋体"/>
                <w:color w:val="auto"/>
                <w:szCs w:val="21"/>
                <w:highlight w:val="none"/>
              </w:rPr>
            </w:pPr>
            <w:r>
              <w:rPr>
                <w:rFonts w:hint="eastAsia" w:ascii="宋体" w:hAnsi="宋体" w:cs="宋体"/>
                <w:color w:val="auto"/>
                <w:szCs w:val="21"/>
                <w:highlight w:val="none"/>
              </w:rPr>
              <w:t>0.004%</w:t>
            </w:r>
          </w:p>
        </w:tc>
      </w:tr>
    </w:tbl>
    <w:p>
      <w:pPr>
        <w:spacing w:line="400" w:lineRule="exact"/>
        <w:ind w:firstLine="420" w:firstLineChars="200"/>
        <w:rPr>
          <w:rFonts w:ascii="宋体" w:hAnsi="宋体" w:cs="宋体"/>
          <w:color w:val="auto"/>
          <w:szCs w:val="21"/>
          <w:highlight w:val="none"/>
        </w:rPr>
      </w:pP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注: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（1）按本表费率计算的收费为采购代理的收费基准价格；</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（2）采购代理收费按差额定率累进法计算。</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例如：某服务采购代理业务中标金额或者暂定价为200万元，计算采购代理收费额如下：</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100 万元×l.5 %＝ 1.5 万元</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200 － 100 ）万元 ×0.8%＝0.8万元</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合计收费＝ 1.5+0.8＝ 2.3（万元）</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32.9 代理服务费交纳银行帐号信息</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账户名称：广西建设工程机电设备招标中心有限公司</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 xml:space="preserve">开户银行：招商银行南宁分行营业部 </w:t>
      </w:r>
    </w:p>
    <w:p>
      <w:pPr>
        <w:pStyle w:val="18"/>
        <w:snapToGrid w:val="0"/>
        <w:spacing w:line="400" w:lineRule="exact"/>
        <w:ind w:firstLine="420" w:firstLineChars="200"/>
        <w:rPr>
          <w:rFonts w:hAnsi="宋体" w:cs="宋体"/>
          <w:color w:val="auto"/>
          <w:szCs w:val="21"/>
          <w:highlight w:val="none"/>
        </w:rPr>
      </w:pPr>
      <w:r>
        <w:rPr>
          <w:rFonts w:hint="eastAsia" w:hAnsi="宋体" w:cs="宋体"/>
          <w:color w:val="auto"/>
          <w:szCs w:val="21"/>
          <w:highlight w:val="none"/>
        </w:rPr>
        <w:t>银行账号： 771901423310201</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开户行行号：308611000032</w:t>
      </w:r>
    </w:p>
    <w:p>
      <w:pPr>
        <w:pStyle w:val="7"/>
        <w:keepNext w:val="0"/>
        <w:keepLines w:val="0"/>
        <w:spacing w:before="0" w:after="0" w:line="400" w:lineRule="exact"/>
        <w:ind w:left="420" w:leftChars="200"/>
        <w:rPr>
          <w:rFonts w:ascii="宋体" w:hAnsi="宋体" w:cs="宋体"/>
          <w:color w:val="auto"/>
          <w:sz w:val="21"/>
          <w:szCs w:val="21"/>
          <w:highlight w:val="none"/>
        </w:rPr>
      </w:pPr>
      <w:r>
        <w:rPr>
          <w:rFonts w:hint="eastAsia" w:ascii="宋体" w:hAnsi="宋体" w:cs="宋体"/>
          <w:color w:val="auto"/>
          <w:sz w:val="21"/>
          <w:szCs w:val="21"/>
          <w:highlight w:val="none"/>
        </w:rPr>
        <w:t>40. 需要补充的其他内容</w:t>
      </w:r>
    </w:p>
    <w:p>
      <w:pPr>
        <w:pStyle w:val="18"/>
        <w:spacing w:line="400" w:lineRule="exact"/>
        <w:ind w:firstLine="420" w:firstLineChars="200"/>
        <w:contextualSpacing/>
        <w:rPr>
          <w:rFonts w:hAnsi="宋体" w:cs="宋体"/>
          <w:color w:val="auto"/>
          <w:szCs w:val="21"/>
          <w:highlight w:val="none"/>
        </w:rPr>
      </w:pPr>
      <w:r>
        <w:rPr>
          <w:rFonts w:hint="eastAsia" w:hAnsi="宋体" w:cs="宋体"/>
          <w:color w:val="auto"/>
          <w:szCs w:val="21"/>
          <w:highlight w:val="none"/>
        </w:rPr>
        <w:t>40.1本招标文件解释规则详见“投标人须知前附表”。</w:t>
      </w:r>
    </w:p>
    <w:p>
      <w:pPr>
        <w:pStyle w:val="18"/>
        <w:spacing w:line="400" w:lineRule="exact"/>
        <w:ind w:firstLine="420" w:firstLineChars="200"/>
        <w:contextualSpacing/>
        <w:rPr>
          <w:rFonts w:hAnsi="宋体" w:cs="宋体"/>
          <w:color w:val="auto"/>
          <w:szCs w:val="21"/>
          <w:highlight w:val="none"/>
        </w:rPr>
      </w:pPr>
      <w:r>
        <w:rPr>
          <w:rFonts w:hint="eastAsia" w:hAnsi="宋体" w:cs="宋体"/>
          <w:color w:val="auto"/>
          <w:szCs w:val="21"/>
          <w:highlight w:val="none"/>
        </w:rPr>
        <w:t>40.2 其他事项详见“投标人须知前附表”。</w:t>
      </w:r>
    </w:p>
    <w:p>
      <w:pPr>
        <w:pStyle w:val="18"/>
        <w:spacing w:line="400" w:lineRule="exact"/>
        <w:ind w:firstLine="420" w:firstLineChars="200"/>
        <w:contextualSpacing/>
        <w:rPr>
          <w:rFonts w:hAnsi="宋体" w:cs="宋体"/>
          <w:color w:val="auto"/>
          <w:szCs w:val="21"/>
          <w:highlight w:val="none"/>
        </w:rPr>
      </w:pPr>
      <w:r>
        <w:rPr>
          <w:rFonts w:hint="eastAsia" w:hAnsi="宋体" w:cs="宋体"/>
          <w:color w:val="auto"/>
          <w:szCs w:val="21"/>
          <w:highlight w:val="none"/>
        </w:rPr>
        <w:t>40.3</w:t>
      </w:r>
      <w:bookmarkStart w:id="128" w:name="_Hlk65857140"/>
      <w:r>
        <w:rPr>
          <w:rFonts w:hint="eastAsia" w:hAnsi="宋体" w:cs="宋体"/>
          <w:color w:val="auto"/>
          <w:szCs w:val="21"/>
          <w:highlight w:val="none"/>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18"/>
        <w:spacing w:line="400" w:lineRule="exact"/>
        <w:ind w:firstLine="420" w:firstLineChars="200"/>
        <w:contextualSpacing/>
        <w:rPr>
          <w:rFonts w:hAnsi="宋体" w:cs="宋体"/>
          <w:color w:val="auto"/>
          <w:szCs w:val="21"/>
          <w:highlight w:val="none"/>
        </w:rPr>
      </w:pPr>
      <w:r>
        <w:rPr>
          <w:rFonts w:hint="eastAsia" w:hAnsi="宋体" w:cs="宋体"/>
          <w:color w:val="auto"/>
          <w:szCs w:val="21"/>
          <w:highlight w:val="none"/>
        </w:rPr>
        <w:t>（1）在货物采购项目中，货物由中小企业制造，即货物由中小企业生产且使用该中小企业商号或者注册商标，不对其中涉及的工程承建商和服务的承接商作出要求；</w:t>
      </w:r>
    </w:p>
    <w:p>
      <w:pPr>
        <w:pStyle w:val="18"/>
        <w:spacing w:line="400" w:lineRule="exact"/>
        <w:ind w:firstLine="420" w:firstLineChars="200"/>
        <w:contextualSpacing/>
        <w:rPr>
          <w:rFonts w:hAnsi="宋体" w:cs="宋体"/>
          <w:color w:val="auto"/>
          <w:szCs w:val="21"/>
          <w:highlight w:val="none"/>
        </w:rPr>
      </w:pPr>
      <w:r>
        <w:rPr>
          <w:rFonts w:hint="eastAsia" w:hAnsi="宋体" w:cs="宋体"/>
          <w:color w:val="auto"/>
          <w:szCs w:val="21"/>
          <w:highlight w:val="none"/>
        </w:rPr>
        <w:t>（2）在工程采购项目中，工程由中小企业承建，即工程施工单位为中小企业，不对其中涉及的货物的制造商和服务的承接商作出要求；</w:t>
      </w:r>
    </w:p>
    <w:p>
      <w:pPr>
        <w:pStyle w:val="18"/>
        <w:spacing w:line="400" w:lineRule="exact"/>
        <w:ind w:firstLine="420" w:firstLineChars="200"/>
        <w:contextualSpacing/>
        <w:rPr>
          <w:rFonts w:hAnsi="宋体" w:cs="宋体"/>
          <w:color w:val="auto"/>
          <w:szCs w:val="21"/>
          <w:highlight w:val="none"/>
        </w:rPr>
      </w:pPr>
      <w:r>
        <w:rPr>
          <w:rFonts w:hint="eastAsia" w:hAnsi="宋体" w:cs="宋体"/>
          <w:color w:val="auto"/>
          <w:szCs w:val="21"/>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18"/>
        <w:spacing w:line="400" w:lineRule="exact"/>
        <w:ind w:firstLine="420" w:firstLineChars="200"/>
        <w:contextualSpacing/>
        <w:rPr>
          <w:rFonts w:hAnsi="宋体" w:cs="宋体"/>
          <w:color w:val="auto"/>
          <w:szCs w:val="21"/>
          <w:highlight w:val="none"/>
        </w:rPr>
      </w:pPr>
      <w:r>
        <w:rPr>
          <w:rFonts w:hint="eastAsia" w:hAnsi="宋体" w:cs="宋体"/>
          <w:color w:val="auto"/>
          <w:szCs w:val="21"/>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18"/>
        <w:spacing w:line="400" w:lineRule="exact"/>
        <w:ind w:firstLine="420" w:firstLineChars="200"/>
        <w:contextualSpacing/>
        <w:rPr>
          <w:rFonts w:hAnsi="宋体" w:cs="宋体"/>
          <w:color w:val="auto"/>
          <w:highlight w:val="none"/>
        </w:rPr>
      </w:pPr>
      <w:r>
        <w:rPr>
          <w:rFonts w:hint="eastAsia" w:hAnsi="宋体" w:cs="宋体"/>
          <w:color w:val="auto"/>
          <w:szCs w:val="21"/>
          <w:highlight w:val="none"/>
        </w:rPr>
        <w:t>依据本招标文件规定享受扶持政策获得政府采购合同的，小微企业不得将合同分包给大中型企业，中型企业不得将合同分包给大型企业。</w:t>
      </w:r>
      <w:bookmarkEnd w:id="128"/>
    </w:p>
    <w:p>
      <w:pPr>
        <w:spacing w:line="360" w:lineRule="auto"/>
        <w:ind w:firstLine="420" w:firstLineChars="200"/>
        <w:jc w:val="left"/>
        <w:rPr>
          <w:rFonts w:hAnsi="宋体"/>
          <w:color w:val="auto"/>
          <w:highlight w:val="none"/>
        </w:rPr>
      </w:pPr>
      <w:r>
        <w:rPr>
          <w:rFonts w:hint="eastAsia" w:hAnsi="宋体"/>
          <w:color w:val="auto"/>
          <w:highlight w:val="none"/>
        </w:rPr>
        <w:br w:type="page"/>
      </w:r>
      <w:bookmarkStart w:id="129" w:name="_Toc532545043"/>
    </w:p>
    <w:p>
      <w:pPr>
        <w:pStyle w:val="18"/>
        <w:jc w:val="center"/>
        <w:outlineLvl w:val="0"/>
        <w:rPr>
          <w:rFonts w:ascii="Times New Roman" w:hAnsi="Times New Roman"/>
          <w:b/>
          <w:color w:val="auto"/>
          <w:sz w:val="36"/>
          <w:highlight w:val="none"/>
        </w:rPr>
      </w:pPr>
      <w:bookmarkStart w:id="130" w:name="_Toc80093003"/>
      <w:r>
        <w:rPr>
          <w:rFonts w:hint="eastAsia" w:ascii="Times New Roman" w:hAnsi="Times New Roman"/>
          <w:b/>
          <w:color w:val="auto"/>
          <w:sz w:val="36"/>
          <w:highlight w:val="none"/>
        </w:rPr>
        <w:t>第四章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评标方法</w:t>
      </w:r>
      <w:bookmarkEnd w:id="129"/>
      <w:r>
        <w:rPr>
          <w:rFonts w:hint="eastAsia" w:ascii="Times New Roman" w:hAnsi="Times New Roman"/>
          <w:b/>
          <w:color w:val="auto"/>
          <w:sz w:val="36"/>
          <w:highlight w:val="none"/>
        </w:rPr>
        <w:t>及评分标准</w:t>
      </w:r>
      <w:bookmarkEnd w:id="130"/>
    </w:p>
    <w:p>
      <w:pPr>
        <w:pStyle w:val="18"/>
        <w:jc w:val="center"/>
        <w:outlineLvl w:val="1"/>
        <w:rPr>
          <w:rFonts w:ascii="Times New Roman" w:hAnsi="Times New Roman"/>
          <w:b/>
          <w:bCs/>
          <w:color w:val="auto"/>
          <w:sz w:val="32"/>
          <w:szCs w:val="32"/>
          <w:highlight w:val="none"/>
        </w:rPr>
      </w:pPr>
      <w:bookmarkStart w:id="131" w:name="_Toc80093004"/>
      <w:r>
        <w:rPr>
          <w:rFonts w:hint="eastAsia" w:ascii="Times New Roman" w:hAnsi="Times New Roman"/>
          <w:b/>
          <w:bCs/>
          <w:color w:val="auto"/>
          <w:sz w:val="32"/>
          <w:szCs w:val="32"/>
          <w:highlight w:val="none"/>
        </w:rPr>
        <w:t>第一节 评标方法</w:t>
      </w:r>
      <w:bookmarkEnd w:id="131"/>
    </w:p>
    <w:p>
      <w:pPr>
        <w:pStyle w:val="18"/>
        <w:tabs>
          <w:tab w:val="left" w:pos="2472"/>
        </w:tabs>
        <w:spacing w:line="460" w:lineRule="exact"/>
        <w:ind w:firstLine="420" w:firstLineChars="200"/>
        <w:rPr>
          <w:color w:val="auto"/>
          <w:szCs w:val="21"/>
          <w:highlight w:val="none"/>
        </w:rPr>
      </w:pPr>
      <w:r>
        <w:rPr>
          <w:rFonts w:hint="eastAsia" w:hAnsi="宋体" w:cs="宋体"/>
          <w:color w:val="auto"/>
          <w:szCs w:val="21"/>
          <w:highlight w:val="none"/>
        </w:rPr>
        <w:t>本项目采用</w:t>
      </w:r>
      <w:r>
        <w:rPr>
          <w:rFonts w:hint="eastAsia" w:hAnsi="宋体" w:cs="宋体"/>
          <w:color w:val="auto"/>
          <w:szCs w:val="21"/>
          <w:highlight w:val="none"/>
          <w:u w:val="single"/>
        </w:rPr>
        <w:t xml:space="preserve"> 以下勾选的方式</w:t>
      </w:r>
      <w:r>
        <w:rPr>
          <w:rFonts w:hint="eastAsia" w:hAnsi="宋体" w:cs="宋体"/>
          <w:color w:val="auto"/>
          <w:szCs w:val="21"/>
          <w:highlight w:val="none"/>
        </w:rPr>
        <w:t>进行评审。</w:t>
      </w:r>
    </w:p>
    <w:p>
      <w:pPr>
        <w:pStyle w:val="18"/>
        <w:spacing w:line="360" w:lineRule="auto"/>
        <w:ind w:firstLine="420"/>
        <w:rPr>
          <w:rFonts w:hAnsi="宋体"/>
          <w:color w:val="auto"/>
          <w:highlight w:val="none"/>
        </w:rPr>
      </w:pPr>
      <w:r>
        <w:rPr>
          <w:rFonts w:hint="eastAsia" w:hAnsi="宋体"/>
          <w:color w:val="auto"/>
          <w:szCs w:val="21"/>
          <w:highlight w:val="none"/>
        </w:rPr>
        <w:t>□最低评标价法，是指投标文件满足招标文件</w:t>
      </w:r>
      <w:r>
        <w:rPr>
          <w:rFonts w:hint="eastAsia" w:hAnsi="宋体"/>
          <w:color w:val="auto"/>
          <w:highlight w:val="none"/>
        </w:rPr>
        <w:t>全部实质性要求，且投标报价最低的供应商为中标候选人的评标方法。</w:t>
      </w:r>
    </w:p>
    <w:p>
      <w:pPr>
        <w:autoSpaceDE w:val="0"/>
        <w:autoSpaceDN w:val="0"/>
        <w:adjustRightInd w:val="0"/>
        <w:spacing w:line="440" w:lineRule="exact"/>
        <w:ind w:firstLine="422" w:firstLineChars="200"/>
        <w:rPr>
          <w:rFonts w:ascii="宋体" w:hAnsi="宋体"/>
          <w:color w:val="auto"/>
          <w:sz w:val="24"/>
          <w:highlight w:val="none"/>
        </w:rPr>
      </w:pPr>
      <w:r>
        <w:rPr>
          <w:rFonts w:hint="eastAsia" w:hAnsi="宋体"/>
          <w:b/>
          <w:bCs/>
          <w:color w:val="auto"/>
          <w:highlight w:val="none"/>
        </w:rPr>
        <w:t>☑综合评分法</w:t>
      </w:r>
      <w:r>
        <w:rPr>
          <w:rFonts w:hint="eastAsia" w:hAnsi="宋体"/>
          <w:color w:val="auto"/>
          <w:highlight w:val="none"/>
        </w:rPr>
        <w:t>，</w:t>
      </w:r>
      <w:r>
        <w:rPr>
          <w:rFonts w:hint="eastAsia" w:ascii="宋体" w:hAnsi="宋体"/>
          <w:color w:val="auto"/>
          <w:szCs w:val="20"/>
          <w:highlight w:val="none"/>
        </w:rPr>
        <w:t xml:space="preserve">是指投标文件满足招标文件全部实质性要求，且按照评审因素的量化指标评审得分最高的供应商为中标候选人的评标方法。评标委员会将对各供应商的投标报价、技术和服务方案、供应商的企业实力及资质等方面进行综合评审，对实质上响应招标文件的供应商，由各评委独立记名打分。经统计，得出各供应商的综合得分,按综合得分由高到低顺序排列。若综合得分相同的，按投标报价由低到高顺序排列。若综合得分且投标报价相同的，货物类采购项目以技术性能得分较高者为先，服务类采购项目以实力信誉及业绩得分较高者为先。 </w:t>
      </w:r>
    </w:p>
    <w:p>
      <w:pPr>
        <w:pStyle w:val="18"/>
        <w:spacing w:line="360" w:lineRule="auto"/>
        <w:ind w:firstLine="420"/>
        <w:rPr>
          <w:rFonts w:hAnsi="宋体"/>
          <w:color w:val="auto"/>
          <w:highlight w:val="none"/>
        </w:rPr>
      </w:pPr>
    </w:p>
    <w:p>
      <w:pPr>
        <w:pStyle w:val="18"/>
        <w:tabs>
          <w:tab w:val="left" w:pos="2472"/>
        </w:tabs>
        <w:spacing w:line="460" w:lineRule="exact"/>
        <w:jc w:val="center"/>
        <w:outlineLvl w:val="1"/>
        <w:rPr>
          <w:rFonts w:ascii="Times New Roman" w:hAnsi="Times New Roman"/>
          <w:b/>
          <w:bCs/>
          <w:color w:val="auto"/>
          <w:sz w:val="32"/>
          <w:szCs w:val="32"/>
          <w:highlight w:val="none"/>
        </w:rPr>
      </w:pPr>
      <w:bookmarkStart w:id="132" w:name="_Toc80093005"/>
      <w:r>
        <w:rPr>
          <w:rFonts w:hint="eastAsia" w:ascii="Times New Roman" w:hAnsi="Times New Roman"/>
          <w:b/>
          <w:bCs/>
          <w:color w:val="auto"/>
          <w:sz w:val="32"/>
          <w:szCs w:val="32"/>
          <w:highlight w:val="none"/>
        </w:rPr>
        <w:t>第二节 评标程序</w:t>
      </w:r>
      <w:bookmarkEnd w:id="132"/>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1.符合性审查</w:t>
      </w:r>
    </w:p>
    <w:p>
      <w:pPr>
        <w:pStyle w:val="18"/>
        <w:snapToGrid w:val="0"/>
        <w:spacing w:line="360" w:lineRule="auto"/>
        <w:ind w:left="1" w:firstLine="420"/>
        <w:rPr>
          <w:rFonts w:hAnsi="宋体"/>
          <w:b/>
          <w:color w:val="auto"/>
          <w:highlight w:val="none"/>
        </w:rPr>
      </w:pPr>
      <w:r>
        <w:rPr>
          <w:rFonts w:hint="eastAsia" w:hAnsi="宋体"/>
          <w:b/>
          <w:color w:val="auto"/>
          <w:highlight w:val="none"/>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8"/>
        <w:numPr>
          <w:ilvl w:val="0"/>
          <w:numId w:val="3"/>
        </w:numPr>
        <w:spacing w:line="360" w:lineRule="auto"/>
        <w:ind w:firstLine="422"/>
        <w:rPr>
          <w:rFonts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未提供“投标人须知前附表”第13.1条规定中“必须提供”的文件资料的；</w:t>
      </w:r>
    </w:p>
    <w:p>
      <w:pPr>
        <w:pStyle w:val="8"/>
        <w:numPr>
          <w:ilvl w:val="0"/>
          <w:numId w:val="3"/>
        </w:numPr>
        <w:spacing w:line="360" w:lineRule="auto"/>
        <w:ind w:firstLine="422"/>
        <w:rPr>
          <w:rFonts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8"/>
        <w:numPr>
          <w:ilvl w:val="0"/>
          <w:numId w:val="3"/>
        </w:numPr>
        <w:spacing w:line="360" w:lineRule="auto"/>
        <w:ind w:firstLine="422"/>
        <w:rPr>
          <w:rFonts w:ascii="宋体" w:hAnsi="宋体"/>
          <w:b/>
          <w:color w:val="auto"/>
          <w:szCs w:val="21"/>
          <w:highlight w:val="none"/>
        </w:rPr>
      </w:pPr>
      <w:r>
        <w:rPr>
          <w:rFonts w:hint="eastAsia" w:ascii="宋体" w:hAnsi="宋体"/>
          <w:b/>
          <w:color w:val="auto"/>
          <w:szCs w:val="21"/>
          <w:highlight w:val="none"/>
        </w:rPr>
        <w:t>各分标报价超出招标文件相应分标规定最高限价，或者超出相应分标采购预算金额的；</w:t>
      </w:r>
    </w:p>
    <w:p>
      <w:pPr>
        <w:pStyle w:val="8"/>
        <w:numPr>
          <w:ilvl w:val="0"/>
          <w:numId w:val="3"/>
        </w:numPr>
        <w:spacing w:line="360" w:lineRule="auto"/>
        <w:ind w:firstLine="422"/>
        <w:rPr>
          <w:rFonts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8"/>
        <w:numPr>
          <w:ilvl w:val="0"/>
          <w:numId w:val="3"/>
        </w:numPr>
        <w:spacing w:line="360" w:lineRule="auto"/>
        <w:ind w:firstLine="422"/>
        <w:rPr>
          <w:rFonts w:ascii="宋体" w:hAnsi="宋体"/>
          <w:b/>
          <w:color w:val="auto"/>
          <w:szCs w:val="21"/>
          <w:highlight w:val="none"/>
        </w:rPr>
      </w:pPr>
      <w:r>
        <w:rPr>
          <w:rFonts w:hint="eastAsia" w:ascii="宋体" w:hAnsi="宋体"/>
          <w:b/>
          <w:color w:val="auto"/>
          <w:szCs w:val="21"/>
          <w:highlight w:val="none"/>
        </w:rPr>
        <w:t>修正后的报价，投标人不确认的；</w:t>
      </w:r>
    </w:p>
    <w:p>
      <w:pPr>
        <w:pStyle w:val="8"/>
        <w:numPr>
          <w:ilvl w:val="0"/>
          <w:numId w:val="3"/>
        </w:numPr>
        <w:spacing w:line="360" w:lineRule="auto"/>
        <w:ind w:firstLine="422"/>
        <w:rPr>
          <w:rFonts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5.1</w:t>
      </w:r>
      <w:r>
        <w:rPr>
          <w:rFonts w:hint="eastAsia" w:ascii="宋体" w:hAnsi="宋体"/>
          <w:b/>
          <w:color w:val="auto"/>
          <w:szCs w:val="21"/>
          <w:highlight w:val="none"/>
        </w:rPr>
        <w:t>条（2）或者第5</w:t>
      </w:r>
      <w:r>
        <w:rPr>
          <w:rFonts w:ascii="宋体" w:hAnsi="宋体"/>
          <w:b/>
          <w:color w:val="auto"/>
          <w:szCs w:val="21"/>
          <w:highlight w:val="none"/>
        </w:rPr>
        <w:t>.2条</w:t>
      </w:r>
      <w:r>
        <w:rPr>
          <w:rFonts w:hint="eastAsia" w:ascii="宋体" w:hAnsi="宋体"/>
          <w:b/>
          <w:color w:val="auto"/>
          <w:szCs w:val="21"/>
          <w:highlight w:val="none"/>
        </w:rPr>
        <w:t>（2）项情形的；</w:t>
      </w:r>
    </w:p>
    <w:p>
      <w:pPr>
        <w:pStyle w:val="8"/>
        <w:numPr>
          <w:ilvl w:val="0"/>
          <w:numId w:val="3"/>
        </w:numPr>
        <w:spacing w:line="360" w:lineRule="auto"/>
        <w:ind w:firstLine="422"/>
        <w:rPr>
          <w:rFonts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响应的标的数量及单位与招标文件要求实质性不一致的。</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委托代理人未能出具有效身份证或者出具的身份证与授权委托书中的信息不符的；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商务要求评审允许负偏离的条款数超过“投标人须知前附表”规定项数的；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招标文件明确不允许分包，投标文件拟分包的；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5"/>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（1）技术要求评审允许负偏离的条款数超过“投标人须知前附表”规定项数的；</w:t>
      </w:r>
    </w:p>
    <w:p>
      <w:pPr>
        <w:pStyle w:val="15"/>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（2）投标文件未提供“投标人须知前附表”第13.</w:t>
      </w:r>
      <w:r>
        <w:rPr>
          <w:rFonts w:hAnsi="宋体"/>
          <w:b/>
          <w:color w:val="auto"/>
          <w:sz w:val="21"/>
          <w:szCs w:val="21"/>
          <w:highlight w:val="none"/>
        </w:rPr>
        <w:t>1</w:t>
      </w:r>
      <w:r>
        <w:rPr>
          <w:rFonts w:hint="eastAsia" w:hAnsi="宋体"/>
          <w:b/>
          <w:color w:val="auto"/>
          <w:sz w:val="21"/>
          <w:szCs w:val="21"/>
          <w:highlight w:val="none"/>
        </w:rPr>
        <w:t>条规定中“必须提供”的文件资料的；</w:t>
      </w:r>
    </w:p>
    <w:p>
      <w:pPr>
        <w:pStyle w:val="15"/>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（3）虚假投标，或者出现其他情形而导致被评标委员会认定无效的；</w:t>
      </w:r>
    </w:p>
    <w:p>
      <w:pPr>
        <w:pStyle w:val="15"/>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（4）</w:t>
      </w:r>
      <w:bookmarkStart w:id="133" w:name="_Hlk71706244"/>
      <w:r>
        <w:rPr>
          <w:rFonts w:hint="eastAsia" w:hAnsi="宋体"/>
          <w:b/>
          <w:color w:val="auto"/>
          <w:sz w:val="21"/>
          <w:szCs w:val="21"/>
          <w:highlight w:val="none"/>
        </w:rPr>
        <w:t>招标文件未载明允许提供备选（替代）投标方案或明确不允许提供备选（替代）投标方案时，投标人提供了备选（替代）投标方案的；</w:t>
      </w:r>
      <w:bookmarkEnd w:id="133"/>
    </w:p>
    <w:p>
      <w:pPr>
        <w:pStyle w:val="15"/>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（5）未响应招标文件实质性要求的。</w:t>
      </w:r>
    </w:p>
    <w:p>
      <w:pPr>
        <w:pStyle w:val="15"/>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2.4通过符合性审查的投标人不足3家，评标委员会不得继续评标，并出具评标报告。</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w:t>
      </w:r>
      <w:r>
        <w:rPr>
          <w:rFonts w:hint="eastAsia" w:ascii="宋体" w:hAnsi="宋体" w:cs="宋体"/>
          <w:color w:val="auto"/>
          <w:szCs w:val="21"/>
          <w:highlight w:val="none"/>
        </w:rPr>
        <w:t>电子澄清函形式</w:t>
      </w:r>
      <w:r>
        <w:rPr>
          <w:rFonts w:hint="eastAsia" w:ascii="宋体" w:hAnsi="宋体" w:cs="Courier New"/>
          <w:color w:val="auto"/>
          <w:szCs w:val="21"/>
          <w:highlight w:val="none"/>
        </w:rPr>
        <w:t>要求投标人在规定时间内作出必要的澄清、说明或者纠正。投标人的澄清、说明或者补正必须采用</w:t>
      </w:r>
      <w:r>
        <w:rPr>
          <w:rFonts w:hint="eastAsia" w:ascii="宋体" w:hAnsi="宋体" w:cs="宋体"/>
          <w:color w:val="auto"/>
          <w:szCs w:val="21"/>
          <w:highlight w:val="none"/>
        </w:rPr>
        <w:t>电子回函形式</w:t>
      </w:r>
      <w:r>
        <w:rPr>
          <w:rFonts w:hint="eastAsia" w:ascii="宋体" w:hAnsi="宋体" w:cs="Courier New"/>
          <w:color w:val="auto"/>
          <w:szCs w:val="21"/>
          <w:highlight w:val="none"/>
        </w:rPr>
        <w:t>，并加盖投标人公章，或者由法定代表人或者其授权的代表签字。投标人的澄清、说明或者补正不得超出投标文件的范围或者改变投标文件的实质性内容。</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7"/>
        <w:keepNext w:val="0"/>
        <w:keepLines w:val="0"/>
        <w:spacing w:before="0" w:after="0"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18"/>
        <w:snapToGrid w:val="0"/>
        <w:spacing w:line="360" w:lineRule="auto"/>
        <w:ind w:firstLine="420" w:firstLineChars="200"/>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18"/>
        <w:snapToGrid w:val="0"/>
        <w:spacing w:line="360" w:lineRule="auto"/>
        <w:ind w:firstLine="420" w:firstLineChars="200"/>
        <w:rPr>
          <w:rFonts w:hAnsi="宋体"/>
          <w:color w:val="auto"/>
          <w:highlight w:val="none"/>
        </w:rPr>
      </w:pPr>
      <w:r>
        <w:rPr>
          <w:rFonts w:hint="eastAsia" w:hAnsi="宋体"/>
          <w:color w:val="auto"/>
          <w:highlight w:val="none"/>
        </w:rPr>
        <w:t>（2）大写金额和小写金额不一致的，以大写金额为准；</w:t>
      </w:r>
    </w:p>
    <w:p>
      <w:pPr>
        <w:pStyle w:val="18"/>
        <w:snapToGrid w:val="0"/>
        <w:spacing w:line="360" w:lineRule="auto"/>
        <w:ind w:firstLine="42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18"/>
        <w:snapToGrid w:val="0"/>
        <w:spacing w:line="360" w:lineRule="auto"/>
        <w:ind w:firstLine="420" w:firstLineChars="200"/>
        <w:rPr>
          <w:rFonts w:hAnsi="宋体"/>
          <w:color w:val="auto"/>
          <w:highlight w:val="none"/>
        </w:rPr>
      </w:pPr>
      <w:r>
        <w:rPr>
          <w:rFonts w:hint="eastAsia" w:hAnsi="宋体"/>
          <w:color w:val="auto"/>
          <w:highlight w:val="none"/>
        </w:rPr>
        <w:t>（4）总价金额与按单价汇总金额不一致的，以单价金额计算结果为准。</w:t>
      </w:r>
    </w:p>
    <w:p>
      <w:pPr>
        <w:pStyle w:val="18"/>
        <w:snapToGrid w:val="0"/>
        <w:spacing w:line="360" w:lineRule="auto"/>
        <w:ind w:firstLine="420" w:firstLineChars="200"/>
        <w:rPr>
          <w:rFonts w:hAnsi="宋体"/>
          <w:color w:val="auto"/>
          <w:highlight w:val="none"/>
        </w:rPr>
      </w:pPr>
      <w:r>
        <w:rPr>
          <w:rFonts w:hint="eastAsia" w:hAnsi="宋体"/>
          <w:color w:val="auto"/>
          <w:highlight w:val="none"/>
        </w:rPr>
        <w:t>同时出现两种以上不一致的，按照以上（1）-（4）规定的顺序修正。修正后的报价经投标人确认后产生约束力，投标人不确认的，</w:t>
      </w:r>
      <w:r>
        <w:rPr>
          <w:rFonts w:hint="eastAsia" w:hAnsi="宋体"/>
          <w:b/>
          <w:color w:val="auto"/>
          <w:highlight w:val="none"/>
        </w:rPr>
        <w:t>其投标无效</w:t>
      </w:r>
      <w:r>
        <w:rPr>
          <w:rFonts w:hint="eastAsia" w:hAnsi="宋体"/>
          <w:color w:val="auto"/>
          <w:highlight w:val="none"/>
        </w:rPr>
        <w:t>。</w:t>
      </w:r>
    </w:p>
    <w:p>
      <w:pPr>
        <w:pStyle w:val="7"/>
        <w:keepNext w:val="0"/>
        <w:keepLines w:val="0"/>
        <w:spacing w:before="0" w:after="0" w:line="360" w:lineRule="auto"/>
        <w:rPr>
          <w:rFonts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highlight w:val="none"/>
        </w:rPr>
        <w:t>投标人不能证明其报价合理性的，评标委员会将其作为无效投标处理</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5.2采用</w:t>
      </w:r>
      <w:r>
        <w:rPr>
          <w:rFonts w:hint="eastAsia" w:hAnsi="宋体"/>
          <w:color w:val="auto"/>
          <w:highlight w:val="none"/>
        </w:rPr>
        <w:t>最低评标价法</w:t>
      </w:r>
      <w:r>
        <w:rPr>
          <w:rFonts w:hint="eastAsia" w:ascii="宋体" w:hAnsi="宋体"/>
          <w:color w:val="auto"/>
          <w:szCs w:val="21"/>
          <w:highlight w:val="none"/>
        </w:rPr>
        <w:t>的</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（1）评标委员会按照招标文件中规定的评标方法及评标标准，对符合性审查合格的投标文件报价进行比较。</w:t>
      </w:r>
    </w:p>
    <w:p>
      <w:pPr>
        <w:snapToGrid w:val="0"/>
        <w:spacing w:line="360" w:lineRule="auto"/>
        <w:ind w:firstLine="399" w:firstLineChars="202"/>
        <w:jc w:val="left"/>
        <w:rPr>
          <w:rFonts w:ascii="宋体" w:hAnsi="宋体"/>
          <w:color w:val="auto"/>
          <w:spacing w:val="-6"/>
          <w:szCs w:val="21"/>
          <w:highlight w:val="none"/>
        </w:rPr>
      </w:pPr>
      <w:r>
        <w:rPr>
          <w:rFonts w:hint="eastAsia" w:ascii="宋体" w:hAnsi="宋体"/>
          <w:color w:val="auto"/>
          <w:spacing w:val="-6"/>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pacing w:val="-6"/>
          <w:szCs w:val="21"/>
          <w:highlight w:val="none"/>
        </w:rPr>
        <w:t>投标人不能证明其报价合理性的，评标委员会将其作为无效投标处理</w:t>
      </w:r>
      <w:r>
        <w:rPr>
          <w:rFonts w:hint="eastAsia" w:ascii="宋体" w:hAnsi="宋体"/>
          <w:color w:val="auto"/>
          <w:spacing w:val="-6"/>
          <w:szCs w:val="21"/>
          <w:highlight w:val="none"/>
        </w:rPr>
        <w:t>。</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（3）评标委员会按照招标文件中的规定推荐中标候选人。</w:t>
      </w:r>
    </w:p>
    <w:p>
      <w:pPr>
        <w:spacing w:line="360" w:lineRule="auto"/>
        <w:ind w:firstLine="420" w:firstLineChars="200"/>
        <w:rPr>
          <w:rFonts w:hAnsi="宋体"/>
          <w:color w:val="auto"/>
          <w:highlight w:val="none"/>
        </w:rPr>
      </w:pPr>
      <w:r>
        <w:rPr>
          <w:rFonts w:hint="eastAsia" w:ascii="宋体" w:hAnsi="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r>
        <w:rPr>
          <w:rFonts w:hint="eastAsia" w:hAnsi="宋体"/>
          <w:color w:val="auto"/>
          <w:highlight w:val="none"/>
        </w:rPr>
        <w:t>。</w:t>
      </w:r>
    </w:p>
    <w:p>
      <w:pPr>
        <w:rPr>
          <w:color w:val="auto"/>
          <w:sz w:val="30"/>
          <w:szCs w:val="30"/>
          <w:highlight w:val="none"/>
        </w:rPr>
      </w:pPr>
      <w:bookmarkStart w:id="134" w:name="_Toc80093006"/>
      <w:r>
        <w:rPr>
          <w:rFonts w:hint="eastAsia"/>
          <w:color w:val="auto"/>
          <w:sz w:val="30"/>
          <w:szCs w:val="30"/>
          <w:highlight w:val="none"/>
        </w:rPr>
        <w:br w:type="page"/>
      </w:r>
    </w:p>
    <w:p>
      <w:pPr>
        <w:pStyle w:val="4"/>
        <w:spacing w:before="0" w:after="0" w:line="440" w:lineRule="exact"/>
        <w:jc w:val="center"/>
        <w:rPr>
          <w:b w:val="0"/>
          <w:color w:val="auto"/>
          <w:sz w:val="30"/>
          <w:szCs w:val="30"/>
          <w:highlight w:val="none"/>
        </w:rPr>
      </w:pPr>
      <w:r>
        <w:rPr>
          <w:rFonts w:hint="eastAsia"/>
          <w:b w:val="0"/>
          <w:color w:val="auto"/>
          <w:sz w:val="30"/>
          <w:szCs w:val="30"/>
          <w:highlight w:val="none"/>
        </w:rPr>
        <w:t>第三节 评分标准</w:t>
      </w:r>
      <w:bookmarkEnd w:id="134"/>
    </w:p>
    <w:p>
      <w:pPr>
        <w:pStyle w:val="4"/>
        <w:spacing w:before="0" w:after="0" w:line="440" w:lineRule="exact"/>
        <w:jc w:val="center"/>
        <w:rPr>
          <w:rFonts w:hAnsi="宋体" w:eastAsia="宋体"/>
          <w:color w:val="auto"/>
          <w:highlight w:val="none"/>
        </w:rPr>
      </w:pPr>
      <w:r>
        <w:rPr>
          <w:rFonts w:hint="eastAsia" w:ascii="Times New Roman" w:hAnsi="Times New Roman"/>
          <w:color w:val="auto"/>
          <w:sz w:val="30"/>
          <w:szCs w:val="30"/>
          <w:highlight w:val="none"/>
        </w:rPr>
        <w:t>综合评分法</w:t>
      </w:r>
      <w:bookmarkStart w:id="135" w:name="PO_TDCUS_ITEM_SM_TABLE_3"/>
      <w:bookmarkStart w:id="136" w:name="_Toc80093007"/>
      <w:r>
        <w:rPr>
          <w:rFonts w:hint="eastAsia" w:hAnsi="宋体"/>
          <w:color w:val="auto"/>
          <w:highlight w:val="none"/>
        </w:rPr>
        <w:t xml:space="preserve"> </w:t>
      </w:r>
      <w:bookmarkEnd w:id="135"/>
    </w:p>
    <w:p>
      <w:pPr>
        <w:rPr>
          <w:rFonts w:hAnsi="宋体"/>
          <w:bCs/>
          <w:color w:val="auto"/>
          <w:highlight w:val="none"/>
        </w:rPr>
      </w:pPr>
    </w:p>
    <w:tbl>
      <w:tblPr>
        <w:tblStyle w:val="34"/>
        <w:tblW w:w="10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987"/>
        <w:gridCol w:w="8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090" w:type="dxa"/>
            <w:gridSpan w:val="3"/>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分标2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74"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序号</w:t>
            </w:r>
          </w:p>
        </w:tc>
        <w:tc>
          <w:tcPr>
            <w:tcW w:w="987"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评审因素</w:t>
            </w:r>
          </w:p>
        </w:tc>
        <w:tc>
          <w:tcPr>
            <w:tcW w:w="8229"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3" w:hRule="atLeast"/>
          <w:jc w:val="center"/>
        </w:trPr>
        <w:tc>
          <w:tcPr>
            <w:tcW w:w="874"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1</w:t>
            </w:r>
          </w:p>
        </w:tc>
        <w:tc>
          <w:tcPr>
            <w:tcW w:w="987"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价格分（满分10分）</w:t>
            </w:r>
          </w:p>
        </w:tc>
        <w:tc>
          <w:tcPr>
            <w:tcW w:w="8229"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（1）以进入比较与评价环节的最低的评审价为基准价，基准价得分</w:t>
            </w:r>
            <w:r>
              <w:rPr>
                <w:rFonts w:hint="eastAsia"/>
                <w:color w:val="auto"/>
                <w:szCs w:val="21"/>
                <w:highlight w:val="none"/>
              </w:rPr>
              <w:t>10</w:t>
            </w:r>
            <w:r>
              <w:rPr>
                <w:rFonts w:hint="eastAsia" w:ascii="宋体" w:hAnsi="宋体" w:cs="宋体"/>
                <w:color w:val="auto"/>
                <w:szCs w:val="21"/>
                <w:highlight w:val="none"/>
              </w:rPr>
              <w:t>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（2）价格分计算公式：某供应商报价得分＝（基准价/某供应商评审价）×</w:t>
            </w:r>
            <w:r>
              <w:rPr>
                <w:rFonts w:hint="eastAsia"/>
                <w:color w:val="auto"/>
                <w:szCs w:val="21"/>
                <w:highlight w:val="none"/>
              </w:rPr>
              <w:t>10</w:t>
            </w:r>
            <w:r>
              <w:rPr>
                <w:rFonts w:hint="eastAsia" w:ascii="宋体" w:hAnsi="宋体" w:cs="宋体"/>
                <w:color w:val="auto"/>
                <w:szCs w:val="21"/>
                <w:highlight w:val="none"/>
              </w:rPr>
              <w:t>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（3）政策性扣除计算方法。</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①</w:t>
            </w:r>
            <w:r>
              <w:rPr>
                <w:rFonts w:hint="eastAsia" w:ascii="宋体" w:hAnsi="宋体" w:cs="宋体"/>
                <w:bCs/>
                <w:color w:val="auto"/>
                <w:szCs w:val="21"/>
                <w:highlight w:val="none"/>
              </w:rPr>
              <w:t>评审价为</w:t>
            </w:r>
            <w:r>
              <w:rPr>
                <w:rFonts w:hint="eastAsia" w:ascii="宋体" w:hAnsi="宋体" w:cs="宋体"/>
                <w:color w:val="auto"/>
                <w:szCs w:val="21"/>
                <w:highlight w:val="none"/>
              </w:rPr>
              <w:t>供应商</w:t>
            </w:r>
            <w:r>
              <w:rPr>
                <w:rFonts w:hint="eastAsia" w:ascii="宋体" w:hAnsi="宋体" w:cs="宋体"/>
                <w:bCs/>
                <w:color w:val="auto"/>
                <w:szCs w:val="21"/>
                <w:highlight w:val="none"/>
              </w:rPr>
              <w:t>的响应报价进行政策性扣除后的价格，评审价只是作为评标时使用。最终</w:t>
            </w:r>
            <w:r>
              <w:rPr>
                <w:rFonts w:hint="eastAsia" w:ascii="宋体" w:hAnsi="宋体" w:cs="宋体"/>
                <w:color w:val="auto"/>
                <w:szCs w:val="21"/>
                <w:highlight w:val="none"/>
              </w:rPr>
              <w:t>供应商</w:t>
            </w:r>
            <w:r>
              <w:rPr>
                <w:rFonts w:hint="eastAsia" w:ascii="宋体" w:hAnsi="宋体" w:cs="宋体"/>
                <w:bCs/>
                <w:color w:val="auto"/>
                <w:szCs w:val="21"/>
                <w:highlight w:val="none"/>
              </w:rPr>
              <w:t>的成交金额等于最终报价。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参照《政府采购促进中小企业发展管理办法》（财库〔2020〕46号）及《广西壮族自治区财政厅关于进一步发挥政府采购政采功能促进企业发展的通知》（桂财采〔2022〕30号）的规定，供应商在其响应文件中提供《中小企业声明函》，且其竞标产品或服务均由小微企业提供的，对供应商的竞标报价给予20%的扣除，扣除后的价格为评审价，即评审价=竞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审价，即评审价=竞标报价×（1-6%）。</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③参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④参照《关于促进残疾人就业政府采购政策的通知》（财库〔2017〕141号）的规定，残疾人福利性单位视同小型、微型企业，享受预留份额、评审中价格扣除等促进中小企业发展的采购政策。残疾人福利性单位参加采购活动时，应当提供该通知规定的《残疾人福利性单位声明函》，并对声明的真实性负责。残疾人福利性单位属于小型、微型企业的，不重复享受政策。</w:t>
            </w:r>
          </w:p>
          <w:p>
            <w:pPr>
              <w:pStyle w:val="132"/>
              <w:ind w:firstLine="420" w:firstLineChars="200"/>
              <w:rPr>
                <w:rFonts w:ascii="宋体" w:hAnsi="宋体" w:cs="宋体"/>
                <w:bCs/>
                <w:color w:val="auto"/>
                <w:szCs w:val="21"/>
                <w:highlight w:val="none"/>
              </w:rPr>
            </w:pPr>
            <w:r>
              <w:rPr>
                <w:rFonts w:hint="eastAsia" w:ascii="宋体" w:hAnsi="宋体" w:cs="宋体"/>
                <w:color w:val="auto"/>
                <w:szCs w:val="21"/>
                <w:highlight w:val="none"/>
              </w:rPr>
              <w:t>⑤除上述情况外，评审价＝最后报价。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restart"/>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2</w:t>
            </w:r>
          </w:p>
        </w:tc>
        <w:tc>
          <w:tcPr>
            <w:tcW w:w="9216" w:type="dxa"/>
            <w:gridSpan w:val="2"/>
            <w:vAlign w:val="center"/>
          </w:tcPr>
          <w:p>
            <w:pPr>
              <w:pStyle w:val="132"/>
              <w:jc w:val="left"/>
              <w:rPr>
                <w:rFonts w:ascii="宋体" w:hAnsi="宋体" w:cs="宋体"/>
                <w:color w:val="auto"/>
                <w:szCs w:val="21"/>
                <w:highlight w:val="none"/>
              </w:rPr>
            </w:pPr>
            <w:r>
              <w:rPr>
                <w:rFonts w:hint="eastAsia"/>
                <w:b/>
                <w:bCs/>
                <w:color w:val="auto"/>
                <w:szCs w:val="21"/>
                <w:highlight w:val="none"/>
              </w:rPr>
              <w:t>课题研究大纲（满分50分）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textAlignment w:val="baseline"/>
              <w:rPr>
                <w:b/>
                <w:bCs/>
                <w:color w:val="auto"/>
                <w:szCs w:val="21"/>
                <w:highlight w:val="none"/>
              </w:rPr>
            </w:pPr>
          </w:p>
        </w:tc>
        <w:tc>
          <w:tcPr>
            <w:tcW w:w="987" w:type="dxa"/>
            <w:vAlign w:val="center"/>
          </w:tcPr>
          <w:p>
            <w:pPr>
              <w:pStyle w:val="18"/>
              <w:spacing w:line="360" w:lineRule="exact"/>
              <w:rPr>
                <w:rFonts w:hAnsi="宋体"/>
                <w:b/>
                <w:bCs/>
                <w:color w:val="auto"/>
                <w:highlight w:val="none"/>
              </w:rPr>
            </w:pPr>
            <w:r>
              <w:rPr>
                <w:rFonts w:hint="eastAsia" w:hAnsi="宋体"/>
                <w:b/>
                <w:bCs/>
                <w:color w:val="auto"/>
                <w:highlight w:val="none"/>
              </w:rPr>
              <w:t>2.1研究方向（满分10分）</w:t>
            </w:r>
          </w:p>
          <w:p>
            <w:pPr>
              <w:pStyle w:val="18"/>
              <w:spacing w:line="360" w:lineRule="exact"/>
              <w:rPr>
                <w:rFonts w:hAnsi="宋体"/>
                <w:bCs/>
                <w:color w:val="auto"/>
                <w:highlight w:val="none"/>
              </w:rPr>
            </w:pPr>
          </w:p>
        </w:tc>
        <w:tc>
          <w:tcPr>
            <w:tcW w:w="8229" w:type="dxa"/>
            <w:vAlign w:val="center"/>
          </w:tcPr>
          <w:p>
            <w:pPr>
              <w:pStyle w:val="132"/>
              <w:rPr>
                <w:rFonts w:hAnsi="宋体"/>
                <w:bCs/>
                <w:color w:val="auto"/>
                <w:highlight w:val="none"/>
              </w:rPr>
            </w:pPr>
            <w:r>
              <w:rPr>
                <w:rFonts w:hint="eastAsia" w:hAnsi="宋体"/>
                <w:bCs/>
                <w:color w:val="auto"/>
                <w:highlight w:val="none"/>
              </w:rPr>
              <w:t>评审因素：基本观点是否正确，是否紧扣课题题目，是否符合课题研究方向要求。</w:t>
            </w:r>
          </w:p>
          <w:p>
            <w:pPr>
              <w:pStyle w:val="132"/>
              <w:rPr>
                <w:rFonts w:hAnsi="宋体"/>
                <w:bCs/>
                <w:color w:val="auto"/>
                <w:highlight w:val="none"/>
              </w:rPr>
            </w:pPr>
            <w:r>
              <w:rPr>
                <w:rFonts w:hint="eastAsia" w:hAnsi="宋体"/>
                <w:bCs/>
                <w:color w:val="auto"/>
                <w:highlight w:val="none"/>
              </w:rPr>
              <w:t>一档（2分）：观点不正确，内容与课题题目、研究方向要求相偏离；</w:t>
            </w:r>
          </w:p>
          <w:p>
            <w:pPr>
              <w:pStyle w:val="132"/>
              <w:rPr>
                <w:rFonts w:hAnsi="宋体"/>
                <w:bCs/>
                <w:color w:val="auto"/>
                <w:highlight w:val="none"/>
              </w:rPr>
            </w:pPr>
            <w:r>
              <w:rPr>
                <w:rFonts w:hint="eastAsia" w:hAnsi="宋体"/>
                <w:bCs/>
                <w:color w:val="auto"/>
                <w:highlight w:val="none"/>
              </w:rPr>
              <w:t>二档（4分）：观点基本正确，内容与课题题目、研究方向要求基本符合；</w:t>
            </w:r>
          </w:p>
          <w:p>
            <w:pPr>
              <w:pStyle w:val="132"/>
              <w:rPr>
                <w:rFonts w:hAnsi="宋体"/>
                <w:bCs/>
                <w:color w:val="auto"/>
                <w:highlight w:val="none"/>
              </w:rPr>
            </w:pPr>
            <w:r>
              <w:rPr>
                <w:rFonts w:hint="eastAsia" w:hAnsi="宋体"/>
                <w:bCs/>
                <w:color w:val="auto"/>
                <w:highlight w:val="none"/>
              </w:rPr>
              <w:t>三档（6分）：观点较正确，内容与课题题目、研究方向要求比较符合；</w:t>
            </w:r>
          </w:p>
          <w:p>
            <w:pPr>
              <w:pStyle w:val="132"/>
              <w:rPr>
                <w:rFonts w:hAnsi="宋体"/>
                <w:bCs/>
                <w:color w:val="auto"/>
                <w:highlight w:val="none"/>
              </w:rPr>
            </w:pPr>
            <w:r>
              <w:rPr>
                <w:rFonts w:hint="eastAsia" w:hAnsi="宋体"/>
                <w:bCs/>
                <w:color w:val="auto"/>
                <w:highlight w:val="none"/>
              </w:rPr>
              <w:t>四档（8分）：观点正确，内容与课题题目、研究方向要求相符合；</w:t>
            </w:r>
          </w:p>
          <w:p>
            <w:pPr>
              <w:pStyle w:val="132"/>
              <w:rPr>
                <w:rFonts w:hAnsi="宋体"/>
                <w:bCs/>
                <w:color w:val="auto"/>
                <w:highlight w:val="none"/>
              </w:rPr>
            </w:pPr>
            <w:r>
              <w:rPr>
                <w:rFonts w:hint="eastAsia" w:hAnsi="宋体"/>
                <w:bCs/>
                <w:color w:val="auto"/>
                <w:highlight w:val="none"/>
              </w:rPr>
              <w:t>五档（10分）：观点鲜明正确，内容紧扣课题题目、课题研究方向要求。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jc w:val="center"/>
              <w:textAlignment w:val="baseline"/>
              <w:rPr>
                <w:b/>
                <w:bCs/>
                <w:color w:val="auto"/>
                <w:szCs w:val="21"/>
                <w:highlight w:val="none"/>
              </w:rPr>
            </w:pPr>
          </w:p>
        </w:tc>
        <w:tc>
          <w:tcPr>
            <w:tcW w:w="987" w:type="dxa"/>
            <w:vAlign w:val="center"/>
          </w:tcPr>
          <w:p>
            <w:pPr>
              <w:pStyle w:val="18"/>
              <w:spacing w:line="360" w:lineRule="exact"/>
              <w:rPr>
                <w:rFonts w:hAnsi="宋体"/>
                <w:b/>
                <w:bCs/>
                <w:color w:val="auto"/>
                <w:highlight w:val="none"/>
              </w:rPr>
            </w:pPr>
            <w:r>
              <w:rPr>
                <w:rFonts w:hint="eastAsia" w:hAnsi="宋体"/>
                <w:b/>
                <w:bCs/>
                <w:color w:val="auto"/>
                <w:highlight w:val="none"/>
              </w:rPr>
              <w:t>2.2内容结构（满分10分）</w:t>
            </w:r>
          </w:p>
          <w:p>
            <w:pPr>
              <w:pStyle w:val="18"/>
              <w:spacing w:line="360" w:lineRule="exact"/>
              <w:rPr>
                <w:rFonts w:hAnsi="宋体"/>
                <w:bCs/>
                <w:color w:val="auto"/>
                <w:highlight w:val="none"/>
              </w:rPr>
            </w:pPr>
          </w:p>
        </w:tc>
        <w:tc>
          <w:tcPr>
            <w:tcW w:w="8229" w:type="dxa"/>
            <w:vAlign w:val="center"/>
          </w:tcPr>
          <w:p>
            <w:pPr>
              <w:pStyle w:val="18"/>
              <w:spacing w:line="360" w:lineRule="exact"/>
              <w:rPr>
                <w:rFonts w:hAnsi="宋体"/>
                <w:bCs/>
                <w:color w:val="auto"/>
                <w:highlight w:val="none"/>
              </w:rPr>
            </w:pPr>
            <w:r>
              <w:rPr>
                <w:rFonts w:hint="eastAsia" w:hAnsi="宋体"/>
                <w:bCs/>
                <w:color w:val="auto"/>
                <w:highlight w:val="none"/>
              </w:rPr>
              <w:t>评审因素：框架结构设计是否合理，研究思路是否清晰，是否突出对策措施，内涵分析是否抓住关键性问题。</w:t>
            </w:r>
          </w:p>
          <w:p>
            <w:pPr>
              <w:pStyle w:val="18"/>
              <w:spacing w:line="360" w:lineRule="exact"/>
              <w:rPr>
                <w:rFonts w:hAnsi="宋体"/>
                <w:bCs/>
                <w:color w:val="auto"/>
                <w:highlight w:val="none"/>
              </w:rPr>
            </w:pPr>
            <w:r>
              <w:rPr>
                <w:rFonts w:hint="eastAsia" w:hAnsi="宋体"/>
                <w:bCs/>
                <w:color w:val="auto"/>
                <w:highlight w:val="none"/>
              </w:rPr>
              <w:t>一档（2分）：结构混乱，研究思路不清，未突出对策措施，没有材料或数据，内涵分析未抓住关键性问题；</w:t>
            </w:r>
          </w:p>
          <w:p>
            <w:pPr>
              <w:pStyle w:val="18"/>
              <w:spacing w:line="360" w:lineRule="exact"/>
              <w:rPr>
                <w:rFonts w:hAnsi="宋体"/>
                <w:bCs/>
                <w:color w:val="auto"/>
                <w:highlight w:val="none"/>
              </w:rPr>
            </w:pPr>
            <w:r>
              <w:rPr>
                <w:rFonts w:hint="eastAsia" w:hAnsi="宋体"/>
                <w:bCs/>
                <w:color w:val="auto"/>
                <w:highlight w:val="none"/>
              </w:rPr>
              <w:t>二档（4分）：结构不合理，研究思路欠清，未突出对策措施，材料或数据不足，内涵分析未抓住关键性问题；</w:t>
            </w:r>
          </w:p>
          <w:p>
            <w:pPr>
              <w:pStyle w:val="18"/>
              <w:spacing w:line="360" w:lineRule="exact"/>
              <w:rPr>
                <w:rFonts w:hAnsi="宋体"/>
                <w:bCs/>
                <w:color w:val="auto"/>
                <w:highlight w:val="none"/>
              </w:rPr>
            </w:pPr>
            <w:r>
              <w:rPr>
                <w:rFonts w:hint="eastAsia" w:hAnsi="宋体"/>
                <w:bCs/>
                <w:color w:val="auto"/>
                <w:highlight w:val="none"/>
              </w:rPr>
              <w:t>三档（6分）：结构较合理，研究思路较清晰，对策措施不够突出，有一定的材料或数据，基本抓住关键性问题；</w:t>
            </w:r>
          </w:p>
          <w:p>
            <w:pPr>
              <w:pStyle w:val="18"/>
              <w:spacing w:line="360" w:lineRule="exact"/>
              <w:rPr>
                <w:rFonts w:hAnsi="宋体"/>
                <w:bCs/>
                <w:color w:val="auto"/>
                <w:highlight w:val="none"/>
              </w:rPr>
            </w:pPr>
            <w:r>
              <w:rPr>
                <w:rFonts w:hint="eastAsia" w:hAnsi="宋体"/>
                <w:bCs/>
                <w:color w:val="auto"/>
                <w:highlight w:val="none"/>
              </w:rPr>
              <w:t>四档（8分）：结构较合理，研究思路较清晰，对策措施较突出，有较充分的材料或数据，基本抓住关键性问题；</w:t>
            </w:r>
          </w:p>
          <w:p>
            <w:pPr>
              <w:pStyle w:val="18"/>
              <w:spacing w:line="360" w:lineRule="exact"/>
              <w:rPr>
                <w:rFonts w:hAnsi="宋体"/>
                <w:bCs/>
                <w:color w:val="auto"/>
                <w:highlight w:val="none"/>
              </w:rPr>
            </w:pPr>
            <w:r>
              <w:rPr>
                <w:rFonts w:hint="eastAsia" w:hAnsi="宋体"/>
                <w:bCs/>
                <w:color w:val="auto"/>
                <w:highlight w:val="none"/>
              </w:rPr>
              <w:t>五档（10分）：结构设计规范合理，研究思路清晰且符合逻辑，对策措施突出，有充足的材料或数据，内涵分析准确，能够抓住关键性问题。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jc w:val="center"/>
              <w:textAlignment w:val="baseline"/>
              <w:rPr>
                <w:b/>
                <w:bCs/>
                <w:color w:val="auto"/>
                <w:szCs w:val="21"/>
                <w:highlight w:val="none"/>
              </w:rPr>
            </w:pPr>
          </w:p>
        </w:tc>
        <w:tc>
          <w:tcPr>
            <w:tcW w:w="987" w:type="dxa"/>
            <w:vAlign w:val="center"/>
          </w:tcPr>
          <w:p>
            <w:pPr>
              <w:pStyle w:val="18"/>
              <w:spacing w:line="360" w:lineRule="exact"/>
              <w:rPr>
                <w:rFonts w:hAnsi="宋体"/>
                <w:b/>
                <w:color w:val="auto"/>
                <w:highlight w:val="none"/>
              </w:rPr>
            </w:pPr>
            <w:r>
              <w:rPr>
                <w:rFonts w:hint="eastAsia" w:hAnsi="宋体"/>
                <w:b/>
                <w:color w:val="auto"/>
                <w:highlight w:val="none"/>
              </w:rPr>
              <w:t>2.3创新点（15分）</w:t>
            </w:r>
          </w:p>
        </w:tc>
        <w:tc>
          <w:tcPr>
            <w:tcW w:w="8229" w:type="dxa"/>
            <w:vAlign w:val="center"/>
          </w:tcPr>
          <w:p>
            <w:pPr>
              <w:pStyle w:val="18"/>
              <w:spacing w:line="360" w:lineRule="exact"/>
              <w:rPr>
                <w:rFonts w:hAnsi="宋体"/>
                <w:bCs/>
                <w:color w:val="auto"/>
                <w:highlight w:val="none"/>
              </w:rPr>
            </w:pPr>
            <w:r>
              <w:rPr>
                <w:rFonts w:hint="eastAsia" w:hAnsi="宋体"/>
                <w:bCs/>
                <w:color w:val="auto"/>
                <w:highlight w:val="none"/>
              </w:rPr>
              <w:t>评审因素：课题研究的新描述、新思路、新观点。</w:t>
            </w:r>
          </w:p>
          <w:p>
            <w:pPr>
              <w:pStyle w:val="18"/>
              <w:spacing w:line="360" w:lineRule="exact"/>
              <w:rPr>
                <w:rFonts w:hAnsi="宋体"/>
                <w:bCs/>
                <w:color w:val="auto"/>
                <w:highlight w:val="none"/>
              </w:rPr>
            </w:pPr>
            <w:r>
              <w:rPr>
                <w:rFonts w:hint="eastAsia" w:hAnsi="宋体"/>
                <w:bCs/>
                <w:color w:val="auto"/>
                <w:highlight w:val="none"/>
              </w:rPr>
              <w:t>一档（3分）：移植他人思路，低水平重复且无创新点；</w:t>
            </w:r>
          </w:p>
          <w:p>
            <w:pPr>
              <w:pStyle w:val="18"/>
              <w:spacing w:line="360" w:lineRule="exact"/>
              <w:rPr>
                <w:rFonts w:hAnsi="宋体"/>
                <w:bCs/>
                <w:color w:val="auto"/>
                <w:highlight w:val="none"/>
              </w:rPr>
            </w:pPr>
            <w:r>
              <w:rPr>
                <w:rFonts w:hint="eastAsia" w:hAnsi="宋体"/>
                <w:bCs/>
                <w:color w:val="auto"/>
                <w:highlight w:val="none"/>
              </w:rPr>
              <w:t>二档（6分）：部分移植他人思路，解决常规问题，有1个创新点；</w:t>
            </w:r>
          </w:p>
          <w:p>
            <w:pPr>
              <w:pStyle w:val="18"/>
              <w:spacing w:line="360" w:lineRule="exact"/>
              <w:rPr>
                <w:rFonts w:hAnsi="宋体"/>
                <w:bCs/>
                <w:color w:val="auto"/>
                <w:highlight w:val="none"/>
              </w:rPr>
            </w:pPr>
            <w:r>
              <w:rPr>
                <w:rFonts w:hint="eastAsia" w:hAnsi="宋体"/>
                <w:bCs/>
                <w:color w:val="auto"/>
                <w:highlight w:val="none"/>
              </w:rPr>
              <w:t>三档（9分）：一般性思路，有2个创新点；</w:t>
            </w:r>
          </w:p>
          <w:p>
            <w:pPr>
              <w:pStyle w:val="18"/>
              <w:spacing w:line="360" w:lineRule="exact"/>
              <w:rPr>
                <w:rFonts w:hAnsi="宋体"/>
                <w:bCs/>
                <w:color w:val="auto"/>
                <w:highlight w:val="none"/>
              </w:rPr>
            </w:pPr>
            <w:r>
              <w:rPr>
                <w:rFonts w:hint="eastAsia" w:hAnsi="宋体"/>
                <w:bCs/>
                <w:color w:val="auto"/>
                <w:highlight w:val="none"/>
              </w:rPr>
              <w:t>四档（12分）：有一定的新描述、新思路、新观点，有3个创新点；</w:t>
            </w:r>
          </w:p>
          <w:p>
            <w:pPr>
              <w:pStyle w:val="18"/>
              <w:spacing w:line="360" w:lineRule="exact"/>
              <w:rPr>
                <w:rFonts w:hAnsi="宋体"/>
                <w:bCs/>
                <w:color w:val="auto"/>
                <w:highlight w:val="none"/>
              </w:rPr>
            </w:pPr>
            <w:r>
              <w:rPr>
                <w:rFonts w:hint="eastAsia" w:hAnsi="宋体"/>
                <w:bCs/>
                <w:color w:val="auto"/>
                <w:highlight w:val="none"/>
              </w:rPr>
              <w:t>五档（15分）：全新思路，有4个及以上创新点，或创新点鲜明突出。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jc w:val="center"/>
              <w:textAlignment w:val="baseline"/>
              <w:rPr>
                <w:b/>
                <w:bCs/>
                <w:color w:val="auto"/>
                <w:szCs w:val="21"/>
                <w:highlight w:val="none"/>
              </w:rPr>
            </w:pPr>
          </w:p>
        </w:tc>
        <w:tc>
          <w:tcPr>
            <w:tcW w:w="987" w:type="dxa"/>
            <w:vAlign w:val="center"/>
          </w:tcPr>
          <w:p>
            <w:pPr>
              <w:pStyle w:val="18"/>
              <w:spacing w:line="360" w:lineRule="exact"/>
              <w:rPr>
                <w:rFonts w:hAnsi="宋体"/>
                <w:b/>
                <w:color w:val="auto"/>
                <w:highlight w:val="none"/>
              </w:rPr>
            </w:pPr>
            <w:r>
              <w:rPr>
                <w:rFonts w:hint="eastAsia" w:hAnsi="宋体"/>
                <w:b/>
                <w:color w:val="auto"/>
                <w:highlight w:val="none"/>
              </w:rPr>
              <w:t>2.4理论联系实际（15分）</w:t>
            </w:r>
          </w:p>
        </w:tc>
        <w:tc>
          <w:tcPr>
            <w:tcW w:w="8229" w:type="dxa"/>
            <w:vAlign w:val="center"/>
          </w:tcPr>
          <w:p>
            <w:pPr>
              <w:pStyle w:val="18"/>
              <w:spacing w:line="360" w:lineRule="exact"/>
              <w:rPr>
                <w:rFonts w:hAnsi="宋体"/>
                <w:bCs/>
                <w:color w:val="auto"/>
                <w:highlight w:val="none"/>
              </w:rPr>
            </w:pPr>
            <w:r>
              <w:rPr>
                <w:rFonts w:hint="eastAsia" w:hAnsi="宋体"/>
                <w:bCs/>
                <w:color w:val="auto"/>
                <w:highlight w:val="none"/>
              </w:rPr>
              <w:t>评审因素：对策建议是否具有可行性和可操作性。</w:t>
            </w:r>
          </w:p>
          <w:p>
            <w:pPr>
              <w:pStyle w:val="18"/>
              <w:spacing w:line="360" w:lineRule="exact"/>
              <w:rPr>
                <w:rFonts w:hAnsi="宋体"/>
                <w:bCs/>
                <w:color w:val="auto"/>
                <w:highlight w:val="none"/>
              </w:rPr>
            </w:pPr>
            <w:r>
              <w:rPr>
                <w:rFonts w:hint="eastAsia" w:hAnsi="宋体"/>
                <w:bCs/>
                <w:color w:val="auto"/>
                <w:highlight w:val="none"/>
              </w:rPr>
              <w:t>一档（3分）：对策建议不实，无可行性和可操作性；</w:t>
            </w:r>
          </w:p>
          <w:p>
            <w:pPr>
              <w:pStyle w:val="18"/>
              <w:spacing w:line="360" w:lineRule="exact"/>
              <w:rPr>
                <w:rFonts w:hAnsi="宋体"/>
                <w:bCs/>
                <w:color w:val="auto"/>
                <w:highlight w:val="none"/>
              </w:rPr>
            </w:pPr>
            <w:r>
              <w:rPr>
                <w:rFonts w:hint="eastAsia" w:hAnsi="宋体"/>
                <w:bCs/>
                <w:color w:val="auto"/>
                <w:highlight w:val="none"/>
              </w:rPr>
              <w:t>二档（6分）：对策建议的可行性和可操作性一般；</w:t>
            </w:r>
          </w:p>
          <w:p>
            <w:pPr>
              <w:pStyle w:val="18"/>
              <w:spacing w:line="360" w:lineRule="exact"/>
              <w:rPr>
                <w:rFonts w:hAnsi="宋体"/>
                <w:bCs/>
                <w:color w:val="auto"/>
                <w:highlight w:val="none"/>
              </w:rPr>
            </w:pPr>
            <w:r>
              <w:rPr>
                <w:rFonts w:hint="eastAsia" w:hAnsi="宋体"/>
                <w:bCs/>
                <w:color w:val="auto"/>
                <w:highlight w:val="none"/>
              </w:rPr>
              <w:t>三档（9分）：对策建议的可行性和可操作性基本符合课题研究；</w:t>
            </w:r>
          </w:p>
          <w:p>
            <w:pPr>
              <w:pStyle w:val="18"/>
              <w:spacing w:line="360" w:lineRule="exact"/>
              <w:rPr>
                <w:rFonts w:hAnsi="宋体"/>
                <w:bCs/>
                <w:color w:val="auto"/>
                <w:highlight w:val="none"/>
              </w:rPr>
            </w:pPr>
            <w:r>
              <w:rPr>
                <w:rFonts w:hint="eastAsia" w:hAnsi="宋体"/>
                <w:bCs/>
                <w:color w:val="auto"/>
                <w:highlight w:val="none"/>
              </w:rPr>
              <w:t>四档（12分）：对策建议对课题研究有较强的可行性和可操作性；</w:t>
            </w:r>
          </w:p>
          <w:p>
            <w:pPr>
              <w:pStyle w:val="18"/>
              <w:spacing w:line="360" w:lineRule="exact"/>
              <w:rPr>
                <w:rFonts w:hAnsi="宋体"/>
                <w:bCs/>
                <w:color w:val="auto"/>
                <w:highlight w:val="none"/>
              </w:rPr>
            </w:pPr>
            <w:r>
              <w:rPr>
                <w:rFonts w:hint="eastAsia" w:hAnsi="宋体"/>
                <w:bCs/>
                <w:color w:val="auto"/>
                <w:highlight w:val="none"/>
              </w:rPr>
              <w:t>五档（15分）：对策建议具有很强的可行性和可操作性，充分贴合课题研究。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restart"/>
            <w:vAlign w:val="center"/>
          </w:tcPr>
          <w:p>
            <w:pPr>
              <w:adjustRightInd w:val="0"/>
              <w:spacing w:line="420" w:lineRule="exact"/>
              <w:jc w:val="center"/>
              <w:textAlignment w:val="baseline"/>
              <w:rPr>
                <w:b/>
                <w:bCs/>
                <w:color w:val="auto"/>
                <w:szCs w:val="21"/>
                <w:highlight w:val="none"/>
              </w:rPr>
            </w:pPr>
            <w:r>
              <w:rPr>
                <w:rFonts w:hint="eastAsia"/>
                <w:b/>
                <w:bCs/>
                <w:color w:val="auto"/>
                <w:szCs w:val="21"/>
                <w:highlight w:val="none"/>
              </w:rPr>
              <w:t>3</w:t>
            </w:r>
          </w:p>
        </w:tc>
        <w:tc>
          <w:tcPr>
            <w:tcW w:w="9216" w:type="dxa"/>
            <w:gridSpan w:val="2"/>
            <w:vAlign w:val="center"/>
          </w:tcPr>
          <w:p>
            <w:pPr>
              <w:pStyle w:val="18"/>
              <w:spacing w:line="360" w:lineRule="exact"/>
              <w:rPr>
                <w:rFonts w:hAnsi="宋体"/>
                <w:bCs/>
                <w:color w:val="auto"/>
                <w:highlight w:val="none"/>
              </w:rPr>
            </w:pPr>
            <w:r>
              <w:rPr>
                <w:rFonts w:hint="eastAsia" w:hAnsi="宋体"/>
                <w:b/>
                <w:bCs/>
                <w:color w:val="auto"/>
                <w:highlight w:val="none"/>
              </w:rPr>
              <w:t>专业能力（满分25分）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74" w:type="dxa"/>
            <w:vMerge w:val="continue"/>
            <w:vAlign w:val="center"/>
          </w:tcPr>
          <w:p>
            <w:pPr>
              <w:adjustRightInd w:val="0"/>
              <w:spacing w:line="420" w:lineRule="exact"/>
              <w:jc w:val="center"/>
              <w:textAlignment w:val="baseline"/>
              <w:rPr>
                <w:rFonts w:ascii="宋体" w:hAnsi="宋体" w:cs="宋体"/>
                <w:b/>
                <w:color w:val="auto"/>
                <w:szCs w:val="21"/>
                <w:highlight w:val="none"/>
              </w:rPr>
            </w:pPr>
          </w:p>
        </w:tc>
        <w:tc>
          <w:tcPr>
            <w:tcW w:w="9216" w:type="dxa"/>
            <w:gridSpan w:val="2"/>
            <w:vAlign w:val="center"/>
          </w:tcPr>
          <w:p>
            <w:pPr>
              <w:pStyle w:val="18"/>
              <w:spacing w:line="360" w:lineRule="exact"/>
              <w:rPr>
                <w:rFonts w:hAnsi="宋体"/>
                <w:bCs/>
                <w:color w:val="auto"/>
                <w:highlight w:val="none"/>
              </w:rPr>
            </w:pPr>
            <w:r>
              <w:rPr>
                <w:rFonts w:hint="eastAsia" w:hAnsi="宋体"/>
                <w:bCs/>
                <w:color w:val="auto"/>
                <w:highlight w:val="none"/>
              </w:rPr>
              <w:t>（1）课题负责人（8分）</w:t>
            </w:r>
          </w:p>
          <w:p>
            <w:pPr>
              <w:pStyle w:val="18"/>
              <w:spacing w:line="360" w:lineRule="exact"/>
              <w:ind w:firstLine="420" w:firstLineChars="200"/>
              <w:rPr>
                <w:rFonts w:hAnsi="宋体"/>
                <w:bCs/>
                <w:color w:val="auto"/>
                <w:highlight w:val="none"/>
              </w:rPr>
            </w:pPr>
            <w:r>
              <w:rPr>
                <w:rFonts w:hint="eastAsia" w:hAnsi="宋体"/>
                <w:bCs/>
                <w:color w:val="auto"/>
                <w:highlight w:val="none"/>
              </w:rPr>
              <w:t>一档（2分）：前期研究成果与课题研究领域无关联，从未牵头或参与过相关课题研究，完全不具备相关专业水平和科研能力；</w:t>
            </w:r>
          </w:p>
          <w:p>
            <w:pPr>
              <w:pStyle w:val="18"/>
              <w:spacing w:line="360" w:lineRule="exact"/>
              <w:ind w:firstLine="420" w:firstLineChars="200"/>
              <w:rPr>
                <w:rFonts w:hAnsi="宋体"/>
                <w:bCs/>
                <w:color w:val="auto"/>
                <w:highlight w:val="none"/>
              </w:rPr>
            </w:pPr>
            <w:r>
              <w:rPr>
                <w:rFonts w:hint="eastAsia" w:hAnsi="宋体"/>
                <w:bCs/>
                <w:color w:val="auto"/>
                <w:highlight w:val="none"/>
              </w:rPr>
              <w:t>二档（5分）：前期研究成果与课题研究领域有关联较少，牵头和参与过1项相关课题研究，专业水平和科研能力较低；</w:t>
            </w:r>
          </w:p>
          <w:p>
            <w:pPr>
              <w:pStyle w:val="18"/>
              <w:spacing w:line="360" w:lineRule="exact"/>
              <w:ind w:firstLine="420" w:firstLineChars="200"/>
              <w:rPr>
                <w:rFonts w:hAnsi="宋体"/>
                <w:bCs/>
                <w:color w:val="auto"/>
                <w:highlight w:val="none"/>
              </w:rPr>
            </w:pPr>
            <w:r>
              <w:rPr>
                <w:rFonts w:hint="eastAsia" w:hAnsi="宋体"/>
                <w:bCs/>
                <w:color w:val="auto"/>
                <w:highlight w:val="none"/>
              </w:rPr>
              <w:t>三档（8分）：前期研究成果与课题研究领域有一定关联，牵头和参与过2项相关课题研究，具备一定的相关专业水平和科研能力；</w:t>
            </w:r>
          </w:p>
          <w:p>
            <w:pPr>
              <w:pStyle w:val="18"/>
              <w:spacing w:line="360" w:lineRule="exact"/>
              <w:rPr>
                <w:rFonts w:hAnsi="宋体"/>
                <w:bCs/>
                <w:color w:val="auto"/>
                <w:highlight w:val="none"/>
              </w:rPr>
            </w:pPr>
            <w:r>
              <w:rPr>
                <w:rFonts w:hint="eastAsia" w:hAnsi="宋体"/>
                <w:bCs/>
                <w:color w:val="auto"/>
                <w:highlight w:val="none"/>
              </w:rPr>
              <w:t>（2）课题组研究人员（8分）</w:t>
            </w:r>
          </w:p>
          <w:p>
            <w:pPr>
              <w:pStyle w:val="18"/>
              <w:spacing w:line="360" w:lineRule="exact"/>
              <w:ind w:firstLine="420" w:firstLineChars="200"/>
              <w:rPr>
                <w:rFonts w:hAnsi="宋体"/>
                <w:bCs/>
                <w:color w:val="auto"/>
                <w:highlight w:val="none"/>
              </w:rPr>
            </w:pPr>
            <w:r>
              <w:rPr>
                <w:rFonts w:hint="eastAsia" w:hAnsi="宋体"/>
                <w:color w:val="auto"/>
                <w:highlight w:val="none"/>
              </w:rPr>
              <w:t>课题组（含负责人）每具备一名正高级职称</w:t>
            </w:r>
            <w:r>
              <w:rPr>
                <w:rFonts w:hint="eastAsia" w:hAnsi="宋体"/>
                <w:color w:val="auto"/>
                <w:highlight w:val="none"/>
                <w:lang w:eastAsia="zh-CN"/>
              </w:rPr>
              <w:t>或博士学位</w:t>
            </w:r>
            <w:r>
              <w:rPr>
                <w:rFonts w:hint="eastAsia" w:hAnsi="宋体"/>
                <w:color w:val="auto"/>
                <w:highlight w:val="none"/>
              </w:rPr>
              <w:t>的成员得2分，每具备一名高级职称或</w:t>
            </w:r>
            <w:r>
              <w:rPr>
                <w:rFonts w:hint="eastAsia" w:hAnsi="宋体"/>
                <w:color w:val="auto"/>
                <w:highlight w:val="none"/>
                <w:lang w:eastAsia="zh-CN"/>
              </w:rPr>
              <w:t>硕士</w:t>
            </w:r>
            <w:r>
              <w:rPr>
                <w:rFonts w:hint="eastAsia" w:hAnsi="宋体"/>
                <w:color w:val="auto"/>
                <w:highlight w:val="none"/>
              </w:rPr>
              <w:t>学位的成员名得1分，每具备一名中级职称或</w:t>
            </w:r>
            <w:r>
              <w:rPr>
                <w:rFonts w:hint="eastAsia" w:hAnsi="宋体"/>
                <w:color w:val="auto"/>
                <w:highlight w:val="none"/>
                <w:lang w:eastAsia="zh-CN"/>
              </w:rPr>
              <w:t>学士</w:t>
            </w:r>
            <w:r>
              <w:rPr>
                <w:rFonts w:hint="eastAsia" w:hAnsi="宋体"/>
                <w:color w:val="auto"/>
                <w:highlight w:val="none"/>
              </w:rPr>
              <w:t>学位的成员名得0.5分，满分8分。</w:t>
            </w:r>
          </w:p>
          <w:p>
            <w:pPr>
              <w:pStyle w:val="18"/>
              <w:spacing w:line="360" w:lineRule="exact"/>
              <w:rPr>
                <w:rFonts w:hAnsi="宋体"/>
                <w:bCs/>
                <w:color w:val="auto"/>
                <w:highlight w:val="none"/>
              </w:rPr>
            </w:pPr>
            <w:r>
              <w:rPr>
                <w:rFonts w:hint="eastAsia" w:hAnsi="宋体"/>
                <w:bCs/>
                <w:color w:val="auto"/>
                <w:highlight w:val="none"/>
              </w:rPr>
              <w:t>（3）课题组业绩（5分）</w:t>
            </w:r>
          </w:p>
          <w:p>
            <w:pPr>
              <w:pStyle w:val="18"/>
              <w:spacing w:line="360" w:lineRule="exact"/>
              <w:ind w:firstLine="420" w:firstLineChars="200"/>
              <w:rPr>
                <w:rFonts w:hAnsi="宋体"/>
                <w:color w:val="auto"/>
                <w:highlight w:val="none"/>
              </w:rPr>
            </w:pPr>
            <w:r>
              <w:rPr>
                <w:rFonts w:hint="eastAsia" w:hAnsi="宋体"/>
                <w:color w:val="auto"/>
                <w:highlight w:val="none"/>
              </w:rPr>
              <w:t xml:space="preserve">一档（2分）：项目研究人员均未参与过相关课题研究，不具备专业水平和科研能力，研究队伍结构单一；                          </w:t>
            </w:r>
          </w:p>
          <w:p>
            <w:pPr>
              <w:pStyle w:val="18"/>
              <w:spacing w:line="360" w:lineRule="exact"/>
              <w:ind w:firstLine="420" w:firstLineChars="200"/>
              <w:rPr>
                <w:rFonts w:hAnsi="宋体"/>
                <w:color w:val="auto"/>
                <w:highlight w:val="none"/>
              </w:rPr>
            </w:pPr>
            <w:r>
              <w:rPr>
                <w:rFonts w:hint="eastAsia" w:hAnsi="宋体"/>
                <w:color w:val="auto"/>
                <w:highlight w:val="none"/>
              </w:rPr>
              <w:t>二档（3分）：项目研究人员有1人参与过相关课题研究，专业水平和科研能力较差，研究队伍专业结构不够合理；</w:t>
            </w:r>
          </w:p>
          <w:p>
            <w:pPr>
              <w:pStyle w:val="18"/>
              <w:spacing w:line="360" w:lineRule="exact"/>
              <w:ind w:firstLine="420" w:firstLineChars="200"/>
              <w:rPr>
                <w:rFonts w:hAnsi="宋体"/>
                <w:color w:val="auto"/>
                <w:highlight w:val="none"/>
              </w:rPr>
            </w:pPr>
            <w:r>
              <w:rPr>
                <w:rFonts w:hint="eastAsia" w:hAnsi="宋体"/>
                <w:color w:val="auto"/>
                <w:highlight w:val="none"/>
              </w:rPr>
              <w:t>三档（4分）：项目研究人员有2人参与过相关课题研究，专业水平和科研能力一般，研究队伍专业结构合理；</w:t>
            </w:r>
          </w:p>
          <w:p>
            <w:pPr>
              <w:pStyle w:val="18"/>
              <w:spacing w:line="360" w:lineRule="exact"/>
              <w:ind w:firstLine="420" w:firstLineChars="200"/>
              <w:rPr>
                <w:rFonts w:hAnsi="宋体"/>
                <w:color w:val="auto"/>
                <w:highlight w:val="none"/>
              </w:rPr>
            </w:pPr>
            <w:r>
              <w:rPr>
                <w:rFonts w:hint="eastAsia" w:hAnsi="宋体"/>
                <w:color w:val="auto"/>
                <w:highlight w:val="none"/>
              </w:rPr>
              <w:t>四档（5分）：项目研究人员有3人参与过相关课题研究，专业水平和科研能力较好，研究队伍专业结构比较合理；</w:t>
            </w:r>
          </w:p>
          <w:p>
            <w:pPr>
              <w:pStyle w:val="132"/>
              <w:spacing w:line="360" w:lineRule="exact"/>
              <w:jc w:val="left"/>
              <w:rPr>
                <w:rFonts w:ascii="宋体" w:hAnsi="宋体" w:cs="宋体"/>
                <w:bCs/>
                <w:color w:val="auto"/>
                <w:highlight w:val="none"/>
              </w:rPr>
            </w:pPr>
            <w:r>
              <w:rPr>
                <w:rFonts w:hint="eastAsia" w:ascii="宋体" w:hAnsi="宋体" w:cs="宋体"/>
                <w:bCs/>
                <w:color w:val="auto"/>
                <w:highlight w:val="none"/>
              </w:rPr>
              <w:t>（4）课题组团队（4分）</w:t>
            </w:r>
          </w:p>
          <w:p>
            <w:pPr>
              <w:pStyle w:val="18"/>
              <w:spacing w:line="360" w:lineRule="exact"/>
              <w:ind w:firstLine="420" w:firstLineChars="200"/>
              <w:rPr>
                <w:rFonts w:hAnsi="宋体"/>
                <w:color w:val="auto"/>
                <w:highlight w:val="none"/>
              </w:rPr>
            </w:pPr>
            <w:r>
              <w:rPr>
                <w:rFonts w:hint="eastAsia" w:hAnsi="宋体"/>
                <w:color w:val="auto"/>
                <w:highlight w:val="none"/>
              </w:rPr>
              <w:t>课题组团队（含负责人）人员人数为20人（含）以上得4分，人数为12（含）-20人的得3分，人数为6（含）-12人的得2分，人数不足6人的得0分。</w:t>
            </w:r>
          </w:p>
          <w:p>
            <w:pPr>
              <w:pStyle w:val="18"/>
              <w:spacing w:line="360" w:lineRule="exact"/>
              <w:ind w:firstLine="420" w:firstLineChars="200"/>
              <w:rPr>
                <w:rFonts w:hAnsi="宋体"/>
                <w:color w:val="auto"/>
                <w:highlight w:val="none"/>
              </w:rPr>
            </w:pPr>
            <w:r>
              <w:rPr>
                <w:rFonts w:hint="eastAsia" w:hAnsi="宋体"/>
                <w:color w:val="auto"/>
                <w:highlight w:val="none"/>
              </w:rPr>
              <w:t>（课题组团队（含负责人）成员须为本单位人员，需提供投标文件递交截止时间前6个月内任意1个月的社保缴费证明截图，否则不得分。）</w:t>
            </w:r>
          </w:p>
          <w:p>
            <w:pPr>
              <w:pStyle w:val="18"/>
              <w:spacing w:line="360" w:lineRule="exact"/>
              <w:ind w:firstLine="422" w:firstLineChars="200"/>
              <w:rPr>
                <w:rFonts w:hAnsi="宋体" w:cs="宋体"/>
                <w:bCs/>
                <w:color w:val="auto"/>
                <w:szCs w:val="21"/>
                <w:highlight w:val="none"/>
              </w:rPr>
            </w:pPr>
            <w:r>
              <w:rPr>
                <w:rFonts w:hint="eastAsia" w:hAnsi="宋体"/>
                <w:b/>
                <w:color w:val="auto"/>
                <w:highlight w:val="none"/>
              </w:rPr>
              <w:t>注：如开展过相关课题研究的，需提供相关课题研究结题证书、研究成果相关奖项、项目任务书等证明材料之一，未提供的按一档计分。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74" w:type="dxa"/>
            <w:vMerge w:val="restart"/>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4</w:t>
            </w:r>
          </w:p>
        </w:tc>
        <w:tc>
          <w:tcPr>
            <w:tcW w:w="9216" w:type="dxa"/>
            <w:gridSpan w:val="2"/>
            <w:vAlign w:val="center"/>
          </w:tcPr>
          <w:p>
            <w:pPr>
              <w:spacing w:line="420" w:lineRule="exact"/>
              <w:ind w:firstLine="211" w:firstLineChars="100"/>
              <w:jc w:val="left"/>
              <w:rPr>
                <w:rFonts w:hAnsi="宋体"/>
                <w:b/>
                <w:bCs/>
                <w:color w:val="auto"/>
                <w:highlight w:val="none"/>
              </w:rPr>
            </w:pPr>
            <w:r>
              <w:rPr>
                <w:rFonts w:hint="eastAsia" w:hAnsi="宋体"/>
                <w:b/>
                <w:color w:val="auto"/>
                <w:highlight w:val="none"/>
              </w:rPr>
              <w:t>商务分（满分15分）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74" w:type="dxa"/>
            <w:vMerge w:val="continue"/>
            <w:vAlign w:val="center"/>
          </w:tcPr>
          <w:p>
            <w:pPr>
              <w:adjustRightInd w:val="0"/>
              <w:spacing w:line="420" w:lineRule="exact"/>
              <w:jc w:val="center"/>
              <w:textAlignment w:val="baseline"/>
              <w:rPr>
                <w:rFonts w:ascii="宋体" w:hAnsi="宋体" w:cs="宋体"/>
                <w:b/>
                <w:color w:val="auto"/>
                <w:szCs w:val="21"/>
                <w:highlight w:val="none"/>
              </w:rPr>
            </w:pPr>
          </w:p>
        </w:tc>
        <w:tc>
          <w:tcPr>
            <w:tcW w:w="9216" w:type="dxa"/>
            <w:gridSpan w:val="2"/>
            <w:vAlign w:val="center"/>
          </w:tcPr>
          <w:p>
            <w:pPr>
              <w:spacing w:line="420" w:lineRule="exact"/>
              <w:ind w:firstLine="210" w:firstLineChars="100"/>
              <w:jc w:val="left"/>
              <w:rPr>
                <w:rFonts w:hAnsi="宋体"/>
                <w:color w:val="auto"/>
                <w:highlight w:val="none"/>
              </w:rPr>
            </w:pPr>
            <w:r>
              <w:rPr>
                <w:rFonts w:hint="eastAsia" w:hAnsi="宋体"/>
                <w:color w:val="auto"/>
                <w:highlight w:val="none"/>
              </w:rPr>
              <w:t>（1）信誉能力分（15分）</w:t>
            </w:r>
          </w:p>
          <w:p>
            <w:pPr>
              <w:spacing w:line="420" w:lineRule="exact"/>
              <w:ind w:firstLine="210" w:firstLineChars="100"/>
              <w:jc w:val="left"/>
              <w:rPr>
                <w:color w:val="auto"/>
                <w:highlight w:val="none"/>
              </w:rPr>
            </w:pPr>
            <w:r>
              <w:rPr>
                <w:rFonts w:hint="eastAsia" w:hAnsi="宋体"/>
                <w:color w:val="auto"/>
                <w:highlight w:val="none"/>
              </w:rPr>
              <w:t>供应商经营中获得相关认证等荣誉的（如质量管理体系认证、新型产业技术研究机构认定等），每提供一项得3分，满分15分。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0" w:type="dxa"/>
            <w:gridSpan w:val="3"/>
            <w:vAlign w:val="center"/>
          </w:tcPr>
          <w:p>
            <w:pPr>
              <w:pStyle w:val="18"/>
              <w:spacing w:line="420" w:lineRule="exact"/>
              <w:rPr>
                <w:rFonts w:hAnsi="宋体" w:cs="宋体"/>
                <w:bCs/>
                <w:color w:val="auto"/>
                <w:szCs w:val="21"/>
                <w:highlight w:val="none"/>
              </w:rPr>
            </w:pPr>
            <w:r>
              <w:rPr>
                <w:rFonts w:hint="eastAsia" w:hAnsi="宋体" w:cs="宋体"/>
                <w:b/>
                <w:bCs/>
                <w:color w:val="auto"/>
                <w:szCs w:val="21"/>
                <w:highlight w:val="none"/>
              </w:rPr>
              <w:t>总得分=1+2+3+4。</w:t>
            </w:r>
          </w:p>
        </w:tc>
      </w:tr>
    </w:tbl>
    <w:p>
      <w:pPr>
        <w:rPr>
          <w:rFonts w:hAnsi="宋体"/>
          <w:bCs/>
          <w:color w:val="auto"/>
          <w:highlight w:val="none"/>
        </w:rPr>
      </w:pPr>
      <w:r>
        <w:rPr>
          <w:rFonts w:hint="eastAsia" w:hAnsi="宋体"/>
          <w:bCs/>
          <w:color w:val="auto"/>
          <w:highlight w:val="none"/>
        </w:rPr>
        <w:br w:type="page"/>
      </w:r>
    </w:p>
    <w:tbl>
      <w:tblPr>
        <w:tblStyle w:val="34"/>
        <w:tblW w:w="10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987"/>
        <w:gridCol w:w="150"/>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090" w:type="dxa"/>
            <w:gridSpan w:val="4"/>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分标11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74"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序号</w:t>
            </w:r>
          </w:p>
        </w:tc>
        <w:tc>
          <w:tcPr>
            <w:tcW w:w="987"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评审因素</w:t>
            </w:r>
          </w:p>
        </w:tc>
        <w:tc>
          <w:tcPr>
            <w:tcW w:w="8229" w:type="dxa"/>
            <w:gridSpan w:val="2"/>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3" w:hRule="atLeast"/>
          <w:jc w:val="center"/>
        </w:trPr>
        <w:tc>
          <w:tcPr>
            <w:tcW w:w="874"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1</w:t>
            </w:r>
          </w:p>
        </w:tc>
        <w:tc>
          <w:tcPr>
            <w:tcW w:w="987"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价格分（满分30分）</w:t>
            </w:r>
          </w:p>
        </w:tc>
        <w:tc>
          <w:tcPr>
            <w:tcW w:w="8229" w:type="dxa"/>
            <w:gridSpan w:val="2"/>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（1）以进入比较与评价环节的最低的评审价为基准价，基准价得分</w:t>
            </w:r>
            <w:r>
              <w:rPr>
                <w:rFonts w:hint="eastAsia"/>
                <w:color w:val="auto"/>
                <w:szCs w:val="21"/>
                <w:highlight w:val="none"/>
              </w:rPr>
              <w:t>30</w:t>
            </w:r>
            <w:r>
              <w:rPr>
                <w:rFonts w:hint="eastAsia" w:ascii="宋体" w:hAnsi="宋体" w:cs="宋体"/>
                <w:color w:val="auto"/>
                <w:szCs w:val="21"/>
                <w:highlight w:val="none"/>
              </w:rPr>
              <w:t>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（2）价格分计算公式：某供应商报价得分＝（基准价/某供应商评审价）×</w:t>
            </w:r>
            <w:r>
              <w:rPr>
                <w:rFonts w:hint="eastAsia"/>
                <w:color w:val="auto"/>
                <w:szCs w:val="21"/>
                <w:highlight w:val="none"/>
              </w:rPr>
              <w:t>30</w:t>
            </w:r>
            <w:r>
              <w:rPr>
                <w:rFonts w:hint="eastAsia" w:ascii="宋体" w:hAnsi="宋体" w:cs="宋体"/>
                <w:color w:val="auto"/>
                <w:szCs w:val="21"/>
                <w:highlight w:val="none"/>
              </w:rPr>
              <w:t>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（3）政策性扣除计算方法。</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①</w:t>
            </w:r>
            <w:r>
              <w:rPr>
                <w:rFonts w:hint="eastAsia" w:ascii="宋体" w:hAnsi="宋体" w:cs="宋体"/>
                <w:bCs/>
                <w:color w:val="auto"/>
                <w:szCs w:val="21"/>
                <w:highlight w:val="none"/>
              </w:rPr>
              <w:t>评审价为</w:t>
            </w:r>
            <w:r>
              <w:rPr>
                <w:rFonts w:hint="eastAsia" w:ascii="宋体" w:hAnsi="宋体" w:cs="宋体"/>
                <w:color w:val="auto"/>
                <w:szCs w:val="21"/>
                <w:highlight w:val="none"/>
              </w:rPr>
              <w:t>供应商</w:t>
            </w:r>
            <w:r>
              <w:rPr>
                <w:rFonts w:hint="eastAsia" w:ascii="宋体" w:hAnsi="宋体" w:cs="宋体"/>
                <w:bCs/>
                <w:color w:val="auto"/>
                <w:szCs w:val="21"/>
                <w:highlight w:val="none"/>
              </w:rPr>
              <w:t>的响应报价进行政策性扣除后的价格，评审价只是作为评标时使用。最终</w:t>
            </w:r>
            <w:r>
              <w:rPr>
                <w:rFonts w:hint="eastAsia" w:ascii="宋体" w:hAnsi="宋体" w:cs="宋体"/>
                <w:color w:val="auto"/>
                <w:szCs w:val="21"/>
                <w:highlight w:val="none"/>
              </w:rPr>
              <w:t>供应商</w:t>
            </w:r>
            <w:r>
              <w:rPr>
                <w:rFonts w:hint="eastAsia" w:ascii="宋体" w:hAnsi="宋体" w:cs="宋体"/>
                <w:bCs/>
                <w:color w:val="auto"/>
                <w:szCs w:val="21"/>
                <w:highlight w:val="none"/>
              </w:rPr>
              <w:t>的成交金额等于最终报价。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参照《政府采购促进中小企业发展管理办法》（财库〔2020〕46号）及《广西壮族自治区财政厅关于进一步发挥政府采购政采功能促进企业发展的通知》（桂财采〔2022〕30号）的规定，供应商在其响应文件中提供《中小企业声明函》，且其竞标产品或服务均由小微企业提供的，对供应商的竞标报价给予20%的扣除，扣除后的价格为评审价，即评审价=竞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审价，即评审价=竞标报价×（1-6%）。</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③参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④参照《关于促进残疾人就业政府采购政策的通知》（财库〔2017〕141号）的规定，残疾人福利性单位视同小型、微型企业，享受预留份额、评审中价格扣除等促进中小企业发展的采购政策。残疾人福利性单位参加采购活动时，应当提供该通知规定的《残疾人福利性单位声明函》，并对声明的真实性负责。残疾人福利性单位属于小型、微型企业的，不重复享受政策。</w:t>
            </w:r>
          </w:p>
          <w:p>
            <w:pPr>
              <w:pStyle w:val="132"/>
              <w:ind w:firstLine="420" w:firstLineChars="200"/>
              <w:rPr>
                <w:rFonts w:ascii="宋体" w:hAnsi="宋体" w:cs="宋体"/>
                <w:bCs/>
                <w:color w:val="auto"/>
                <w:szCs w:val="21"/>
                <w:highlight w:val="none"/>
              </w:rPr>
            </w:pPr>
            <w:r>
              <w:rPr>
                <w:rFonts w:hint="eastAsia" w:ascii="宋体" w:hAnsi="宋体" w:cs="宋体"/>
                <w:color w:val="auto"/>
                <w:szCs w:val="21"/>
                <w:highlight w:val="none"/>
              </w:rPr>
              <w:t>⑤除上述情况外，评审价＝最后报价。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restart"/>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2</w:t>
            </w:r>
          </w:p>
        </w:tc>
        <w:tc>
          <w:tcPr>
            <w:tcW w:w="9216" w:type="dxa"/>
            <w:gridSpan w:val="3"/>
            <w:vAlign w:val="center"/>
          </w:tcPr>
          <w:p>
            <w:pPr>
              <w:pStyle w:val="132"/>
              <w:jc w:val="left"/>
              <w:rPr>
                <w:rFonts w:ascii="宋体" w:hAnsi="宋体" w:cs="宋体"/>
                <w:color w:val="auto"/>
                <w:szCs w:val="21"/>
                <w:highlight w:val="none"/>
              </w:rPr>
            </w:pPr>
            <w:r>
              <w:rPr>
                <w:rFonts w:hint="eastAsia"/>
                <w:b/>
                <w:bCs/>
                <w:color w:val="auto"/>
                <w:szCs w:val="21"/>
                <w:highlight w:val="none"/>
              </w:rPr>
              <w:t>课题研究大纲（满分55分）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74" w:type="dxa"/>
            <w:vMerge w:val="continue"/>
            <w:vAlign w:val="center"/>
          </w:tcPr>
          <w:p>
            <w:pPr>
              <w:adjustRightInd w:val="0"/>
              <w:spacing w:line="420" w:lineRule="exact"/>
              <w:textAlignment w:val="baseline"/>
              <w:rPr>
                <w:b/>
                <w:bCs/>
                <w:color w:val="auto"/>
                <w:szCs w:val="21"/>
                <w:highlight w:val="none"/>
              </w:rPr>
            </w:pPr>
          </w:p>
        </w:tc>
        <w:tc>
          <w:tcPr>
            <w:tcW w:w="987" w:type="dxa"/>
            <w:vAlign w:val="center"/>
          </w:tcPr>
          <w:p>
            <w:pPr>
              <w:pStyle w:val="18"/>
              <w:spacing w:line="360" w:lineRule="exact"/>
              <w:rPr>
                <w:rFonts w:hAnsi="宋体"/>
                <w:b/>
                <w:bCs/>
                <w:color w:val="auto"/>
                <w:highlight w:val="none"/>
              </w:rPr>
            </w:pPr>
            <w:r>
              <w:rPr>
                <w:rFonts w:hint="eastAsia" w:hAnsi="宋体"/>
                <w:b/>
                <w:bCs/>
                <w:color w:val="auto"/>
                <w:highlight w:val="none"/>
              </w:rPr>
              <w:t>2.1研究方向（10分）</w:t>
            </w:r>
          </w:p>
          <w:p>
            <w:pPr>
              <w:pStyle w:val="18"/>
              <w:spacing w:line="360" w:lineRule="exact"/>
              <w:rPr>
                <w:rFonts w:hAnsi="宋体"/>
                <w:bCs/>
                <w:color w:val="auto"/>
                <w:highlight w:val="none"/>
              </w:rPr>
            </w:pPr>
          </w:p>
        </w:tc>
        <w:tc>
          <w:tcPr>
            <w:tcW w:w="8229" w:type="dxa"/>
            <w:gridSpan w:val="2"/>
            <w:vAlign w:val="center"/>
          </w:tcPr>
          <w:p>
            <w:pPr>
              <w:pStyle w:val="18"/>
              <w:spacing w:line="360" w:lineRule="exact"/>
              <w:rPr>
                <w:rFonts w:hAnsi="宋体"/>
                <w:bCs/>
                <w:color w:val="auto"/>
                <w:highlight w:val="none"/>
              </w:rPr>
            </w:pPr>
            <w:r>
              <w:rPr>
                <w:rFonts w:hint="eastAsia" w:hAnsi="宋体"/>
                <w:bCs/>
                <w:color w:val="auto"/>
                <w:highlight w:val="none"/>
              </w:rPr>
              <w:t>评审因素：基本观点是否正确，是否紧扣课题题目，是否符合课题研究方向要求。</w:t>
            </w:r>
          </w:p>
          <w:p>
            <w:pPr>
              <w:pStyle w:val="18"/>
              <w:spacing w:line="360" w:lineRule="exact"/>
              <w:rPr>
                <w:rFonts w:hAnsi="宋体"/>
                <w:bCs/>
                <w:color w:val="auto"/>
                <w:highlight w:val="none"/>
              </w:rPr>
            </w:pPr>
            <w:r>
              <w:rPr>
                <w:rFonts w:hint="eastAsia" w:hAnsi="宋体"/>
                <w:bCs/>
                <w:color w:val="auto"/>
                <w:highlight w:val="none"/>
              </w:rPr>
              <w:t>一档（2分）：提供相关材料，但观点不正确，内容与课题题目、研究方向要求相偏离；</w:t>
            </w:r>
          </w:p>
          <w:p>
            <w:pPr>
              <w:pStyle w:val="18"/>
              <w:spacing w:line="360" w:lineRule="exact"/>
              <w:rPr>
                <w:rFonts w:hAnsi="宋体"/>
                <w:bCs/>
                <w:color w:val="auto"/>
                <w:highlight w:val="none"/>
              </w:rPr>
            </w:pPr>
            <w:r>
              <w:rPr>
                <w:rFonts w:hint="eastAsia" w:hAnsi="宋体"/>
                <w:bCs/>
                <w:color w:val="auto"/>
                <w:highlight w:val="none"/>
              </w:rPr>
              <w:t>二档（4分）：观点基本正确，内容与课题题目、研究方向要求基本符合；</w:t>
            </w:r>
          </w:p>
          <w:p>
            <w:pPr>
              <w:pStyle w:val="18"/>
              <w:spacing w:line="360" w:lineRule="exact"/>
              <w:rPr>
                <w:rFonts w:hAnsi="宋体"/>
                <w:bCs/>
                <w:color w:val="auto"/>
                <w:highlight w:val="none"/>
              </w:rPr>
            </w:pPr>
            <w:r>
              <w:rPr>
                <w:rFonts w:hint="eastAsia" w:hAnsi="宋体"/>
                <w:bCs/>
                <w:color w:val="auto"/>
                <w:highlight w:val="none"/>
              </w:rPr>
              <w:t>三档（6分）：观点较正确，内容与课题题目、研究方向要求比较符合；</w:t>
            </w:r>
          </w:p>
          <w:p>
            <w:pPr>
              <w:pStyle w:val="18"/>
              <w:spacing w:line="360" w:lineRule="exact"/>
              <w:rPr>
                <w:rFonts w:hAnsi="宋体"/>
                <w:bCs/>
                <w:color w:val="auto"/>
                <w:highlight w:val="none"/>
              </w:rPr>
            </w:pPr>
            <w:r>
              <w:rPr>
                <w:rFonts w:hint="eastAsia" w:hAnsi="宋体"/>
                <w:bCs/>
                <w:color w:val="auto"/>
                <w:highlight w:val="none"/>
              </w:rPr>
              <w:t>四档（8分）：观点正确，内容与课题题目、研究方向要求相符合；</w:t>
            </w:r>
          </w:p>
          <w:p>
            <w:pPr>
              <w:pStyle w:val="18"/>
              <w:spacing w:line="360" w:lineRule="exact"/>
              <w:rPr>
                <w:rFonts w:hAnsi="宋体"/>
                <w:bCs/>
                <w:color w:val="auto"/>
                <w:highlight w:val="none"/>
              </w:rPr>
            </w:pPr>
            <w:r>
              <w:rPr>
                <w:rFonts w:hint="eastAsia" w:hAnsi="宋体"/>
                <w:bCs/>
                <w:color w:val="auto"/>
                <w:highlight w:val="none"/>
              </w:rPr>
              <w:t>五档（10分）：观点鲜明正确，内容紧扣课题题目、课题研究方向要求。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jc w:val="center"/>
              <w:textAlignment w:val="baseline"/>
              <w:rPr>
                <w:b/>
                <w:bCs/>
                <w:color w:val="auto"/>
                <w:szCs w:val="21"/>
                <w:highlight w:val="none"/>
              </w:rPr>
            </w:pPr>
          </w:p>
        </w:tc>
        <w:tc>
          <w:tcPr>
            <w:tcW w:w="987" w:type="dxa"/>
            <w:vAlign w:val="center"/>
          </w:tcPr>
          <w:p>
            <w:pPr>
              <w:pStyle w:val="18"/>
              <w:spacing w:line="360" w:lineRule="exact"/>
              <w:rPr>
                <w:rFonts w:hAnsi="宋体"/>
                <w:b/>
                <w:bCs/>
                <w:color w:val="auto"/>
                <w:highlight w:val="none"/>
              </w:rPr>
            </w:pPr>
            <w:r>
              <w:rPr>
                <w:rFonts w:hint="eastAsia" w:hAnsi="宋体"/>
                <w:b/>
                <w:bCs/>
                <w:color w:val="auto"/>
                <w:highlight w:val="none"/>
              </w:rPr>
              <w:t>2.2内容结构（10分）</w:t>
            </w:r>
          </w:p>
          <w:p>
            <w:pPr>
              <w:pStyle w:val="18"/>
              <w:spacing w:line="360" w:lineRule="exact"/>
              <w:rPr>
                <w:rFonts w:hAnsi="宋体"/>
                <w:bCs/>
                <w:color w:val="auto"/>
                <w:highlight w:val="none"/>
              </w:rPr>
            </w:pPr>
          </w:p>
        </w:tc>
        <w:tc>
          <w:tcPr>
            <w:tcW w:w="8229" w:type="dxa"/>
            <w:gridSpan w:val="2"/>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评审因素：框架结构设计是否合理，研究思路是否清晰，是否突出对策措施，内涵分析是否抓住关键性问题。</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一档（2分）：提供相关材料，但结构混乱，研究思路不清，未突出对策措施，没有材料或数据，内涵分析未抓住关键性问题；</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二档（4分）：结构不合理，研究思路欠清，未突出对策措施，材料或数据不足，内涵分析未抓住关键性问题；</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三档（6分）：结构较合理，研究思路较清晰，对策措施不够突出，有一定的材料或数据，基本抓住关键性问题；</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四档（8分）：结构较合理，研究思路较清晰，对策措施较突出，有较充分的材料或数据，基本抓住关键性问题；</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五档（10分）：结构设计规范合理，研究思路清晰且符合逻辑，对策措施突出，有充足的材料或数据，内涵分析准确，能够抓住关键性问题。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jc w:val="center"/>
              <w:textAlignment w:val="baseline"/>
              <w:rPr>
                <w:b/>
                <w:bCs/>
                <w:color w:val="auto"/>
                <w:szCs w:val="21"/>
                <w:highlight w:val="none"/>
              </w:rPr>
            </w:pPr>
          </w:p>
        </w:tc>
        <w:tc>
          <w:tcPr>
            <w:tcW w:w="987" w:type="dxa"/>
            <w:vAlign w:val="center"/>
          </w:tcPr>
          <w:p>
            <w:pPr>
              <w:pStyle w:val="18"/>
              <w:spacing w:line="360" w:lineRule="exact"/>
              <w:rPr>
                <w:rFonts w:hAnsi="宋体"/>
                <w:b/>
                <w:color w:val="auto"/>
                <w:highlight w:val="none"/>
              </w:rPr>
            </w:pPr>
            <w:r>
              <w:rPr>
                <w:rFonts w:hint="eastAsia" w:hAnsi="宋体"/>
                <w:b/>
                <w:color w:val="auto"/>
                <w:highlight w:val="none"/>
              </w:rPr>
              <w:t>2.3创新点（20分）</w:t>
            </w:r>
          </w:p>
        </w:tc>
        <w:tc>
          <w:tcPr>
            <w:tcW w:w="8229" w:type="dxa"/>
            <w:gridSpan w:val="2"/>
            <w:vAlign w:val="center"/>
          </w:tcPr>
          <w:p>
            <w:pPr>
              <w:pStyle w:val="18"/>
              <w:spacing w:line="360" w:lineRule="exact"/>
              <w:rPr>
                <w:rFonts w:hAnsi="宋体"/>
                <w:bCs/>
                <w:color w:val="auto"/>
                <w:highlight w:val="none"/>
              </w:rPr>
            </w:pPr>
            <w:r>
              <w:rPr>
                <w:rFonts w:hint="eastAsia" w:hAnsi="宋体"/>
                <w:bCs/>
                <w:color w:val="auto"/>
                <w:highlight w:val="none"/>
              </w:rPr>
              <w:t>评审因素：课题研究的新描述、新思路、新观点。</w:t>
            </w:r>
          </w:p>
          <w:p>
            <w:pPr>
              <w:pStyle w:val="18"/>
              <w:spacing w:line="360" w:lineRule="exact"/>
              <w:rPr>
                <w:rFonts w:hAnsi="宋体"/>
                <w:bCs/>
                <w:color w:val="auto"/>
                <w:highlight w:val="none"/>
              </w:rPr>
            </w:pPr>
            <w:r>
              <w:rPr>
                <w:rFonts w:hint="eastAsia" w:hAnsi="宋体"/>
                <w:bCs/>
                <w:color w:val="auto"/>
                <w:highlight w:val="none"/>
              </w:rPr>
              <w:t>一档（4分）：提供相关材料，但移植他人思路，低水平重复且无创新点；</w:t>
            </w:r>
          </w:p>
          <w:p>
            <w:pPr>
              <w:pStyle w:val="18"/>
              <w:spacing w:line="360" w:lineRule="exact"/>
              <w:rPr>
                <w:rFonts w:hAnsi="宋体"/>
                <w:bCs/>
                <w:color w:val="auto"/>
                <w:highlight w:val="none"/>
              </w:rPr>
            </w:pPr>
            <w:r>
              <w:rPr>
                <w:rFonts w:hint="eastAsia" w:hAnsi="宋体"/>
                <w:bCs/>
                <w:color w:val="auto"/>
                <w:highlight w:val="none"/>
              </w:rPr>
              <w:t>二档（8分）：部分移植他人思路，解决常规问题，有1个创新点；</w:t>
            </w:r>
          </w:p>
          <w:p>
            <w:pPr>
              <w:pStyle w:val="18"/>
              <w:spacing w:line="360" w:lineRule="exact"/>
              <w:rPr>
                <w:rFonts w:hAnsi="宋体"/>
                <w:bCs/>
                <w:color w:val="auto"/>
                <w:highlight w:val="none"/>
              </w:rPr>
            </w:pPr>
            <w:r>
              <w:rPr>
                <w:rFonts w:hint="eastAsia" w:hAnsi="宋体"/>
                <w:bCs/>
                <w:color w:val="auto"/>
                <w:highlight w:val="none"/>
              </w:rPr>
              <w:t>三档（12分）：一般性思路，有2个创新点；</w:t>
            </w:r>
          </w:p>
          <w:p>
            <w:pPr>
              <w:pStyle w:val="18"/>
              <w:spacing w:line="360" w:lineRule="exact"/>
              <w:rPr>
                <w:rFonts w:hAnsi="宋体"/>
                <w:bCs/>
                <w:color w:val="auto"/>
                <w:highlight w:val="none"/>
              </w:rPr>
            </w:pPr>
            <w:r>
              <w:rPr>
                <w:rFonts w:hint="eastAsia" w:hAnsi="宋体"/>
                <w:bCs/>
                <w:color w:val="auto"/>
                <w:highlight w:val="none"/>
              </w:rPr>
              <w:t>四档（16分）：有一定的新描述、新思路、新观点，有2个创新点；</w:t>
            </w:r>
          </w:p>
          <w:p>
            <w:pPr>
              <w:pStyle w:val="18"/>
              <w:spacing w:line="360" w:lineRule="exact"/>
              <w:rPr>
                <w:rFonts w:hAnsi="宋体"/>
                <w:bCs/>
                <w:color w:val="auto"/>
                <w:highlight w:val="none"/>
              </w:rPr>
            </w:pPr>
            <w:r>
              <w:rPr>
                <w:rFonts w:hint="eastAsia" w:hAnsi="宋体"/>
                <w:bCs/>
                <w:color w:val="auto"/>
                <w:highlight w:val="none"/>
              </w:rPr>
              <w:t>五档（20分）：全新思路，有3个及以上创新点，或创新点鲜明突出。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jc w:val="center"/>
              <w:textAlignment w:val="baseline"/>
              <w:rPr>
                <w:b/>
                <w:bCs/>
                <w:color w:val="auto"/>
                <w:szCs w:val="21"/>
                <w:highlight w:val="none"/>
              </w:rPr>
            </w:pPr>
          </w:p>
        </w:tc>
        <w:tc>
          <w:tcPr>
            <w:tcW w:w="987" w:type="dxa"/>
            <w:vAlign w:val="center"/>
          </w:tcPr>
          <w:p>
            <w:pPr>
              <w:pStyle w:val="18"/>
              <w:spacing w:line="360" w:lineRule="exact"/>
              <w:rPr>
                <w:rFonts w:hAnsi="宋体"/>
                <w:b/>
                <w:color w:val="auto"/>
                <w:highlight w:val="none"/>
              </w:rPr>
            </w:pPr>
            <w:r>
              <w:rPr>
                <w:rFonts w:hint="eastAsia" w:hAnsi="宋体"/>
                <w:b/>
                <w:color w:val="auto"/>
                <w:highlight w:val="none"/>
              </w:rPr>
              <w:t>2.4理论联系实际（15分）</w:t>
            </w:r>
          </w:p>
        </w:tc>
        <w:tc>
          <w:tcPr>
            <w:tcW w:w="8229" w:type="dxa"/>
            <w:gridSpan w:val="2"/>
            <w:vAlign w:val="center"/>
          </w:tcPr>
          <w:p>
            <w:pPr>
              <w:pStyle w:val="18"/>
              <w:spacing w:line="360" w:lineRule="exact"/>
              <w:rPr>
                <w:rFonts w:hAnsi="宋体"/>
                <w:bCs/>
                <w:color w:val="auto"/>
                <w:highlight w:val="none"/>
              </w:rPr>
            </w:pPr>
            <w:r>
              <w:rPr>
                <w:rFonts w:hint="eastAsia" w:hAnsi="宋体"/>
                <w:bCs/>
                <w:color w:val="auto"/>
                <w:highlight w:val="none"/>
              </w:rPr>
              <w:t>评审因素：对策建议是否具有可行性和可操作性。</w:t>
            </w:r>
          </w:p>
          <w:p>
            <w:pPr>
              <w:pStyle w:val="18"/>
              <w:spacing w:line="360" w:lineRule="exact"/>
              <w:rPr>
                <w:rFonts w:hAnsi="宋体"/>
                <w:bCs/>
                <w:color w:val="auto"/>
                <w:highlight w:val="none"/>
              </w:rPr>
            </w:pPr>
            <w:r>
              <w:rPr>
                <w:rFonts w:hint="eastAsia" w:hAnsi="宋体"/>
                <w:bCs/>
                <w:color w:val="auto"/>
                <w:highlight w:val="none"/>
              </w:rPr>
              <w:t>一档（2分）：提供相关材料，但对策建议不实，无可行性和可操作性；</w:t>
            </w:r>
          </w:p>
          <w:p>
            <w:pPr>
              <w:pStyle w:val="18"/>
              <w:spacing w:line="360" w:lineRule="exact"/>
              <w:rPr>
                <w:rFonts w:hAnsi="宋体"/>
                <w:bCs/>
                <w:color w:val="auto"/>
                <w:highlight w:val="none"/>
              </w:rPr>
            </w:pPr>
            <w:r>
              <w:rPr>
                <w:rFonts w:hint="eastAsia" w:hAnsi="宋体"/>
                <w:bCs/>
                <w:color w:val="auto"/>
                <w:highlight w:val="none"/>
              </w:rPr>
              <w:t>二档（5分）：对策建议的可行性和可操作性一般；</w:t>
            </w:r>
          </w:p>
          <w:p>
            <w:pPr>
              <w:pStyle w:val="18"/>
              <w:spacing w:line="360" w:lineRule="exact"/>
              <w:rPr>
                <w:rFonts w:hAnsi="宋体"/>
                <w:bCs/>
                <w:color w:val="auto"/>
                <w:highlight w:val="none"/>
              </w:rPr>
            </w:pPr>
            <w:r>
              <w:rPr>
                <w:rFonts w:hint="eastAsia" w:hAnsi="宋体"/>
                <w:bCs/>
                <w:color w:val="auto"/>
                <w:highlight w:val="none"/>
              </w:rPr>
              <w:t>三档（8分）：对策建议的可行性和可操作性基本符合课题研究；</w:t>
            </w:r>
          </w:p>
          <w:p>
            <w:pPr>
              <w:pStyle w:val="18"/>
              <w:spacing w:line="360" w:lineRule="exact"/>
              <w:rPr>
                <w:rFonts w:hAnsi="宋体"/>
                <w:bCs/>
                <w:color w:val="auto"/>
                <w:highlight w:val="none"/>
              </w:rPr>
            </w:pPr>
            <w:r>
              <w:rPr>
                <w:rFonts w:hint="eastAsia" w:hAnsi="宋体"/>
                <w:bCs/>
                <w:color w:val="auto"/>
                <w:highlight w:val="none"/>
              </w:rPr>
              <w:t>四档（11分）：对策建议对课题研究有较强的可行性和可操作性；</w:t>
            </w:r>
          </w:p>
          <w:p>
            <w:pPr>
              <w:pStyle w:val="18"/>
              <w:spacing w:line="360" w:lineRule="exact"/>
              <w:rPr>
                <w:rFonts w:hAnsi="宋体"/>
                <w:bCs/>
                <w:color w:val="auto"/>
                <w:highlight w:val="none"/>
              </w:rPr>
            </w:pPr>
            <w:r>
              <w:rPr>
                <w:rFonts w:hint="eastAsia" w:hAnsi="宋体"/>
                <w:bCs/>
                <w:color w:val="auto"/>
                <w:highlight w:val="none"/>
              </w:rPr>
              <w:t>五档（15分）：对策建议具有很强的可行性和可操作性，充分贴合课题研究。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restart"/>
            <w:vAlign w:val="center"/>
          </w:tcPr>
          <w:p>
            <w:pPr>
              <w:adjustRightInd w:val="0"/>
              <w:spacing w:line="420" w:lineRule="exact"/>
              <w:jc w:val="center"/>
              <w:textAlignment w:val="baseline"/>
              <w:rPr>
                <w:b/>
                <w:bCs/>
                <w:color w:val="auto"/>
                <w:szCs w:val="21"/>
                <w:highlight w:val="none"/>
              </w:rPr>
            </w:pPr>
            <w:r>
              <w:rPr>
                <w:rFonts w:hint="eastAsia"/>
                <w:b/>
                <w:bCs/>
                <w:color w:val="auto"/>
                <w:szCs w:val="21"/>
                <w:highlight w:val="none"/>
              </w:rPr>
              <w:t>3</w:t>
            </w:r>
          </w:p>
        </w:tc>
        <w:tc>
          <w:tcPr>
            <w:tcW w:w="9216" w:type="dxa"/>
            <w:gridSpan w:val="3"/>
            <w:vAlign w:val="center"/>
          </w:tcPr>
          <w:p>
            <w:pPr>
              <w:pStyle w:val="18"/>
              <w:spacing w:line="360" w:lineRule="exact"/>
              <w:rPr>
                <w:rFonts w:hAnsi="宋体"/>
                <w:bCs/>
                <w:color w:val="auto"/>
                <w:highlight w:val="none"/>
              </w:rPr>
            </w:pPr>
            <w:r>
              <w:rPr>
                <w:rFonts w:hint="eastAsia" w:hAnsi="宋体"/>
                <w:b/>
                <w:color w:val="auto"/>
                <w:highlight w:val="none"/>
              </w:rPr>
              <w:t>课题组能力（满分15分）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74" w:type="dxa"/>
            <w:vMerge w:val="continue"/>
            <w:vAlign w:val="center"/>
          </w:tcPr>
          <w:p>
            <w:pPr>
              <w:adjustRightInd w:val="0"/>
              <w:spacing w:line="420" w:lineRule="exact"/>
              <w:jc w:val="center"/>
              <w:textAlignment w:val="baseline"/>
              <w:rPr>
                <w:rFonts w:ascii="宋体" w:hAnsi="宋体" w:cs="宋体"/>
                <w:b/>
                <w:color w:val="auto"/>
                <w:szCs w:val="21"/>
                <w:highlight w:val="none"/>
              </w:rPr>
            </w:pPr>
          </w:p>
        </w:tc>
        <w:tc>
          <w:tcPr>
            <w:tcW w:w="1137" w:type="dxa"/>
            <w:gridSpan w:val="2"/>
            <w:vAlign w:val="center"/>
          </w:tcPr>
          <w:p>
            <w:pPr>
              <w:spacing w:line="420" w:lineRule="exact"/>
              <w:jc w:val="center"/>
              <w:rPr>
                <w:rFonts w:ascii="宋体" w:hAnsi="宋体" w:cs="宋体"/>
                <w:bCs/>
                <w:color w:val="auto"/>
                <w:szCs w:val="21"/>
                <w:highlight w:val="none"/>
              </w:rPr>
            </w:pPr>
            <w:r>
              <w:rPr>
                <w:rFonts w:hint="eastAsia" w:hAnsi="宋体"/>
                <w:b/>
                <w:color w:val="auto"/>
                <w:highlight w:val="none"/>
              </w:rPr>
              <w:t>3.1课题负责人</w:t>
            </w:r>
            <w:r>
              <w:rPr>
                <w:rFonts w:hint="eastAsia" w:ascii="宋体" w:hAnsi="宋体" w:cs="宋体"/>
                <w:b/>
                <w:bCs/>
                <w:color w:val="auto"/>
                <w:szCs w:val="21"/>
                <w:highlight w:val="none"/>
              </w:rPr>
              <w:t>（8分）</w:t>
            </w:r>
          </w:p>
        </w:tc>
        <w:tc>
          <w:tcPr>
            <w:tcW w:w="8079" w:type="dxa"/>
            <w:vAlign w:val="center"/>
          </w:tcPr>
          <w:p>
            <w:pPr>
              <w:pStyle w:val="18"/>
              <w:spacing w:line="360" w:lineRule="exact"/>
              <w:rPr>
                <w:rFonts w:hAnsi="宋体"/>
                <w:bCs/>
                <w:color w:val="auto"/>
                <w:highlight w:val="none"/>
              </w:rPr>
            </w:pPr>
            <w:r>
              <w:rPr>
                <w:rFonts w:hint="eastAsia" w:hAnsi="宋体"/>
                <w:bCs/>
                <w:color w:val="auto"/>
                <w:highlight w:val="none"/>
              </w:rPr>
              <w:t>一档（2分）：前期研究成果与课题研究领域无关联，从未牵头或参与过相关课题研究，完全不具备相关专业水平和科研能力；</w:t>
            </w:r>
          </w:p>
          <w:p>
            <w:pPr>
              <w:pStyle w:val="18"/>
              <w:spacing w:line="360" w:lineRule="exact"/>
              <w:rPr>
                <w:rFonts w:hAnsi="宋体"/>
                <w:bCs/>
                <w:color w:val="auto"/>
                <w:highlight w:val="none"/>
              </w:rPr>
            </w:pPr>
            <w:r>
              <w:rPr>
                <w:rFonts w:hint="eastAsia" w:hAnsi="宋体"/>
                <w:bCs/>
                <w:color w:val="auto"/>
                <w:highlight w:val="none"/>
              </w:rPr>
              <w:t>二档（5分）：前期研究成果与课题研究领域有关联较少，牵头和参与过1项相关课题研究，专业水平和科研能力较低；</w:t>
            </w:r>
          </w:p>
          <w:p>
            <w:pPr>
              <w:pStyle w:val="18"/>
              <w:spacing w:line="360" w:lineRule="exact"/>
              <w:rPr>
                <w:rFonts w:hAnsi="宋体"/>
                <w:bCs/>
                <w:color w:val="auto"/>
                <w:highlight w:val="none"/>
              </w:rPr>
            </w:pPr>
            <w:r>
              <w:rPr>
                <w:rFonts w:hint="eastAsia" w:hAnsi="宋体"/>
                <w:bCs/>
                <w:color w:val="auto"/>
                <w:highlight w:val="none"/>
              </w:rPr>
              <w:t>三档（8分）：前期研究成果与课题研究领域有一定关联，牵头和参与过2项的相关课题研究，具备一定的相关专业水平和科研能力；</w:t>
            </w:r>
          </w:p>
          <w:p>
            <w:pPr>
              <w:pStyle w:val="18"/>
              <w:spacing w:line="360" w:lineRule="exact"/>
              <w:rPr>
                <w:rFonts w:hAnsi="宋体"/>
                <w:bCs/>
                <w:color w:val="auto"/>
                <w:highlight w:val="none"/>
              </w:rPr>
            </w:pPr>
            <w:r>
              <w:rPr>
                <w:rFonts w:hint="eastAsia" w:hAnsi="宋体"/>
                <w:b/>
                <w:color w:val="auto"/>
                <w:highlight w:val="none"/>
              </w:rPr>
              <w:t>注：如开展过相关课题研究的，需提供相关课题研究结题证书或研究成果相关奖项等证明材料，未提供的按一档计分。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74" w:type="dxa"/>
            <w:vMerge w:val="continue"/>
            <w:vAlign w:val="center"/>
          </w:tcPr>
          <w:p>
            <w:pPr>
              <w:adjustRightInd w:val="0"/>
              <w:spacing w:line="420" w:lineRule="exact"/>
              <w:jc w:val="center"/>
              <w:textAlignment w:val="baseline"/>
              <w:rPr>
                <w:rFonts w:ascii="宋体" w:hAnsi="宋体" w:cs="宋体"/>
                <w:b/>
                <w:color w:val="auto"/>
                <w:szCs w:val="21"/>
                <w:highlight w:val="none"/>
              </w:rPr>
            </w:pPr>
          </w:p>
        </w:tc>
        <w:tc>
          <w:tcPr>
            <w:tcW w:w="1137" w:type="dxa"/>
            <w:gridSpan w:val="2"/>
            <w:vAlign w:val="center"/>
          </w:tcPr>
          <w:p>
            <w:pPr>
              <w:spacing w:line="420" w:lineRule="exact"/>
              <w:jc w:val="center"/>
              <w:rPr>
                <w:rFonts w:ascii="宋体" w:hAnsi="宋体" w:cs="宋体"/>
                <w:bCs/>
                <w:color w:val="auto"/>
                <w:szCs w:val="21"/>
                <w:highlight w:val="none"/>
              </w:rPr>
            </w:pPr>
            <w:r>
              <w:rPr>
                <w:rFonts w:hint="eastAsia" w:hAnsi="宋体"/>
                <w:b/>
                <w:color w:val="auto"/>
                <w:highlight w:val="none"/>
              </w:rPr>
              <w:t>3.2课题组主要研究人员（前三名，含课题负责人）（7分）</w:t>
            </w:r>
          </w:p>
        </w:tc>
        <w:tc>
          <w:tcPr>
            <w:tcW w:w="8079" w:type="dxa"/>
            <w:vAlign w:val="center"/>
          </w:tcPr>
          <w:p>
            <w:pPr>
              <w:pStyle w:val="18"/>
              <w:spacing w:line="360" w:lineRule="exact"/>
              <w:rPr>
                <w:rFonts w:hAnsi="宋体"/>
                <w:bCs/>
                <w:color w:val="auto"/>
                <w:highlight w:val="none"/>
              </w:rPr>
            </w:pPr>
            <w:r>
              <w:rPr>
                <w:rFonts w:hint="eastAsia" w:hAnsi="宋体"/>
                <w:bCs/>
                <w:color w:val="auto"/>
                <w:highlight w:val="none"/>
              </w:rPr>
              <w:t xml:space="preserve">一档（2分）：主要研究人员均未参与过相关课题研究，不具备专业水平和科研能力，研究队伍结构单一，没有相关职能部门的研究人员参与课题；                          </w:t>
            </w:r>
          </w:p>
          <w:p>
            <w:pPr>
              <w:pStyle w:val="18"/>
              <w:spacing w:line="360" w:lineRule="exact"/>
              <w:rPr>
                <w:rFonts w:hAnsi="宋体"/>
                <w:bCs/>
                <w:color w:val="auto"/>
                <w:highlight w:val="none"/>
              </w:rPr>
            </w:pPr>
            <w:r>
              <w:rPr>
                <w:rFonts w:hint="eastAsia" w:hAnsi="宋体"/>
                <w:bCs/>
                <w:color w:val="auto"/>
                <w:highlight w:val="none"/>
              </w:rPr>
              <w:t>二档（4分）：主要研究人员有1人参与过相关课题研究，专业水平和科研能力较差，研究队伍专业结构不够合理，有1个相关职能部门人员参与研究；</w:t>
            </w:r>
          </w:p>
          <w:p>
            <w:pPr>
              <w:pStyle w:val="18"/>
              <w:spacing w:line="360" w:lineRule="exact"/>
              <w:rPr>
                <w:rFonts w:hAnsi="宋体"/>
                <w:bCs/>
                <w:color w:val="auto"/>
                <w:highlight w:val="none"/>
              </w:rPr>
            </w:pPr>
            <w:r>
              <w:rPr>
                <w:rFonts w:hint="eastAsia" w:hAnsi="宋体"/>
                <w:bCs/>
                <w:color w:val="auto"/>
                <w:highlight w:val="none"/>
              </w:rPr>
              <w:t>三档（7分）：主要研究人员有2人参与过相关课题研究，专业水平和科研能力一般，研究队伍专业结构较合理，有2个相关职能部门人员参与研究；</w:t>
            </w:r>
          </w:p>
          <w:p>
            <w:pPr>
              <w:pStyle w:val="18"/>
              <w:spacing w:line="360" w:lineRule="exact"/>
              <w:rPr>
                <w:rFonts w:hAnsi="宋体"/>
                <w:bCs/>
                <w:color w:val="auto"/>
                <w:highlight w:val="none"/>
              </w:rPr>
            </w:pPr>
            <w:r>
              <w:rPr>
                <w:rFonts w:hint="eastAsia" w:hAnsi="宋体"/>
                <w:b/>
                <w:color w:val="auto"/>
                <w:highlight w:val="none"/>
              </w:rPr>
              <w:t>注：如开展过相关课题研究的，需提供相关课题研究结题证书或研究成果相关奖项等证明材料，未提供的按一档计分。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0" w:type="dxa"/>
            <w:gridSpan w:val="4"/>
            <w:vAlign w:val="center"/>
          </w:tcPr>
          <w:p>
            <w:pPr>
              <w:pStyle w:val="18"/>
              <w:spacing w:line="420" w:lineRule="exact"/>
              <w:rPr>
                <w:rFonts w:hAnsi="宋体" w:cs="宋体"/>
                <w:bCs/>
                <w:color w:val="auto"/>
                <w:szCs w:val="21"/>
                <w:highlight w:val="none"/>
              </w:rPr>
            </w:pPr>
            <w:r>
              <w:rPr>
                <w:rFonts w:hint="eastAsia" w:hAnsi="宋体" w:cs="宋体"/>
                <w:b/>
                <w:bCs/>
                <w:color w:val="auto"/>
                <w:szCs w:val="21"/>
                <w:highlight w:val="none"/>
              </w:rPr>
              <w:t>总得分=1+2+3。</w:t>
            </w:r>
          </w:p>
        </w:tc>
      </w:tr>
    </w:tbl>
    <w:p>
      <w:pPr>
        <w:pStyle w:val="2"/>
        <w:rPr>
          <w:color w:val="auto"/>
          <w:highlight w:val="none"/>
        </w:rPr>
        <w:sectPr>
          <w:pgSz w:w="11906" w:h="16838"/>
          <w:pgMar w:top="1440" w:right="1800" w:bottom="1440" w:left="1800" w:header="851" w:footer="992" w:gutter="0"/>
          <w:cols w:space="425" w:num="1"/>
          <w:docGrid w:type="lines" w:linePitch="312" w:charSpace="0"/>
        </w:sectPr>
      </w:pPr>
    </w:p>
    <w:tbl>
      <w:tblPr>
        <w:tblStyle w:val="34"/>
        <w:tblW w:w="10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987"/>
        <w:gridCol w:w="150"/>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090" w:type="dxa"/>
            <w:gridSpan w:val="4"/>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分标16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74"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序号</w:t>
            </w:r>
          </w:p>
        </w:tc>
        <w:tc>
          <w:tcPr>
            <w:tcW w:w="987"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评审因素</w:t>
            </w:r>
          </w:p>
        </w:tc>
        <w:tc>
          <w:tcPr>
            <w:tcW w:w="8229" w:type="dxa"/>
            <w:gridSpan w:val="2"/>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3" w:hRule="atLeast"/>
          <w:jc w:val="center"/>
        </w:trPr>
        <w:tc>
          <w:tcPr>
            <w:tcW w:w="874"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1</w:t>
            </w:r>
          </w:p>
        </w:tc>
        <w:tc>
          <w:tcPr>
            <w:tcW w:w="987" w:type="dxa"/>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价格分（满分10分）</w:t>
            </w:r>
          </w:p>
        </w:tc>
        <w:tc>
          <w:tcPr>
            <w:tcW w:w="8229" w:type="dxa"/>
            <w:gridSpan w:val="2"/>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（1）以进入比较与评价环节的最低的评审价为基准价，基准价得分</w:t>
            </w:r>
            <w:r>
              <w:rPr>
                <w:rFonts w:hint="eastAsia"/>
                <w:color w:val="auto"/>
                <w:szCs w:val="21"/>
                <w:highlight w:val="none"/>
              </w:rPr>
              <w:t>10</w:t>
            </w:r>
            <w:r>
              <w:rPr>
                <w:rFonts w:hint="eastAsia" w:ascii="宋体" w:hAnsi="宋体" w:cs="宋体"/>
                <w:color w:val="auto"/>
                <w:szCs w:val="21"/>
                <w:highlight w:val="none"/>
              </w:rPr>
              <w:t>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（2）价格分计算公式：某供应商报价得分＝（基准价/某供应商评审价）×</w:t>
            </w:r>
            <w:r>
              <w:rPr>
                <w:rFonts w:hint="eastAsia"/>
                <w:color w:val="auto"/>
                <w:szCs w:val="21"/>
                <w:highlight w:val="none"/>
              </w:rPr>
              <w:t>10</w:t>
            </w:r>
            <w:r>
              <w:rPr>
                <w:rFonts w:hint="eastAsia" w:ascii="宋体" w:hAnsi="宋体" w:cs="宋体"/>
                <w:color w:val="auto"/>
                <w:szCs w:val="21"/>
                <w:highlight w:val="none"/>
              </w:rPr>
              <w:t>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（3）政策性扣除计算方法。</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①</w:t>
            </w:r>
            <w:r>
              <w:rPr>
                <w:rFonts w:hint="eastAsia" w:ascii="宋体" w:hAnsi="宋体" w:cs="宋体"/>
                <w:bCs/>
                <w:color w:val="auto"/>
                <w:szCs w:val="21"/>
                <w:highlight w:val="none"/>
              </w:rPr>
              <w:t>评审价为</w:t>
            </w:r>
            <w:r>
              <w:rPr>
                <w:rFonts w:hint="eastAsia" w:ascii="宋体" w:hAnsi="宋体" w:cs="宋体"/>
                <w:color w:val="auto"/>
                <w:szCs w:val="21"/>
                <w:highlight w:val="none"/>
              </w:rPr>
              <w:t>供应商</w:t>
            </w:r>
            <w:r>
              <w:rPr>
                <w:rFonts w:hint="eastAsia" w:ascii="宋体" w:hAnsi="宋体" w:cs="宋体"/>
                <w:bCs/>
                <w:color w:val="auto"/>
                <w:szCs w:val="21"/>
                <w:highlight w:val="none"/>
              </w:rPr>
              <w:t>的响应报价进行政策性扣除后的价格，评审价只是作为评标时使用。最终</w:t>
            </w:r>
            <w:r>
              <w:rPr>
                <w:rFonts w:hint="eastAsia" w:ascii="宋体" w:hAnsi="宋体" w:cs="宋体"/>
                <w:color w:val="auto"/>
                <w:szCs w:val="21"/>
                <w:highlight w:val="none"/>
              </w:rPr>
              <w:t>供应商</w:t>
            </w:r>
            <w:r>
              <w:rPr>
                <w:rFonts w:hint="eastAsia" w:ascii="宋体" w:hAnsi="宋体" w:cs="宋体"/>
                <w:bCs/>
                <w:color w:val="auto"/>
                <w:szCs w:val="21"/>
                <w:highlight w:val="none"/>
              </w:rPr>
              <w:t>的成交金额等于最终报价。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参照《政府采购促进中小企业发展管理办法》（财库〔2020〕46号）及《广西壮族自治区财政厅关于进一步发挥政府采购政采功能促进企业发展的通知》（桂财采〔2022〕30号）的规定，供应商在其响应文件中提供《中小企业声明函》，且其竞标产品或服务均由小微企业提供的，对供应商的竞标报价给予20%的扣除，扣除后的价格为评审价，即评审价=竞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审价，即评审价=竞标报价×（1-6%）。</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③参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④参照《关于促进残疾人就业政府采购政策的通知》（财库〔2017〕141号）的规定，残疾人福利性单位视同小型、微型企业，享受预留份额、评审中价格扣除等促进中小企业发展的采购政策。残疾人福利性单位参加采购活动时，应当提供该通知规定的《残疾人福利性单位声明函》，并对声明的真实性负责。残疾人福利性单位属于小型、微型企业的，不重复享受政策。</w:t>
            </w:r>
          </w:p>
          <w:p>
            <w:pPr>
              <w:pStyle w:val="132"/>
              <w:ind w:firstLine="420" w:firstLineChars="200"/>
              <w:rPr>
                <w:rFonts w:ascii="宋体" w:hAnsi="宋体" w:cs="宋体"/>
                <w:bCs/>
                <w:color w:val="auto"/>
                <w:szCs w:val="21"/>
                <w:highlight w:val="none"/>
              </w:rPr>
            </w:pPr>
            <w:r>
              <w:rPr>
                <w:rFonts w:hint="eastAsia" w:ascii="宋体" w:hAnsi="宋体" w:cs="宋体"/>
                <w:color w:val="auto"/>
                <w:szCs w:val="21"/>
                <w:highlight w:val="none"/>
              </w:rPr>
              <w:t>⑤除上述情况外，评审价＝最后报价。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restart"/>
            <w:vAlign w:val="center"/>
          </w:tcPr>
          <w:p>
            <w:pPr>
              <w:adjustRightInd w:val="0"/>
              <w:spacing w:line="42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2</w:t>
            </w:r>
          </w:p>
        </w:tc>
        <w:tc>
          <w:tcPr>
            <w:tcW w:w="9216" w:type="dxa"/>
            <w:gridSpan w:val="3"/>
            <w:vAlign w:val="center"/>
          </w:tcPr>
          <w:p>
            <w:pPr>
              <w:pStyle w:val="132"/>
              <w:jc w:val="left"/>
              <w:rPr>
                <w:rFonts w:ascii="宋体" w:hAnsi="宋体" w:cs="宋体"/>
                <w:color w:val="auto"/>
                <w:szCs w:val="21"/>
                <w:highlight w:val="none"/>
              </w:rPr>
            </w:pPr>
            <w:r>
              <w:rPr>
                <w:rFonts w:hint="eastAsia"/>
                <w:b/>
                <w:bCs/>
                <w:color w:val="auto"/>
                <w:szCs w:val="21"/>
                <w:highlight w:val="none"/>
              </w:rPr>
              <w:t>课题研究方案（满分56分）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74" w:type="dxa"/>
            <w:vMerge w:val="continue"/>
            <w:vAlign w:val="center"/>
          </w:tcPr>
          <w:p>
            <w:pPr>
              <w:adjustRightInd w:val="0"/>
              <w:spacing w:line="420" w:lineRule="exact"/>
              <w:textAlignment w:val="baseline"/>
              <w:rPr>
                <w:b/>
                <w:bCs/>
                <w:color w:val="auto"/>
                <w:szCs w:val="21"/>
                <w:highlight w:val="none"/>
              </w:rPr>
            </w:pPr>
          </w:p>
        </w:tc>
        <w:tc>
          <w:tcPr>
            <w:tcW w:w="987" w:type="dxa"/>
            <w:vAlign w:val="center"/>
          </w:tcPr>
          <w:p>
            <w:pPr>
              <w:pStyle w:val="18"/>
              <w:spacing w:line="360" w:lineRule="exact"/>
              <w:rPr>
                <w:rFonts w:hAnsi="宋体"/>
                <w:b/>
                <w:bCs/>
                <w:color w:val="auto"/>
                <w:highlight w:val="none"/>
              </w:rPr>
            </w:pPr>
            <w:r>
              <w:rPr>
                <w:rFonts w:hint="eastAsia" w:hAnsi="宋体"/>
                <w:b/>
                <w:bCs/>
                <w:color w:val="auto"/>
                <w:highlight w:val="none"/>
              </w:rPr>
              <w:t>2.1工作方案（30分）</w:t>
            </w:r>
          </w:p>
          <w:p>
            <w:pPr>
              <w:pStyle w:val="18"/>
              <w:spacing w:line="360" w:lineRule="exact"/>
              <w:rPr>
                <w:rFonts w:hAnsi="宋体"/>
                <w:bCs/>
                <w:color w:val="auto"/>
                <w:highlight w:val="none"/>
              </w:rPr>
            </w:pPr>
          </w:p>
        </w:tc>
        <w:tc>
          <w:tcPr>
            <w:tcW w:w="8229" w:type="dxa"/>
            <w:gridSpan w:val="2"/>
            <w:vAlign w:val="center"/>
          </w:tcPr>
          <w:p>
            <w:pPr>
              <w:pStyle w:val="132"/>
              <w:jc w:val="left"/>
              <w:rPr>
                <w:rFonts w:hAnsi="宋体"/>
                <w:color w:val="auto"/>
                <w:highlight w:val="none"/>
              </w:rPr>
            </w:pPr>
            <w:r>
              <w:rPr>
                <w:rFonts w:hint="eastAsia" w:hAnsi="宋体"/>
                <w:color w:val="auto"/>
                <w:highlight w:val="none"/>
              </w:rPr>
              <w:t>一档（8分）：目标工作方案简单，对项目的总体需求的理解程度、对项目范围把握不准确，项目重点难点分析不完整。</w:t>
            </w:r>
          </w:p>
          <w:p>
            <w:pPr>
              <w:pStyle w:val="132"/>
              <w:jc w:val="left"/>
              <w:rPr>
                <w:rFonts w:hAnsi="宋体"/>
                <w:color w:val="auto"/>
                <w:highlight w:val="none"/>
              </w:rPr>
            </w:pPr>
            <w:r>
              <w:rPr>
                <w:rFonts w:hint="eastAsia" w:hAnsi="宋体"/>
                <w:color w:val="auto"/>
                <w:highlight w:val="none"/>
              </w:rPr>
              <w:t>二档（16分）：目标工作方案合理完整，具有针对性，对项目的总体需求的理解程度、对项目范围把握准确度较低，项目重点难点分析较简单，应对措施不够具体。</w:t>
            </w:r>
          </w:p>
          <w:p>
            <w:pPr>
              <w:pStyle w:val="132"/>
              <w:jc w:val="left"/>
              <w:rPr>
                <w:rFonts w:hAnsi="宋体"/>
                <w:color w:val="auto"/>
                <w:highlight w:val="none"/>
              </w:rPr>
            </w:pPr>
            <w:r>
              <w:rPr>
                <w:rFonts w:hint="eastAsia" w:hAnsi="宋体"/>
                <w:color w:val="auto"/>
                <w:highlight w:val="none"/>
              </w:rPr>
              <w:t>三档（24分）：目标工作方案合理完整，具有针对性和一定的先进性，对项目的总体需求的理解程度、对项目范围把握准确度良好，项目重点难点分析比较完善，应对措施具体可行，并附有相关的合理化建议，建立完善的组织机构、规范的内部操作规程，技术方案综合评价良好。</w:t>
            </w:r>
          </w:p>
          <w:p>
            <w:pPr>
              <w:pStyle w:val="132"/>
              <w:jc w:val="left"/>
              <w:rPr>
                <w:rFonts w:hAnsi="宋体"/>
                <w:color w:val="auto"/>
                <w:highlight w:val="none"/>
              </w:rPr>
            </w:pPr>
            <w:r>
              <w:rPr>
                <w:rFonts w:hint="eastAsia" w:hAnsi="宋体"/>
                <w:color w:val="auto"/>
                <w:highlight w:val="none"/>
              </w:rPr>
              <w:t>四档（30分）：目标工作方案合理完整，具有针对性和一定的先进性，对项目的总体需求的理解程度、对项目范围把握准确度较高并具有切合的额外建设建议和措施，项目重点难点分析翔实且有针对性，应对措施具体可行，相关的合理化建议有可操作性和先进性，建立完善的组织机构、规范的内部操作规程，综合评价优秀。</w:t>
            </w:r>
          </w:p>
          <w:p>
            <w:pPr>
              <w:pStyle w:val="132"/>
              <w:jc w:val="left"/>
              <w:rPr>
                <w:rFonts w:hAnsi="宋体"/>
                <w:bCs/>
                <w:color w:val="auto"/>
                <w:highlight w:val="none"/>
              </w:rPr>
            </w:pPr>
            <w:r>
              <w:rPr>
                <w:rFonts w:hint="eastAsia" w:hAnsi="宋体"/>
                <w:color w:val="auto"/>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jc w:val="center"/>
              <w:textAlignment w:val="baseline"/>
              <w:rPr>
                <w:b/>
                <w:bCs/>
                <w:color w:val="auto"/>
                <w:szCs w:val="21"/>
                <w:highlight w:val="none"/>
              </w:rPr>
            </w:pPr>
          </w:p>
        </w:tc>
        <w:tc>
          <w:tcPr>
            <w:tcW w:w="987" w:type="dxa"/>
            <w:vAlign w:val="center"/>
          </w:tcPr>
          <w:p>
            <w:pPr>
              <w:pStyle w:val="18"/>
              <w:spacing w:line="360" w:lineRule="exact"/>
              <w:rPr>
                <w:rFonts w:hAnsi="宋体"/>
                <w:b/>
                <w:bCs/>
                <w:color w:val="auto"/>
                <w:highlight w:val="none"/>
              </w:rPr>
            </w:pPr>
            <w:r>
              <w:rPr>
                <w:rFonts w:hint="eastAsia" w:hAnsi="宋体"/>
                <w:b/>
                <w:bCs/>
                <w:color w:val="auto"/>
                <w:highlight w:val="none"/>
              </w:rPr>
              <w:t>2.2实施计划（10分）</w:t>
            </w:r>
          </w:p>
          <w:p>
            <w:pPr>
              <w:pStyle w:val="18"/>
              <w:spacing w:line="360" w:lineRule="exact"/>
              <w:rPr>
                <w:rFonts w:hAnsi="宋体"/>
                <w:bCs/>
                <w:color w:val="auto"/>
                <w:highlight w:val="none"/>
              </w:rPr>
            </w:pPr>
          </w:p>
        </w:tc>
        <w:tc>
          <w:tcPr>
            <w:tcW w:w="8229" w:type="dxa"/>
            <w:gridSpan w:val="2"/>
            <w:vAlign w:val="center"/>
          </w:tcPr>
          <w:p>
            <w:pPr>
              <w:pStyle w:val="132"/>
              <w:jc w:val="left"/>
              <w:rPr>
                <w:rFonts w:hAnsi="宋体"/>
                <w:color w:val="auto"/>
                <w:highlight w:val="none"/>
              </w:rPr>
            </w:pPr>
            <w:r>
              <w:rPr>
                <w:rFonts w:hint="eastAsia" w:hAnsi="宋体"/>
                <w:color w:val="auto"/>
                <w:highlight w:val="none"/>
              </w:rPr>
              <w:t>一档（4分）：计划安排内容简单；</w:t>
            </w:r>
          </w:p>
          <w:p>
            <w:pPr>
              <w:pStyle w:val="132"/>
              <w:jc w:val="left"/>
              <w:rPr>
                <w:rFonts w:hAnsi="宋体"/>
                <w:color w:val="auto"/>
                <w:highlight w:val="none"/>
              </w:rPr>
            </w:pPr>
            <w:r>
              <w:rPr>
                <w:rFonts w:hint="eastAsia" w:hAnsi="宋体"/>
                <w:color w:val="auto"/>
                <w:highlight w:val="none"/>
              </w:rPr>
              <w:t>二档（6分）：有工作步骤、对本项目调研计划基本合理，时间安排基本满足采购文件要求；</w:t>
            </w:r>
          </w:p>
          <w:p>
            <w:pPr>
              <w:pStyle w:val="132"/>
              <w:jc w:val="left"/>
              <w:rPr>
                <w:rFonts w:hAnsi="宋体"/>
                <w:color w:val="auto"/>
                <w:highlight w:val="none"/>
              </w:rPr>
            </w:pPr>
            <w:r>
              <w:rPr>
                <w:rFonts w:hint="eastAsia" w:hAnsi="宋体"/>
                <w:color w:val="auto"/>
                <w:highlight w:val="none"/>
              </w:rPr>
              <w:t>三档（8分）：有工作步骤、对本项目调研计划较合理，时间满足采购文件要求，有参加规划前期调研、中期汇报的安排内容；</w:t>
            </w:r>
          </w:p>
          <w:p>
            <w:pPr>
              <w:pStyle w:val="132"/>
              <w:jc w:val="left"/>
              <w:rPr>
                <w:rFonts w:hAnsi="宋体"/>
                <w:color w:val="auto"/>
                <w:highlight w:val="none"/>
              </w:rPr>
            </w:pPr>
            <w:r>
              <w:rPr>
                <w:rFonts w:hint="eastAsia" w:hAnsi="宋体"/>
                <w:color w:val="auto"/>
                <w:highlight w:val="none"/>
              </w:rPr>
              <w:t>四档（10分）：有工作步骤、对本项目调研计划科学合理，时间安排紧凑且优于采购文件要求，推进步骤清晰明了，参加规划前期调研、中期汇报的安排科学合理，保证规划质量措施有利于采购人完成项目。</w:t>
            </w:r>
          </w:p>
          <w:p>
            <w:pPr>
              <w:pStyle w:val="132"/>
              <w:jc w:val="left"/>
              <w:rPr>
                <w:rFonts w:ascii="宋体" w:hAnsi="宋体" w:cs="宋体"/>
                <w:color w:val="auto"/>
                <w:szCs w:val="21"/>
                <w:highlight w:val="none"/>
              </w:rPr>
            </w:pPr>
            <w:r>
              <w:rPr>
                <w:rFonts w:hint="eastAsia" w:hAnsi="宋体"/>
                <w:color w:val="auto"/>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continue"/>
            <w:vAlign w:val="center"/>
          </w:tcPr>
          <w:p>
            <w:pPr>
              <w:adjustRightInd w:val="0"/>
              <w:spacing w:line="420" w:lineRule="exact"/>
              <w:jc w:val="center"/>
              <w:textAlignment w:val="baseline"/>
              <w:rPr>
                <w:b/>
                <w:bCs/>
                <w:color w:val="auto"/>
                <w:szCs w:val="21"/>
                <w:highlight w:val="none"/>
              </w:rPr>
            </w:pPr>
          </w:p>
        </w:tc>
        <w:tc>
          <w:tcPr>
            <w:tcW w:w="987" w:type="dxa"/>
            <w:vAlign w:val="center"/>
          </w:tcPr>
          <w:p>
            <w:pPr>
              <w:pStyle w:val="18"/>
              <w:spacing w:line="360" w:lineRule="exact"/>
              <w:rPr>
                <w:rFonts w:hAnsi="宋体"/>
                <w:b/>
                <w:color w:val="auto"/>
                <w:highlight w:val="none"/>
              </w:rPr>
            </w:pPr>
            <w:r>
              <w:rPr>
                <w:rFonts w:hint="eastAsia" w:hAnsi="宋体"/>
                <w:b/>
                <w:color w:val="auto"/>
                <w:highlight w:val="none"/>
              </w:rPr>
              <w:t>2.3质量保证措施（16分）</w:t>
            </w:r>
          </w:p>
        </w:tc>
        <w:tc>
          <w:tcPr>
            <w:tcW w:w="8229" w:type="dxa"/>
            <w:gridSpan w:val="2"/>
            <w:vAlign w:val="center"/>
          </w:tcPr>
          <w:p>
            <w:pPr>
              <w:pStyle w:val="132"/>
              <w:jc w:val="left"/>
              <w:rPr>
                <w:rFonts w:hAnsi="宋体"/>
                <w:color w:val="auto"/>
                <w:highlight w:val="none"/>
              </w:rPr>
            </w:pPr>
            <w:r>
              <w:rPr>
                <w:rFonts w:hint="eastAsia" w:hAnsi="宋体"/>
                <w:color w:val="auto"/>
                <w:highlight w:val="none"/>
              </w:rPr>
              <w:t>一档（4分）：供应商为采购人提供有合理的承诺，并包含有项目保障措施，但方案较为简单，缺乏、针对性；</w:t>
            </w:r>
          </w:p>
          <w:p>
            <w:pPr>
              <w:pStyle w:val="132"/>
              <w:jc w:val="left"/>
              <w:rPr>
                <w:rFonts w:hAnsi="宋体"/>
                <w:color w:val="auto"/>
                <w:highlight w:val="none"/>
              </w:rPr>
            </w:pPr>
            <w:r>
              <w:rPr>
                <w:rFonts w:hint="eastAsia" w:hAnsi="宋体"/>
                <w:color w:val="auto"/>
                <w:highlight w:val="none"/>
              </w:rPr>
              <w:t>二档（10分）：供应商为采购人提供有服务质量及成果完成时间承诺，并包含有项目保障措施、保密承诺及廉洁承诺等，且描述了项目保障措施的方法以及实现方式，方案合理可行，具有针对性；</w:t>
            </w:r>
          </w:p>
          <w:p>
            <w:pPr>
              <w:pStyle w:val="132"/>
              <w:jc w:val="left"/>
              <w:rPr>
                <w:rFonts w:hAnsi="宋体"/>
                <w:color w:val="auto"/>
                <w:highlight w:val="none"/>
              </w:rPr>
            </w:pPr>
            <w:r>
              <w:rPr>
                <w:rFonts w:hint="eastAsia" w:hAnsi="宋体"/>
                <w:color w:val="auto"/>
                <w:highlight w:val="none"/>
              </w:rPr>
              <w:t>三档（16分）：供应商为采购人提供优于采购需求的服务质量及成果完成时间承诺，并包含有合理可行并且具有针对性的项目保障措施、保密承诺及廉洁承诺等，且描述了应急保障方案的方法以及实现方式 ，服务质量承诺方案的联系人等，服务承诺和保障措施考虑周全完整，有额外优惠服务措施和内容。</w:t>
            </w:r>
          </w:p>
          <w:p>
            <w:pPr>
              <w:pStyle w:val="132"/>
              <w:jc w:val="left"/>
              <w:rPr>
                <w:rFonts w:hAnsi="宋体"/>
                <w:bCs/>
                <w:color w:val="auto"/>
                <w:highlight w:val="none"/>
              </w:rPr>
            </w:pPr>
            <w:r>
              <w:rPr>
                <w:rFonts w:hint="eastAsia" w:hAnsi="宋体"/>
                <w:color w:val="auto"/>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74" w:type="dxa"/>
            <w:vMerge w:val="restart"/>
            <w:vAlign w:val="center"/>
          </w:tcPr>
          <w:p>
            <w:pPr>
              <w:adjustRightInd w:val="0"/>
              <w:spacing w:line="420" w:lineRule="exact"/>
              <w:jc w:val="center"/>
              <w:textAlignment w:val="baseline"/>
              <w:rPr>
                <w:b/>
                <w:bCs/>
                <w:color w:val="auto"/>
                <w:szCs w:val="21"/>
                <w:highlight w:val="none"/>
              </w:rPr>
            </w:pPr>
            <w:r>
              <w:rPr>
                <w:rFonts w:hint="eastAsia"/>
                <w:b/>
                <w:bCs/>
                <w:color w:val="auto"/>
                <w:szCs w:val="21"/>
                <w:highlight w:val="none"/>
              </w:rPr>
              <w:t>3</w:t>
            </w:r>
          </w:p>
        </w:tc>
        <w:tc>
          <w:tcPr>
            <w:tcW w:w="9216" w:type="dxa"/>
            <w:gridSpan w:val="3"/>
            <w:vAlign w:val="center"/>
          </w:tcPr>
          <w:p>
            <w:pPr>
              <w:pStyle w:val="18"/>
              <w:spacing w:line="360" w:lineRule="exact"/>
              <w:rPr>
                <w:rFonts w:hAnsi="宋体"/>
                <w:bCs/>
                <w:color w:val="auto"/>
                <w:highlight w:val="none"/>
              </w:rPr>
            </w:pPr>
            <w:r>
              <w:rPr>
                <w:rFonts w:hint="eastAsia" w:hAnsi="宋体"/>
                <w:b/>
                <w:color w:val="auto"/>
                <w:highlight w:val="none"/>
              </w:rPr>
              <w:t>商务分（满分34分）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74" w:type="dxa"/>
            <w:vMerge w:val="continue"/>
            <w:vAlign w:val="center"/>
          </w:tcPr>
          <w:p>
            <w:pPr>
              <w:adjustRightInd w:val="0"/>
              <w:spacing w:line="420" w:lineRule="exact"/>
              <w:jc w:val="center"/>
              <w:textAlignment w:val="baseline"/>
              <w:rPr>
                <w:rFonts w:ascii="宋体" w:hAnsi="宋体" w:cs="宋体"/>
                <w:b/>
                <w:color w:val="auto"/>
                <w:szCs w:val="21"/>
                <w:highlight w:val="none"/>
              </w:rPr>
            </w:pPr>
          </w:p>
        </w:tc>
        <w:tc>
          <w:tcPr>
            <w:tcW w:w="1137" w:type="dxa"/>
            <w:gridSpan w:val="2"/>
            <w:vAlign w:val="center"/>
          </w:tcPr>
          <w:p>
            <w:pPr>
              <w:spacing w:line="420" w:lineRule="exact"/>
              <w:jc w:val="center"/>
              <w:rPr>
                <w:rFonts w:ascii="宋体" w:hAnsi="宋体" w:cs="宋体"/>
                <w:bCs/>
                <w:color w:val="auto"/>
                <w:szCs w:val="21"/>
                <w:highlight w:val="none"/>
              </w:rPr>
            </w:pPr>
            <w:r>
              <w:rPr>
                <w:rFonts w:hint="eastAsia" w:hAnsi="宋体"/>
                <w:b/>
                <w:color w:val="auto"/>
                <w:highlight w:val="none"/>
              </w:rPr>
              <w:t>3.1服务团队人员</w:t>
            </w:r>
            <w:r>
              <w:rPr>
                <w:rFonts w:hint="eastAsia" w:ascii="宋体" w:hAnsi="宋体" w:cs="宋体"/>
                <w:b/>
                <w:bCs/>
                <w:color w:val="auto"/>
                <w:szCs w:val="21"/>
                <w:highlight w:val="none"/>
              </w:rPr>
              <w:t>（20分）</w:t>
            </w:r>
          </w:p>
        </w:tc>
        <w:tc>
          <w:tcPr>
            <w:tcW w:w="8079" w:type="dxa"/>
            <w:vAlign w:val="center"/>
          </w:tcPr>
          <w:p>
            <w:pPr>
              <w:pStyle w:val="18"/>
              <w:spacing w:line="360" w:lineRule="exact"/>
              <w:rPr>
                <w:rFonts w:hAnsi="宋体"/>
                <w:bCs/>
                <w:color w:val="auto"/>
                <w:highlight w:val="none"/>
              </w:rPr>
            </w:pPr>
            <w:r>
              <w:rPr>
                <w:rFonts w:hint="eastAsia" w:hAnsi="宋体"/>
                <w:bCs/>
                <w:color w:val="auto"/>
                <w:highlight w:val="none"/>
              </w:rPr>
              <w:t>一档（5分）：本项目拟投入团队人员3人的，配置基本合理，至少1人具有高级及以上职称。</w:t>
            </w:r>
          </w:p>
          <w:p>
            <w:pPr>
              <w:pStyle w:val="18"/>
              <w:spacing w:line="360" w:lineRule="exact"/>
              <w:rPr>
                <w:rFonts w:hAnsi="宋体"/>
                <w:bCs/>
                <w:color w:val="auto"/>
                <w:highlight w:val="none"/>
              </w:rPr>
            </w:pPr>
            <w:r>
              <w:rPr>
                <w:rFonts w:hint="eastAsia" w:hAnsi="宋体"/>
                <w:bCs/>
                <w:color w:val="auto"/>
                <w:highlight w:val="none"/>
              </w:rPr>
              <w:t>二档（10分）：本项目拟投入团队人员4-6人的，配置合理，且团队人员中拥有工业领域或经济学领域的本科及以上相关学位，至少2人具有高级及以上职称。</w:t>
            </w:r>
          </w:p>
          <w:p>
            <w:pPr>
              <w:pStyle w:val="18"/>
              <w:spacing w:line="360" w:lineRule="exact"/>
              <w:rPr>
                <w:rFonts w:hAnsi="宋体"/>
                <w:bCs/>
                <w:color w:val="auto"/>
                <w:highlight w:val="none"/>
              </w:rPr>
            </w:pPr>
            <w:r>
              <w:rPr>
                <w:rFonts w:hint="eastAsia" w:hAnsi="宋体"/>
                <w:bCs/>
                <w:color w:val="auto"/>
                <w:highlight w:val="none"/>
              </w:rPr>
              <w:t>三档（15分）：本项目拟投入团队人员7-9人，配置充足合理，且团队人员中拥有工业领域或经济学领域硕士及以上相关学位，至少3人具有高级及以上职称。</w:t>
            </w:r>
          </w:p>
          <w:p>
            <w:pPr>
              <w:pStyle w:val="18"/>
              <w:spacing w:line="360" w:lineRule="exact"/>
              <w:rPr>
                <w:rFonts w:hAnsi="宋体"/>
                <w:bCs/>
                <w:color w:val="auto"/>
                <w:highlight w:val="none"/>
              </w:rPr>
            </w:pPr>
            <w:r>
              <w:rPr>
                <w:rFonts w:hint="eastAsia" w:hAnsi="宋体"/>
                <w:bCs/>
                <w:color w:val="auto"/>
                <w:highlight w:val="none"/>
              </w:rPr>
              <w:t>四档（20分）本项目拟投入团队人员10人及以上，配置充足、合理，且团队人员中拥有工业领域或经济学、管理学等相关领域的硕士以上学位；至少3人具有高级及以上职称，其中项目负责人为正高级职称。</w:t>
            </w:r>
          </w:p>
          <w:p>
            <w:pPr>
              <w:pStyle w:val="18"/>
              <w:spacing w:line="360" w:lineRule="exact"/>
              <w:rPr>
                <w:rFonts w:hAnsi="宋体"/>
                <w:bCs/>
                <w:color w:val="auto"/>
                <w:highlight w:val="none"/>
              </w:rPr>
            </w:pPr>
            <w:r>
              <w:rPr>
                <w:rFonts w:hint="eastAsia" w:hAnsi="宋体"/>
                <w:bCs/>
                <w:color w:val="auto"/>
                <w:highlight w:val="none"/>
              </w:rPr>
              <w:t>（必须提供相关证明材料。未达到一档标准不得分。）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74" w:type="dxa"/>
            <w:vMerge w:val="continue"/>
            <w:vAlign w:val="center"/>
          </w:tcPr>
          <w:p>
            <w:pPr>
              <w:adjustRightInd w:val="0"/>
              <w:spacing w:line="420" w:lineRule="exact"/>
              <w:jc w:val="center"/>
              <w:textAlignment w:val="baseline"/>
              <w:rPr>
                <w:rFonts w:ascii="宋体" w:hAnsi="宋体" w:cs="宋体"/>
                <w:b/>
                <w:color w:val="auto"/>
                <w:szCs w:val="21"/>
                <w:highlight w:val="none"/>
              </w:rPr>
            </w:pPr>
          </w:p>
        </w:tc>
        <w:tc>
          <w:tcPr>
            <w:tcW w:w="1137" w:type="dxa"/>
            <w:gridSpan w:val="2"/>
            <w:vAlign w:val="center"/>
          </w:tcPr>
          <w:p>
            <w:pPr>
              <w:spacing w:line="420" w:lineRule="exact"/>
              <w:jc w:val="center"/>
              <w:rPr>
                <w:rFonts w:ascii="宋体" w:hAnsi="宋体" w:cs="宋体"/>
                <w:bCs/>
                <w:color w:val="auto"/>
                <w:szCs w:val="21"/>
                <w:highlight w:val="none"/>
              </w:rPr>
            </w:pPr>
            <w:r>
              <w:rPr>
                <w:rFonts w:hint="eastAsia" w:hAnsi="宋体"/>
                <w:b/>
                <w:color w:val="auto"/>
                <w:highlight w:val="none"/>
              </w:rPr>
              <w:t>3.2信誉业绩（14分）</w:t>
            </w:r>
          </w:p>
        </w:tc>
        <w:tc>
          <w:tcPr>
            <w:tcW w:w="8079" w:type="dxa"/>
            <w:vAlign w:val="center"/>
          </w:tcPr>
          <w:p>
            <w:pPr>
              <w:pStyle w:val="18"/>
              <w:spacing w:line="360" w:lineRule="exact"/>
              <w:rPr>
                <w:rFonts w:hAnsi="宋体"/>
                <w:bCs/>
                <w:color w:val="auto"/>
                <w:highlight w:val="none"/>
              </w:rPr>
            </w:pPr>
            <w:r>
              <w:rPr>
                <w:rFonts w:hint="eastAsia" w:hAnsi="宋体"/>
                <w:bCs/>
                <w:color w:val="auto"/>
                <w:highlight w:val="none"/>
              </w:rPr>
              <w:t>供应商每提供2020年1月1日以来1个有效业绩得2分，满分14分。有效业绩定义：指规划编制、课题研究等类型项目业绩。</w:t>
            </w:r>
          </w:p>
          <w:p>
            <w:pPr>
              <w:pStyle w:val="18"/>
              <w:spacing w:line="360" w:lineRule="exact"/>
              <w:rPr>
                <w:rFonts w:hAnsi="宋体"/>
                <w:bCs/>
                <w:color w:val="auto"/>
                <w:highlight w:val="none"/>
              </w:rPr>
            </w:pPr>
            <w:r>
              <w:rPr>
                <w:rFonts w:hint="eastAsia" w:hAnsi="宋体"/>
                <w:bCs/>
                <w:color w:val="auto"/>
                <w:highlight w:val="none"/>
              </w:rPr>
              <w:t>（必须提供以供应商名义承担的业绩证明材料，以中标或成交通知书或合同复印件为准）。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0" w:type="dxa"/>
            <w:gridSpan w:val="4"/>
            <w:vAlign w:val="center"/>
          </w:tcPr>
          <w:p>
            <w:pPr>
              <w:pStyle w:val="18"/>
              <w:spacing w:line="420" w:lineRule="exact"/>
              <w:rPr>
                <w:rFonts w:hAnsi="宋体" w:cs="宋体"/>
                <w:bCs/>
                <w:color w:val="auto"/>
                <w:szCs w:val="21"/>
                <w:highlight w:val="none"/>
              </w:rPr>
            </w:pPr>
            <w:r>
              <w:rPr>
                <w:rFonts w:hint="eastAsia" w:hAnsi="宋体" w:cs="宋体"/>
                <w:b/>
                <w:bCs/>
                <w:color w:val="auto"/>
                <w:szCs w:val="21"/>
                <w:highlight w:val="none"/>
              </w:rPr>
              <w:t>总得分=1+2+3。</w:t>
            </w:r>
          </w:p>
        </w:tc>
      </w:tr>
    </w:tbl>
    <w:p>
      <w:pPr>
        <w:rPr>
          <w:color w:val="auto"/>
          <w:sz w:val="30"/>
          <w:szCs w:val="30"/>
          <w:highlight w:val="none"/>
        </w:rPr>
      </w:pPr>
      <w:r>
        <w:rPr>
          <w:rFonts w:hint="eastAsia"/>
          <w:color w:val="auto"/>
          <w:sz w:val="30"/>
          <w:szCs w:val="30"/>
          <w:highlight w:val="none"/>
        </w:rPr>
        <w:br w:type="page"/>
      </w:r>
    </w:p>
    <w:p>
      <w:pPr>
        <w:pStyle w:val="4"/>
        <w:jc w:val="center"/>
        <w:rPr>
          <w:b w:val="0"/>
          <w:color w:val="auto"/>
          <w:sz w:val="30"/>
          <w:szCs w:val="30"/>
          <w:highlight w:val="none"/>
        </w:rPr>
      </w:pPr>
      <w:r>
        <w:rPr>
          <w:rFonts w:hint="eastAsia"/>
          <w:b w:val="0"/>
          <w:color w:val="auto"/>
          <w:sz w:val="30"/>
          <w:szCs w:val="30"/>
          <w:highlight w:val="none"/>
        </w:rPr>
        <w:t>第四节 中标候选人推荐原则</w:t>
      </w:r>
      <w:bookmarkEnd w:id="136"/>
    </w:p>
    <w:p>
      <w:pPr>
        <w:pStyle w:val="18"/>
        <w:numPr>
          <w:ilvl w:val="0"/>
          <w:numId w:val="5"/>
        </w:numPr>
        <w:spacing w:line="400" w:lineRule="exact"/>
        <w:contextualSpacing/>
        <w:rPr>
          <w:rFonts w:hAnsi="宋体" w:cs="宋体"/>
          <w:b/>
          <w:bCs/>
          <w:color w:val="auto"/>
          <w:szCs w:val="21"/>
          <w:highlight w:val="none"/>
        </w:rPr>
      </w:pPr>
      <w:r>
        <w:rPr>
          <w:rFonts w:hint="eastAsia" w:hAnsi="宋体" w:cs="宋体"/>
          <w:b/>
          <w:bCs/>
          <w:color w:val="auto"/>
          <w:szCs w:val="21"/>
          <w:highlight w:val="none"/>
        </w:rPr>
        <w:t>综合评分法</w:t>
      </w:r>
    </w:p>
    <w:p>
      <w:pPr>
        <w:pStyle w:val="18"/>
        <w:spacing w:line="400" w:lineRule="exact"/>
        <w:ind w:firstLine="420" w:firstLineChars="200"/>
        <w:contextualSpacing/>
        <w:rPr>
          <w:rFonts w:hAnsi="宋体" w:cs="宋体"/>
          <w:color w:val="auto"/>
          <w:szCs w:val="21"/>
          <w:highlight w:val="none"/>
        </w:rPr>
      </w:pPr>
      <w:r>
        <w:rPr>
          <w:rFonts w:hint="eastAsia" w:hAnsi="宋体" w:cs="宋体"/>
          <w:color w:val="auto"/>
          <w:szCs w:val="21"/>
          <w:highlight w:val="none"/>
        </w:rPr>
        <w:t>评标委员会将根据总得分由高到低排列次序并推荐中标候选人。总得分相同的，以投标报价由低到高顺序排列。得分相同且投标报价相同的并列，投标文件满足招标文件全部实质性要求，且按照评审因素的量化指标评审得分最高的供应商为排名第一的中标候选人。</w:t>
      </w:r>
    </w:p>
    <w:p>
      <w:pPr>
        <w:tabs>
          <w:tab w:val="left" w:pos="165"/>
        </w:tabs>
        <w:wordWrap w:val="0"/>
        <w:spacing w:line="380" w:lineRule="exact"/>
        <w:rPr>
          <w:rFonts w:ascii="宋体" w:hAnsi="宋体" w:cs="宋体"/>
          <w:b/>
          <w:bCs/>
          <w:color w:val="auto"/>
          <w:szCs w:val="21"/>
          <w:highlight w:val="none"/>
        </w:rPr>
      </w:pPr>
      <w:bookmarkStart w:id="137" w:name="_Toc80093008"/>
      <w:r>
        <w:rPr>
          <w:rFonts w:hint="eastAsia" w:ascii="宋体" w:hAnsi="宋体" w:cs="宋体"/>
          <w:b/>
          <w:bCs/>
          <w:color w:val="auto"/>
          <w:szCs w:val="21"/>
          <w:highlight w:val="none"/>
        </w:rPr>
        <w:t>（二）评审说明</w:t>
      </w:r>
    </w:p>
    <w:p>
      <w:pPr>
        <w:tabs>
          <w:tab w:val="left" w:pos="165"/>
        </w:tabs>
        <w:wordWrap w:val="0"/>
        <w:spacing w:line="380" w:lineRule="exact"/>
        <w:ind w:firstLine="424" w:firstLineChars="201"/>
        <w:rPr>
          <w:rFonts w:ascii="宋体" w:hAnsi="宋体" w:cs="宋体"/>
          <w:b/>
          <w:bCs/>
          <w:color w:val="auto"/>
          <w:szCs w:val="21"/>
          <w:highlight w:val="none"/>
        </w:rPr>
      </w:pPr>
      <w:r>
        <w:rPr>
          <w:rFonts w:hint="eastAsia" w:ascii="宋体" w:hAnsi="宋体" w:cs="宋体"/>
          <w:b/>
          <w:bCs/>
          <w:color w:val="auto"/>
          <w:szCs w:val="21"/>
          <w:highlight w:val="none"/>
        </w:rPr>
        <w:t>（1）供应商可就本项目全部分标或部分分标进行投标，但其所投入的各课题组人员最终只能参与一个课题研究项目。[说明：同一投标人在同一分标同时投入两个或以上课题组的，该投标人所投该分标将作投标无效处理。如自然人的依托单位（依托</w:t>
      </w:r>
      <w:r>
        <w:rPr>
          <w:rFonts w:ascii="宋体" w:hAnsi="宋体" w:cs="宋体"/>
          <w:b/>
          <w:bCs/>
          <w:color w:val="auto"/>
          <w:szCs w:val="21"/>
          <w:highlight w:val="none"/>
        </w:rPr>
        <w:t>单位是</w:t>
      </w:r>
      <w:r>
        <w:rPr>
          <w:rFonts w:hint="eastAsia" w:ascii="宋体" w:hAnsi="宋体" w:cs="宋体"/>
          <w:b/>
          <w:bCs/>
          <w:color w:val="auto"/>
          <w:szCs w:val="21"/>
          <w:highlight w:val="none"/>
        </w:rPr>
        <w:t>证明</w:t>
      </w:r>
      <w:r>
        <w:rPr>
          <w:rFonts w:ascii="宋体" w:hAnsi="宋体" w:cs="宋体"/>
          <w:b/>
          <w:bCs/>
          <w:color w:val="auto"/>
          <w:szCs w:val="21"/>
          <w:highlight w:val="none"/>
        </w:rPr>
        <w:t>自然人</w:t>
      </w:r>
      <w:r>
        <w:rPr>
          <w:rFonts w:hint="eastAsia" w:ascii="宋体" w:hAnsi="宋体" w:cs="宋体"/>
          <w:b/>
          <w:bCs/>
          <w:color w:val="auto"/>
          <w:szCs w:val="21"/>
          <w:highlight w:val="none"/>
        </w:rPr>
        <w:t>组成的课题组具有开展课题研究的能力，开展的课题研究具有真实性；</w:t>
      </w:r>
      <w:r>
        <w:rPr>
          <w:rFonts w:ascii="宋体" w:hAnsi="宋体" w:cs="宋体"/>
          <w:b/>
          <w:bCs/>
          <w:color w:val="auto"/>
          <w:szCs w:val="21"/>
          <w:highlight w:val="none"/>
        </w:rPr>
        <w:t>监督</w:t>
      </w:r>
      <w:r>
        <w:rPr>
          <w:rFonts w:hint="eastAsia" w:ascii="宋体" w:hAnsi="宋体" w:cs="宋体"/>
          <w:b/>
          <w:bCs/>
          <w:color w:val="auto"/>
          <w:szCs w:val="21"/>
          <w:highlight w:val="none"/>
        </w:rPr>
        <w:t>自然人</w:t>
      </w:r>
      <w:r>
        <w:rPr>
          <w:rFonts w:ascii="宋体" w:hAnsi="宋体" w:cs="宋体"/>
          <w:b/>
          <w:bCs/>
          <w:color w:val="auto"/>
          <w:szCs w:val="21"/>
          <w:highlight w:val="none"/>
        </w:rPr>
        <w:t>承担的</w:t>
      </w:r>
      <w:r>
        <w:rPr>
          <w:rFonts w:hint="eastAsia" w:ascii="宋体" w:hAnsi="宋体" w:cs="宋体"/>
          <w:b/>
          <w:bCs/>
          <w:color w:val="auto"/>
          <w:szCs w:val="21"/>
          <w:highlight w:val="none"/>
        </w:rPr>
        <w:t>课题不转包给其他研究机构或个人进行研究，并</w:t>
      </w:r>
      <w:r>
        <w:rPr>
          <w:rFonts w:ascii="宋体" w:hAnsi="宋体" w:cs="宋体"/>
          <w:b/>
          <w:bCs/>
          <w:color w:val="auto"/>
          <w:szCs w:val="21"/>
          <w:highlight w:val="none"/>
        </w:rPr>
        <w:t>监督</w:t>
      </w:r>
      <w:r>
        <w:rPr>
          <w:rFonts w:hint="eastAsia" w:ascii="宋体" w:hAnsi="宋体" w:cs="宋体"/>
          <w:b/>
          <w:bCs/>
          <w:color w:val="auto"/>
          <w:szCs w:val="21"/>
          <w:highlight w:val="none"/>
        </w:rPr>
        <w:t>课题组没有围标等违规行为。如自然人</w:t>
      </w:r>
      <w:r>
        <w:rPr>
          <w:rFonts w:ascii="宋体" w:hAnsi="宋体" w:cs="宋体"/>
          <w:b/>
          <w:bCs/>
          <w:color w:val="auto"/>
          <w:szCs w:val="21"/>
          <w:highlight w:val="none"/>
        </w:rPr>
        <w:t>承担</w:t>
      </w:r>
      <w:r>
        <w:rPr>
          <w:rFonts w:hint="eastAsia" w:ascii="宋体" w:hAnsi="宋体" w:cs="宋体"/>
          <w:b/>
          <w:bCs/>
          <w:color w:val="auto"/>
          <w:szCs w:val="21"/>
          <w:highlight w:val="none"/>
        </w:rPr>
        <w:t>的课题研究成果评审验收不合格或签订合同后有其他违约行为，依托</w:t>
      </w:r>
      <w:r>
        <w:rPr>
          <w:rFonts w:ascii="宋体" w:hAnsi="宋体" w:cs="宋体"/>
          <w:b/>
          <w:bCs/>
          <w:color w:val="auto"/>
          <w:szCs w:val="21"/>
          <w:highlight w:val="none"/>
        </w:rPr>
        <w:t>单位</w:t>
      </w:r>
      <w:r>
        <w:rPr>
          <w:rFonts w:hint="eastAsia" w:ascii="宋体" w:hAnsi="宋体" w:cs="宋体"/>
          <w:b/>
          <w:bCs/>
          <w:color w:val="auto"/>
          <w:szCs w:val="21"/>
          <w:highlight w:val="none"/>
        </w:rPr>
        <w:t>有责任协助采购人做出必要处置，并追回已拨付的全部课题研究经费）与某一投标单位为同一单位的，且同时参与同一分标课题投标的，该自然人与该投标单位所投该分标将作投标无效处理。）]</w:t>
      </w:r>
    </w:p>
    <w:p>
      <w:pPr>
        <w:tabs>
          <w:tab w:val="left" w:pos="165"/>
        </w:tabs>
        <w:wordWrap w:val="0"/>
        <w:spacing w:line="380" w:lineRule="exact"/>
        <w:ind w:firstLine="413" w:firstLineChars="196"/>
        <w:rPr>
          <w:rFonts w:ascii="宋体" w:hAnsi="宋体" w:cs="宋体"/>
          <w:b/>
          <w:bCs/>
          <w:color w:val="auto"/>
          <w:szCs w:val="21"/>
          <w:highlight w:val="none"/>
        </w:rPr>
      </w:pPr>
      <w:r>
        <w:rPr>
          <w:rFonts w:hint="eastAsia" w:ascii="宋体" w:hAnsi="宋体" w:cs="宋体"/>
          <w:b/>
          <w:bCs/>
          <w:color w:val="auto"/>
          <w:szCs w:val="21"/>
          <w:highlight w:val="none"/>
        </w:rPr>
        <w:t>（2）每个分标由评标委员会依据本招标文件“中标候选人推荐原则”对各供应商其所投各分标综合得分进行排名</w:t>
      </w:r>
      <w:r>
        <w:rPr>
          <w:rFonts w:hint="eastAsia" w:ascii="宋体" w:hAnsi="宋体" w:cs="宋体"/>
          <w:b/>
          <w:color w:val="auto"/>
          <w:szCs w:val="21"/>
          <w:highlight w:val="none"/>
        </w:rPr>
        <w:t>，排名第一的</w:t>
      </w:r>
      <w:r>
        <w:rPr>
          <w:rFonts w:hint="eastAsia" w:ascii="宋体" w:hAnsi="宋体" w:cs="宋体"/>
          <w:b/>
          <w:bCs/>
          <w:color w:val="auto"/>
          <w:szCs w:val="21"/>
          <w:highlight w:val="none"/>
        </w:rPr>
        <w:t>供应商</w:t>
      </w:r>
      <w:r>
        <w:rPr>
          <w:rFonts w:hint="eastAsia" w:ascii="宋体" w:hAnsi="宋体" w:cs="宋体"/>
          <w:b/>
          <w:color w:val="auto"/>
          <w:szCs w:val="21"/>
          <w:highlight w:val="none"/>
        </w:rPr>
        <w:t>将成为第一中标候选人</w:t>
      </w:r>
      <w:r>
        <w:rPr>
          <w:rFonts w:hint="eastAsia" w:ascii="宋体" w:hAnsi="宋体" w:cs="宋体"/>
          <w:b/>
          <w:bCs/>
          <w:color w:val="auto"/>
          <w:szCs w:val="21"/>
          <w:highlight w:val="none"/>
        </w:rPr>
        <w:t>。若某供应商有2个（或2个以上）分标综合评分最高，则在保持各分标有效的情况下，同一供应商同一个课题组将按</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16分标顺序优先成为第一中标候选人，不能累计中标；同一供应商的不同课题组可分别中不同分标。按分标顺序推荐中标候选人后，后续分标若进入详评的供应商均被推荐成为前列分标的第一中标候选人的，该分标废标。</w:t>
      </w:r>
      <w:r>
        <w:rPr>
          <w:rFonts w:hint="eastAsia" w:ascii="宋体" w:hAnsi="宋体" w:cs="宋体"/>
          <w:b/>
          <w:color w:val="auto"/>
          <w:szCs w:val="21"/>
          <w:highlight w:val="none"/>
        </w:rPr>
        <w:t>排名第一的中标候选人将与采购人签订采购合同。</w:t>
      </w:r>
    </w:p>
    <w:p>
      <w:pPr>
        <w:wordWrap w:val="0"/>
        <w:spacing w:line="380" w:lineRule="exact"/>
        <w:ind w:firstLine="420"/>
        <w:rPr>
          <w:rFonts w:ascii="宋体" w:hAnsi="宋体" w:cs="宋体"/>
          <w:b/>
          <w:bCs/>
          <w:color w:val="auto"/>
          <w:szCs w:val="21"/>
          <w:highlight w:val="none"/>
        </w:rPr>
      </w:pPr>
      <w:r>
        <w:rPr>
          <w:rFonts w:hint="eastAsia" w:ascii="宋体" w:hAnsi="宋体" w:cs="宋体"/>
          <w:b/>
          <w:bCs/>
          <w:color w:val="auto"/>
          <w:szCs w:val="21"/>
          <w:highlight w:val="none"/>
        </w:rPr>
        <w:t>（3）人员要求：</w:t>
      </w:r>
    </w:p>
    <w:p>
      <w:pPr>
        <w:wordWrap w:val="0"/>
        <w:spacing w:line="380" w:lineRule="exact"/>
        <w:ind w:firstLine="420"/>
        <w:rPr>
          <w:rFonts w:ascii="宋体" w:hAnsi="宋体" w:cs="宋体"/>
          <w:b/>
          <w:bCs/>
          <w:color w:val="auto"/>
          <w:kern w:val="0"/>
          <w:szCs w:val="21"/>
          <w:highlight w:val="none"/>
        </w:rPr>
      </w:pPr>
      <w:r>
        <w:rPr>
          <w:rFonts w:hint="eastAsia" w:ascii="宋体" w:hAnsi="宋体" w:cs="宋体"/>
          <w:b/>
          <w:bCs/>
          <w:color w:val="auto"/>
          <w:szCs w:val="21"/>
          <w:highlight w:val="none"/>
        </w:rPr>
        <w:t>①为确保服务质量，并在时限内完成课题研究进度要求，供应商拟投入各分标中的课题小组，不得再以课题小组成员身份出现在其他投标人的课题小组中，如有出现该情况，其所在其他投标人课题小组的小组成员身份按除名处理；如两位不同的投标人拟投入的课题负责人为同一人的，则使用该名课题负责人的投标人均投标无效。</w:t>
      </w:r>
    </w:p>
    <w:p>
      <w:pPr>
        <w:tabs>
          <w:tab w:val="left" w:pos="1620"/>
        </w:tabs>
        <w:spacing w:line="440" w:lineRule="exact"/>
        <w:ind w:firstLine="422" w:firstLineChars="200"/>
        <w:jc w:val="left"/>
        <w:rPr>
          <w:rFonts w:ascii="宋体" w:hAnsi="宋体" w:cs="Arial"/>
          <w:color w:val="auto"/>
          <w:kern w:val="0"/>
          <w:szCs w:val="21"/>
          <w:highlight w:val="none"/>
        </w:rPr>
      </w:pPr>
      <w:r>
        <w:rPr>
          <w:rFonts w:hint="eastAsia" w:ascii="宋体" w:hAnsi="宋体" w:cs="宋体"/>
          <w:b/>
          <w:bCs/>
          <w:color w:val="auto"/>
          <w:kern w:val="0"/>
          <w:szCs w:val="21"/>
          <w:highlight w:val="none"/>
        </w:rPr>
        <w:t>②课题小组成员也只能参与一个课题研究，如同一人员出现在同一分标（或不同分标）不同投标人的课题小组中，则根据各分标中标候选人推荐情况按</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→16分标</w:t>
      </w:r>
      <w:r>
        <w:rPr>
          <w:rFonts w:hint="eastAsia" w:ascii="宋体" w:hAnsi="宋体" w:cs="宋体"/>
          <w:b/>
          <w:bCs/>
          <w:color w:val="auto"/>
          <w:kern w:val="0"/>
          <w:szCs w:val="21"/>
          <w:highlight w:val="none"/>
        </w:rPr>
        <w:t>顺序及中标人排名先后进行确定，经确定后，其所在其他投标人课题小组的小组成员身份按除名处理。</w:t>
      </w:r>
    </w:p>
    <w:p>
      <w:pPr>
        <w:pStyle w:val="4"/>
        <w:spacing w:before="0" w:after="0" w:line="400" w:lineRule="exact"/>
        <w:ind w:firstLine="420" w:firstLineChars="200"/>
        <w:jc w:val="center"/>
        <w:rPr>
          <w:rFonts w:ascii="宋体" w:hAnsi="宋体" w:eastAsia="宋体" w:cs="宋体"/>
          <w:b w:val="0"/>
          <w:color w:val="auto"/>
          <w:sz w:val="21"/>
          <w:szCs w:val="21"/>
          <w:highlight w:val="none"/>
        </w:rPr>
      </w:pPr>
    </w:p>
    <w:bookmarkEnd w:id="137"/>
    <w:p>
      <w:pPr>
        <w:pStyle w:val="18"/>
        <w:tabs>
          <w:tab w:val="left" w:pos="2472"/>
        </w:tabs>
        <w:spacing w:line="460" w:lineRule="exact"/>
        <w:rPr>
          <w:rFonts w:hAnsi="宋体" w:cs="宋体"/>
          <w:b/>
          <w:color w:val="auto"/>
          <w:szCs w:val="21"/>
          <w:highlight w:val="none"/>
        </w:rPr>
        <w:sectPr>
          <w:pgSz w:w="11906" w:h="16838"/>
          <w:pgMar w:top="1134" w:right="1134" w:bottom="1134" w:left="1134" w:header="720" w:footer="720" w:gutter="0"/>
          <w:cols w:space="720" w:num="1"/>
          <w:docGrid w:type="lines" w:linePitch="331" w:charSpace="0"/>
        </w:sectPr>
      </w:pPr>
    </w:p>
    <w:p>
      <w:pPr>
        <w:pStyle w:val="18"/>
        <w:tabs>
          <w:tab w:val="left" w:pos="2472"/>
        </w:tabs>
        <w:spacing w:line="460" w:lineRule="exact"/>
        <w:rPr>
          <w:rFonts w:ascii="Times New Roman" w:hAnsi="Times New Roman"/>
          <w:b/>
          <w:color w:val="auto"/>
          <w:sz w:val="36"/>
          <w:highlight w:val="none"/>
        </w:rPr>
      </w:pPr>
    </w:p>
    <w:p>
      <w:pPr>
        <w:pStyle w:val="18"/>
        <w:tabs>
          <w:tab w:val="left" w:pos="2472"/>
        </w:tabs>
        <w:spacing w:line="460" w:lineRule="exact"/>
        <w:jc w:val="center"/>
        <w:outlineLvl w:val="0"/>
        <w:rPr>
          <w:rFonts w:ascii="Times New Roman" w:hAnsi="Times New Roman"/>
          <w:b/>
          <w:color w:val="auto"/>
          <w:sz w:val="36"/>
          <w:highlight w:val="none"/>
        </w:rPr>
      </w:pPr>
      <w:bookmarkStart w:id="138" w:name="_Toc80093009"/>
      <w:r>
        <w:rPr>
          <w:rFonts w:hint="eastAsia" w:ascii="Times New Roman" w:hAnsi="Times New Roman"/>
          <w:b/>
          <w:color w:val="auto"/>
          <w:sz w:val="36"/>
          <w:highlight w:val="none"/>
        </w:rPr>
        <w:t>第五章 拟签订的合同文本</w:t>
      </w:r>
      <w:bookmarkEnd w:id="138"/>
    </w:p>
    <w:p>
      <w:pPr>
        <w:pStyle w:val="18"/>
        <w:tabs>
          <w:tab w:val="left" w:pos="720"/>
        </w:tabs>
        <w:spacing w:line="460" w:lineRule="exact"/>
        <w:rPr>
          <w:bCs/>
          <w:color w:val="auto"/>
          <w:highlight w:val="none"/>
        </w:rPr>
      </w:pPr>
    </w:p>
    <w:p>
      <w:pPr>
        <w:pStyle w:val="6"/>
        <w:rPr>
          <w:bCs/>
          <w:color w:val="auto"/>
          <w:highlight w:val="none"/>
        </w:rPr>
      </w:pPr>
    </w:p>
    <w:p>
      <w:pPr>
        <w:snapToGrid w:val="0"/>
        <w:spacing w:line="40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《广西壮族自治区政府采购合同》</w:t>
      </w:r>
    </w:p>
    <w:p>
      <w:pPr>
        <w:snapToGrid w:val="0"/>
        <w:spacing w:line="400" w:lineRule="exact"/>
        <w:jc w:val="center"/>
        <w:rPr>
          <w:rFonts w:ascii="宋体" w:hAnsi="宋体"/>
          <w:b/>
          <w:bCs/>
          <w:color w:val="auto"/>
          <w:sz w:val="32"/>
          <w:szCs w:val="32"/>
          <w:highlight w:val="none"/>
        </w:rPr>
      </w:pPr>
    </w:p>
    <w:p>
      <w:pPr>
        <w:snapToGrid w:val="0"/>
        <w:spacing w:line="400" w:lineRule="exact"/>
        <w:ind w:right="480" w:firstLine="5250" w:firstLineChars="2500"/>
        <w:rPr>
          <w:rFonts w:ascii="宋体" w:hAnsi="宋体"/>
          <w:bCs/>
          <w:color w:val="auto"/>
          <w:szCs w:val="21"/>
          <w:highlight w:val="none"/>
          <w:u w:val="single"/>
        </w:rPr>
      </w:pPr>
      <w:r>
        <w:rPr>
          <w:rFonts w:hint="eastAsia" w:ascii="宋体" w:hAnsi="宋体"/>
          <w:bCs/>
          <w:color w:val="auto"/>
          <w:szCs w:val="21"/>
          <w:highlight w:val="none"/>
        </w:rPr>
        <w:t>合同编号：</w:t>
      </w:r>
    </w:p>
    <w:p>
      <w:pPr>
        <w:snapToGrid w:val="0"/>
        <w:spacing w:line="360" w:lineRule="exact"/>
        <w:rPr>
          <w:rFonts w:ascii="宋体" w:hAnsi="宋体"/>
          <w:color w:val="auto"/>
          <w:szCs w:val="21"/>
          <w:highlight w:val="none"/>
        </w:rPr>
      </w:pP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采购人（甲方）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color w:val="auto"/>
          <w:spacing w:val="-20"/>
          <w:szCs w:val="21"/>
          <w:highlight w:val="none"/>
        </w:rPr>
        <w:t>采 购 计 划 号</w:t>
      </w:r>
      <w:r>
        <w:rPr>
          <w:rFonts w:hint="eastAsia" w:ascii="宋体" w:hAnsi="宋体"/>
          <w:color w:val="auto"/>
          <w:szCs w:val="21"/>
          <w:highlight w:val="none"/>
          <w:u w:val="single"/>
        </w:rPr>
        <w:t xml:space="preserve">             </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供应商（乙方）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color w:val="auto"/>
          <w:spacing w:val="-20"/>
          <w:szCs w:val="21"/>
          <w:highlight w:val="none"/>
        </w:rPr>
        <w:t>招  标  编  号</w:t>
      </w:r>
      <w:r>
        <w:rPr>
          <w:rFonts w:hint="eastAsia" w:ascii="宋体" w:hAnsi="宋体"/>
          <w:color w:val="auto"/>
          <w:szCs w:val="21"/>
          <w:highlight w:val="none"/>
          <w:u w:val="single"/>
        </w:rPr>
        <w:t xml:space="preserve">             </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 xml:space="preserve">签  订  地  点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 订 时 间</w:t>
      </w:r>
      <w:r>
        <w:rPr>
          <w:rFonts w:hint="eastAsia" w:ascii="宋体" w:hAnsi="宋体"/>
          <w:color w:val="auto"/>
          <w:szCs w:val="21"/>
          <w:highlight w:val="none"/>
          <w:u w:val="singl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本合同为中小企业预留合同：</w:t>
      </w:r>
      <w:r>
        <w:rPr>
          <w:rFonts w:hint="eastAsia" w:ascii="宋体" w:hAnsi="宋体" w:cs="宋体"/>
          <w:color w:val="auto"/>
          <w:szCs w:val="21"/>
          <w:highlight w:val="none"/>
          <w:u w:val="single"/>
        </w:rPr>
        <w:t>（是/否）</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根据《中华人民共和国政府采购法》、《中华人民共和国民法典》等法律、法规规定，按照</w:t>
      </w:r>
      <w:r>
        <w:rPr>
          <w:rFonts w:hint="eastAsia" w:ascii="宋体" w:hAnsi="宋体"/>
          <w:color w:val="auto"/>
          <w:szCs w:val="21"/>
          <w:highlight w:val="none"/>
        </w:rPr>
        <w:t>招标文件规定条款和乙方投标文件及其承诺，甲乙双方签订本合同。</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第一条　合同标的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1、项目一览表</w:t>
      </w:r>
    </w:p>
    <w:tbl>
      <w:tblPr>
        <w:tblStyle w:val="3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3"/>
        <w:gridCol w:w="2400"/>
        <w:gridCol w:w="1320"/>
        <w:gridCol w:w="1200"/>
        <w:gridCol w:w="130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名称</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数  量</w:t>
            </w: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  价</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（元）</w:t>
            </w:r>
          </w:p>
        </w:tc>
        <w:tc>
          <w:tcPr>
            <w:tcW w:w="12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总 </w:t>
            </w:r>
            <w:r>
              <w:rPr>
                <w:rFonts w:ascii="宋体" w:hAnsi="宋体" w:cs="宋体"/>
                <w:color w:val="auto"/>
                <w:szCs w:val="21"/>
                <w:highlight w:val="none"/>
              </w:rPr>
              <w:t xml:space="preserve"> </w:t>
            </w:r>
            <w:r>
              <w:rPr>
                <w:rFonts w:hint="eastAsia" w:ascii="宋体" w:hAnsi="宋体" w:cs="宋体"/>
                <w:color w:val="auto"/>
                <w:szCs w:val="21"/>
                <w:highlight w:val="none"/>
              </w:rPr>
              <w:t>价</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c>
          <w:tcPr>
            <w:tcW w:w="12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详见开标一览表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人民币合计金额（大写）：</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元整（¥</w:t>
            </w:r>
            <w:r>
              <w:rPr>
                <w:rFonts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tc>
      </w:tr>
    </w:tbl>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合同合计金额包括但不限于满足本次投标全部采购需求所应提供的服务，以及伴随的货物和工程（如有）的价格；包含投标服务、货物、工程的成本、运输（含保险）、安装（如有）、调试、检验、技术服务、培训、税费等所有费用。如招标文件对其另有规定的，从其规定。</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第二条　质量保证</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乙方所提供的服务及服务内容必须与投标文件承诺相一致，有国家强制性标准的，还必须符合国家强制性标准的规定，没有国家强制性标准但有其他强制性标准的，必须符合其他强制性标准的规定。</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第三条　权利保证</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1、乙方应保证所提供服务在使用时不会侵犯任何第三方的专利权、商标权、工业设计权等知识产权及其他合法权利，且所有权、处分权等没有受到任何限制。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乙方的保密义务持续有效，不因为本合同履行终止、解除或者无效而解除。</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第四条　交付和验收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1、服务期限：</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起至</w:t>
      </w:r>
      <w:r>
        <w:rPr>
          <w:rFonts w:ascii="宋体" w:hAnsi="宋体" w:cs="宋体"/>
          <w:color w:val="auto"/>
          <w:szCs w:val="21"/>
          <w:highlight w:val="none"/>
          <w:u w:val="single"/>
        </w:rPr>
        <w:t xml:space="preserve">              </w:t>
      </w:r>
      <w:r>
        <w:rPr>
          <w:rFonts w:hint="eastAsia" w:ascii="宋体" w:hAnsi="宋体" w:cs="宋体"/>
          <w:color w:val="auto"/>
          <w:szCs w:val="21"/>
          <w:highlight w:val="none"/>
        </w:rPr>
        <w:t>，服务地点：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2、乙方应按投标文件的承诺向甲方提供相应的服务，并提供所服务内容的相关技术资料。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3、乙方提供不符合投标文件和本合同规定的服务成果，甲方有权拒绝接受。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5、甲乙双方应按照《</w:t>
      </w:r>
      <w:r>
        <w:rPr>
          <w:rFonts w:ascii="宋体" w:hAnsi="宋体" w:cs="宋体"/>
          <w:color w:val="auto"/>
          <w:szCs w:val="21"/>
          <w:highlight w:val="none"/>
        </w:rPr>
        <w:t>广西壮族自治区政府采购项目履约验收管理办法</w:t>
      </w:r>
      <w:r>
        <w:rPr>
          <w:rFonts w:hint="eastAsia" w:ascii="宋体" w:hAnsi="宋体" w:cs="宋体"/>
          <w:color w:val="auto"/>
          <w:szCs w:val="21"/>
          <w:highlight w:val="none"/>
        </w:rPr>
        <w:t>》、双方合同、投标文件验收。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6、甲方在初步验收或者最终验收过程中如发现乙方提供的服务成果不满足投标文件及本合同规定的，可暂缓向乙方付款，直到乙方及时完善并提交相应的服务成果且经甲方验收合格后，方可办理付款。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7、甲方验收时以书面形式提出异议的，乙方应自收到甲方书面异议后五个工作日内及时予以解决，否则甲方有权不出具服务验收合格单。</w:t>
      </w:r>
    </w:p>
    <w:p>
      <w:p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第五条  售后服务及培训</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1、乙方应按照国家有关法律法规和本合同所附的《商务要求偏离表》要求为甲方提供相应的售后服务。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2、甲方应提供必要测试条件（如场地、电源、水源等）。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3、乙方负责甲方有关人员的培训。培训时间、地点：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第六条　付款方式</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甲乙双方同意本合同金额的支付按以下第</w:t>
      </w:r>
      <w:r>
        <w:rPr>
          <w:rFonts w:hint="eastAsia" w:ascii="宋体" w:hAnsi="宋体"/>
          <w:color w:val="auto"/>
          <w:szCs w:val="21"/>
          <w:highlight w:val="none"/>
          <w:u w:val="single"/>
        </w:rPr>
        <w:t>2</w:t>
      </w:r>
      <w:r>
        <w:rPr>
          <w:rFonts w:hint="eastAsia" w:ascii="宋体" w:hAnsi="宋体"/>
          <w:color w:val="auto"/>
          <w:szCs w:val="21"/>
          <w:highlight w:val="none"/>
        </w:rPr>
        <w:t>项约定执行：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1、一次性支付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2、分期支付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（1）签订课题研究合同后，首次拨付合同金额的50%作为课题研究启动资金；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（2）研究成果经专家评审验收后，课题组根据专家评审验收时提出的意见建议以及采购人的要求修改完善研究成果，并经采购人审核通过后拨付合同金额剩余的50%。</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评审验收未达到合同规定要求的课题研究成果，课题组必须根据评审验收委员会的意见和建议，在规定的时间内进行修改、补充和完善。重新验收仍不合格的按违约予以撤项。剩余50%课题研究经费不再拨付。</w:t>
      </w:r>
    </w:p>
    <w:p>
      <w:p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第七条　履约保证金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履约保证金金额：每分标按中标金额的</w:t>
      </w:r>
      <w:r>
        <w:rPr>
          <w:rFonts w:hint="eastAsia" w:ascii="宋体" w:hAnsi="宋体" w:cs="宋体"/>
          <w:color w:val="auto"/>
          <w:szCs w:val="21"/>
          <w:highlight w:val="none"/>
          <w:u w:val="single"/>
        </w:rPr>
        <w:t>/</w:t>
      </w:r>
      <w:r>
        <w:rPr>
          <w:rFonts w:hint="eastAsia" w:ascii="宋体" w:hAnsi="宋体" w:cs="宋体"/>
          <w:color w:val="auto"/>
          <w:szCs w:val="21"/>
          <w:highlight w:val="none"/>
        </w:rPr>
        <w:t>%（注：履约保证金不超过5%）。</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履约保证金递交方式：支票、汇票、本票或者金融、担保机构出具的保函等非现金方式（参照投标保证金）。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退付方式、时间及条件：由中标人向履约保证金收取单位提供《广西壮族自治区政府采购项目合同验收书》（详见桂财采〔2015〕22号），保证金收取单位在收到合格材料后5个工作日内办理退还手续（不计利息）。</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签订合同后，如中标人不按双方签订的合同规定履约，则没收其全部履约保证金，履约保证金不足以赔偿损失的，按实际损失赔偿。</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第八条  税费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本合同执行中相关的一切税费均由乙方负担，合同另有约定的除外。</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第九条　违约责任</w:t>
      </w:r>
    </w:p>
    <w:p>
      <w:pPr>
        <w:snapToGrid w:val="0"/>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1、除不可抗力原因外，乙方没有按照合同规定的时间提供服务的，甲方可要求乙方支付违约金。每推迟一天按合同金额的3‰支付违约金，该违约金累计不超过合同金额的10%。</w:t>
      </w:r>
      <w:r>
        <w:rPr>
          <w:rFonts w:hint="eastAsia" w:ascii="宋体" w:hAnsi="宋体" w:cs="宋体"/>
          <w:color w:val="auto"/>
          <w:szCs w:val="21"/>
          <w:highlight w:val="none"/>
        </w:rPr>
        <w:t xml:space="preserve">                                  </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2、乙方提供的服务如侵犯了第三方合法权益而引发的任何纠纷或者诉讼，均由乙方负责交涉并承担全部责任。</w:t>
      </w:r>
    </w:p>
    <w:p>
      <w:pPr>
        <w:snapToGrid w:val="0"/>
        <w:spacing w:line="360" w:lineRule="auto"/>
        <w:ind w:firstLine="420" w:firstLineChars="200"/>
        <w:rPr>
          <w:rFonts w:ascii="宋体" w:hAnsi="宋体" w:cs="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、甲方延期付款的，每天向乙方偿付延期款额3‰滞纳金，但滞纳金累计不得超过延期款额5%。</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第十条  不可抗力事件处理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1、在合同有效期内，任何一方因不可抗力事件导致不能履行合同，则合同履行期可延长，其延长期与不可抗力影响期相同。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2、不可抗力事件发生后，应立即通知对方，并寄送有关权威机构出具的证明。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3、不可抗力事件延续一百二十天以上，双方应通过友好协商，确定是否继续履行合同。</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第十一条  合同争议解决</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2、因履行本合同引起的或者与本合同有关的争议，甲乙双方应首先通过友好协商解决，如果协商不能解决，可向甲方所在地有管辖权人民法院提起诉讼。</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3、诉讼期间，本合同继续履行。</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第十二条  合同生效及其它</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1、合同经双方法定代表人或者授权代表签字并加盖单位公章后生效（委托代理人签字的需后附授权委托书，格式自拟）。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2、合同执行中涉及采购资金和采购内容修改或者补充的，须经财政部门审批，并签书面补充协议报财政部门备案，方可作为主合同不可分割的一部分。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3、本合同未尽事宜，遵照《中华人民共和国民法典》有关条文执行。</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第十三条　合同的变更、终止与转让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1、除《中华人民共和国政府采购法》第五十条规定的情形外，本合同一经签订，甲乙双方不得擅自变更、中止或者终止。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2、乙方不得擅自转让其应履行的合同义务。</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第十四条　签订本合同依据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中标通知书</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2、开标一览表；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3、商务要求偏离表和技术要求偏离表；</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、服务实施方案；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5、投标文件中的其他相关文件。</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、上述合同文件互相补充和解释。如果合同文件之间存在矛盾或者不一致之处，以上述文件的排列顺序在先者为准。</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第十五条　</w:t>
      </w:r>
      <w:r>
        <w:rPr>
          <w:rFonts w:hint="eastAsia" w:ascii="宋体" w:hAnsi="宋体" w:cs="宋体"/>
          <w:color w:val="auto"/>
          <w:szCs w:val="21"/>
          <w:highlight w:val="none"/>
        </w:rPr>
        <w:t>本合同一式四份，具有同等法律效力，财政部门（政府采购监管部门）、采购代理机构各一份，甲乙双方各一份（可根据需要另增加）。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本合同甲乙双方签字盖章后生效，自签订之日起七个工作日内，甲方应当将合同副本报同级财政部门备案。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本合同自签订之日起2个工作日内，甲方应当将采购合同在广西壮族自治区财政厅指定的媒体上公告。</w:t>
      </w:r>
    </w:p>
    <w:p>
      <w:pPr>
        <w:spacing w:line="360" w:lineRule="auto"/>
        <w:ind w:firstLine="420" w:firstLineChars="200"/>
        <w:rPr>
          <w:rFonts w:ascii="宋体" w:hAnsi="宋体" w:cs="宋体"/>
          <w:color w:val="auto"/>
          <w:szCs w:val="21"/>
          <w:highlight w:val="none"/>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甲方（章）           </w:t>
            </w:r>
          </w:p>
          <w:p>
            <w:pPr>
              <w:snapToGrid w:val="0"/>
              <w:spacing w:line="360" w:lineRule="auto"/>
              <w:rPr>
                <w:rFonts w:ascii="宋体" w:hAnsi="宋体"/>
                <w:color w:val="auto"/>
                <w:szCs w:val="21"/>
                <w:highlight w:val="none"/>
              </w:rPr>
            </w:pPr>
          </w:p>
          <w:p>
            <w:pPr>
              <w:snapToGrid w:val="0"/>
              <w:spacing w:line="360" w:lineRule="auto"/>
              <w:ind w:firstLine="945" w:firstLineChars="450"/>
              <w:jc w:val="right"/>
              <w:rPr>
                <w:rFonts w:ascii="宋体" w:hAnsi="宋体"/>
                <w:color w:val="auto"/>
                <w:szCs w:val="21"/>
                <w:highlight w:val="none"/>
              </w:rPr>
            </w:pPr>
            <w:r>
              <w:rPr>
                <w:rFonts w:hint="eastAsia" w:ascii="宋体" w:hAnsi="宋体"/>
                <w:color w:val="auto"/>
                <w:szCs w:val="21"/>
                <w:highlight w:val="none"/>
              </w:rPr>
              <w:t>年   月   日</w:t>
            </w:r>
          </w:p>
        </w:tc>
        <w:tc>
          <w:tcPr>
            <w:tcW w:w="4517"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乙方（章）              </w:t>
            </w:r>
          </w:p>
          <w:p>
            <w:pPr>
              <w:snapToGrid w:val="0"/>
              <w:spacing w:line="360" w:lineRule="auto"/>
              <w:rPr>
                <w:rFonts w:ascii="宋体" w:hAnsi="宋体"/>
                <w:color w:val="auto"/>
                <w:szCs w:val="21"/>
                <w:highlight w:val="none"/>
              </w:rPr>
            </w:pPr>
          </w:p>
          <w:p>
            <w:pPr>
              <w:snapToGrid w:val="0"/>
              <w:spacing w:line="360" w:lineRule="auto"/>
              <w:jc w:val="right"/>
              <w:rPr>
                <w:rFonts w:ascii="宋体" w:hAnsi="宋体"/>
                <w:color w:val="auto"/>
                <w:szCs w:val="21"/>
                <w:highlight w:val="none"/>
              </w:rPr>
            </w:pPr>
            <w:r>
              <w:rPr>
                <w:rFonts w:hint="eastAsia" w:ascii="宋体" w:hAnsi="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单位地址：</w:t>
            </w:r>
          </w:p>
        </w:tc>
        <w:tc>
          <w:tcPr>
            <w:tcW w:w="4517"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4516" w:type="dxa"/>
          </w:tcPr>
          <w:p>
            <w:pPr>
              <w:snapToGrid w:val="0"/>
              <w:spacing w:line="360" w:lineRule="auto"/>
              <w:rPr>
                <w:rFonts w:ascii="宋体" w:hAnsi="宋体"/>
                <w:color w:val="auto"/>
                <w:szCs w:val="21"/>
                <w:highlight w:val="none"/>
              </w:rPr>
            </w:pPr>
            <w:r>
              <w:rPr>
                <w:rFonts w:hint="eastAsia" w:ascii="宋体" w:hAnsi="宋体"/>
                <w:color w:val="auto"/>
                <w:szCs w:val="21"/>
                <w:highlight w:val="none"/>
              </w:rPr>
              <w:t>法定代表人或者委托代理人：</w:t>
            </w:r>
          </w:p>
        </w:tc>
        <w:tc>
          <w:tcPr>
            <w:tcW w:w="4517" w:type="dxa"/>
          </w:tcPr>
          <w:p>
            <w:pPr>
              <w:snapToGrid w:val="0"/>
              <w:spacing w:line="360" w:lineRule="auto"/>
              <w:rPr>
                <w:rFonts w:ascii="宋体" w:hAnsi="宋体"/>
                <w:color w:val="auto"/>
                <w:szCs w:val="21"/>
                <w:highlight w:val="none"/>
              </w:rPr>
            </w:pPr>
            <w:r>
              <w:rPr>
                <w:rFonts w:hint="eastAsia" w:ascii="宋体" w:hAnsi="宋体"/>
                <w:color w:val="auto"/>
                <w:szCs w:val="21"/>
                <w:highlight w:val="none"/>
              </w:rPr>
              <w:t>法定代表人或者委托代理人：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电话：</w:t>
            </w:r>
          </w:p>
        </w:tc>
        <w:tc>
          <w:tcPr>
            <w:tcW w:w="4517"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电子邮箱：</w:t>
            </w:r>
          </w:p>
        </w:tc>
        <w:tc>
          <w:tcPr>
            <w:tcW w:w="4517"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开户银行：</w:t>
            </w:r>
          </w:p>
        </w:tc>
        <w:tc>
          <w:tcPr>
            <w:tcW w:w="4517"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账号：</w:t>
            </w:r>
          </w:p>
        </w:tc>
        <w:tc>
          <w:tcPr>
            <w:tcW w:w="4517"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邮政编码：</w:t>
            </w:r>
          </w:p>
        </w:tc>
        <w:tc>
          <w:tcPr>
            <w:tcW w:w="4517" w:type="dxa"/>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邮政编码：</w:t>
            </w:r>
          </w:p>
        </w:tc>
      </w:tr>
    </w:tbl>
    <w:p>
      <w:pPr>
        <w:rPr>
          <w:color w:val="auto"/>
          <w:highlight w:val="none"/>
        </w:rPr>
        <w:sectPr>
          <w:pgSz w:w="11906" w:h="16838"/>
          <w:pgMar w:top="1134" w:right="1134" w:bottom="1134" w:left="1134" w:header="720" w:footer="720" w:gutter="0"/>
          <w:cols w:space="720" w:num="1"/>
          <w:docGrid w:type="lines" w:linePitch="331" w:charSpace="0"/>
        </w:sectPr>
      </w:pPr>
    </w:p>
    <w:p>
      <w:pPr>
        <w:spacing w:line="360" w:lineRule="auto"/>
        <w:rPr>
          <w:rFonts w:ascii="仿宋_GB2312" w:hAnsi="楷体" w:eastAsia="仿宋_GB2312"/>
          <w:color w:val="auto"/>
          <w:sz w:val="24"/>
          <w:highlight w:val="none"/>
        </w:rPr>
      </w:pPr>
    </w:p>
    <w:p>
      <w:pPr>
        <w:snapToGrid w:val="0"/>
        <w:spacing w:line="400" w:lineRule="exact"/>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合 同 附 件</w:t>
      </w:r>
    </w:p>
    <w:p>
      <w:pPr>
        <w:snapToGrid w:val="0"/>
        <w:spacing w:line="400" w:lineRule="exact"/>
        <w:rPr>
          <w:rFonts w:ascii="宋体" w:hAnsi="宋体" w:cs="宋体"/>
          <w:color w:val="auto"/>
          <w:kern w:val="0"/>
          <w:szCs w:val="21"/>
          <w:highlight w:val="none"/>
        </w:rPr>
      </w:pPr>
    </w:p>
    <w:tbl>
      <w:tblPr>
        <w:tblStyle w:val="34"/>
        <w:tblW w:w="0" w:type="auto"/>
        <w:jc w:val="center"/>
        <w:tblLayout w:type="fixed"/>
        <w:tblCellMar>
          <w:top w:w="0" w:type="dxa"/>
          <w:left w:w="108" w:type="dxa"/>
          <w:bottom w:w="0" w:type="dxa"/>
          <w:right w:w="108" w:type="dxa"/>
        </w:tblCellMar>
      </w:tblPr>
      <w:tblGrid>
        <w:gridCol w:w="4627"/>
        <w:gridCol w:w="4659"/>
      </w:tblGrid>
      <w:tr>
        <w:tblPrEx>
          <w:tblCellMar>
            <w:top w:w="0" w:type="dxa"/>
            <w:left w:w="108" w:type="dxa"/>
            <w:bottom w:w="0" w:type="dxa"/>
            <w:right w:w="108" w:type="dxa"/>
          </w:tblCellMar>
        </w:tblPrEx>
        <w:trPr>
          <w:trHeight w:val="2072" w:hRule="exact"/>
          <w:jc w:val="center"/>
        </w:trPr>
        <w:tc>
          <w:tcPr>
            <w:tcW w:w="9286" w:type="dxa"/>
            <w:gridSpan w:val="2"/>
            <w:tcBorders>
              <w:top w:val="single" w:color="auto" w:sz="4" w:space="0"/>
              <w:left w:val="single" w:color="auto" w:sz="4" w:space="0"/>
              <w:right w:val="single" w:color="auto" w:sz="4" w:space="0"/>
            </w:tcBorders>
          </w:tcPr>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1.供应商承诺具体事项：</w:t>
            </w:r>
          </w:p>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2257" w:hRule="exact"/>
          <w:jc w:val="center"/>
        </w:trPr>
        <w:tc>
          <w:tcPr>
            <w:tcW w:w="9286" w:type="dxa"/>
            <w:gridSpan w:val="2"/>
            <w:tcBorders>
              <w:top w:val="single" w:color="auto" w:sz="4" w:space="0"/>
              <w:left w:val="single" w:color="auto" w:sz="4" w:space="0"/>
              <w:right w:val="single" w:color="auto" w:sz="4" w:space="0"/>
            </w:tcBorders>
          </w:tcPr>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2.售后服务具体事项：</w:t>
            </w:r>
          </w:p>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2133" w:hRule="exact"/>
          <w:jc w:val="center"/>
        </w:trPr>
        <w:tc>
          <w:tcPr>
            <w:tcW w:w="9286" w:type="dxa"/>
            <w:gridSpan w:val="2"/>
            <w:tcBorders>
              <w:top w:val="single" w:color="auto" w:sz="4" w:space="0"/>
              <w:left w:val="single" w:color="auto" w:sz="4" w:space="0"/>
              <w:right w:val="single" w:color="auto" w:sz="4" w:space="0"/>
            </w:tcBorders>
          </w:tcPr>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3.质量保证期责任：</w:t>
            </w:r>
          </w:p>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2702" w:hRule="exact"/>
          <w:jc w:val="center"/>
        </w:trPr>
        <w:tc>
          <w:tcPr>
            <w:tcW w:w="9286" w:type="dxa"/>
            <w:gridSpan w:val="2"/>
            <w:tcBorders>
              <w:top w:val="single" w:color="auto" w:sz="4" w:space="0"/>
              <w:left w:val="single" w:color="auto" w:sz="4" w:space="0"/>
              <w:right w:val="single" w:color="auto" w:sz="4" w:space="0"/>
            </w:tcBorders>
          </w:tcPr>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4.其他具体事项：</w:t>
            </w:r>
          </w:p>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r>
      <w:tr>
        <w:tblPrEx>
          <w:tblCellMar>
            <w:top w:w="0" w:type="dxa"/>
            <w:left w:w="108" w:type="dxa"/>
            <w:bottom w:w="0" w:type="dxa"/>
            <w:right w:w="108" w:type="dxa"/>
          </w:tblCellMar>
        </w:tblPrEx>
        <w:trPr>
          <w:trHeight w:val="2577" w:hRule="atLeast"/>
          <w:jc w:val="center"/>
        </w:trPr>
        <w:tc>
          <w:tcPr>
            <w:tcW w:w="46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甲方（章）</w:t>
            </w: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 </w:t>
            </w:r>
          </w:p>
        </w:tc>
        <w:tc>
          <w:tcPr>
            <w:tcW w:w="46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乙方（章）</w:t>
            </w: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p>
          <w:p>
            <w:pPr>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tc>
      </w:tr>
    </w:tbl>
    <w:p>
      <w:pPr>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注：售后服务事项填不下时可另加附页</w:t>
      </w:r>
    </w:p>
    <w:p>
      <w:pPr>
        <w:adjustRightInd w:val="0"/>
        <w:snapToGrid w:val="0"/>
        <w:spacing w:line="520" w:lineRule="exact"/>
        <w:rPr>
          <w:color w:val="auto"/>
          <w:highlight w:val="none"/>
        </w:rPr>
      </w:pPr>
    </w:p>
    <w:p>
      <w:pPr>
        <w:pStyle w:val="18"/>
        <w:spacing w:line="360" w:lineRule="auto"/>
        <w:ind w:left="178" w:leftChars="85"/>
        <w:rPr>
          <w:rFonts w:hAnsi="宋体"/>
          <w:color w:val="auto"/>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rPr>
          <w:rFonts w:ascii="Times New Roman" w:hAnsi="Times New Roman"/>
          <w:b/>
          <w:color w:val="auto"/>
          <w:sz w:val="36"/>
          <w:highlight w:val="none"/>
        </w:rPr>
      </w:pPr>
    </w:p>
    <w:p>
      <w:pPr>
        <w:pStyle w:val="18"/>
        <w:tabs>
          <w:tab w:val="left" w:pos="2472"/>
        </w:tabs>
        <w:spacing w:line="460" w:lineRule="exact"/>
        <w:jc w:val="center"/>
        <w:outlineLvl w:val="0"/>
        <w:rPr>
          <w:rFonts w:ascii="Times New Roman" w:hAnsi="Times New Roman"/>
          <w:b/>
          <w:color w:val="auto"/>
          <w:sz w:val="36"/>
          <w:highlight w:val="none"/>
        </w:rPr>
      </w:pPr>
      <w:bookmarkStart w:id="139" w:name="_Toc80093010"/>
      <w:r>
        <w:rPr>
          <w:rFonts w:hint="eastAsia" w:ascii="Times New Roman" w:hAnsi="Times New Roman"/>
          <w:b/>
          <w:color w:val="auto"/>
          <w:sz w:val="36"/>
          <w:highlight w:val="none"/>
        </w:rPr>
        <w:t>第六章 投标文件格式</w:t>
      </w:r>
      <w:bookmarkEnd w:id="139"/>
    </w:p>
    <w:p>
      <w:pPr>
        <w:pStyle w:val="18"/>
        <w:spacing w:line="360" w:lineRule="auto"/>
        <w:rPr>
          <w:rFonts w:hAnsi="宋体"/>
          <w:color w:val="auto"/>
          <w:highlight w:val="none"/>
        </w:rPr>
        <w:sectPr>
          <w:headerReference r:id="rId7" w:type="default"/>
          <w:pgSz w:w="11906" w:h="16838"/>
          <w:pgMar w:top="1134" w:right="1134" w:bottom="1134" w:left="1134" w:header="720" w:footer="720" w:gutter="0"/>
          <w:cols w:space="720" w:num="1"/>
          <w:docGrid w:type="lines" w:linePitch="331" w:charSpace="0"/>
        </w:sectPr>
      </w:pPr>
    </w:p>
    <w:p>
      <w:pPr>
        <w:jc w:val="center"/>
        <w:rPr>
          <w:b/>
          <w:bCs/>
          <w:color w:val="auto"/>
          <w:sz w:val="32"/>
          <w:szCs w:val="40"/>
          <w:highlight w:val="none"/>
        </w:rPr>
      </w:pPr>
      <w:bookmarkStart w:id="140" w:name="_Toc80093011"/>
      <w:r>
        <w:rPr>
          <w:b/>
          <w:bCs/>
          <w:color w:val="auto"/>
          <w:sz w:val="32"/>
          <w:szCs w:val="40"/>
          <w:highlight w:val="none"/>
        </w:rPr>
        <w:t>供应商提交电子响应文件须知</w:t>
      </w:r>
    </w:p>
    <w:p>
      <w:pPr>
        <w:adjustRightInd w:val="0"/>
        <w:snapToGrid w:val="0"/>
        <w:spacing w:line="420" w:lineRule="exact"/>
        <w:ind w:firstLine="480"/>
        <w:jc w:val="left"/>
        <w:rPr>
          <w:rFonts w:ascii="Arial" w:hAnsi="Arial" w:cs="Arial"/>
          <w:b/>
          <w:color w:val="auto"/>
          <w:sz w:val="24"/>
          <w:highlight w:val="none"/>
        </w:rPr>
      </w:pPr>
    </w:p>
    <w:p>
      <w:pPr>
        <w:adjustRightInd w:val="0"/>
        <w:snapToGrid w:val="0"/>
        <w:spacing w:line="420" w:lineRule="exact"/>
        <w:ind w:firstLine="480"/>
        <w:jc w:val="left"/>
        <w:rPr>
          <w:rFonts w:ascii="宋体" w:hAnsi="宋体" w:cs="宋体"/>
          <w:b/>
          <w:color w:val="auto"/>
          <w:szCs w:val="21"/>
          <w:highlight w:val="none"/>
        </w:rPr>
      </w:pPr>
      <w:r>
        <w:rPr>
          <w:rFonts w:hint="eastAsia" w:ascii="宋体" w:hAnsi="宋体" w:cs="宋体"/>
          <w:b/>
          <w:color w:val="auto"/>
          <w:szCs w:val="21"/>
          <w:highlight w:val="none"/>
        </w:rPr>
        <w:t>参与电子标的供应商必须为政采云平台的正式供应商且申领CA证书，各供应商应在开标前及时完成平台注册、CA证书申领、CA证书绑定、下载投标客户端，熟悉并掌握政采云电子标系统操作。</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一、供应商应保证全部声明和问题的回答是真实的和准确的。</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二、公开招标小组将应用供应商递交的资料作出自己的判断。</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三、供应商递交的材料将在一定期限内被保密保存，不予退还。</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四、电子响应文件编制格式及规范要求：</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（一）响应文件应使用政采云电子投标客户端软件，并按照本公开招标文件和政采云平台要求编制并加密响应文件。未按规定加密的响应文件，政采云平台将拒收。</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（二）响应文件制作并加密完成后应在政采云平台上传完成。</w:t>
      </w:r>
    </w:p>
    <w:p>
      <w:pPr>
        <w:adjustRightInd w:val="0"/>
        <w:snapToGrid w:val="0"/>
        <w:spacing w:line="42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（三）响应文件应使用CA证书进行电子签章。在签章时，供应商应注意CA电子签章的位置，如因CA电子签章遮挡重要、关键信息导致评标委员会作出对供应商不利评审的，后果由供应商负责。</w:t>
      </w:r>
    </w:p>
    <w:p>
      <w:pPr>
        <w:adjustRightInd w:val="0"/>
        <w:snapToGrid w:val="0"/>
        <w:spacing w:line="42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（四）供应商应准确设置评审关联点。未设置或设置错误导致响应文件被误读、漏读或者查找不到相关内容的，是供应商的责任。</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（五）响应文件所提供的相关材料的尺寸和清晰度应该能够在电脑上被阅读、识别和判断。</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（六）响应文件内容无法阅读、识别和判断的，视为未提供。</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（七）响应文件的容量大小须符合政采云平台规定。</w:t>
      </w:r>
    </w:p>
    <w:p>
      <w:pPr>
        <w:adjustRightInd w:val="0"/>
        <w:snapToGrid w:val="0"/>
        <w:spacing w:line="420" w:lineRule="exact"/>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五、供应商在使用政采云平台进行投标过程中遇到涉及平台使用的任何问题，可致电平台技术支持热线咨询，联系方式：400-881-7190。</w:t>
      </w:r>
    </w:p>
    <w:p>
      <w:pPr>
        <w:snapToGrid w:val="0"/>
        <w:spacing w:line="420" w:lineRule="exact"/>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六、特别说明</w:t>
      </w:r>
    </w:p>
    <w:p>
      <w:pPr>
        <w:adjustRightInd w:val="0"/>
        <w:snapToGrid w:val="0"/>
        <w:spacing w:line="420" w:lineRule="exact"/>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（一）响应文件中须加盖公章部分均采用供应商CA电子签章，否则视为响应无效。</w:t>
      </w:r>
    </w:p>
    <w:p>
      <w:pPr>
        <w:adjustRightInd w:val="0"/>
        <w:snapToGrid w:val="0"/>
        <w:spacing w:line="420" w:lineRule="exact"/>
        <w:ind w:firstLine="422" w:firstLineChars="200"/>
        <w:jc w:val="left"/>
        <w:rPr>
          <w:rFonts w:ascii="宋体" w:hAnsi="宋体" w:cs="宋体"/>
          <w:b/>
          <w:color w:val="auto"/>
          <w:szCs w:val="21"/>
          <w:highlight w:val="none"/>
        </w:rPr>
        <w:sectPr>
          <w:pgSz w:w="11910" w:h="16840"/>
          <w:pgMar w:top="1340" w:right="1500" w:bottom="280" w:left="1680" w:header="720" w:footer="720" w:gutter="0"/>
          <w:cols w:space="720" w:num="1"/>
        </w:sectPr>
      </w:pPr>
      <w:r>
        <w:rPr>
          <w:rFonts w:hint="eastAsia" w:ascii="宋体" w:hAnsi="宋体" w:cs="宋体"/>
          <w:b/>
          <w:color w:val="auto"/>
          <w:szCs w:val="21"/>
          <w:highlight w:val="none"/>
        </w:rPr>
        <w:t>（二）</w:t>
      </w:r>
      <w:r>
        <w:rPr>
          <w:rFonts w:hint="eastAsia" w:ascii="宋体" w:hAnsi="宋体" w:cs="宋体"/>
          <w:b/>
          <w:bCs/>
          <w:color w:val="auto"/>
          <w:szCs w:val="21"/>
          <w:highlight w:val="none"/>
        </w:rPr>
        <w:t>公开招标文件中规定须由法定代表人或授权委托代理人签字的内容，如果供应商没有法定代表人或授权委托代理人电子签章，涉及到法定代表人或其授权委托代理人签字或盖章的内容，供应商可以线下签字或盖章后扫描上传，</w:t>
      </w:r>
      <w:r>
        <w:rPr>
          <w:rFonts w:hint="eastAsia" w:ascii="宋体" w:hAnsi="宋体" w:cs="宋体"/>
          <w:b/>
          <w:color w:val="auto"/>
          <w:szCs w:val="21"/>
          <w:highlight w:val="none"/>
        </w:rPr>
        <w:t>否则视为响应无效。</w:t>
      </w:r>
    </w:p>
    <w:bookmarkEnd w:id="140"/>
    <w:p>
      <w:pPr>
        <w:pStyle w:val="3"/>
        <w:spacing w:before="0" w:after="0"/>
        <w:jc w:val="center"/>
        <w:rPr>
          <w:color w:val="auto"/>
          <w:highlight w:val="none"/>
        </w:rPr>
      </w:pPr>
      <w:bookmarkStart w:id="141" w:name="_Toc74320805"/>
      <w:r>
        <w:rPr>
          <w:rFonts w:hint="eastAsia"/>
          <w:color w:val="auto"/>
          <w:highlight w:val="none"/>
        </w:rPr>
        <w:t>第六章　投标文件格式</w:t>
      </w:r>
      <w:bookmarkEnd w:id="141"/>
    </w:p>
    <w:p>
      <w:pPr>
        <w:rPr>
          <w:b/>
          <w:color w:val="auto"/>
          <w:sz w:val="28"/>
          <w:szCs w:val="28"/>
          <w:highlight w:val="none"/>
        </w:rPr>
      </w:pPr>
      <w:bookmarkStart w:id="142" w:name="_Toc19686836"/>
      <w:bookmarkStart w:id="143" w:name="_Toc254970698"/>
      <w:bookmarkStart w:id="144" w:name="_Toc254970557"/>
      <w:r>
        <w:rPr>
          <w:rFonts w:hint="eastAsia"/>
          <w:b/>
          <w:color w:val="auto"/>
          <w:sz w:val="28"/>
          <w:szCs w:val="28"/>
          <w:highlight w:val="none"/>
        </w:rPr>
        <w:t>一、报价文件格式</w:t>
      </w:r>
      <w:bookmarkEnd w:id="142"/>
    </w:p>
    <w:p>
      <w:pPr>
        <w:snapToGrid w:val="0"/>
        <w:spacing w:before="120" w:beforeLines="50" w:after="50" w:line="360" w:lineRule="auto"/>
        <w:ind w:left="142"/>
        <w:jc w:val="left"/>
        <w:rPr>
          <w:rFonts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400" w:lineRule="exact"/>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line="400" w:lineRule="exact"/>
        <w:jc w:val="center"/>
        <w:rPr>
          <w:rFonts w:ascii="宋体" w:hAnsi="宋体"/>
          <w:bCs/>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line="400" w:lineRule="exact"/>
        <w:jc w:val="center"/>
        <w:rPr>
          <w:rFonts w:ascii="宋体" w:hAnsi="宋体"/>
          <w:bCs/>
          <w:color w:val="auto"/>
          <w:sz w:val="32"/>
          <w:szCs w:val="32"/>
          <w:highlight w:val="none"/>
        </w:rPr>
      </w:pPr>
    </w:p>
    <w:p>
      <w:pPr>
        <w:snapToGrid w:val="0"/>
        <w:spacing w:before="120" w:beforeLines="50" w:after="50" w:line="400" w:lineRule="exact"/>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报  价  文  件</w:t>
      </w: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ind w:firstLine="360" w:firstLineChars="150"/>
        <w:rPr>
          <w:rFonts w:ascii="宋体" w:hAnsi="宋体"/>
          <w:bCs/>
          <w:color w:val="auto"/>
          <w:sz w:val="24"/>
          <w:highlight w:val="none"/>
        </w:rPr>
      </w:pPr>
    </w:p>
    <w:p>
      <w:pPr>
        <w:snapToGrid w:val="0"/>
        <w:spacing w:before="120" w:beforeLines="50" w:after="50"/>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ind w:firstLine="360" w:firstLineChars="150"/>
        <w:rPr>
          <w:rFonts w:ascii="宋体" w:hAnsi="宋体"/>
          <w:bCs/>
          <w:color w:val="auto"/>
          <w:sz w:val="24"/>
          <w:highlight w:val="none"/>
        </w:rPr>
      </w:pPr>
    </w:p>
    <w:p>
      <w:pPr>
        <w:snapToGrid w:val="0"/>
        <w:spacing w:before="120" w:beforeLines="50" w:after="50"/>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360" w:firstLineChars="150"/>
        <w:rPr>
          <w:rFonts w:ascii="宋体" w:hAnsi="宋体"/>
          <w:bCs/>
          <w:color w:val="auto"/>
          <w:sz w:val="24"/>
          <w:highlight w:val="none"/>
        </w:rPr>
      </w:pPr>
    </w:p>
    <w:p>
      <w:pPr>
        <w:snapToGrid w:val="0"/>
        <w:spacing w:before="120" w:beforeLines="50" w:after="50"/>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ind w:firstLine="360" w:firstLineChars="150"/>
        <w:rPr>
          <w:rFonts w:ascii="宋体" w:hAnsi="宋体"/>
          <w:bCs/>
          <w:color w:val="auto"/>
          <w:sz w:val="24"/>
          <w:highlight w:val="none"/>
        </w:rPr>
      </w:pPr>
    </w:p>
    <w:p>
      <w:pPr>
        <w:snapToGrid w:val="0"/>
        <w:spacing w:before="120" w:beforeLines="50" w:after="50"/>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rPr>
          <w:rFonts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ascii="宋体" w:hAnsi="宋体"/>
          <w:b/>
          <w:color w:val="auto"/>
          <w:sz w:val="24"/>
          <w:highlight w:val="none"/>
        </w:rPr>
      </w:pPr>
    </w:p>
    <w:p>
      <w:pPr>
        <w:snapToGrid w:val="0"/>
        <w:spacing w:before="120" w:beforeLines="50" w:after="50"/>
        <w:rPr>
          <w:rFonts w:ascii="宋体" w:hAnsi="宋体"/>
          <w:b/>
          <w:color w:val="auto"/>
          <w:sz w:val="24"/>
          <w:highlight w:val="none"/>
        </w:rPr>
      </w:pPr>
    </w:p>
    <w:p>
      <w:pPr>
        <w:snapToGrid w:val="0"/>
        <w:spacing w:before="120" w:beforeLines="50" w:after="50"/>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60" w:lineRule="auto"/>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 标 函</w:t>
      </w:r>
    </w:p>
    <w:p>
      <w:pPr>
        <w:spacing w:line="276" w:lineRule="auto"/>
        <w:contextualSpacing/>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p>
    <w:p>
      <w:pPr>
        <w:spacing w:line="276" w:lineRule="auto"/>
        <w:ind w:firstLine="480"/>
        <w:contextualSpacing/>
        <w:rPr>
          <w:rFonts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）的招标公告，签字代表______</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据此函，我方宣布同意如下：</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9.与本投标有关的一切正式往来信函请寄：</w:t>
      </w:r>
    </w:p>
    <w:p>
      <w:pPr>
        <w:spacing w:line="276" w:lineRule="auto"/>
        <w:ind w:firstLine="480" w:firstLineChars="200"/>
        <w:contextualSpacing/>
        <w:rPr>
          <w:rFonts w:ascii="宋体" w:hAnsi="宋体"/>
          <w:color w:val="auto"/>
          <w:sz w:val="24"/>
          <w:highlight w:val="none"/>
        </w:rPr>
      </w:pPr>
    </w:p>
    <w:p>
      <w:pPr>
        <w:spacing w:line="276" w:lineRule="auto"/>
        <w:ind w:firstLine="480" w:firstLineChars="200"/>
        <w:contextualSpacing/>
        <w:rPr>
          <w:rFonts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276" w:lineRule="auto"/>
        <w:ind w:firstLine="480" w:firstLineChars="200"/>
        <w:contextualSpacing/>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276"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276" w:lineRule="auto"/>
        <w:ind w:firstLine="480" w:firstLineChars="200"/>
        <w:contextualSpacing/>
        <w:jc w:val="left"/>
        <w:rPr>
          <w:rFonts w:ascii="宋体" w:hAnsi="宋体"/>
          <w:color w:val="auto"/>
          <w:sz w:val="24"/>
          <w:highlight w:val="none"/>
        </w:rPr>
      </w:pPr>
      <w:r>
        <w:rPr>
          <w:rFonts w:hint="eastAsia" w:ascii="宋体" w:hAnsi="宋体"/>
          <w:color w:val="auto"/>
          <w:sz w:val="24"/>
          <w:highlight w:val="none"/>
        </w:rPr>
        <w:t xml:space="preserve">法定代表人或者委托代理人签字:___________ </w:t>
      </w:r>
    </w:p>
    <w:p>
      <w:pPr>
        <w:pStyle w:val="18"/>
        <w:spacing w:line="276" w:lineRule="auto"/>
        <w:contextualSpacing/>
        <w:jc w:val="center"/>
        <w:rPr>
          <w:rFonts w:hAnsi="宋体"/>
          <w:color w:val="auto"/>
          <w:sz w:val="24"/>
          <w:highlight w:val="none"/>
        </w:rPr>
      </w:pPr>
      <w:r>
        <w:rPr>
          <w:rFonts w:hint="eastAsia" w:hAnsi="宋体"/>
          <w:color w:val="auto"/>
          <w:sz w:val="24"/>
          <w:highlight w:val="none"/>
        </w:rPr>
        <w:t xml:space="preserve"> </w:t>
      </w:r>
      <w:r>
        <w:rPr>
          <w:rFonts w:hAnsi="宋体"/>
          <w:color w:val="auto"/>
          <w:sz w:val="24"/>
          <w:highlight w:val="none"/>
        </w:rPr>
        <w:t xml:space="preserve">                                  </w:t>
      </w:r>
    </w:p>
    <w:p>
      <w:pPr>
        <w:pStyle w:val="18"/>
        <w:spacing w:line="276" w:lineRule="auto"/>
        <w:contextualSpacing/>
        <w:jc w:val="center"/>
        <w:rPr>
          <w:rFonts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投标人（盖公章）：</w:t>
      </w:r>
    </w:p>
    <w:p>
      <w:pPr>
        <w:pStyle w:val="18"/>
        <w:spacing w:line="276" w:lineRule="auto"/>
        <w:contextualSpacing/>
        <w:rPr>
          <w:rFonts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before="120" w:beforeLines="50" w:after="50" w:line="440" w:lineRule="exact"/>
        <w:jc w:val="left"/>
        <w:rPr>
          <w:rFonts w:ascii="宋体" w:hAnsi="宋体"/>
          <w:b/>
          <w:color w:val="auto"/>
          <w:sz w:val="24"/>
          <w:szCs w:val="20"/>
          <w:highlight w:val="none"/>
        </w:rPr>
      </w:pPr>
      <w:r>
        <w:rPr>
          <w:rFonts w:hAnsi="宋体"/>
          <w:color w:val="auto"/>
          <w:highlight w:val="none"/>
          <w:u w:val="single"/>
        </w:rPr>
        <w:br w:type="page"/>
      </w:r>
      <w:r>
        <w:rPr>
          <w:rFonts w:hint="eastAsia" w:ascii="宋体" w:hAnsi="宋体"/>
          <w:b/>
          <w:color w:val="auto"/>
          <w:sz w:val="24"/>
          <w:highlight w:val="none"/>
        </w:rPr>
        <w:t>4. 开标一览表（服务类格式）</w:t>
      </w:r>
    </w:p>
    <w:p>
      <w:pPr>
        <w:snapToGrid w:val="0"/>
        <w:spacing w:before="50" w:after="50"/>
        <w:jc w:val="center"/>
        <w:rPr>
          <w:rFonts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ascii="宋体" w:hAnsi="宋体"/>
          <w:b/>
          <w:color w:val="auto"/>
          <w:sz w:val="30"/>
          <w:szCs w:val="20"/>
          <w:highlight w:val="none"/>
        </w:rPr>
      </w:pPr>
    </w:p>
    <w:p>
      <w:pPr>
        <w:snapToGrid w:val="0"/>
        <w:spacing w:before="50" w:after="50"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分标：</w:t>
      </w:r>
      <w:r>
        <w:rPr>
          <w:rFonts w:hint="eastAsia" w:ascii="宋体" w:hAnsi="宋体"/>
          <w:color w:val="auto"/>
          <w:sz w:val="24"/>
          <w:highlight w:val="none"/>
          <w:u w:val="single"/>
        </w:rPr>
        <w:t xml:space="preserve">           </w:t>
      </w:r>
    </w:p>
    <w:p>
      <w:pPr>
        <w:snapToGrid w:val="0"/>
        <w:spacing w:before="50" w:after="50" w:line="360" w:lineRule="auto"/>
        <w:rPr>
          <w:rFonts w:ascii="宋体" w:hAnsi="宋体" w:cs="仿宋_GB2312"/>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单位：元</w:t>
      </w:r>
      <w:r>
        <w:rPr>
          <w:rFonts w:hint="eastAsia" w:ascii="宋体" w:hAnsi="宋体" w:cs="仿宋_GB2312"/>
          <w:color w:val="auto"/>
          <w:sz w:val="24"/>
          <w:highlight w:val="non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947"/>
        <w:gridCol w:w="1521"/>
        <w:gridCol w:w="1418"/>
        <w:gridCol w:w="167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序号</w:t>
            </w:r>
          </w:p>
        </w:tc>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hint="eastAsia" w:ascii="宋体" w:hAnsi="宋体"/>
                <w:b/>
                <w:color w:val="auto"/>
                <w:sz w:val="24"/>
                <w:highlight w:val="none"/>
              </w:rPr>
              <w:t>标的的名称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数量及单位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单价</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总价</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1</w:t>
            </w:r>
          </w:p>
        </w:tc>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_GB2312"/>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_GB2312"/>
                <w:color w:val="auto"/>
                <w:sz w:val="24"/>
                <w:highlight w:val="none"/>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p>
        </w:tc>
        <w:tc>
          <w:tcPr>
            <w:tcW w:w="1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_GB2312"/>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_GB2312"/>
                <w:color w:val="auto"/>
                <w:sz w:val="24"/>
                <w:highlight w:val="none"/>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hint="eastAsia" w:ascii="宋体" w:hAnsi="宋体"/>
                <w:b/>
                <w:color w:val="auto"/>
                <w:sz w:val="24"/>
                <w:highlight w:val="none"/>
              </w:rPr>
              <w:t>……</w:t>
            </w:r>
          </w:p>
        </w:tc>
        <w:tc>
          <w:tcPr>
            <w:tcW w:w="29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color w:val="auto"/>
                <w:sz w:val="24"/>
                <w:highlight w:val="none"/>
              </w:rPr>
            </w:pPr>
            <w:r>
              <w:rPr>
                <w:rFonts w:hint="eastAsia" w:ascii="宋体" w:hAnsi="宋体"/>
                <w:b/>
                <w:color w:val="auto"/>
                <w:sz w:val="24"/>
                <w:highlight w:val="none"/>
              </w:rPr>
              <w:t>……</w:t>
            </w:r>
          </w:p>
        </w:tc>
        <w:tc>
          <w:tcPr>
            <w:tcW w:w="1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_GB2312"/>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仿宋_GB2312"/>
                <w:color w:val="auto"/>
                <w:sz w:val="24"/>
                <w:highlight w:val="none"/>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9550"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s="仿宋_GB2312"/>
                <w:color w:val="auto"/>
                <w:sz w:val="24"/>
                <w:highlight w:val="none"/>
              </w:rPr>
            </w:pPr>
            <w:r>
              <w:rPr>
                <w:rFonts w:hint="eastAsia" w:ascii="宋体" w:hAnsi="宋体" w:cs="仿宋_GB2312"/>
                <w:color w:val="auto"/>
                <w:sz w:val="24"/>
                <w:highlight w:val="none"/>
              </w:rPr>
              <w:t>合计金额大写：人民币</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p>
        </w:tc>
      </w:tr>
    </w:tbl>
    <w:p>
      <w:pPr>
        <w:snapToGrid w:val="0"/>
        <w:spacing w:before="50" w:after="50" w:line="360" w:lineRule="auto"/>
        <w:jc w:val="left"/>
        <w:rPr>
          <w:rFonts w:ascii="宋体" w:hAnsi="宋体"/>
          <w:color w:val="auto"/>
          <w:sz w:val="24"/>
          <w:highlight w:val="none"/>
        </w:rPr>
      </w:pPr>
      <w:r>
        <w:rPr>
          <w:rFonts w:hint="eastAsia" w:ascii="宋体" w:hAnsi="宋体"/>
          <w:color w:val="auto"/>
          <w:sz w:val="24"/>
          <w:highlight w:val="none"/>
        </w:rPr>
        <w:t xml:space="preserve">注: </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1.投标人的开标一览表必须加盖投标人公章并由</w:t>
      </w:r>
      <w:r>
        <w:rPr>
          <w:rFonts w:ascii="宋体" w:hAnsi="宋体"/>
          <w:color w:val="auto"/>
          <w:sz w:val="24"/>
          <w:highlight w:val="none"/>
        </w:rPr>
        <w:t>法定代表人或者委托代理人</w:t>
      </w:r>
      <w:r>
        <w:rPr>
          <w:rFonts w:hint="eastAsia" w:ascii="宋体" w:hAnsi="宋体"/>
          <w:color w:val="auto"/>
          <w:sz w:val="24"/>
          <w:highlight w:val="none"/>
        </w:rPr>
        <w:t>签字，</w:t>
      </w:r>
      <w:r>
        <w:rPr>
          <w:rFonts w:hint="eastAsia" w:ascii="宋体" w:hAnsi="宋体"/>
          <w:b/>
          <w:color w:val="auto"/>
          <w:sz w:val="24"/>
          <w:highlight w:val="none"/>
        </w:rPr>
        <w:t>否则其投标作无效标处理</w:t>
      </w:r>
      <w:r>
        <w:rPr>
          <w:rFonts w:hint="eastAsia" w:ascii="宋体" w:hAnsi="宋体"/>
          <w:color w:val="auto"/>
          <w:sz w:val="24"/>
          <w:highlight w:val="none"/>
        </w:rPr>
        <w:t>。</w:t>
      </w:r>
    </w:p>
    <w:p>
      <w:pPr>
        <w:snapToGrid w:val="0"/>
        <w:spacing w:before="50" w:after="50" w:line="360" w:lineRule="auto"/>
        <w:ind w:firstLine="480" w:firstLineChars="200"/>
        <w:jc w:val="left"/>
        <w:rPr>
          <w:rFonts w:ascii="宋体" w:hAnsi="宋体"/>
          <w:b/>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报价一经涂改，应在涂改处加盖投标人公章或者由法定代表人或者委托代理人签字或者盖章</w:t>
      </w:r>
      <w:r>
        <w:rPr>
          <w:rFonts w:hint="eastAsia" w:ascii="宋体" w:hAnsi="宋体"/>
          <w:b/>
          <w:color w:val="auto"/>
          <w:sz w:val="24"/>
          <w:highlight w:val="none"/>
        </w:rPr>
        <w:t>，否则其投标作无效标处理。</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3.如为联合体投标，“投标人名称”处必须列明联合体各方名称，并标注联合体牵头人名称，</w:t>
      </w:r>
      <w:r>
        <w:rPr>
          <w:rFonts w:hint="eastAsia" w:ascii="宋体" w:hAnsi="宋体"/>
          <w:b/>
          <w:color w:val="auto"/>
          <w:sz w:val="24"/>
          <w:highlight w:val="none"/>
        </w:rPr>
        <w:t>否则其投标作无效标处理。</w:t>
      </w:r>
    </w:p>
    <w:p>
      <w:pPr>
        <w:snapToGrid w:val="0"/>
        <w:spacing w:before="50" w:after="50" w:line="360" w:lineRule="auto"/>
        <w:ind w:firstLine="456" w:firstLineChars="200"/>
        <w:jc w:val="left"/>
        <w:rPr>
          <w:rFonts w:ascii="宋体" w:hAnsi="宋体"/>
          <w:color w:val="auto"/>
          <w:spacing w:val="-6"/>
          <w:sz w:val="24"/>
          <w:highlight w:val="none"/>
        </w:rPr>
      </w:pPr>
      <w:r>
        <w:rPr>
          <w:rFonts w:hint="eastAsia" w:ascii="宋体" w:hAnsi="宋体"/>
          <w:color w:val="auto"/>
          <w:spacing w:val="-6"/>
          <w:sz w:val="24"/>
          <w:highlight w:val="none"/>
        </w:rPr>
        <w:t>4.如为联合体投标，盖章处须加盖联合体各方公章，</w:t>
      </w:r>
      <w:r>
        <w:rPr>
          <w:rFonts w:hint="eastAsia" w:ascii="宋体" w:hAnsi="宋体"/>
          <w:b/>
          <w:color w:val="auto"/>
          <w:spacing w:val="-6"/>
          <w:sz w:val="24"/>
          <w:highlight w:val="none"/>
        </w:rPr>
        <w:t>否则其投标作无效标处理。</w:t>
      </w:r>
    </w:p>
    <w:p>
      <w:pPr>
        <w:snapToGrid w:val="0"/>
        <w:spacing w:before="50" w:after="50" w:line="360" w:lineRule="auto"/>
        <w:ind w:firstLine="480" w:firstLineChars="200"/>
        <w:rPr>
          <w:rFonts w:ascii="宋体" w:hAnsi="宋体"/>
          <w:b/>
          <w:color w:val="auto"/>
          <w:sz w:val="24"/>
          <w:highlight w:val="none"/>
        </w:rPr>
      </w:pPr>
      <w:r>
        <w:rPr>
          <w:rFonts w:hint="eastAsia" w:ascii="宋体" w:hAnsi="宋体"/>
          <w:color w:val="auto"/>
          <w:sz w:val="24"/>
          <w:highlight w:val="none"/>
        </w:rPr>
        <w:t>5.如有多分标，按分标分别提供开标一览表，</w:t>
      </w:r>
      <w:r>
        <w:rPr>
          <w:rFonts w:hint="eastAsia" w:ascii="宋体" w:hAnsi="宋体"/>
          <w:b/>
          <w:color w:val="auto"/>
          <w:sz w:val="24"/>
          <w:highlight w:val="none"/>
        </w:rPr>
        <w:t>否则投标无效。</w:t>
      </w:r>
    </w:p>
    <w:p>
      <w:pPr>
        <w:snapToGrid w:val="0"/>
        <w:spacing w:before="50" w:after="50" w:line="360" w:lineRule="auto"/>
        <w:ind w:firstLine="482" w:firstLineChars="200"/>
        <w:rPr>
          <w:rFonts w:ascii="宋体" w:hAnsi="宋体"/>
          <w:b/>
          <w:color w:val="auto"/>
          <w:sz w:val="24"/>
          <w:highlight w:val="none"/>
        </w:rPr>
      </w:pPr>
    </w:p>
    <w:p>
      <w:pPr>
        <w:snapToGrid w:val="0"/>
        <w:spacing w:before="50" w:after="50" w:line="360" w:lineRule="auto"/>
        <w:ind w:left="-2" w:leftChars="-1" w:right="-817" w:rightChars="-389"/>
        <w:rPr>
          <w:rFonts w:ascii="宋体" w:hAnsi="宋体"/>
          <w:color w:val="auto"/>
          <w:sz w:val="24"/>
          <w:highlight w:val="none"/>
        </w:rPr>
      </w:pPr>
      <w:r>
        <w:rPr>
          <w:rFonts w:hint="eastAsia" w:ascii="宋体" w:hAnsi="宋体"/>
          <w:color w:val="auto"/>
          <w:sz w:val="24"/>
          <w:highlight w:val="none"/>
        </w:rPr>
        <w:t xml:space="preserve">法定代表人或者委托代理人（签字）：                    </w:t>
      </w:r>
    </w:p>
    <w:p>
      <w:pPr>
        <w:snapToGrid w:val="0"/>
        <w:spacing w:before="50" w:after="50" w:line="360" w:lineRule="auto"/>
        <w:ind w:left="-3" w:leftChars="-15" w:right="-817" w:rightChars="-389" w:hanging="28" w:hangingChars="12"/>
        <w:rPr>
          <w:rFonts w:ascii="宋体" w:hAnsi="宋体"/>
          <w:color w:val="auto"/>
          <w:szCs w:val="21"/>
          <w:highlight w:val="none"/>
        </w:rPr>
      </w:pPr>
      <w:r>
        <w:rPr>
          <w:rFonts w:hint="eastAsia" w:ascii="宋体" w:hAnsi="宋体"/>
          <w:color w:val="auto"/>
          <w:sz w:val="24"/>
          <w:highlight w:val="none"/>
        </w:rPr>
        <w:t>投标人（盖公章）：                                 日期：    年   月   日</w:t>
      </w:r>
    </w:p>
    <w:p>
      <w:pPr>
        <w:rPr>
          <w:b/>
          <w:color w:val="auto"/>
          <w:sz w:val="28"/>
          <w:szCs w:val="28"/>
          <w:highlight w:val="none"/>
        </w:rPr>
      </w:pPr>
      <w:r>
        <w:rPr>
          <w:rFonts w:ascii="宋体" w:hAnsi="宋体"/>
          <w:b/>
          <w:bCs/>
          <w:color w:val="auto"/>
          <w:sz w:val="24"/>
          <w:highlight w:val="none"/>
        </w:rPr>
        <w:br w:type="page"/>
      </w:r>
      <w:bookmarkStart w:id="145" w:name="_Toc19686837"/>
      <w:r>
        <w:rPr>
          <w:rFonts w:hint="eastAsia"/>
          <w:b/>
          <w:color w:val="auto"/>
          <w:sz w:val="28"/>
          <w:szCs w:val="28"/>
          <w:highlight w:val="none"/>
        </w:rPr>
        <w:t>二、资格证明文件格式</w:t>
      </w:r>
      <w:bookmarkEnd w:id="143"/>
      <w:bookmarkEnd w:id="144"/>
      <w:bookmarkEnd w:id="145"/>
    </w:p>
    <w:p>
      <w:pPr>
        <w:numPr>
          <w:ilvl w:val="2"/>
          <w:numId w:val="6"/>
        </w:numPr>
        <w:snapToGrid w:val="0"/>
        <w:spacing w:before="120" w:beforeLines="50" w:after="50" w:line="360" w:lineRule="auto"/>
        <w:ind w:left="0" w:firstLine="0"/>
        <w:jc w:val="left"/>
        <w:rPr>
          <w:rFonts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宋体" w:hAnsi="宋体"/>
          <w:b/>
          <w:color w:val="auto"/>
          <w:sz w:val="24"/>
          <w:szCs w:val="20"/>
          <w:highlight w:val="none"/>
        </w:rPr>
      </w:pPr>
      <w:r>
        <w:rPr>
          <w:rFonts w:hint="eastAsia" w:ascii="宋体" w:hAnsi="宋体"/>
          <w:b/>
          <w:color w:val="auto"/>
          <w:sz w:val="32"/>
          <w:szCs w:val="32"/>
          <w:highlight w:val="none"/>
        </w:rPr>
        <w:t>资 格 证 明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ascii="宋体" w:hAnsi="宋体"/>
          <w:color w:val="auto"/>
          <w:sz w:val="24"/>
          <w:szCs w:val="20"/>
          <w:highlight w:val="none"/>
        </w:rPr>
      </w:pPr>
    </w:p>
    <w:p>
      <w:pPr>
        <w:numPr>
          <w:ilvl w:val="2"/>
          <w:numId w:val="6"/>
        </w:numPr>
        <w:snapToGrid w:val="0"/>
        <w:spacing w:before="120" w:beforeLines="50" w:after="50" w:line="360" w:lineRule="auto"/>
        <w:ind w:left="0" w:firstLine="0"/>
        <w:jc w:val="left"/>
        <w:rPr>
          <w:rFonts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ascii="宋体" w:hAnsi="宋体"/>
          <w:color w:val="auto"/>
          <w:sz w:val="24"/>
          <w:highlight w:val="none"/>
        </w:rPr>
      </w:pPr>
    </w:p>
    <w:p>
      <w:pPr>
        <w:snapToGrid w:val="0"/>
        <w:spacing w:before="50" w:after="120" w:afterLines="50"/>
        <w:jc w:val="left"/>
        <w:rPr>
          <w:rFonts w:ascii="宋体" w:hAnsi="宋体"/>
          <w:color w:val="auto"/>
          <w:sz w:val="24"/>
          <w:highlight w:val="none"/>
        </w:rPr>
      </w:pPr>
    </w:p>
    <w:p>
      <w:pPr>
        <w:numPr>
          <w:ilvl w:val="2"/>
          <w:numId w:val="6"/>
        </w:numPr>
        <w:snapToGrid w:val="0"/>
        <w:spacing w:before="120" w:beforeLines="50" w:after="50"/>
        <w:ind w:left="0" w:firstLine="0"/>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8"/>
          <w:szCs w:val="28"/>
          <w:highlight w:val="none"/>
        </w:rPr>
        <w:t>投标人直接控股、管理关系信息表</w:t>
      </w:r>
    </w:p>
    <w:p>
      <w:pPr>
        <w:snapToGrid w:val="0"/>
        <w:spacing w:before="50" w:after="120" w:afterLines="50"/>
        <w:jc w:val="center"/>
        <w:rPr>
          <w:rFonts w:ascii="宋体" w:hAnsi="宋体"/>
          <w:b/>
          <w:color w:val="auto"/>
          <w:sz w:val="28"/>
          <w:szCs w:val="28"/>
          <w:highlight w:val="none"/>
        </w:rPr>
      </w:pPr>
    </w:p>
    <w:p>
      <w:pPr>
        <w:snapToGrid w:val="0"/>
        <w:spacing w:before="50" w:after="120" w:afterLines="50" w:line="360" w:lineRule="auto"/>
        <w:jc w:val="center"/>
        <w:rPr>
          <w:rFonts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34"/>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before="120" w:beforeLines="50" w:line="360" w:lineRule="auto"/>
        <w:ind w:right="480" w:firstLine="3967" w:firstLineChars="1653"/>
        <w:rPr>
          <w:rFonts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24"/>
          <w:highlight w:val="none"/>
          <w:u w:val="singl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32"/>
          <w:szCs w:val="32"/>
          <w:highlight w:val="none"/>
        </w:rPr>
      </w:pPr>
      <w:r>
        <w:rPr>
          <w:rFonts w:hint="eastAsia" w:ascii="宋体" w:hAnsi="宋体"/>
          <w:color w:val="auto"/>
          <w:sz w:val="24"/>
          <w:highlight w:val="none"/>
        </w:rPr>
        <w:t>年    月    日</w:t>
      </w:r>
      <w:r>
        <w:rPr>
          <w:rFonts w:ascii="宋体" w:hAnsi="宋体"/>
          <w:b/>
          <w:color w:val="auto"/>
          <w:sz w:val="32"/>
          <w:szCs w:val="32"/>
          <w:highlight w:val="none"/>
        </w:rPr>
        <w:br w:type="page"/>
      </w:r>
      <w:r>
        <w:rPr>
          <w:rFonts w:hint="eastAsia" w:ascii="宋体" w:hAnsi="宋体"/>
          <w:b/>
          <w:color w:val="auto"/>
          <w:sz w:val="32"/>
          <w:szCs w:val="32"/>
          <w:highlight w:val="none"/>
        </w:rPr>
        <w:t>投标人直接管理关系信息表</w:t>
      </w:r>
    </w:p>
    <w:tbl>
      <w:tblPr>
        <w:tblStyle w:val="34"/>
        <w:tblW w:w="0" w:type="auto"/>
        <w:tblInd w:w="0" w:type="dxa"/>
        <w:tblLayout w:type="fixed"/>
        <w:tblCellMar>
          <w:top w:w="0" w:type="dxa"/>
          <w:left w:w="0" w:type="dxa"/>
          <w:bottom w:w="0" w:type="dxa"/>
          <w:right w:w="0" w:type="dxa"/>
        </w:tblCellMar>
      </w:tblPr>
      <w:tblGrid>
        <w:gridCol w:w="1005"/>
        <w:gridCol w:w="2659"/>
        <w:gridCol w:w="3924"/>
        <w:gridCol w:w="2064"/>
      </w:tblGrid>
      <w:tr>
        <w:tblPrEx>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color w:val="auto"/>
          <w:sz w:val="24"/>
          <w:highlight w:val="none"/>
        </w:rPr>
      </w:pPr>
    </w:p>
    <w:p>
      <w:pPr>
        <w:snapToGrid w:val="0"/>
        <w:spacing w:line="360" w:lineRule="auto"/>
        <w:jc w:val="left"/>
        <w:rPr>
          <w:color w:val="auto"/>
          <w:sz w:val="24"/>
          <w:highlight w:val="none"/>
        </w:rPr>
      </w:pPr>
    </w:p>
    <w:p>
      <w:pPr>
        <w:snapToGrid w:val="0"/>
        <w:spacing w:line="360" w:lineRule="auto"/>
        <w:jc w:val="left"/>
        <w:rPr>
          <w:color w:val="auto"/>
          <w:sz w:val="24"/>
          <w:highlight w:val="none"/>
        </w:rPr>
      </w:pPr>
    </w:p>
    <w:p>
      <w:pPr>
        <w:snapToGrid w:val="0"/>
        <w:spacing w:line="360" w:lineRule="auto"/>
        <w:jc w:val="left"/>
        <w:rPr>
          <w:rFonts w:ascii="宋体" w:hAnsi="宋体"/>
          <w:color w:val="auto"/>
          <w:sz w:val="24"/>
          <w:highlight w:val="none"/>
        </w:rPr>
      </w:pPr>
    </w:p>
    <w:p>
      <w:pPr>
        <w:snapToGrid w:val="0"/>
        <w:spacing w:before="120" w:beforeLines="50" w:line="360" w:lineRule="auto"/>
        <w:ind w:right="480" w:firstLine="3967" w:firstLineChars="1653"/>
        <w:rPr>
          <w:rFonts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24"/>
          <w:highlight w:val="non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right"/>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50" w:after="120" w:afterLines="50"/>
        <w:jc w:val="left"/>
        <w:rPr>
          <w:rFonts w:ascii="宋体" w:hAnsi="宋体"/>
          <w:color w:val="auto"/>
          <w:szCs w:val="21"/>
          <w:highlight w:val="none"/>
        </w:rPr>
      </w:pPr>
    </w:p>
    <w:p>
      <w:pPr>
        <w:snapToGrid w:val="0"/>
        <w:spacing w:before="120" w:beforeLines="50" w:after="50"/>
        <w:jc w:val="left"/>
        <w:rPr>
          <w:rFonts w:ascii="宋体" w:hAnsi="宋体"/>
          <w:b/>
          <w:color w:val="auto"/>
          <w:sz w:val="24"/>
          <w:szCs w:val="20"/>
          <w:highlight w:val="none"/>
        </w:rPr>
      </w:pPr>
    </w:p>
    <w:p>
      <w:pPr>
        <w:numPr>
          <w:ilvl w:val="2"/>
          <w:numId w:val="6"/>
        </w:numPr>
        <w:snapToGrid w:val="0"/>
        <w:spacing w:before="120" w:beforeLines="50" w:after="50"/>
        <w:ind w:left="0" w:firstLine="0"/>
        <w:jc w:val="left"/>
        <w:rPr>
          <w:rFonts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投标声明格式</w:t>
      </w:r>
    </w:p>
    <w:p>
      <w:pPr>
        <w:snapToGrid w:val="0"/>
        <w:spacing w:before="50" w:after="120" w:afterLines="50"/>
        <w:jc w:val="left"/>
        <w:rPr>
          <w:rFonts w:ascii="宋体" w:hAnsi="宋体"/>
          <w:color w:val="auto"/>
          <w:highlight w:val="none"/>
        </w:rPr>
      </w:pPr>
    </w:p>
    <w:p>
      <w:pPr>
        <w:snapToGrid w:val="0"/>
        <w:spacing w:before="50" w:after="120" w:afterLines="5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投标声明</w:t>
      </w:r>
    </w:p>
    <w:p>
      <w:pPr>
        <w:snapToGrid w:val="0"/>
        <w:spacing w:before="50" w:after="120" w:afterLines="50"/>
        <w:jc w:val="center"/>
        <w:rPr>
          <w:rFonts w:ascii="方正小标宋简体" w:hAnsi="方正小标宋简体" w:eastAsia="方正小标宋简体" w:cs="方正小标宋简体"/>
          <w:bCs/>
          <w:color w:val="auto"/>
          <w:sz w:val="44"/>
          <w:szCs w:val="44"/>
          <w:highlight w:val="none"/>
        </w:rPr>
      </w:pPr>
    </w:p>
    <w:p>
      <w:pPr>
        <w:spacing w:line="400" w:lineRule="exact"/>
        <w:contextualSpacing/>
        <w:jc w:val="left"/>
        <w:rPr>
          <w:color w:val="auto"/>
          <w:sz w:val="24"/>
          <w:highlight w:val="none"/>
        </w:rPr>
      </w:pPr>
      <w:r>
        <w:rPr>
          <w:rFonts w:hint="eastAsia"/>
          <w:color w:val="auto"/>
          <w:sz w:val="24"/>
          <w:highlight w:val="none"/>
        </w:rPr>
        <w:t>（采购人名称）：</w:t>
      </w:r>
    </w:p>
    <w:p>
      <w:pPr>
        <w:spacing w:line="400" w:lineRule="exact"/>
        <w:ind w:firstLine="523" w:firstLineChars="218"/>
        <w:contextualSpacing/>
        <w:jc w:val="left"/>
        <w:rPr>
          <w:rFonts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2.我方不是为本次采购项目提供整体设计、规范编制或者项目管理、监理、检测等服务的供应商。</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（六）法律、行政法规规定的其他条件。</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400" w:lineRule="exact"/>
        <w:contextualSpacing/>
        <w:jc w:val="left"/>
        <w:rPr>
          <w:rFonts w:ascii="宋体" w:hAnsi="宋体"/>
          <w:b/>
          <w:color w:val="auto"/>
          <w:sz w:val="24"/>
          <w:highlight w:val="none"/>
        </w:rPr>
      </w:pPr>
      <w:r>
        <w:rPr>
          <w:rFonts w:hint="eastAsia" w:ascii="宋体" w:hAnsi="宋体"/>
          <w:b/>
          <w:color w:val="auto"/>
          <w:sz w:val="24"/>
          <w:highlight w:val="none"/>
        </w:rPr>
        <w:t xml:space="preserve">  </w:t>
      </w:r>
    </w:p>
    <w:p>
      <w:pPr>
        <w:pStyle w:val="2"/>
        <w:rPr>
          <w:rFonts w:ascii="宋体" w:hAnsi="宋体"/>
          <w:b/>
          <w:color w:val="auto"/>
          <w:sz w:val="24"/>
          <w:highlight w:val="none"/>
        </w:rPr>
      </w:pPr>
    </w:p>
    <w:p>
      <w:pPr>
        <w:rPr>
          <w:color w:val="auto"/>
          <w:highlight w:val="none"/>
        </w:rPr>
      </w:pP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投标人（盖公章）：</w:t>
      </w:r>
      <w:r>
        <w:rPr>
          <w:rFonts w:hint="eastAsia" w:ascii="宋体" w:hAnsi="宋体"/>
          <w:color w:val="auto"/>
          <w:sz w:val="24"/>
          <w:highlight w:val="none"/>
          <w:u w:val="single"/>
        </w:rPr>
        <w:t xml:space="preserve">                 </w:t>
      </w:r>
    </w:p>
    <w:p>
      <w:pPr>
        <w:spacing w:line="400" w:lineRule="exact"/>
        <w:contextualSpacing/>
        <w:jc w:val="left"/>
        <w:rPr>
          <w:rFonts w:ascii="宋体" w:hAnsi="宋体"/>
          <w:color w:val="auto"/>
          <w:highlight w:val="none"/>
        </w:rPr>
      </w:pPr>
      <w:r>
        <w:rPr>
          <w:rFonts w:hint="eastAsia" w:ascii="宋体" w:hAnsi="宋体"/>
          <w:color w:val="auto"/>
          <w:sz w:val="24"/>
          <w:highlight w:val="none"/>
        </w:rPr>
        <w:t xml:space="preserve">                                                  年    月    日</w:t>
      </w:r>
    </w:p>
    <w:p>
      <w:pPr>
        <w:rPr>
          <w:b/>
          <w:color w:val="auto"/>
          <w:sz w:val="28"/>
          <w:szCs w:val="28"/>
          <w:highlight w:val="none"/>
        </w:rPr>
      </w:pPr>
      <w:bookmarkStart w:id="146" w:name="_Toc19686838"/>
      <w:r>
        <w:rPr>
          <w:b/>
          <w:color w:val="auto"/>
          <w:sz w:val="28"/>
          <w:szCs w:val="28"/>
          <w:highlight w:val="none"/>
        </w:rPr>
        <w:br w:type="page"/>
      </w:r>
    </w:p>
    <w:p>
      <w:pPr>
        <w:pStyle w:val="18"/>
        <w:spacing w:line="600" w:lineRule="exact"/>
        <w:jc w:val="center"/>
        <w:rPr>
          <w:rFonts w:ascii="Times New Roman" w:hAnsi="Times New Roman"/>
          <w:color w:val="auto"/>
          <w:highlight w:val="none"/>
        </w:rPr>
      </w:pPr>
      <w:r>
        <w:rPr>
          <w:rFonts w:hint="eastAsia" w:ascii="Times New Roman" w:hAnsi="Times New Roman"/>
          <w:b/>
          <w:bCs/>
          <w:color w:val="auto"/>
          <w:sz w:val="30"/>
          <w:szCs w:val="30"/>
          <w:highlight w:val="none"/>
        </w:rPr>
        <w:t>联合体协议书（格式）</w:t>
      </w:r>
    </w:p>
    <w:p>
      <w:pPr>
        <w:autoSpaceDE w:val="0"/>
        <w:autoSpaceDN w:val="0"/>
        <w:adjustRightInd w:val="0"/>
        <w:spacing w:line="360" w:lineRule="auto"/>
        <w:jc w:val="left"/>
        <w:rPr>
          <w:rFonts w:ascii="宋体" w:cs="宋体"/>
          <w:color w:val="auto"/>
          <w:kern w:val="0"/>
          <w:szCs w:val="21"/>
          <w:highlight w:val="none"/>
          <w:u w:val="singl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（所有成员单位名称）自愿组成联合体，共同参加</w:t>
      </w:r>
      <w:r>
        <w:rPr>
          <w:rFonts w:hint="eastAsia" w:ascii="宋体" w:cs="宋体"/>
          <w:color w:val="auto"/>
          <w:kern w:val="0"/>
          <w:szCs w:val="21"/>
          <w:highlight w:val="none"/>
          <w:u w:val="single"/>
        </w:rPr>
        <w:t xml:space="preserve">     </w:t>
      </w:r>
      <w:bookmarkStart w:id="147" w:name="PO_3000001917_PM031_1"/>
      <w:r>
        <w:rPr>
          <w:rFonts w:hint="eastAsia" w:ascii="宋体" w:cs="宋体"/>
          <w:color w:val="auto"/>
          <w:kern w:val="0"/>
          <w:szCs w:val="21"/>
          <w:highlight w:val="none"/>
          <w:u w:val="single"/>
        </w:rPr>
        <w:t>广西建设工程机电设备招标中心有限公司</w:t>
      </w:r>
      <w:bookmarkEnd w:id="147"/>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组织的</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（项目编号：</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）投标。现就联合体投标事宜订立如下协议：</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1</w:t>
      </w:r>
      <w:r>
        <w:rPr>
          <w:rFonts w:hint="eastAsia" w:ascii="宋体" w:hAnsi="宋体" w:cs="宋体"/>
          <w:color w:val="auto"/>
          <w:kern w:val="0"/>
          <w:szCs w:val="21"/>
          <w:highlight w:val="none"/>
        </w:rPr>
        <w:t>、</w:t>
      </w:r>
      <w:r>
        <w:rPr>
          <w:color w:val="auto"/>
          <w:highlight w:val="none"/>
        </w:rPr>
        <w:t>________________________</w:t>
      </w:r>
      <w:r>
        <w:rPr>
          <w:rFonts w:hint="eastAsia" w:ascii="宋体" w:hAnsi="宋体" w:cs="宋体"/>
          <w:color w:val="auto"/>
          <w:kern w:val="0"/>
          <w:szCs w:val="21"/>
          <w:highlight w:val="none"/>
        </w:rPr>
        <w:t>（某成员单位名称）为联合体名称牵头人。</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2</w:t>
      </w:r>
      <w:r>
        <w:rPr>
          <w:rFonts w:hint="eastAsia" w:ascii="宋体" w:hAnsi="宋体" w:cs="宋体"/>
          <w:color w:val="auto"/>
          <w:kern w:val="0"/>
          <w:szCs w:val="21"/>
          <w:highlight w:val="none"/>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3、联合体牵头人在本项目中签署和盖章的一切文件和处理的一切事宜，联合体各成员均予以承认。</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联合体各成员将严格按照招标文件、投标文件和合同的要求全面履行义务，并向招标人承担连带责任。</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4</w:t>
      </w:r>
      <w:r>
        <w:rPr>
          <w:rFonts w:hint="eastAsia" w:ascii="宋体" w:hAnsi="宋体" w:cs="宋体"/>
          <w:color w:val="auto"/>
          <w:kern w:val="0"/>
          <w:szCs w:val="21"/>
          <w:highlight w:val="none"/>
        </w:rPr>
        <w:t>、联合体各成员单位内部的职责分工如下：</w:t>
      </w:r>
      <w:r>
        <w:rPr>
          <w:color w:val="auto"/>
          <w:szCs w:val="21"/>
          <w:highlight w:val="none"/>
        </w:rPr>
        <w:t>________________________________</w:t>
      </w:r>
      <w:r>
        <w:rPr>
          <w:rFonts w:hint="eastAsia" w:ascii="宋体" w:hAnsi="宋体" w:cs="宋体"/>
          <w:color w:val="auto"/>
          <w:kern w:val="0"/>
          <w:szCs w:val="21"/>
          <w:highlight w:val="none"/>
        </w:rPr>
        <w:t>。</w:t>
      </w:r>
    </w:p>
    <w:p>
      <w:pPr>
        <w:pStyle w:val="18"/>
        <w:spacing w:line="360" w:lineRule="auto"/>
        <w:ind w:firstLine="420" w:firstLineChars="200"/>
        <w:rPr>
          <w:rFonts w:ascii="Times New Roman" w:hAnsi="Times New Roman"/>
          <w:color w:val="auto"/>
          <w:szCs w:val="21"/>
          <w:highlight w:val="none"/>
        </w:rPr>
      </w:pPr>
      <w:r>
        <w:rPr>
          <w:rFonts w:hint="eastAsia" w:hAnsi="宋体" w:cs="宋体"/>
          <w:color w:val="auto"/>
          <w:kern w:val="0"/>
          <w:highlight w:val="none"/>
        </w:rPr>
        <w:t>5、本联合体中</w:t>
      </w:r>
      <w:r>
        <w:rPr>
          <w:rFonts w:hint="eastAsia" w:hAnsi="宋体" w:cs="宋体"/>
          <w:color w:val="auto"/>
          <w:kern w:val="0"/>
          <w:highlight w:val="none"/>
          <w:u w:val="single"/>
        </w:rPr>
        <w:t>，</w:t>
      </w:r>
      <w:r>
        <w:rPr>
          <w:rFonts w:hint="eastAsia"/>
          <w:color w:val="auto"/>
          <w:highlight w:val="none"/>
          <w:u w:val="single"/>
        </w:rPr>
        <w:t>________________________</w:t>
      </w:r>
      <w:r>
        <w:rPr>
          <w:rFonts w:hint="eastAsia" w:hAnsi="宋体" w:cs="宋体"/>
          <w:color w:val="auto"/>
          <w:kern w:val="0"/>
          <w:highlight w:val="none"/>
          <w:u w:val="single"/>
        </w:rPr>
        <w:t>（某成员单位名称）为</w:t>
      </w:r>
      <w:r>
        <w:rPr>
          <w:rFonts w:hint="eastAsia"/>
          <w:color w:val="auto"/>
          <w:highlight w:val="none"/>
          <w:u w:val="single"/>
        </w:rPr>
        <w:t>______</w:t>
      </w:r>
      <w:r>
        <w:rPr>
          <w:rFonts w:hint="eastAsia"/>
          <w:color w:val="auto"/>
          <w:highlight w:val="none"/>
        </w:rPr>
        <w:t>（请填写：中型、小型、微型）企业，其协议合同金额占联合体协议合同总金额的______%。【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6</w:t>
      </w:r>
      <w:r>
        <w:rPr>
          <w:rFonts w:hint="eastAsia" w:ascii="宋体" w:hAnsi="宋体" w:cs="宋体"/>
          <w:color w:val="auto"/>
          <w:kern w:val="0"/>
          <w:szCs w:val="21"/>
          <w:highlight w:val="none"/>
        </w:rPr>
        <w:t>、本协议书自签署之日起生效，合同履行完毕后自动失效。</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7</w:t>
      </w:r>
      <w:r>
        <w:rPr>
          <w:rFonts w:hint="eastAsia" w:ascii="宋体" w:hAnsi="宋体" w:cs="宋体"/>
          <w:color w:val="auto"/>
          <w:kern w:val="0"/>
          <w:szCs w:val="21"/>
          <w:highlight w:val="none"/>
        </w:rPr>
        <w:t>、本协议书一式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autoSpaceDE w:val="0"/>
        <w:autoSpaceDN w:val="0"/>
        <w:adjustRightInd w:val="0"/>
        <w:spacing w:line="360" w:lineRule="auto"/>
        <w:ind w:firstLine="420"/>
        <w:jc w:val="left"/>
        <w:rPr>
          <w:rFonts w:ascii="宋体" w:cs="宋体"/>
          <w:color w:val="auto"/>
          <w:kern w:val="0"/>
          <w:szCs w:val="21"/>
          <w:highlight w:val="none"/>
        </w:rPr>
      </w:pPr>
      <w:r>
        <w:rPr>
          <w:rFonts w:hint="eastAsia" w:ascii="宋体" w:cs="宋体"/>
          <w:color w:val="auto"/>
          <w:kern w:val="0"/>
          <w:szCs w:val="21"/>
          <w:highlight w:val="none"/>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牵头人名称：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（公章/电子签章）</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（手写签名/电子签名）</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成员一名称：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（公章/电子签章）</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（手写签名/电子签名）</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成员二名称：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（公章/电子签章）</w:t>
      </w:r>
    </w:p>
    <w:p>
      <w:pPr>
        <w:pStyle w:val="18"/>
        <w:spacing w:line="600" w:lineRule="exact"/>
        <w:rPr>
          <w:rFonts w:cs="宋体"/>
          <w:color w:val="auto"/>
          <w:kern w:val="0"/>
          <w:szCs w:val="21"/>
          <w:highlight w:val="none"/>
        </w:rPr>
      </w:pPr>
      <w:r>
        <w:rPr>
          <w:rFonts w:hint="eastAsia" w:cs="宋体"/>
          <w:color w:val="auto"/>
          <w:kern w:val="0"/>
          <w:szCs w:val="21"/>
          <w:highlight w:val="none"/>
        </w:rPr>
        <w:t>法定代表人或其委托代理人：</w:t>
      </w:r>
      <w:r>
        <w:rPr>
          <w:rFonts w:hint="eastAsia" w:cs="宋体"/>
          <w:color w:val="auto"/>
          <w:kern w:val="0"/>
          <w:szCs w:val="21"/>
          <w:highlight w:val="none"/>
          <w:u w:val="single"/>
        </w:rPr>
        <w:t xml:space="preserve">                         </w:t>
      </w:r>
      <w:r>
        <w:rPr>
          <w:rFonts w:hint="eastAsia" w:cs="宋体"/>
          <w:color w:val="auto"/>
          <w:kern w:val="0"/>
          <w:szCs w:val="21"/>
          <w:highlight w:val="none"/>
        </w:rPr>
        <w:t>（</w:t>
      </w:r>
      <w:r>
        <w:rPr>
          <w:rFonts w:hint="eastAsia" w:hAnsi="Times New Roman" w:cs="宋体"/>
          <w:color w:val="auto"/>
          <w:kern w:val="0"/>
          <w:szCs w:val="21"/>
          <w:highlight w:val="none"/>
        </w:rPr>
        <w:t>手写签名</w:t>
      </w:r>
      <w:r>
        <w:rPr>
          <w:rFonts w:hint="eastAsia" w:cs="宋体"/>
          <w:color w:val="auto"/>
          <w:kern w:val="0"/>
          <w:szCs w:val="21"/>
          <w:highlight w:val="none"/>
        </w:rPr>
        <w:t>/</w:t>
      </w:r>
      <w:r>
        <w:rPr>
          <w:rFonts w:hint="eastAsia" w:hAnsi="Times New Roman" w:cs="宋体"/>
          <w:color w:val="auto"/>
          <w:kern w:val="0"/>
          <w:szCs w:val="21"/>
          <w:highlight w:val="none"/>
        </w:rPr>
        <w:t>电子签名</w:t>
      </w:r>
      <w:r>
        <w:rPr>
          <w:rFonts w:hint="eastAsia" w:cs="宋体"/>
          <w:color w:val="auto"/>
          <w:kern w:val="0"/>
          <w:szCs w:val="21"/>
          <w:highlight w:val="none"/>
        </w:rPr>
        <w:t>）</w:t>
      </w:r>
    </w:p>
    <w:p>
      <w:pPr>
        <w:rPr>
          <w:b/>
          <w:color w:val="auto"/>
          <w:sz w:val="28"/>
          <w:szCs w:val="28"/>
          <w:highlight w:val="none"/>
        </w:rPr>
      </w:pPr>
      <w:r>
        <w:rPr>
          <w:b/>
          <w:color w:val="auto"/>
          <w:sz w:val="28"/>
          <w:szCs w:val="28"/>
          <w:highlight w:val="none"/>
        </w:rPr>
        <w:br w:type="page"/>
      </w:r>
      <w:r>
        <w:rPr>
          <w:rFonts w:hint="eastAsia"/>
          <w:b/>
          <w:color w:val="auto"/>
          <w:sz w:val="28"/>
          <w:szCs w:val="28"/>
          <w:highlight w:val="none"/>
        </w:rPr>
        <w:t>三、商务文件格式</w:t>
      </w:r>
      <w:bookmarkEnd w:id="146"/>
    </w:p>
    <w:p>
      <w:pPr>
        <w:snapToGrid w:val="0"/>
        <w:spacing w:before="120" w:beforeLines="50" w:after="50" w:line="360" w:lineRule="auto"/>
        <w:jc w:val="left"/>
        <w:rPr>
          <w:rFonts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商  务  文  件</w:t>
      </w:r>
    </w:p>
    <w:p>
      <w:pPr>
        <w:snapToGrid w:val="0"/>
        <w:spacing w:before="120" w:beforeLines="50" w:after="50"/>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540" w:firstLineChars="225"/>
        <w:rPr>
          <w:rFonts w:ascii="宋体" w:hAnsi="宋体"/>
          <w:bCs/>
          <w:color w:val="auto"/>
          <w:sz w:val="24"/>
          <w:szCs w:val="20"/>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投标人地址：</w:t>
      </w: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ascii="宋体" w:hAnsi="宋体"/>
          <w:b/>
          <w:bCs/>
          <w:color w:val="auto"/>
          <w:sz w:val="28"/>
          <w:szCs w:val="28"/>
          <w:highlight w:val="none"/>
        </w:rPr>
      </w:pPr>
      <w:r>
        <w:rPr>
          <w:rFonts w:ascii="宋体" w:hAnsi="宋体"/>
          <w:color w:val="auto"/>
          <w:sz w:val="24"/>
          <w:szCs w:val="20"/>
          <w:highlight w:val="none"/>
        </w:rPr>
        <w:br w:type="page"/>
      </w:r>
      <w:r>
        <w:rPr>
          <w:rFonts w:hint="eastAsia" w:ascii="宋体" w:hAnsi="宋体"/>
          <w:b/>
          <w:bCs/>
          <w:color w:val="auto"/>
          <w:sz w:val="24"/>
          <w:highlight w:val="none"/>
        </w:rPr>
        <w:t>2.商务文件目录</w:t>
      </w:r>
    </w:p>
    <w:p>
      <w:pPr>
        <w:snapToGrid w:val="0"/>
        <w:spacing w:before="50" w:after="120" w:afterLines="50" w:line="360" w:lineRule="auto"/>
        <w:ind w:firstLine="480" w:firstLineChars="200"/>
        <w:jc w:val="left"/>
        <w:rPr>
          <w:rFonts w:ascii="微软雅黑" w:hAnsi="微软雅黑" w:eastAsia="微软雅黑"/>
          <w:b/>
          <w:bCs/>
          <w:color w:val="auto"/>
          <w:sz w:val="32"/>
          <w:szCs w:val="32"/>
          <w:highlight w:val="none"/>
        </w:rPr>
      </w:pPr>
      <w:r>
        <w:rPr>
          <w:rFonts w:hint="eastAsia" w:ascii="宋体" w:hAnsi="宋体"/>
          <w:color w:val="auto"/>
          <w:sz w:val="24"/>
          <w:highlight w:val="none"/>
        </w:rPr>
        <w:t>根据招标文件规定及投标人提供的材料自行编写目录。</w:t>
      </w:r>
    </w:p>
    <w:p>
      <w:pPr>
        <w:snapToGrid w:val="0"/>
        <w:spacing w:before="50" w:after="120" w:afterLines="50"/>
        <w:jc w:val="left"/>
        <w:rPr>
          <w:rFonts w:ascii="宋体" w:hAnsi="宋体"/>
          <w:color w:val="auto"/>
          <w:highlight w:val="none"/>
        </w:rPr>
      </w:pPr>
    </w:p>
    <w:p>
      <w:pPr>
        <w:snapToGrid w:val="0"/>
        <w:spacing w:before="120" w:beforeLines="50" w:after="50"/>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ascii="宋体" w:hAnsi="宋体"/>
          <w:b/>
          <w:color w:val="auto"/>
          <w:sz w:val="24"/>
          <w:highlight w:val="none"/>
        </w:rPr>
      </w:pPr>
    </w:p>
    <w:p>
      <w:pPr>
        <w:spacing w:line="360" w:lineRule="auto"/>
        <w:ind w:left="420"/>
        <w:contextualSpacing/>
        <w:jc w:val="center"/>
        <w:rPr>
          <w:rFonts w:ascii="宋体" w:hAnsi="宋体"/>
          <w:b/>
          <w:color w:val="auto"/>
          <w:sz w:val="24"/>
          <w:highlight w:val="none"/>
        </w:rPr>
      </w:pPr>
      <w:r>
        <w:rPr>
          <w:rFonts w:hint="eastAsia" w:ascii="方正小标宋简体" w:hAnsi="方正小标宋简体" w:eastAsia="方正小标宋简体" w:cs="方正小标宋简体"/>
          <w:bCs/>
          <w:color w:val="auto"/>
          <w:spacing w:val="-11"/>
          <w:sz w:val="44"/>
          <w:szCs w:val="44"/>
          <w:highlight w:val="none"/>
        </w:rPr>
        <w:t>投标人参加本项目无围标串标行为的承诺函</w:t>
      </w:r>
    </w:p>
    <w:p>
      <w:pPr>
        <w:spacing w:line="440" w:lineRule="exact"/>
        <w:contextualSpacing/>
        <w:jc w:val="left"/>
        <w:rPr>
          <w:rFonts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5.不同投标人的投标文件相互混装；</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40" w:lineRule="exact"/>
        <w:contextualSpacing/>
        <w:jc w:val="left"/>
        <w:rPr>
          <w:rFonts w:ascii="宋体" w:hAnsi="宋体"/>
          <w:color w:val="auto"/>
          <w:sz w:val="24"/>
          <w:highlight w:val="none"/>
        </w:rPr>
      </w:pPr>
      <w:r>
        <w:rPr>
          <w:rFonts w:hint="eastAsia" w:ascii="宋体" w:hAnsi="宋体"/>
          <w:b/>
          <w:color w:val="auto"/>
          <w:sz w:val="24"/>
          <w:highlight w:val="none"/>
        </w:rPr>
        <w:t>二、我方承诺无下列恶意串通的情形：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3.投标人之间协商报价、技术方案等投标文件或者响应文件的实质性内容；</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40" w:lineRule="exact"/>
        <w:ind w:firstLine="472" w:firstLineChars="196"/>
        <w:contextualSpacing/>
        <w:jc w:val="left"/>
        <w:rPr>
          <w:rFonts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18"/>
        <w:spacing w:line="440" w:lineRule="exact"/>
        <w:ind w:firstLine="6840" w:firstLineChars="2850"/>
        <w:contextualSpacing/>
        <w:rPr>
          <w:rFonts w:hAnsi="宋体"/>
          <w:color w:val="auto"/>
          <w:sz w:val="24"/>
          <w:szCs w:val="24"/>
          <w:highlight w:val="none"/>
        </w:rPr>
      </w:pPr>
    </w:p>
    <w:p>
      <w:pPr>
        <w:pStyle w:val="18"/>
        <w:spacing w:line="440" w:lineRule="exact"/>
        <w:contextualSpacing/>
        <w:jc w:val="center"/>
        <w:rPr>
          <w:rFonts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投标人名称（公章）</w:t>
      </w:r>
    </w:p>
    <w:p>
      <w:pPr>
        <w:pStyle w:val="18"/>
        <w:spacing w:line="440" w:lineRule="exact"/>
        <w:contextualSpacing/>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jc w:val="left"/>
        <w:rPr>
          <w:rFonts w:ascii="宋体" w:hAnsi="宋体"/>
          <w:b/>
          <w:color w:val="auto"/>
          <w:sz w:val="24"/>
          <w:highlight w:val="none"/>
        </w:rPr>
      </w:pPr>
    </w:p>
    <w:p>
      <w:pPr>
        <w:snapToGrid w:val="0"/>
        <w:spacing w:before="120" w:beforeLines="50" w:after="50"/>
        <w:jc w:val="left"/>
        <w:rPr>
          <w:rFonts w:ascii="宋体" w:hAnsi="宋体"/>
          <w:b/>
          <w:color w:val="auto"/>
          <w:sz w:val="24"/>
          <w:highlight w:val="none"/>
        </w:rPr>
      </w:pPr>
    </w:p>
    <w:p>
      <w:pPr>
        <w:snapToGrid w:val="0"/>
        <w:spacing w:before="120" w:beforeLines="50" w:after="50"/>
        <w:jc w:val="left"/>
        <w:rPr>
          <w:rFonts w:ascii="宋体" w:hAnsi="宋体"/>
          <w:b/>
          <w:color w:val="auto"/>
          <w:sz w:val="24"/>
          <w:szCs w:val="20"/>
          <w:highlight w:val="none"/>
        </w:rPr>
      </w:pPr>
      <w:r>
        <w:rPr>
          <w:rFonts w:hint="eastAsia" w:ascii="宋体" w:hAnsi="宋体"/>
          <w:b/>
          <w:color w:val="auto"/>
          <w:sz w:val="24"/>
          <w:highlight w:val="none"/>
        </w:rPr>
        <w:t>4.法定代表人身份证明</w:t>
      </w:r>
    </w:p>
    <w:p>
      <w:pPr>
        <w:spacing w:before="240" w:beforeLines="100" w:after="120" w:afterLines="50"/>
        <w:ind w:left="54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法定代表人身份证明</w:t>
      </w:r>
    </w:p>
    <w:p>
      <w:pPr>
        <w:spacing w:line="500" w:lineRule="exact"/>
        <w:ind w:left="540"/>
        <w:rPr>
          <w:rFonts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ascii="宋体" w:hAnsi="宋体"/>
          <w:color w:val="auto"/>
          <w:sz w:val="24"/>
          <w:highlight w:val="none"/>
        </w:rPr>
      </w:pPr>
    </w:p>
    <w:p>
      <w:pPr>
        <w:spacing w:line="500" w:lineRule="exact"/>
        <w:ind w:left="540"/>
        <w:jc w:val="right"/>
        <w:rPr>
          <w:rFonts w:ascii="宋体" w:hAnsi="宋体"/>
          <w:color w:val="auto"/>
          <w:sz w:val="24"/>
          <w:highlight w:val="none"/>
        </w:rPr>
      </w:pPr>
      <w:r>
        <w:rPr>
          <w:rFonts w:hint="eastAsia" w:ascii="宋体" w:hAnsi="宋体"/>
          <w:color w:val="auto"/>
          <w:sz w:val="24"/>
          <w:highlight w:val="none"/>
        </w:rPr>
        <w:t>投标人名称（公章）</w:t>
      </w:r>
    </w:p>
    <w:p>
      <w:pPr>
        <w:spacing w:line="500" w:lineRule="exact"/>
        <w:ind w:left="540"/>
        <w:jc w:val="right"/>
        <w:rPr>
          <w:rFonts w:ascii="宋体" w:hAnsi="宋体"/>
          <w:color w:val="auto"/>
          <w:sz w:val="24"/>
          <w:highlight w:val="none"/>
        </w:rPr>
      </w:pPr>
    </w:p>
    <w:p>
      <w:pPr>
        <w:snapToGrid w:val="0"/>
        <w:spacing w:before="120" w:beforeLines="50" w:after="50"/>
        <w:ind w:left="540"/>
        <w:jc w:val="right"/>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ascii="宋体" w:hAnsi="宋体"/>
          <w:b/>
          <w:color w:val="auto"/>
          <w:sz w:val="24"/>
          <w:highlight w:val="none"/>
        </w:rPr>
      </w:pPr>
    </w:p>
    <w:p>
      <w:pPr>
        <w:snapToGrid w:val="0"/>
        <w:spacing w:before="120" w:beforeLines="50" w:after="50"/>
        <w:jc w:val="left"/>
        <w:rPr>
          <w:rFonts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ascii="宋体" w:hAnsi="宋体"/>
          <w:b/>
          <w:color w:val="auto"/>
          <w:sz w:val="44"/>
          <w:szCs w:val="44"/>
          <w:highlight w:val="none"/>
        </w:rPr>
      </w:pPr>
    </w:p>
    <w:p>
      <w:pPr>
        <w:spacing w:line="360" w:lineRule="auto"/>
        <w:contextualSpacing/>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授权委托书</w:t>
      </w:r>
    </w:p>
    <w:p>
      <w:pPr>
        <w:spacing w:line="360" w:lineRule="auto"/>
        <w:contextualSpacing/>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（非联合体投标格式）</w:t>
      </w:r>
    </w:p>
    <w:p>
      <w:pPr>
        <w:spacing w:line="360" w:lineRule="auto"/>
        <w:contextualSpacing/>
        <w:jc w:val="center"/>
        <w:rPr>
          <w:rFonts w:ascii="方正小标宋简体" w:hAnsi="方正小标宋简体" w:eastAsia="方正小标宋简体" w:cs="方正小标宋简体"/>
          <w:bCs/>
          <w:color w:val="auto"/>
          <w:sz w:val="24"/>
          <w:highlight w:val="none"/>
        </w:rPr>
      </w:pPr>
      <w:r>
        <w:rPr>
          <w:rFonts w:hint="eastAsia" w:ascii="方正小标宋简体" w:hAnsi="方正小标宋简体" w:eastAsia="方正小标宋简体" w:cs="方正小标宋简体"/>
          <w:bCs/>
          <w:color w:val="auto"/>
          <w:sz w:val="32"/>
          <w:szCs w:val="32"/>
          <w:highlight w:val="none"/>
        </w:rPr>
        <w:t>（如有委托时）</w:t>
      </w:r>
    </w:p>
    <w:p>
      <w:pPr>
        <w:spacing w:line="440" w:lineRule="exact"/>
        <w:contextualSpacing/>
        <w:jc w:val="center"/>
        <w:rPr>
          <w:rFonts w:ascii="宋体" w:hAnsi="宋体"/>
          <w:b/>
          <w:color w:val="auto"/>
          <w:sz w:val="24"/>
          <w:highlight w:val="none"/>
        </w:rPr>
      </w:pPr>
    </w:p>
    <w:p>
      <w:pPr>
        <w:spacing w:line="440" w:lineRule="exact"/>
        <w:contextualSpacing/>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contextualSpacing/>
        <w:rPr>
          <w:rFonts w:ascii="宋体" w:hAnsi="宋体"/>
          <w:color w:val="auto"/>
          <w:sz w:val="24"/>
          <w:highlight w:val="none"/>
        </w:rPr>
      </w:pPr>
      <w:r>
        <w:rPr>
          <w:rFonts w:hint="eastAsia" w:ascii="宋体" w:hAnsi="宋体"/>
          <w:color w:val="auto"/>
          <w:sz w:val="24"/>
          <w:highlight w:val="none"/>
        </w:rPr>
        <w:t xml:space="preserve">    我方对委托代理人的签字事项负全部责任。</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440" w:lineRule="exact"/>
        <w:contextualSpacing/>
        <w:rPr>
          <w:rFonts w:ascii="宋体" w:hAnsi="宋体"/>
          <w:color w:val="auto"/>
          <w:sz w:val="24"/>
          <w:highlight w:val="none"/>
        </w:rPr>
      </w:pPr>
    </w:p>
    <w:p>
      <w:pPr>
        <w:spacing w:line="440" w:lineRule="exact"/>
        <w:contextualSpacing/>
        <w:rPr>
          <w:rFonts w:ascii="宋体" w:hAnsi="宋体"/>
          <w:color w:val="auto"/>
          <w:sz w:val="24"/>
          <w:highlight w:val="none"/>
          <w:u w:val="singl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40" w:lineRule="exact"/>
        <w:contextualSpacing/>
        <w:rPr>
          <w:rFonts w:ascii="宋体" w:hAnsi="宋体"/>
          <w:color w:val="auto"/>
          <w:sz w:val="24"/>
          <w:highlight w:val="non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contextualSpacing/>
        <w:jc w:val="center"/>
        <w:rPr>
          <w:rFonts w:ascii="宋体" w:hAnsi="宋体"/>
          <w:color w:val="auto"/>
          <w:sz w:val="24"/>
          <w:highlight w:val="none"/>
        </w:rPr>
      </w:pPr>
      <w:r>
        <w:rPr>
          <w:rFonts w:hint="eastAsia" w:ascii="宋体" w:hAnsi="宋体"/>
          <w:color w:val="auto"/>
          <w:sz w:val="24"/>
          <w:highlight w:val="none"/>
        </w:rPr>
        <w:t xml:space="preserve">                                                投标人（盖公章）：</w:t>
      </w:r>
    </w:p>
    <w:p>
      <w:pPr>
        <w:spacing w:line="440" w:lineRule="exact"/>
        <w:contextualSpacing/>
        <w:jc w:val="center"/>
        <w:rPr>
          <w:rFonts w:ascii="宋体" w:hAnsi="宋体"/>
          <w:color w:val="auto"/>
          <w:sz w:val="24"/>
          <w:highlight w:val="none"/>
        </w:rPr>
      </w:pPr>
      <w:r>
        <w:rPr>
          <w:rFonts w:hint="eastAsia" w:ascii="宋体" w:hAnsi="宋体"/>
          <w:color w:val="auto"/>
          <w:sz w:val="24"/>
          <w:highlight w:val="none"/>
        </w:rPr>
        <w:t xml:space="preserve">                                              年    月    日</w:t>
      </w:r>
    </w:p>
    <w:p>
      <w:pPr>
        <w:spacing w:line="440" w:lineRule="exact"/>
        <w:contextualSpacing/>
        <w:rPr>
          <w:rFonts w:ascii="宋体" w:hAnsi="宋体" w:cs="仿宋_GB2312"/>
          <w:color w:val="auto"/>
          <w:sz w:val="24"/>
          <w:highlight w:val="none"/>
        </w:rPr>
      </w:pPr>
      <w:r>
        <w:rPr>
          <w:rFonts w:hint="eastAsia" w:ascii="宋体" w:hAnsi="宋体" w:cs="仿宋_GB2312"/>
          <w:color w:val="auto"/>
          <w:sz w:val="24"/>
          <w:highlight w:val="none"/>
        </w:rPr>
        <w:t>注：1.</w:t>
      </w:r>
      <w:bookmarkStart w:id="148" w:name="_Hlk65851555"/>
      <w:bookmarkStart w:id="149" w:name="_Hlk65851620"/>
      <w:r>
        <w:rPr>
          <w:rFonts w:hint="eastAsia" w:ascii="宋体" w:hAnsi="宋体" w:cs="仿宋_GB2312"/>
          <w:color w:val="auto"/>
          <w:sz w:val="24"/>
          <w:highlight w:val="none"/>
        </w:rPr>
        <w:t>法定代表人必须在授权委托书上亲笔签字或者盖章，</w:t>
      </w:r>
      <w:bookmarkEnd w:id="148"/>
      <w:r>
        <w:rPr>
          <w:rFonts w:hint="eastAsia" w:ascii="宋体" w:hAnsi="宋体" w:cs="仿宋_GB2312"/>
          <w:color w:val="auto"/>
          <w:sz w:val="24"/>
          <w:highlight w:val="none"/>
        </w:rPr>
        <w:t>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bookmarkEnd w:id="149"/>
    </w:p>
    <w:p>
      <w:pPr>
        <w:spacing w:line="440" w:lineRule="exact"/>
        <w:ind w:firstLine="480" w:firstLineChars="200"/>
        <w:contextualSpacing/>
        <w:jc w:val="left"/>
        <w:rPr>
          <w:rFonts w:ascii="宋体" w:hAnsi="宋体"/>
          <w:color w:val="auto"/>
          <w:sz w:val="24"/>
          <w:highlight w:val="none"/>
        </w:rPr>
      </w:pPr>
      <w:r>
        <w:rPr>
          <w:rFonts w:hint="eastAsia" w:ascii="宋体" w:hAnsi="宋体" w:cs="仿宋_GB2312"/>
          <w:color w:val="auto"/>
          <w:sz w:val="24"/>
          <w:highlight w:val="none"/>
        </w:rPr>
        <w:t>2.法人、其他组织投标时“我方”是指“我单位”，自然人投标时“我方”是指“本人”。</w:t>
      </w:r>
    </w:p>
    <w:p>
      <w:pPr>
        <w:rPr>
          <w:rFonts w:ascii="宋体" w:hAnsi="宋体"/>
          <w:color w:val="auto"/>
          <w:sz w:val="24"/>
          <w:highlight w:val="none"/>
        </w:rPr>
      </w:pPr>
      <w:r>
        <w:rPr>
          <w:rFonts w:ascii="宋体" w:hAnsi="宋体"/>
          <w:color w:val="auto"/>
          <w:sz w:val="24"/>
          <w:highlight w:val="none"/>
        </w:rPr>
        <w:br w:type="page"/>
      </w:r>
    </w:p>
    <w:p>
      <w:pPr>
        <w:rPr>
          <w:rFonts w:ascii="宋体" w:hAnsi="宋体"/>
          <w:b/>
          <w:color w:val="auto"/>
          <w:sz w:val="24"/>
          <w:szCs w:val="20"/>
          <w:highlight w:val="none"/>
        </w:rPr>
      </w:pPr>
      <w:r>
        <w:rPr>
          <w:rFonts w:hint="eastAsia" w:ascii="宋体" w:hAnsi="宋体"/>
          <w:b/>
          <w:color w:val="auto"/>
          <w:sz w:val="24"/>
          <w:highlight w:val="none"/>
        </w:rPr>
        <w:t>6.商务要求偏离表格式（注：按项目需求表具体项目修改）</w:t>
      </w:r>
    </w:p>
    <w:p>
      <w:pPr>
        <w:snapToGrid w:val="0"/>
        <w:spacing w:before="50"/>
        <w:jc w:val="left"/>
        <w:rPr>
          <w:rFonts w:ascii="宋体" w:hAnsi="宋体"/>
          <w:color w:val="auto"/>
          <w:sz w:val="24"/>
          <w:highlight w:val="none"/>
        </w:rPr>
      </w:pPr>
    </w:p>
    <w:p>
      <w:pPr>
        <w:pStyle w:val="18"/>
        <w:rPr>
          <w:rFonts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p>
      <w:pPr>
        <w:snapToGrid w:val="0"/>
        <w:spacing w:before="50"/>
        <w:jc w:val="left"/>
        <w:rPr>
          <w:rFonts w:ascii="宋体" w:hAnsi="宋体"/>
          <w:color w:val="auto"/>
          <w:sz w:val="24"/>
          <w:highlight w:val="none"/>
          <w:u w:val="single"/>
        </w:rPr>
      </w:pPr>
    </w:p>
    <w:tbl>
      <w:tblPr>
        <w:tblStyle w:val="34"/>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招标文件商务要求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合同签订期</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提交服务成果时间</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olor w:val="auto"/>
                <w:sz w:val="24"/>
                <w:highlight w:val="none"/>
                <w:u w:val="singl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r>
    </w:tbl>
    <w:p>
      <w:pPr>
        <w:pStyle w:val="14"/>
        <w:rPr>
          <w:rFonts w:ascii="宋体" w:hAnsi="宋体"/>
          <w:color w:val="auto"/>
          <w:highlight w:val="none"/>
        </w:rPr>
      </w:pPr>
    </w:p>
    <w:p>
      <w:pPr>
        <w:pStyle w:val="14"/>
        <w:rPr>
          <w:rFonts w:ascii="宋体" w:hAnsi="宋体"/>
          <w:color w:val="auto"/>
          <w:highlight w:val="none"/>
        </w:rPr>
      </w:pPr>
    </w:p>
    <w:p>
      <w:pPr>
        <w:pStyle w:val="14"/>
        <w:rPr>
          <w:rFonts w:ascii="宋体" w:hAnsi="宋体"/>
          <w:color w:val="auto"/>
          <w:spacing w:val="-4"/>
          <w:sz w:val="21"/>
          <w:szCs w:val="21"/>
          <w:highlight w:val="none"/>
        </w:rPr>
      </w:pPr>
      <w:r>
        <w:rPr>
          <w:rFonts w:hint="eastAsia" w:ascii="宋体" w:hAnsi="宋体"/>
          <w:color w:val="auto"/>
          <w:spacing w:val="-4"/>
          <w:sz w:val="21"/>
          <w:szCs w:val="21"/>
          <w:highlight w:val="none"/>
        </w:rPr>
        <w:t>注：</w:t>
      </w:r>
    </w:p>
    <w:p>
      <w:pPr>
        <w:pStyle w:val="15"/>
        <w:spacing w:line="400" w:lineRule="exact"/>
        <w:ind w:firstLine="0"/>
        <w:rPr>
          <w:rFonts w:hAnsi="仿宋_GB2312" w:cs="仿宋_GB2312"/>
          <w:color w:val="auto"/>
          <w:sz w:val="21"/>
          <w:szCs w:val="21"/>
          <w:highlight w:val="none"/>
        </w:rPr>
      </w:pPr>
      <w:r>
        <w:rPr>
          <w:rFonts w:hint="eastAsia" w:hAnsi="宋体"/>
          <w:color w:val="auto"/>
          <w:sz w:val="21"/>
          <w:szCs w:val="21"/>
          <w:highlight w:val="none"/>
        </w:rPr>
        <w:t>1.</w:t>
      </w:r>
      <w:r>
        <w:rPr>
          <w:rFonts w:hint="eastAsia"/>
          <w:color w:val="auto"/>
          <w:sz w:val="21"/>
          <w:szCs w:val="21"/>
          <w:highlight w:val="none"/>
        </w:rPr>
        <w:t xml:space="preserve"> </w:t>
      </w:r>
      <w:r>
        <w:rPr>
          <w:rFonts w:hint="eastAsia" w:hAnsi="宋体"/>
          <w:color w:val="auto"/>
          <w:sz w:val="21"/>
          <w:szCs w:val="21"/>
          <w:highlight w:val="none"/>
        </w:rPr>
        <w:t>说明：应对照招标文件“第二章 采购需求”中的商务要求逐条作明确的投标响应，并作出偏离说明。</w:t>
      </w:r>
    </w:p>
    <w:p>
      <w:pPr>
        <w:pStyle w:val="14"/>
        <w:spacing w:after="0" w:line="400" w:lineRule="exact"/>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投标人应根据自身的承诺，对照招标文件要求在“偏离说明”中注明“正偏离”、“负偏离”或者“无偏离”。既不属于“正偏离”也不属于“负偏离”即为“无偏离”。</w:t>
      </w:r>
    </w:p>
    <w:p>
      <w:pPr>
        <w:snapToGrid w:val="0"/>
        <w:spacing w:line="400" w:lineRule="exact"/>
        <w:rPr>
          <w:rFonts w:ascii="宋体" w:hAnsi="宋体"/>
          <w:color w:val="auto"/>
          <w:szCs w:val="21"/>
          <w:highlight w:val="none"/>
        </w:rPr>
      </w:pPr>
    </w:p>
    <w:p>
      <w:pPr>
        <w:snapToGrid w:val="0"/>
        <w:spacing w:line="400" w:lineRule="exact"/>
        <w:rPr>
          <w:rFonts w:ascii="宋体" w:hAnsi="宋体"/>
          <w:color w:val="auto"/>
          <w:spacing w:val="20"/>
          <w:szCs w:val="21"/>
          <w:highlight w:val="none"/>
          <w:u w:val="single"/>
        </w:rPr>
      </w:pPr>
      <w:r>
        <w:rPr>
          <w:rFonts w:hint="eastAsia" w:ascii="宋体" w:hAnsi="宋体"/>
          <w:color w:val="auto"/>
          <w:szCs w:val="21"/>
          <w:highlight w:val="none"/>
        </w:rPr>
        <w:t>法定代表人或者委托代理人</w:t>
      </w:r>
      <w:r>
        <w:rPr>
          <w:rFonts w:hint="eastAsia" w:ascii="宋体" w:hAnsi="宋体"/>
          <w:color w:val="auto"/>
          <w:spacing w:val="20"/>
          <w:szCs w:val="21"/>
          <w:highlight w:val="none"/>
        </w:rPr>
        <w:t>（签字）：</w:t>
      </w:r>
      <w:r>
        <w:rPr>
          <w:rFonts w:hint="eastAsia" w:ascii="宋体" w:hAnsi="宋体"/>
          <w:color w:val="auto"/>
          <w:spacing w:val="20"/>
          <w:szCs w:val="21"/>
          <w:highlight w:val="none"/>
          <w:u w:val="single"/>
        </w:rPr>
        <w:t xml:space="preserve">        </w:t>
      </w:r>
    </w:p>
    <w:p>
      <w:pPr>
        <w:snapToGrid w:val="0"/>
        <w:spacing w:line="400" w:lineRule="exact"/>
        <w:rPr>
          <w:rFonts w:ascii="宋体" w:hAnsi="宋体"/>
          <w:color w:val="auto"/>
          <w:spacing w:val="20"/>
          <w:szCs w:val="21"/>
          <w:highlight w:val="none"/>
        </w:rPr>
      </w:pPr>
      <w:r>
        <w:rPr>
          <w:rFonts w:hint="eastAsia" w:ascii="宋体" w:hAnsi="宋体"/>
          <w:color w:val="auto"/>
          <w:spacing w:val="20"/>
          <w:szCs w:val="21"/>
          <w:highlight w:val="none"/>
        </w:rPr>
        <w:t>投标人盖公章：</w:t>
      </w:r>
      <w:r>
        <w:rPr>
          <w:rFonts w:hint="eastAsia" w:ascii="宋体" w:hAnsi="宋体"/>
          <w:color w:val="auto"/>
          <w:spacing w:val="20"/>
          <w:szCs w:val="21"/>
          <w:highlight w:val="none"/>
          <w:u w:val="single"/>
        </w:rPr>
        <w:t xml:space="preserve">            </w:t>
      </w:r>
      <w:r>
        <w:rPr>
          <w:rFonts w:hint="eastAsia" w:ascii="宋体" w:hAnsi="宋体"/>
          <w:color w:val="auto"/>
          <w:spacing w:val="20"/>
          <w:szCs w:val="21"/>
          <w:highlight w:val="none"/>
        </w:rPr>
        <w:t xml:space="preserve">   </w:t>
      </w:r>
    </w:p>
    <w:p>
      <w:pPr>
        <w:snapToGrid w:val="0"/>
        <w:spacing w:line="400" w:lineRule="exact"/>
        <w:rPr>
          <w:rFonts w:ascii="宋体" w:hAnsi="宋体"/>
          <w:color w:val="auto"/>
          <w:szCs w:val="21"/>
          <w:highlight w:val="none"/>
        </w:rPr>
      </w:pPr>
      <w:r>
        <w:rPr>
          <w:rFonts w:hint="eastAsia" w:ascii="宋体" w:hAnsi="宋体"/>
          <w:color w:val="auto"/>
          <w:spacing w:val="20"/>
          <w:szCs w:val="21"/>
          <w:highlight w:val="none"/>
        </w:rPr>
        <w:t>日  期：</w:t>
      </w:r>
      <w:r>
        <w:rPr>
          <w:rFonts w:hint="eastAsia" w:ascii="宋体" w:hAnsi="宋体"/>
          <w:color w:val="auto"/>
          <w:spacing w:val="20"/>
          <w:szCs w:val="21"/>
          <w:highlight w:val="none"/>
          <w:u w:val="single"/>
        </w:rPr>
        <w:t xml:space="preserve">         </w:t>
      </w:r>
    </w:p>
    <w:p>
      <w:pPr>
        <w:snapToGrid w:val="0"/>
        <w:spacing w:before="120" w:beforeLines="50"/>
        <w:rPr>
          <w:rFonts w:ascii="宋体" w:hAnsi="宋体"/>
          <w:color w:val="auto"/>
          <w:sz w:val="24"/>
          <w:szCs w:val="20"/>
          <w:highlight w:val="none"/>
        </w:rPr>
      </w:pPr>
    </w:p>
    <w:p>
      <w:pPr>
        <w:snapToGrid w:val="0"/>
        <w:spacing w:before="120" w:beforeLines="50" w:after="50"/>
        <w:jc w:val="left"/>
        <w:rPr>
          <w:rFonts w:ascii="宋体" w:hAnsi="宋体"/>
          <w:color w:val="auto"/>
          <w:sz w:val="24"/>
          <w:szCs w:val="20"/>
          <w:highlight w:val="none"/>
        </w:rPr>
      </w:pPr>
    </w:p>
    <w:p>
      <w:pPr>
        <w:snapToGrid w:val="0"/>
        <w:spacing w:before="120" w:beforeLines="50" w:after="50"/>
        <w:jc w:val="left"/>
        <w:rPr>
          <w:rFonts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7.投标人业绩证明材料</w:t>
      </w:r>
    </w:p>
    <w:p>
      <w:pPr>
        <w:pStyle w:val="27"/>
        <w:snapToGrid w:val="0"/>
        <w:ind w:left="480" w:hanging="480"/>
        <w:rPr>
          <w:rFonts w:ascii="宋体" w:hAnsi="宋体"/>
          <w:color w:val="auto"/>
          <w:sz w:val="24"/>
          <w:highlight w:val="none"/>
        </w:rPr>
      </w:pPr>
    </w:p>
    <w:p>
      <w:pPr>
        <w:pStyle w:val="27"/>
        <w:snapToGrid w:val="0"/>
        <w:ind w:left="480" w:hanging="480"/>
        <w:rPr>
          <w:rFonts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3"/>
        <w:gridCol w:w="1770"/>
        <w:gridCol w:w="1770"/>
        <w:gridCol w:w="2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采购人名称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项目名称</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（万元）</w:t>
            </w:r>
          </w:p>
        </w:tc>
        <w:tc>
          <w:tcPr>
            <w:tcW w:w="285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285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28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bl>
    <w:p>
      <w:pPr>
        <w:pStyle w:val="11"/>
        <w:spacing w:before="0" w:after="0" w:line="360" w:lineRule="auto"/>
        <w:contextualSpacing/>
        <w:rPr>
          <w:rFonts w:ascii="宋体" w:hAnsi="宋体" w:eastAsia="宋体"/>
          <w:color w:val="auto"/>
          <w:sz w:val="24"/>
          <w:szCs w:val="24"/>
          <w:highlight w:val="none"/>
        </w:rPr>
      </w:pPr>
    </w:p>
    <w:p>
      <w:pPr>
        <w:pStyle w:val="11"/>
        <w:spacing w:before="0" w:after="0" w:line="360" w:lineRule="auto"/>
        <w:contextualSpacing/>
        <w:rPr>
          <w:rFonts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color w:val="auto"/>
          <w:sz w:val="24"/>
          <w:highlight w:val="none"/>
        </w:rPr>
        <w:t>投标人根据评标标准具体要求附业绩证明材料。</w:t>
      </w:r>
    </w:p>
    <w:p>
      <w:pPr>
        <w:pStyle w:val="11"/>
        <w:spacing w:before="0" w:after="0" w:line="360" w:lineRule="auto"/>
        <w:contextualSpacing/>
        <w:jc w:val="left"/>
        <w:rPr>
          <w:rFonts w:ascii="宋体" w:hAnsi="宋体" w:eastAsia="宋体"/>
          <w:color w:val="auto"/>
          <w:sz w:val="24"/>
          <w:szCs w:val="24"/>
          <w:highlight w:val="none"/>
          <w:u w:val="single"/>
        </w:rPr>
      </w:pPr>
      <w:r>
        <w:rPr>
          <w:rFonts w:hint="eastAsia" w:ascii="宋体" w:hAnsi="宋体" w:eastAsia="宋体"/>
          <w:color w:val="auto"/>
          <w:sz w:val="24"/>
          <w:szCs w:val="24"/>
          <w:highlight w:val="none"/>
        </w:rPr>
        <w:t>法定代表人或者委托代理人（签字）：</w:t>
      </w:r>
      <w:r>
        <w:rPr>
          <w:rFonts w:hint="eastAsia" w:ascii="宋体" w:hAnsi="宋体" w:eastAsia="宋体"/>
          <w:color w:val="auto"/>
          <w:sz w:val="24"/>
          <w:szCs w:val="24"/>
          <w:highlight w:val="none"/>
          <w:u w:val="single"/>
        </w:rPr>
        <w:t>　　　　　</w:t>
      </w:r>
    </w:p>
    <w:p>
      <w:pPr>
        <w:spacing w:line="360" w:lineRule="auto"/>
        <w:ind w:right="480"/>
        <w:contextualSpacing/>
        <w:jc w:val="left"/>
        <w:rPr>
          <w:rFonts w:ascii="宋体" w:hAnsi="宋体"/>
          <w:color w:val="auto"/>
          <w:sz w:val="24"/>
          <w:szCs w:val="20"/>
          <w:highlight w:val="none"/>
        </w:rPr>
      </w:pPr>
      <w:r>
        <w:rPr>
          <w:rFonts w:hint="eastAsia" w:ascii="宋体" w:hAnsi="宋体" w:cs="Arial"/>
          <w:color w:val="auto"/>
          <w:sz w:val="24"/>
          <w:highlight w:val="none"/>
        </w:rPr>
        <w:t xml:space="preserve">投标人（盖公章）：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ascii="宋体" w:hAnsi="宋体"/>
          <w:color w:val="auto"/>
          <w:sz w:val="24"/>
          <w:szCs w:val="20"/>
          <w:highlight w:val="none"/>
        </w:rPr>
      </w:pPr>
    </w:p>
    <w:p>
      <w:pPr>
        <w:snapToGrid w:val="0"/>
        <w:spacing w:before="50"/>
        <w:jc w:val="left"/>
        <w:rPr>
          <w:rFonts w:ascii="宋体" w:hAnsi="宋体"/>
          <w:color w:val="auto"/>
          <w:sz w:val="24"/>
          <w:highlight w:val="none"/>
        </w:rPr>
      </w:pPr>
    </w:p>
    <w:p>
      <w:pPr>
        <w:snapToGrid w:val="0"/>
        <w:spacing w:before="120" w:beforeLines="50"/>
        <w:rPr>
          <w:rFonts w:ascii="宋体" w:hAnsi="宋体"/>
          <w:color w:val="auto"/>
          <w:sz w:val="24"/>
          <w:szCs w:val="20"/>
          <w:highlight w:val="none"/>
        </w:rPr>
        <w:sectPr>
          <w:headerReference r:id="rId8" w:type="default"/>
          <w:footerReference r:id="rId9" w:type="default"/>
          <w:pgSz w:w="11906" w:h="16838"/>
          <w:pgMar w:top="1440" w:right="1797" w:bottom="1440" w:left="1797" w:header="851" w:footer="992" w:gutter="0"/>
          <w:cols w:space="720" w:num="1"/>
          <w:docGrid w:linePitch="312" w:charSpace="0"/>
        </w:sectPr>
      </w:pPr>
    </w:p>
    <w:p>
      <w:pPr>
        <w:rPr>
          <w:b/>
          <w:color w:val="auto"/>
          <w:sz w:val="28"/>
          <w:szCs w:val="28"/>
          <w:highlight w:val="none"/>
        </w:rPr>
      </w:pPr>
      <w:r>
        <w:rPr>
          <w:rFonts w:hint="eastAsia"/>
          <w:b/>
          <w:color w:val="auto"/>
          <w:sz w:val="28"/>
          <w:szCs w:val="28"/>
          <w:highlight w:val="none"/>
        </w:rPr>
        <w:t>四、技术文件格式</w:t>
      </w:r>
    </w:p>
    <w:p>
      <w:pPr>
        <w:snapToGrid w:val="0"/>
        <w:spacing w:before="165" w:beforeLines="50" w:after="50"/>
        <w:ind w:left="142"/>
        <w:jc w:val="left"/>
        <w:rPr>
          <w:rFonts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65" w:beforeLines="50" w:after="50"/>
        <w:rPr>
          <w:rFonts w:ascii="宋体" w:hAnsi="宋体"/>
          <w:b/>
          <w:bCs/>
          <w:color w:val="auto"/>
          <w:sz w:val="32"/>
          <w:szCs w:val="20"/>
          <w:highlight w:val="none"/>
        </w:rPr>
      </w:pPr>
      <w:r>
        <w:rPr>
          <w:rFonts w:hint="eastAsia" w:ascii="宋体" w:hAnsi="宋体"/>
          <w:color w:val="auto"/>
          <w:sz w:val="24"/>
          <w:highlight w:val="none"/>
        </w:rPr>
        <w:t xml:space="preserve">                                                   </w:t>
      </w:r>
    </w:p>
    <w:p>
      <w:pPr>
        <w:snapToGrid w:val="0"/>
        <w:spacing w:before="165" w:beforeLines="50" w:after="50"/>
        <w:rPr>
          <w:rFonts w:ascii="宋体" w:hAnsi="宋体"/>
          <w:color w:val="auto"/>
          <w:sz w:val="24"/>
          <w:szCs w:val="20"/>
          <w:highlight w:val="none"/>
        </w:rPr>
      </w:pPr>
    </w:p>
    <w:p>
      <w:pPr>
        <w:snapToGrid w:val="0"/>
        <w:spacing w:before="165" w:beforeLines="50" w:after="50"/>
        <w:rPr>
          <w:rFonts w:ascii="宋体" w:hAnsi="宋体"/>
          <w:color w:val="auto"/>
          <w:sz w:val="24"/>
          <w:szCs w:val="20"/>
          <w:highlight w:val="none"/>
        </w:rPr>
      </w:pPr>
    </w:p>
    <w:p>
      <w:pPr>
        <w:snapToGrid w:val="0"/>
        <w:spacing w:before="165"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65" w:beforeLines="50" w:after="50"/>
        <w:rPr>
          <w:rFonts w:ascii="宋体" w:hAnsi="宋体"/>
          <w:color w:val="auto"/>
          <w:sz w:val="24"/>
          <w:szCs w:val="20"/>
          <w:highlight w:val="none"/>
        </w:rPr>
      </w:pPr>
    </w:p>
    <w:p>
      <w:pPr>
        <w:snapToGrid w:val="0"/>
        <w:spacing w:before="165" w:beforeLines="50" w:after="50"/>
        <w:rPr>
          <w:rFonts w:ascii="宋体" w:hAnsi="宋体"/>
          <w:color w:val="auto"/>
          <w:sz w:val="24"/>
          <w:szCs w:val="20"/>
          <w:highlight w:val="none"/>
        </w:rPr>
      </w:pPr>
    </w:p>
    <w:p>
      <w:pPr>
        <w:snapToGrid w:val="0"/>
        <w:spacing w:before="165" w:beforeLines="50" w:after="50"/>
        <w:jc w:val="center"/>
        <w:rPr>
          <w:rFonts w:ascii="宋体" w:hAnsi="宋体"/>
          <w:b/>
          <w:bCs/>
          <w:color w:val="auto"/>
          <w:sz w:val="32"/>
          <w:szCs w:val="32"/>
          <w:highlight w:val="none"/>
        </w:rPr>
      </w:pPr>
      <w:r>
        <w:rPr>
          <w:rFonts w:hint="eastAsia" w:ascii="宋体" w:hAnsi="宋体"/>
          <w:b/>
          <w:bCs/>
          <w:color w:val="auto"/>
          <w:sz w:val="32"/>
          <w:szCs w:val="32"/>
          <w:highlight w:val="none"/>
        </w:rPr>
        <w:t>技  术  文  件</w:t>
      </w: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65" w:beforeLines="50" w:after="50" w:line="400" w:lineRule="exact"/>
        <w:ind w:firstLine="360" w:firstLineChars="150"/>
        <w:rPr>
          <w:rFonts w:ascii="宋体" w:hAnsi="宋体"/>
          <w:bCs/>
          <w:color w:val="auto"/>
          <w:sz w:val="24"/>
          <w:szCs w:val="20"/>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65" w:beforeLines="50" w:after="50" w:line="400" w:lineRule="exact"/>
        <w:ind w:firstLine="360" w:firstLineChars="150"/>
        <w:rPr>
          <w:rFonts w:ascii="宋体" w:hAnsi="宋体"/>
          <w:bCs/>
          <w:color w:val="auto"/>
          <w:sz w:val="24"/>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65" w:beforeLines="50" w:after="50" w:line="400" w:lineRule="exact"/>
        <w:ind w:firstLine="360" w:firstLineChars="150"/>
        <w:rPr>
          <w:rFonts w:ascii="宋体" w:hAnsi="宋体"/>
          <w:bCs/>
          <w:color w:val="auto"/>
          <w:sz w:val="24"/>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65" w:beforeLines="50" w:after="50" w:line="400" w:lineRule="exact"/>
        <w:ind w:firstLine="360" w:firstLineChars="150"/>
        <w:rPr>
          <w:rFonts w:ascii="宋体" w:hAnsi="宋体"/>
          <w:bCs/>
          <w:color w:val="auto"/>
          <w:sz w:val="24"/>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snapToGrid w:val="0"/>
        <w:spacing w:before="165" w:beforeLines="50" w:after="50" w:line="400" w:lineRule="exact"/>
        <w:ind w:firstLine="360" w:firstLineChars="150"/>
        <w:rPr>
          <w:rFonts w:ascii="宋体" w:hAnsi="宋体"/>
          <w:bCs/>
          <w:color w:val="auto"/>
          <w:sz w:val="24"/>
          <w:highlight w:val="none"/>
        </w:rPr>
      </w:pPr>
    </w:p>
    <w:p>
      <w:pPr>
        <w:snapToGrid w:val="0"/>
        <w:spacing w:before="165" w:beforeLines="50" w:after="50"/>
        <w:ind w:firstLine="645"/>
        <w:jc w:val="center"/>
        <w:rPr>
          <w:rFonts w:ascii="宋体" w:hAnsi="宋体"/>
          <w:color w:val="auto"/>
          <w:sz w:val="24"/>
          <w:highlight w:val="none"/>
        </w:rPr>
      </w:pPr>
      <w:r>
        <w:rPr>
          <w:rFonts w:hint="eastAsia" w:ascii="宋体" w:hAnsi="宋体"/>
          <w:color w:val="auto"/>
          <w:sz w:val="24"/>
          <w:highlight w:val="none"/>
        </w:rPr>
        <w:t xml:space="preserve">               </w:t>
      </w:r>
    </w:p>
    <w:p>
      <w:pPr>
        <w:snapToGrid w:val="0"/>
        <w:spacing w:before="165" w:beforeLines="50" w:after="50"/>
        <w:ind w:firstLine="645"/>
        <w:jc w:val="center"/>
        <w:rPr>
          <w:rFonts w:ascii="宋体" w:hAnsi="宋体"/>
          <w:color w:val="auto"/>
          <w:sz w:val="24"/>
          <w:highlight w:val="none"/>
        </w:rPr>
      </w:pPr>
    </w:p>
    <w:p>
      <w:pPr>
        <w:snapToGrid w:val="0"/>
        <w:spacing w:before="165"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65" w:beforeLines="50" w:after="50"/>
        <w:ind w:firstLine="645"/>
        <w:jc w:val="center"/>
        <w:rPr>
          <w:rFonts w:ascii="宋体" w:hAnsi="宋体"/>
          <w:color w:val="auto"/>
          <w:sz w:val="24"/>
          <w:szCs w:val="20"/>
          <w:highlight w:val="none"/>
        </w:rPr>
      </w:pPr>
    </w:p>
    <w:p>
      <w:pPr>
        <w:snapToGrid w:val="0"/>
        <w:spacing w:before="165" w:beforeLines="50" w:after="50"/>
        <w:ind w:left="142"/>
        <w:jc w:val="left"/>
        <w:rPr>
          <w:rFonts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2.技术文件目录</w:t>
      </w:r>
    </w:p>
    <w:p>
      <w:pPr>
        <w:snapToGrid w:val="0"/>
        <w:spacing w:before="50" w:after="165" w:afterLines="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根据招标文件规定及投标人提供的材料自行编写目录。</w:t>
      </w:r>
    </w:p>
    <w:p>
      <w:pPr>
        <w:snapToGrid w:val="0"/>
        <w:spacing w:before="165"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技术要求偏离表格式</w:t>
      </w:r>
    </w:p>
    <w:p>
      <w:pPr>
        <w:snapToGrid w:val="0"/>
        <w:spacing w:before="165" w:beforeLines="50" w:after="50"/>
        <w:ind w:left="142"/>
        <w:jc w:val="left"/>
        <w:rPr>
          <w:rFonts w:ascii="宋体" w:hAnsi="宋体"/>
          <w:b/>
          <w:color w:val="auto"/>
          <w:sz w:val="24"/>
          <w:highlight w:val="none"/>
        </w:rPr>
      </w:pPr>
    </w:p>
    <w:p>
      <w:pPr>
        <w:snapToGrid w:val="0"/>
        <w:spacing w:before="165"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技术要求偏离表</w:t>
      </w:r>
    </w:p>
    <w:p>
      <w:pPr>
        <w:pStyle w:val="18"/>
        <w:rPr>
          <w:rFonts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18"/>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项号</w:t>
            </w:r>
          </w:p>
        </w:tc>
        <w:tc>
          <w:tcPr>
            <w:tcW w:w="2143" w:type="dxa"/>
            <w:vAlign w:val="center"/>
          </w:tcPr>
          <w:p>
            <w:pPr>
              <w:pStyle w:val="18"/>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标的的名称</w:t>
            </w:r>
          </w:p>
        </w:tc>
        <w:tc>
          <w:tcPr>
            <w:tcW w:w="1834" w:type="dxa"/>
            <w:vAlign w:val="center"/>
          </w:tcPr>
          <w:p>
            <w:pPr>
              <w:pStyle w:val="18"/>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技术要求</w:t>
            </w:r>
          </w:p>
        </w:tc>
        <w:tc>
          <w:tcPr>
            <w:tcW w:w="2181" w:type="dxa"/>
            <w:vAlign w:val="center"/>
          </w:tcPr>
          <w:p>
            <w:pPr>
              <w:pStyle w:val="18"/>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投标响应</w:t>
            </w:r>
          </w:p>
        </w:tc>
        <w:tc>
          <w:tcPr>
            <w:tcW w:w="1934" w:type="dxa"/>
            <w:vAlign w:val="center"/>
          </w:tcPr>
          <w:p>
            <w:pPr>
              <w:pStyle w:val="18"/>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jc w:val="center"/>
              <w:rPr>
                <w:rFonts w:hAnsi="宋体" w:cs="Courier New"/>
                <w:color w:val="auto"/>
                <w:sz w:val="24"/>
                <w:szCs w:val="24"/>
                <w:highlight w:val="none"/>
              </w:rPr>
            </w:pPr>
          </w:p>
        </w:tc>
        <w:tc>
          <w:tcPr>
            <w:tcW w:w="2143" w:type="dxa"/>
            <w:vAlign w:val="center"/>
          </w:tcPr>
          <w:p>
            <w:pPr>
              <w:pStyle w:val="18"/>
              <w:spacing w:line="600" w:lineRule="exact"/>
              <w:jc w:val="center"/>
              <w:rPr>
                <w:rFonts w:hAnsi="宋体" w:cs="Courier New"/>
                <w:color w:val="auto"/>
                <w:sz w:val="24"/>
                <w:szCs w:val="24"/>
                <w:highlight w:val="none"/>
              </w:rPr>
            </w:pPr>
          </w:p>
        </w:tc>
        <w:tc>
          <w:tcPr>
            <w:tcW w:w="1834" w:type="dxa"/>
            <w:vAlign w:val="center"/>
          </w:tcPr>
          <w:p>
            <w:pPr>
              <w:pStyle w:val="18"/>
              <w:spacing w:line="600" w:lineRule="exact"/>
              <w:jc w:val="center"/>
              <w:rPr>
                <w:rFonts w:hAnsi="宋体" w:cs="Courier New"/>
                <w:color w:val="auto"/>
                <w:sz w:val="24"/>
                <w:szCs w:val="24"/>
                <w:highlight w:val="none"/>
              </w:rPr>
            </w:pPr>
          </w:p>
        </w:tc>
        <w:tc>
          <w:tcPr>
            <w:tcW w:w="2181" w:type="dxa"/>
            <w:vAlign w:val="center"/>
          </w:tcPr>
          <w:p>
            <w:pPr>
              <w:pStyle w:val="18"/>
              <w:spacing w:line="600" w:lineRule="exact"/>
              <w:jc w:val="center"/>
              <w:rPr>
                <w:rFonts w:hAnsi="宋体" w:cs="Courier New"/>
                <w:color w:val="auto"/>
                <w:sz w:val="24"/>
                <w:szCs w:val="24"/>
                <w:highlight w:val="none"/>
              </w:rPr>
            </w:pPr>
          </w:p>
        </w:tc>
        <w:tc>
          <w:tcPr>
            <w:tcW w:w="1934" w:type="dxa"/>
            <w:vAlign w:val="center"/>
          </w:tcPr>
          <w:p>
            <w:pPr>
              <w:pStyle w:val="18"/>
              <w:spacing w:line="600" w:lineRule="exact"/>
              <w:jc w:val="center"/>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highlight w:val="none"/>
              </w:rPr>
            </w:pPr>
          </w:p>
        </w:tc>
        <w:tc>
          <w:tcPr>
            <w:tcW w:w="2143" w:type="dxa"/>
          </w:tcPr>
          <w:p>
            <w:pPr>
              <w:pStyle w:val="18"/>
              <w:spacing w:line="600" w:lineRule="exact"/>
              <w:rPr>
                <w:rFonts w:hAnsi="宋体" w:cs="Courier New"/>
                <w:color w:val="auto"/>
                <w:sz w:val="24"/>
                <w:szCs w:val="24"/>
                <w:highlight w:val="none"/>
              </w:rPr>
            </w:pPr>
          </w:p>
        </w:tc>
        <w:tc>
          <w:tcPr>
            <w:tcW w:w="1834" w:type="dxa"/>
          </w:tcPr>
          <w:p>
            <w:pPr>
              <w:pStyle w:val="18"/>
              <w:spacing w:line="600" w:lineRule="exact"/>
              <w:rPr>
                <w:rFonts w:hAnsi="宋体" w:cs="Courier New"/>
                <w:color w:val="auto"/>
                <w:sz w:val="24"/>
                <w:szCs w:val="24"/>
                <w:highlight w:val="none"/>
              </w:rPr>
            </w:pPr>
          </w:p>
        </w:tc>
        <w:tc>
          <w:tcPr>
            <w:tcW w:w="2181" w:type="dxa"/>
          </w:tcPr>
          <w:p>
            <w:pPr>
              <w:pStyle w:val="18"/>
              <w:spacing w:line="600" w:lineRule="exact"/>
              <w:rPr>
                <w:rFonts w:hAnsi="宋体" w:cs="Courier New"/>
                <w:color w:val="auto"/>
                <w:sz w:val="24"/>
                <w:szCs w:val="24"/>
                <w:highlight w:val="none"/>
              </w:rPr>
            </w:pPr>
          </w:p>
        </w:tc>
        <w:tc>
          <w:tcPr>
            <w:tcW w:w="1934" w:type="dxa"/>
          </w:tcPr>
          <w:p>
            <w:pPr>
              <w:pStyle w:val="18"/>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highlight w:val="none"/>
              </w:rPr>
            </w:pPr>
          </w:p>
        </w:tc>
        <w:tc>
          <w:tcPr>
            <w:tcW w:w="2143" w:type="dxa"/>
          </w:tcPr>
          <w:p>
            <w:pPr>
              <w:pStyle w:val="18"/>
              <w:spacing w:line="600" w:lineRule="exact"/>
              <w:rPr>
                <w:rFonts w:hAnsi="宋体" w:cs="Courier New"/>
                <w:color w:val="auto"/>
                <w:sz w:val="24"/>
                <w:szCs w:val="24"/>
                <w:highlight w:val="none"/>
              </w:rPr>
            </w:pPr>
          </w:p>
        </w:tc>
        <w:tc>
          <w:tcPr>
            <w:tcW w:w="1834" w:type="dxa"/>
          </w:tcPr>
          <w:p>
            <w:pPr>
              <w:pStyle w:val="18"/>
              <w:spacing w:line="600" w:lineRule="exact"/>
              <w:rPr>
                <w:rFonts w:hAnsi="宋体" w:cs="Courier New"/>
                <w:color w:val="auto"/>
                <w:sz w:val="24"/>
                <w:szCs w:val="24"/>
                <w:highlight w:val="none"/>
              </w:rPr>
            </w:pPr>
          </w:p>
        </w:tc>
        <w:tc>
          <w:tcPr>
            <w:tcW w:w="2181" w:type="dxa"/>
          </w:tcPr>
          <w:p>
            <w:pPr>
              <w:pStyle w:val="18"/>
              <w:spacing w:line="600" w:lineRule="exact"/>
              <w:rPr>
                <w:rFonts w:hAnsi="宋体" w:cs="Courier New"/>
                <w:color w:val="auto"/>
                <w:sz w:val="24"/>
                <w:szCs w:val="24"/>
                <w:highlight w:val="none"/>
              </w:rPr>
            </w:pPr>
          </w:p>
        </w:tc>
        <w:tc>
          <w:tcPr>
            <w:tcW w:w="1934" w:type="dxa"/>
          </w:tcPr>
          <w:p>
            <w:pPr>
              <w:pStyle w:val="18"/>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highlight w:val="none"/>
              </w:rPr>
            </w:pPr>
          </w:p>
        </w:tc>
        <w:tc>
          <w:tcPr>
            <w:tcW w:w="2143" w:type="dxa"/>
          </w:tcPr>
          <w:p>
            <w:pPr>
              <w:pStyle w:val="18"/>
              <w:spacing w:line="600" w:lineRule="exact"/>
              <w:rPr>
                <w:rFonts w:hAnsi="宋体" w:cs="Courier New"/>
                <w:color w:val="auto"/>
                <w:sz w:val="24"/>
                <w:szCs w:val="24"/>
                <w:highlight w:val="none"/>
              </w:rPr>
            </w:pPr>
          </w:p>
        </w:tc>
        <w:tc>
          <w:tcPr>
            <w:tcW w:w="1834" w:type="dxa"/>
          </w:tcPr>
          <w:p>
            <w:pPr>
              <w:pStyle w:val="18"/>
              <w:spacing w:line="600" w:lineRule="exact"/>
              <w:rPr>
                <w:rFonts w:hAnsi="宋体" w:cs="Courier New"/>
                <w:color w:val="auto"/>
                <w:sz w:val="24"/>
                <w:szCs w:val="24"/>
                <w:highlight w:val="none"/>
              </w:rPr>
            </w:pPr>
          </w:p>
        </w:tc>
        <w:tc>
          <w:tcPr>
            <w:tcW w:w="2181" w:type="dxa"/>
          </w:tcPr>
          <w:p>
            <w:pPr>
              <w:pStyle w:val="18"/>
              <w:spacing w:line="600" w:lineRule="exact"/>
              <w:rPr>
                <w:rFonts w:hAnsi="宋体" w:cs="Courier New"/>
                <w:color w:val="auto"/>
                <w:sz w:val="24"/>
                <w:szCs w:val="24"/>
                <w:highlight w:val="none"/>
              </w:rPr>
            </w:pPr>
          </w:p>
        </w:tc>
        <w:tc>
          <w:tcPr>
            <w:tcW w:w="1934" w:type="dxa"/>
          </w:tcPr>
          <w:p>
            <w:pPr>
              <w:pStyle w:val="18"/>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highlight w:val="none"/>
              </w:rPr>
            </w:pPr>
          </w:p>
        </w:tc>
        <w:tc>
          <w:tcPr>
            <w:tcW w:w="2143" w:type="dxa"/>
          </w:tcPr>
          <w:p>
            <w:pPr>
              <w:pStyle w:val="18"/>
              <w:spacing w:line="600" w:lineRule="exact"/>
              <w:rPr>
                <w:rFonts w:hAnsi="宋体" w:cs="Courier New"/>
                <w:color w:val="auto"/>
                <w:sz w:val="24"/>
                <w:szCs w:val="24"/>
                <w:highlight w:val="none"/>
              </w:rPr>
            </w:pPr>
          </w:p>
        </w:tc>
        <w:tc>
          <w:tcPr>
            <w:tcW w:w="1834" w:type="dxa"/>
          </w:tcPr>
          <w:p>
            <w:pPr>
              <w:pStyle w:val="18"/>
              <w:spacing w:line="600" w:lineRule="exact"/>
              <w:rPr>
                <w:rFonts w:hAnsi="宋体" w:cs="Courier New"/>
                <w:color w:val="auto"/>
                <w:sz w:val="24"/>
                <w:szCs w:val="24"/>
                <w:highlight w:val="none"/>
              </w:rPr>
            </w:pPr>
          </w:p>
        </w:tc>
        <w:tc>
          <w:tcPr>
            <w:tcW w:w="2181" w:type="dxa"/>
          </w:tcPr>
          <w:p>
            <w:pPr>
              <w:pStyle w:val="18"/>
              <w:spacing w:line="600" w:lineRule="exact"/>
              <w:rPr>
                <w:rFonts w:hAnsi="宋体" w:cs="Courier New"/>
                <w:color w:val="auto"/>
                <w:sz w:val="24"/>
                <w:szCs w:val="24"/>
                <w:highlight w:val="none"/>
              </w:rPr>
            </w:pPr>
          </w:p>
        </w:tc>
        <w:tc>
          <w:tcPr>
            <w:tcW w:w="1934" w:type="dxa"/>
          </w:tcPr>
          <w:p>
            <w:pPr>
              <w:pStyle w:val="18"/>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18"/>
              <w:spacing w:line="600" w:lineRule="exact"/>
              <w:rPr>
                <w:rFonts w:hAnsi="宋体" w:cs="Courier New"/>
                <w:color w:val="auto"/>
                <w:sz w:val="24"/>
                <w:szCs w:val="24"/>
                <w:highlight w:val="none"/>
              </w:rPr>
            </w:pPr>
          </w:p>
        </w:tc>
        <w:tc>
          <w:tcPr>
            <w:tcW w:w="2143" w:type="dxa"/>
          </w:tcPr>
          <w:p>
            <w:pPr>
              <w:pStyle w:val="18"/>
              <w:spacing w:line="600" w:lineRule="exact"/>
              <w:rPr>
                <w:rFonts w:hAnsi="宋体" w:cs="Courier New"/>
                <w:color w:val="auto"/>
                <w:sz w:val="24"/>
                <w:szCs w:val="24"/>
                <w:highlight w:val="none"/>
              </w:rPr>
            </w:pPr>
          </w:p>
        </w:tc>
        <w:tc>
          <w:tcPr>
            <w:tcW w:w="1834" w:type="dxa"/>
          </w:tcPr>
          <w:p>
            <w:pPr>
              <w:pStyle w:val="18"/>
              <w:spacing w:line="600" w:lineRule="exact"/>
              <w:rPr>
                <w:rFonts w:hAnsi="宋体" w:cs="Courier New"/>
                <w:color w:val="auto"/>
                <w:sz w:val="24"/>
                <w:szCs w:val="24"/>
                <w:highlight w:val="none"/>
              </w:rPr>
            </w:pPr>
          </w:p>
        </w:tc>
        <w:tc>
          <w:tcPr>
            <w:tcW w:w="2181" w:type="dxa"/>
          </w:tcPr>
          <w:p>
            <w:pPr>
              <w:pStyle w:val="18"/>
              <w:spacing w:line="600" w:lineRule="exact"/>
              <w:rPr>
                <w:rFonts w:hAnsi="宋体" w:cs="Courier New"/>
                <w:color w:val="auto"/>
                <w:sz w:val="24"/>
                <w:szCs w:val="24"/>
                <w:highlight w:val="none"/>
              </w:rPr>
            </w:pPr>
          </w:p>
        </w:tc>
        <w:tc>
          <w:tcPr>
            <w:tcW w:w="1934" w:type="dxa"/>
          </w:tcPr>
          <w:p>
            <w:pPr>
              <w:pStyle w:val="18"/>
              <w:spacing w:line="600" w:lineRule="exact"/>
              <w:rPr>
                <w:rFonts w:hAnsi="宋体" w:cs="Courier New"/>
                <w:color w:val="auto"/>
                <w:sz w:val="24"/>
                <w:szCs w:val="24"/>
                <w:highlight w:val="none"/>
              </w:rPr>
            </w:pPr>
          </w:p>
        </w:tc>
      </w:tr>
    </w:tbl>
    <w:p>
      <w:pPr>
        <w:pStyle w:val="14"/>
        <w:rPr>
          <w:rFonts w:ascii="宋体" w:hAnsi="宋体"/>
          <w:color w:val="auto"/>
          <w:highlight w:val="none"/>
        </w:rPr>
      </w:pPr>
    </w:p>
    <w:p>
      <w:pPr>
        <w:pStyle w:val="14"/>
        <w:spacing w:after="0" w:line="400" w:lineRule="exact"/>
        <w:rPr>
          <w:rFonts w:ascii="宋体" w:hAnsi="宋体"/>
          <w:color w:val="auto"/>
          <w:sz w:val="21"/>
          <w:szCs w:val="21"/>
          <w:highlight w:val="none"/>
        </w:rPr>
      </w:pPr>
      <w:r>
        <w:rPr>
          <w:rFonts w:hint="eastAsia" w:ascii="宋体" w:hAnsi="宋体"/>
          <w:color w:val="auto"/>
          <w:sz w:val="21"/>
          <w:szCs w:val="21"/>
          <w:highlight w:val="none"/>
        </w:rPr>
        <w:t>注：</w:t>
      </w:r>
    </w:p>
    <w:p>
      <w:pPr>
        <w:pStyle w:val="15"/>
        <w:spacing w:line="400" w:lineRule="exact"/>
        <w:ind w:firstLine="0"/>
        <w:contextualSpacing/>
        <w:rPr>
          <w:rFonts w:hAnsi="仿宋_GB2312" w:cs="仿宋_GB2312"/>
          <w:color w:val="auto"/>
          <w:sz w:val="21"/>
          <w:szCs w:val="21"/>
          <w:highlight w:val="none"/>
        </w:rPr>
      </w:pPr>
      <w:r>
        <w:rPr>
          <w:rFonts w:hint="eastAsia" w:hAnsi="宋体"/>
          <w:color w:val="auto"/>
          <w:sz w:val="21"/>
          <w:szCs w:val="21"/>
          <w:highlight w:val="none"/>
        </w:rPr>
        <w:t>1.说明：应对照招标文件“第二章 采购需求”中的“技术要求”逐条作明确的投标响应，并作出偏离说明。</w:t>
      </w:r>
    </w:p>
    <w:p>
      <w:pPr>
        <w:pStyle w:val="14"/>
        <w:spacing w:after="0" w:line="400" w:lineRule="exact"/>
        <w:contextualSpacing/>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投标人应根据自身的承诺，对照招标文件要求，在“偏离说明”中注明“正偏离”、“负偏离”或者“无偏离”。既不属于“正偏离”也不属于“负偏离”即为“无偏离”。</w:t>
      </w:r>
    </w:p>
    <w:p>
      <w:pPr>
        <w:snapToGrid w:val="0"/>
        <w:spacing w:line="400" w:lineRule="exact"/>
        <w:rPr>
          <w:rFonts w:ascii="宋体" w:hAnsi="宋体"/>
          <w:color w:val="auto"/>
          <w:szCs w:val="21"/>
          <w:highlight w:val="none"/>
        </w:rPr>
      </w:pPr>
    </w:p>
    <w:p>
      <w:pPr>
        <w:snapToGrid w:val="0"/>
        <w:spacing w:line="400" w:lineRule="exact"/>
        <w:rPr>
          <w:rFonts w:ascii="宋体" w:hAnsi="宋体"/>
          <w:color w:val="auto"/>
          <w:szCs w:val="21"/>
          <w:highlight w:val="none"/>
        </w:rPr>
      </w:pPr>
    </w:p>
    <w:p>
      <w:pPr>
        <w:snapToGrid w:val="0"/>
        <w:spacing w:line="400" w:lineRule="exact"/>
        <w:rPr>
          <w:rFonts w:ascii="宋体" w:hAnsi="宋体"/>
          <w:color w:val="auto"/>
          <w:szCs w:val="21"/>
          <w:highlight w:val="none"/>
        </w:rPr>
      </w:pPr>
    </w:p>
    <w:p>
      <w:pPr>
        <w:snapToGrid w:val="0"/>
        <w:spacing w:line="400" w:lineRule="exact"/>
        <w:rPr>
          <w:rFonts w:ascii="宋体" w:hAnsi="宋体"/>
          <w:color w:val="auto"/>
          <w:spacing w:val="20"/>
          <w:szCs w:val="21"/>
          <w:highlight w:val="none"/>
          <w:u w:val="single"/>
        </w:rPr>
      </w:pPr>
      <w:r>
        <w:rPr>
          <w:rFonts w:hint="eastAsia" w:ascii="宋体" w:hAnsi="宋体"/>
          <w:color w:val="auto"/>
          <w:szCs w:val="21"/>
          <w:highlight w:val="none"/>
        </w:rPr>
        <w:t>法定代表人或者委托代理人</w:t>
      </w:r>
      <w:r>
        <w:rPr>
          <w:rFonts w:hint="eastAsia" w:ascii="宋体" w:hAnsi="宋体"/>
          <w:color w:val="auto"/>
          <w:spacing w:val="20"/>
          <w:szCs w:val="21"/>
          <w:highlight w:val="none"/>
        </w:rPr>
        <w:t>（签字）：</w:t>
      </w:r>
      <w:r>
        <w:rPr>
          <w:rFonts w:hint="eastAsia" w:ascii="宋体" w:hAnsi="宋体"/>
          <w:color w:val="auto"/>
          <w:spacing w:val="20"/>
          <w:szCs w:val="21"/>
          <w:highlight w:val="none"/>
          <w:u w:val="single"/>
        </w:rPr>
        <w:t xml:space="preserve">        </w:t>
      </w:r>
    </w:p>
    <w:p>
      <w:pPr>
        <w:snapToGrid w:val="0"/>
        <w:spacing w:line="400" w:lineRule="exact"/>
        <w:rPr>
          <w:rFonts w:ascii="宋体" w:hAnsi="宋体"/>
          <w:color w:val="auto"/>
          <w:spacing w:val="20"/>
          <w:sz w:val="24"/>
          <w:highlight w:val="none"/>
          <w:u w:val="single"/>
        </w:rPr>
      </w:pPr>
      <w:r>
        <w:rPr>
          <w:rFonts w:hint="eastAsia" w:ascii="宋体" w:hAnsi="宋体"/>
          <w:color w:val="auto"/>
          <w:spacing w:val="20"/>
          <w:szCs w:val="21"/>
          <w:highlight w:val="none"/>
        </w:rPr>
        <w:t>投标人（盖公章）：</w:t>
      </w:r>
      <w:r>
        <w:rPr>
          <w:rFonts w:hint="eastAsia" w:ascii="宋体" w:hAnsi="宋体"/>
          <w:color w:val="auto"/>
          <w:spacing w:val="20"/>
          <w:szCs w:val="21"/>
          <w:highlight w:val="none"/>
          <w:u w:val="single"/>
        </w:rPr>
        <w:t xml:space="preserve">            </w:t>
      </w:r>
      <w:r>
        <w:rPr>
          <w:rFonts w:hint="eastAsia" w:ascii="宋体" w:hAnsi="宋体"/>
          <w:color w:val="auto"/>
          <w:spacing w:val="20"/>
          <w:szCs w:val="21"/>
          <w:highlight w:val="none"/>
        </w:rPr>
        <w:t xml:space="preserve">              日 期：</w:t>
      </w:r>
      <w:r>
        <w:rPr>
          <w:rFonts w:hint="eastAsia" w:ascii="宋体" w:hAnsi="宋体"/>
          <w:color w:val="auto"/>
          <w:spacing w:val="20"/>
          <w:szCs w:val="21"/>
          <w:highlight w:val="none"/>
          <w:u w:val="single"/>
        </w:rPr>
        <w:t xml:space="preserve">       </w:t>
      </w:r>
      <w:r>
        <w:rPr>
          <w:rFonts w:hint="eastAsia" w:ascii="宋体" w:hAnsi="宋体"/>
          <w:color w:val="auto"/>
          <w:spacing w:val="20"/>
          <w:sz w:val="24"/>
          <w:highlight w:val="none"/>
          <w:u w:val="single"/>
        </w:rPr>
        <w:t xml:space="preserve"> </w:t>
      </w:r>
    </w:p>
    <w:p>
      <w:pPr>
        <w:snapToGrid w:val="0"/>
        <w:spacing w:before="50" w:after="50" w:line="360" w:lineRule="auto"/>
        <w:rPr>
          <w:rFonts w:ascii="宋体" w:hAnsi="宋体"/>
          <w:color w:val="auto"/>
          <w:sz w:val="24"/>
          <w:szCs w:val="20"/>
          <w:highlight w:val="none"/>
        </w:rPr>
      </w:pPr>
    </w:p>
    <w:p>
      <w:pPr>
        <w:snapToGrid w:val="0"/>
        <w:spacing w:before="165"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4. 项目实施人员一览表格式</w:t>
      </w:r>
    </w:p>
    <w:p>
      <w:pPr>
        <w:snapToGrid w:val="0"/>
        <w:spacing w:before="165" w:beforeLines="50" w:after="50"/>
        <w:ind w:left="142"/>
        <w:jc w:val="left"/>
        <w:rPr>
          <w:rFonts w:ascii="宋体" w:hAnsi="宋体"/>
          <w:b/>
          <w:color w:val="auto"/>
          <w:sz w:val="24"/>
          <w:highlight w:val="none"/>
        </w:rPr>
      </w:pPr>
    </w:p>
    <w:p>
      <w:pPr>
        <w:snapToGrid w:val="0"/>
        <w:spacing w:before="165"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项目实施人员一览表</w:t>
      </w:r>
    </w:p>
    <w:p>
      <w:pPr>
        <w:pStyle w:val="18"/>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65" w:afterLines="50"/>
              <w:jc w:val="center"/>
              <w:rPr>
                <w:rFonts w:ascii="宋体" w:hAnsi="宋体"/>
                <w:color w:val="auto"/>
                <w:sz w:val="24"/>
                <w:szCs w:val="20"/>
                <w:highlight w:val="none"/>
              </w:rPr>
            </w:pPr>
            <w:r>
              <w:rPr>
                <w:rFonts w:hint="eastAsia" w:ascii="宋体" w:hAnsi="宋体"/>
                <w:color w:val="auto"/>
                <w:sz w:val="24"/>
                <w:szCs w:val="20"/>
                <w:highlight w:val="none"/>
              </w:rPr>
              <w:t>姓名</w:t>
            </w:r>
          </w:p>
        </w:tc>
        <w:tc>
          <w:tcPr>
            <w:tcW w:w="709" w:type="dxa"/>
            <w:vAlign w:val="center"/>
          </w:tcPr>
          <w:p>
            <w:pPr>
              <w:snapToGrid w:val="0"/>
              <w:spacing w:before="50" w:after="165" w:afterLines="50"/>
              <w:jc w:val="center"/>
              <w:rPr>
                <w:rFonts w:ascii="宋体" w:hAnsi="宋体"/>
                <w:color w:val="auto"/>
                <w:sz w:val="24"/>
                <w:szCs w:val="20"/>
                <w:highlight w:val="none"/>
              </w:rPr>
            </w:pPr>
            <w:r>
              <w:rPr>
                <w:rFonts w:hint="eastAsia" w:ascii="宋体" w:hAnsi="宋体"/>
                <w:color w:val="auto"/>
                <w:sz w:val="24"/>
                <w:szCs w:val="20"/>
                <w:highlight w:val="none"/>
              </w:rPr>
              <w:t>职务</w:t>
            </w:r>
          </w:p>
        </w:tc>
        <w:tc>
          <w:tcPr>
            <w:tcW w:w="1701" w:type="dxa"/>
            <w:vAlign w:val="center"/>
          </w:tcPr>
          <w:p>
            <w:pPr>
              <w:snapToGrid w:val="0"/>
              <w:spacing w:before="50" w:after="165" w:afterLines="50"/>
              <w:jc w:val="center"/>
              <w:rPr>
                <w:rFonts w:ascii="宋体" w:hAnsi="宋体"/>
                <w:color w:val="auto"/>
                <w:sz w:val="24"/>
                <w:szCs w:val="20"/>
                <w:highlight w:val="none"/>
              </w:rPr>
            </w:pPr>
            <w:r>
              <w:rPr>
                <w:rFonts w:hint="eastAsia" w:ascii="宋体" w:hAnsi="宋体"/>
                <w:color w:val="auto"/>
                <w:sz w:val="24"/>
                <w:szCs w:val="20"/>
                <w:highlight w:val="none"/>
              </w:rPr>
              <w:t>专业技术资格（职称）或者职业资格或者执业资格证或者其他证书</w:t>
            </w:r>
          </w:p>
        </w:tc>
        <w:tc>
          <w:tcPr>
            <w:tcW w:w="1420" w:type="dxa"/>
            <w:vAlign w:val="center"/>
          </w:tcPr>
          <w:p>
            <w:pPr>
              <w:snapToGrid w:val="0"/>
              <w:spacing w:before="50" w:after="165" w:afterLines="50"/>
              <w:jc w:val="center"/>
              <w:rPr>
                <w:rFonts w:ascii="宋体" w:hAnsi="宋体"/>
                <w:color w:val="auto"/>
                <w:sz w:val="24"/>
                <w:szCs w:val="20"/>
                <w:highlight w:val="none"/>
              </w:rPr>
            </w:pPr>
            <w:r>
              <w:rPr>
                <w:rFonts w:hint="eastAsia" w:ascii="宋体" w:hAnsi="宋体"/>
                <w:color w:val="auto"/>
                <w:sz w:val="24"/>
                <w:szCs w:val="20"/>
                <w:highlight w:val="none"/>
              </w:rPr>
              <w:t>证书编号</w:t>
            </w:r>
          </w:p>
        </w:tc>
        <w:tc>
          <w:tcPr>
            <w:tcW w:w="1698" w:type="dxa"/>
            <w:vAlign w:val="center"/>
          </w:tcPr>
          <w:p>
            <w:pPr>
              <w:snapToGrid w:val="0"/>
              <w:spacing w:before="50" w:after="165" w:afterLines="50"/>
              <w:jc w:val="center"/>
              <w:rPr>
                <w:rFonts w:ascii="宋体" w:hAnsi="宋体"/>
                <w:color w:val="auto"/>
                <w:sz w:val="24"/>
                <w:szCs w:val="20"/>
                <w:highlight w:val="none"/>
              </w:rPr>
            </w:pPr>
            <w:r>
              <w:rPr>
                <w:rFonts w:hint="eastAsia" w:ascii="宋体" w:hAnsi="宋体"/>
                <w:color w:val="auto"/>
                <w:sz w:val="24"/>
                <w:szCs w:val="20"/>
                <w:highlight w:val="none"/>
              </w:rPr>
              <w:t>参加本单位</w:t>
            </w:r>
          </w:p>
          <w:p>
            <w:pPr>
              <w:snapToGrid w:val="0"/>
              <w:spacing w:before="50" w:after="165" w:afterLines="50"/>
              <w:jc w:val="center"/>
              <w:rPr>
                <w:rFonts w:ascii="宋体" w:hAnsi="宋体"/>
                <w:color w:val="auto"/>
                <w:sz w:val="24"/>
                <w:szCs w:val="20"/>
                <w:highlight w:val="none"/>
              </w:rPr>
            </w:pPr>
            <w:r>
              <w:rPr>
                <w:rFonts w:hint="eastAsia" w:ascii="宋体" w:hAnsi="宋体"/>
                <w:color w:val="auto"/>
                <w:sz w:val="24"/>
                <w:szCs w:val="20"/>
                <w:highlight w:val="none"/>
              </w:rPr>
              <w:t>工作时间</w:t>
            </w:r>
          </w:p>
        </w:tc>
        <w:tc>
          <w:tcPr>
            <w:tcW w:w="1843" w:type="dxa"/>
            <w:vAlign w:val="center"/>
          </w:tcPr>
          <w:p>
            <w:pPr>
              <w:snapToGrid w:val="0"/>
              <w:spacing w:before="50" w:after="165" w:afterLines="50"/>
              <w:jc w:val="center"/>
              <w:rPr>
                <w:rFonts w:ascii="宋体" w:hAnsi="宋体"/>
                <w:color w:val="auto"/>
                <w:sz w:val="24"/>
                <w:szCs w:val="20"/>
                <w:highlight w:val="none"/>
              </w:rPr>
            </w:pPr>
            <w:r>
              <w:rPr>
                <w:rFonts w:hint="eastAsia" w:ascii="宋体" w:hAnsi="宋体"/>
                <w:color w:val="auto"/>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65" w:afterLines="50"/>
              <w:jc w:val="center"/>
              <w:rPr>
                <w:rFonts w:ascii="宋体" w:hAnsi="宋体"/>
                <w:color w:val="auto"/>
                <w:sz w:val="24"/>
                <w:szCs w:val="20"/>
                <w:highlight w:val="none"/>
              </w:rPr>
            </w:pPr>
          </w:p>
        </w:tc>
        <w:tc>
          <w:tcPr>
            <w:tcW w:w="709" w:type="dxa"/>
            <w:vAlign w:val="center"/>
          </w:tcPr>
          <w:p>
            <w:pPr>
              <w:snapToGrid w:val="0"/>
              <w:spacing w:before="50" w:after="165" w:afterLines="50"/>
              <w:jc w:val="center"/>
              <w:rPr>
                <w:rFonts w:ascii="宋体" w:hAnsi="宋体"/>
                <w:color w:val="auto"/>
                <w:sz w:val="24"/>
                <w:szCs w:val="20"/>
                <w:highlight w:val="none"/>
              </w:rPr>
            </w:pPr>
          </w:p>
        </w:tc>
        <w:tc>
          <w:tcPr>
            <w:tcW w:w="1701" w:type="dxa"/>
            <w:vAlign w:val="center"/>
          </w:tcPr>
          <w:p>
            <w:pPr>
              <w:snapToGrid w:val="0"/>
              <w:spacing w:before="50" w:after="165" w:afterLines="50"/>
              <w:jc w:val="center"/>
              <w:rPr>
                <w:rFonts w:ascii="宋体" w:hAnsi="宋体"/>
                <w:color w:val="auto"/>
                <w:sz w:val="24"/>
                <w:szCs w:val="20"/>
                <w:highlight w:val="none"/>
              </w:rPr>
            </w:pPr>
          </w:p>
        </w:tc>
        <w:tc>
          <w:tcPr>
            <w:tcW w:w="1420" w:type="dxa"/>
            <w:vAlign w:val="center"/>
          </w:tcPr>
          <w:p>
            <w:pPr>
              <w:snapToGrid w:val="0"/>
              <w:spacing w:before="50" w:after="165" w:afterLines="50"/>
              <w:jc w:val="center"/>
              <w:rPr>
                <w:rFonts w:ascii="宋体" w:hAnsi="宋体"/>
                <w:color w:val="auto"/>
                <w:sz w:val="24"/>
                <w:szCs w:val="20"/>
                <w:highlight w:val="none"/>
              </w:rPr>
            </w:pPr>
          </w:p>
        </w:tc>
        <w:tc>
          <w:tcPr>
            <w:tcW w:w="1698" w:type="dxa"/>
            <w:vAlign w:val="center"/>
          </w:tcPr>
          <w:p>
            <w:pPr>
              <w:snapToGrid w:val="0"/>
              <w:spacing w:before="50" w:after="165" w:afterLines="50"/>
              <w:jc w:val="center"/>
              <w:rPr>
                <w:rFonts w:ascii="宋体" w:hAnsi="宋体"/>
                <w:color w:val="auto"/>
                <w:sz w:val="24"/>
                <w:szCs w:val="20"/>
                <w:highlight w:val="none"/>
              </w:rPr>
            </w:pPr>
          </w:p>
        </w:tc>
        <w:tc>
          <w:tcPr>
            <w:tcW w:w="1843" w:type="dxa"/>
            <w:vAlign w:val="center"/>
          </w:tcPr>
          <w:p>
            <w:pPr>
              <w:snapToGrid w:val="0"/>
              <w:spacing w:before="50" w:after="165" w:afterLines="50"/>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65" w:afterLines="50"/>
              <w:jc w:val="center"/>
              <w:rPr>
                <w:rFonts w:ascii="宋体" w:hAnsi="宋体"/>
                <w:color w:val="auto"/>
                <w:sz w:val="24"/>
                <w:szCs w:val="20"/>
                <w:highlight w:val="none"/>
              </w:rPr>
            </w:pPr>
          </w:p>
        </w:tc>
        <w:tc>
          <w:tcPr>
            <w:tcW w:w="709" w:type="dxa"/>
            <w:vAlign w:val="center"/>
          </w:tcPr>
          <w:p>
            <w:pPr>
              <w:snapToGrid w:val="0"/>
              <w:spacing w:before="50" w:after="165" w:afterLines="50"/>
              <w:jc w:val="center"/>
              <w:rPr>
                <w:rFonts w:ascii="宋体" w:hAnsi="宋体"/>
                <w:color w:val="auto"/>
                <w:sz w:val="24"/>
                <w:szCs w:val="20"/>
                <w:highlight w:val="none"/>
              </w:rPr>
            </w:pPr>
          </w:p>
        </w:tc>
        <w:tc>
          <w:tcPr>
            <w:tcW w:w="1701" w:type="dxa"/>
            <w:vAlign w:val="center"/>
          </w:tcPr>
          <w:p>
            <w:pPr>
              <w:snapToGrid w:val="0"/>
              <w:spacing w:before="50" w:after="165" w:afterLines="50"/>
              <w:jc w:val="center"/>
              <w:rPr>
                <w:rFonts w:ascii="宋体" w:hAnsi="宋体"/>
                <w:color w:val="auto"/>
                <w:sz w:val="24"/>
                <w:szCs w:val="20"/>
                <w:highlight w:val="none"/>
              </w:rPr>
            </w:pPr>
          </w:p>
        </w:tc>
        <w:tc>
          <w:tcPr>
            <w:tcW w:w="1420" w:type="dxa"/>
            <w:vAlign w:val="center"/>
          </w:tcPr>
          <w:p>
            <w:pPr>
              <w:snapToGrid w:val="0"/>
              <w:spacing w:before="50" w:after="165" w:afterLines="50"/>
              <w:jc w:val="center"/>
              <w:rPr>
                <w:rFonts w:ascii="宋体" w:hAnsi="宋体"/>
                <w:color w:val="auto"/>
                <w:sz w:val="24"/>
                <w:szCs w:val="20"/>
                <w:highlight w:val="none"/>
              </w:rPr>
            </w:pPr>
          </w:p>
        </w:tc>
        <w:tc>
          <w:tcPr>
            <w:tcW w:w="1698" w:type="dxa"/>
            <w:vAlign w:val="center"/>
          </w:tcPr>
          <w:p>
            <w:pPr>
              <w:snapToGrid w:val="0"/>
              <w:spacing w:before="50" w:after="165" w:afterLines="50"/>
              <w:jc w:val="center"/>
              <w:rPr>
                <w:rFonts w:ascii="宋体" w:hAnsi="宋体"/>
                <w:color w:val="auto"/>
                <w:sz w:val="24"/>
                <w:szCs w:val="20"/>
                <w:highlight w:val="none"/>
              </w:rPr>
            </w:pPr>
          </w:p>
        </w:tc>
        <w:tc>
          <w:tcPr>
            <w:tcW w:w="1843" w:type="dxa"/>
            <w:vAlign w:val="center"/>
          </w:tcPr>
          <w:p>
            <w:pPr>
              <w:snapToGrid w:val="0"/>
              <w:spacing w:before="50" w:after="165" w:afterLines="50"/>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65" w:afterLines="50"/>
              <w:jc w:val="center"/>
              <w:rPr>
                <w:rFonts w:ascii="宋体" w:hAnsi="宋体"/>
                <w:color w:val="auto"/>
                <w:sz w:val="24"/>
                <w:szCs w:val="20"/>
                <w:highlight w:val="none"/>
              </w:rPr>
            </w:pPr>
          </w:p>
        </w:tc>
        <w:tc>
          <w:tcPr>
            <w:tcW w:w="709" w:type="dxa"/>
            <w:vAlign w:val="center"/>
          </w:tcPr>
          <w:p>
            <w:pPr>
              <w:snapToGrid w:val="0"/>
              <w:spacing w:before="50" w:after="165" w:afterLines="50"/>
              <w:jc w:val="center"/>
              <w:rPr>
                <w:rFonts w:ascii="宋体" w:hAnsi="宋体"/>
                <w:color w:val="auto"/>
                <w:sz w:val="24"/>
                <w:szCs w:val="20"/>
                <w:highlight w:val="none"/>
              </w:rPr>
            </w:pPr>
          </w:p>
        </w:tc>
        <w:tc>
          <w:tcPr>
            <w:tcW w:w="1701" w:type="dxa"/>
            <w:vAlign w:val="center"/>
          </w:tcPr>
          <w:p>
            <w:pPr>
              <w:snapToGrid w:val="0"/>
              <w:spacing w:before="50" w:after="165" w:afterLines="50"/>
              <w:jc w:val="center"/>
              <w:rPr>
                <w:rFonts w:ascii="宋体" w:hAnsi="宋体"/>
                <w:color w:val="auto"/>
                <w:sz w:val="24"/>
                <w:szCs w:val="20"/>
                <w:highlight w:val="none"/>
              </w:rPr>
            </w:pPr>
          </w:p>
        </w:tc>
        <w:tc>
          <w:tcPr>
            <w:tcW w:w="1420" w:type="dxa"/>
            <w:vAlign w:val="center"/>
          </w:tcPr>
          <w:p>
            <w:pPr>
              <w:snapToGrid w:val="0"/>
              <w:spacing w:before="50" w:after="165" w:afterLines="50"/>
              <w:jc w:val="center"/>
              <w:rPr>
                <w:rFonts w:ascii="宋体" w:hAnsi="宋体"/>
                <w:color w:val="auto"/>
                <w:sz w:val="24"/>
                <w:szCs w:val="20"/>
                <w:highlight w:val="none"/>
              </w:rPr>
            </w:pPr>
          </w:p>
        </w:tc>
        <w:tc>
          <w:tcPr>
            <w:tcW w:w="1698" w:type="dxa"/>
            <w:vAlign w:val="center"/>
          </w:tcPr>
          <w:p>
            <w:pPr>
              <w:snapToGrid w:val="0"/>
              <w:spacing w:before="50" w:after="165" w:afterLines="50"/>
              <w:jc w:val="center"/>
              <w:rPr>
                <w:rFonts w:ascii="宋体" w:hAnsi="宋体"/>
                <w:color w:val="auto"/>
                <w:sz w:val="24"/>
                <w:szCs w:val="20"/>
                <w:highlight w:val="none"/>
              </w:rPr>
            </w:pPr>
          </w:p>
        </w:tc>
        <w:tc>
          <w:tcPr>
            <w:tcW w:w="1843" w:type="dxa"/>
            <w:vAlign w:val="center"/>
          </w:tcPr>
          <w:p>
            <w:pPr>
              <w:snapToGrid w:val="0"/>
              <w:spacing w:before="50" w:after="165" w:afterLines="50"/>
              <w:jc w:val="center"/>
              <w:rPr>
                <w:rFonts w:ascii="宋体" w:hAnsi="宋体"/>
                <w:color w:val="auto"/>
                <w:sz w:val="24"/>
                <w:szCs w:val="20"/>
                <w:highlight w:val="none"/>
              </w:rPr>
            </w:pPr>
          </w:p>
        </w:tc>
      </w:tr>
    </w:tbl>
    <w:p>
      <w:pPr>
        <w:snapToGrid w:val="0"/>
        <w:spacing w:before="50" w:after="165" w:afterLines="50"/>
        <w:jc w:val="left"/>
        <w:rPr>
          <w:rFonts w:ascii="宋体" w:hAnsi="宋体"/>
          <w:color w:val="auto"/>
          <w:sz w:val="24"/>
          <w:szCs w:val="20"/>
          <w:highlight w:val="none"/>
        </w:rPr>
      </w:pP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注：</w:t>
      </w: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1</w:t>
      </w:r>
      <w:r>
        <w:rPr>
          <w:rFonts w:ascii="宋体" w:hAnsi="宋体"/>
          <w:color w:val="auto"/>
          <w:sz w:val="24"/>
          <w:szCs w:val="20"/>
          <w:highlight w:val="none"/>
        </w:rPr>
        <w:t>.</w:t>
      </w:r>
      <w:r>
        <w:rPr>
          <w:rFonts w:hint="eastAsia" w:ascii="宋体" w:hAnsi="宋体"/>
          <w:color w:val="auto"/>
          <w:sz w:val="24"/>
          <w:szCs w:val="20"/>
          <w:highlight w:val="none"/>
        </w:rPr>
        <w:t>在填写时，如本表格不适合投标单位的实际情况，可根据本表格式自行制表填写。</w:t>
      </w:r>
    </w:p>
    <w:p>
      <w:pPr>
        <w:spacing w:line="360" w:lineRule="auto"/>
        <w:contextualSpacing/>
        <w:jc w:val="left"/>
        <w:rPr>
          <w:rFonts w:ascii="宋体" w:hAnsi="宋体"/>
          <w:color w:val="auto"/>
          <w:sz w:val="24"/>
          <w:szCs w:val="20"/>
          <w:highlight w:val="none"/>
        </w:rPr>
      </w:pPr>
      <w:r>
        <w:rPr>
          <w:rFonts w:ascii="宋体" w:hAnsi="宋体"/>
          <w:color w:val="auto"/>
          <w:sz w:val="24"/>
          <w:szCs w:val="20"/>
          <w:highlight w:val="none"/>
        </w:rPr>
        <w:t>2.</w:t>
      </w:r>
      <w:r>
        <w:rPr>
          <w:rFonts w:hint="eastAsia" w:ascii="宋体" w:hAnsi="宋体"/>
          <w:color w:val="auto"/>
          <w:sz w:val="24"/>
          <w:szCs w:val="20"/>
          <w:highlight w:val="none"/>
        </w:rPr>
        <w:t>投标人应当附本表所列证书的复印件并加盖投标人公章。</w:t>
      </w:r>
    </w:p>
    <w:p>
      <w:pPr>
        <w:spacing w:line="360" w:lineRule="auto"/>
        <w:contextualSpacing/>
        <w:rPr>
          <w:rFonts w:ascii="宋体" w:hAnsi="宋体"/>
          <w:color w:val="auto"/>
          <w:spacing w:val="20"/>
          <w:sz w:val="24"/>
          <w:szCs w:val="20"/>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jc w:val="left"/>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65" w:afterLines="50"/>
        <w:jc w:val="left"/>
        <w:rPr>
          <w:rFonts w:ascii="宋体" w:hAnsi="宋体"/>
          <w:color w:val="auto"/>
          <w:sz w:val="24"/>
          <w:szCs w:val="20"/>
          <w:highlight w:val="none"/>
        </w:rPr>
      </w:pPr>
    </w:p>
    <w:p>
      <w:pPr>
        <w:snapToGrid w:val="0"/>
        <w:spacing w:before="165" w:beforeLines="50" w:after="50"/>
        <w:ind w:left="142"/>
        <w:jc w:val="left"/>
        <w:rPr>
          <w:b/>
          <w:color w:val="auto"/>
          <w:sz w:val="28"/>
          <w:szCs w:val="28"/>
          <w:highlight w:val="none"/>
        </w:rPr>
      </w:pPr>
      <w:r>
        <w:rPr>
          <w:rFonts w:ascii="宋体" w:hAnsi="宋体"/>
          <w:b/>
          <w:color w:val="auto"/>
          <w:sz w:val="24"/>
          <w:highlight w:val="none"/>
        </w:rPr>
        <w:br w:type="page"/>
      </w:r>
      <w:r>
        <w:rPr>
          <w:rFonts w:hint="eastAsia"/>
          <w:b/>
          <w:color w:val="auto"/>
          <w:sz w:val="28"/>
          <w:szCs w:val="28"/>
          <w:highlight w:val="none"/>
        </w:rPr>
        <w:t>五、其他文书、文件格式</w:t>
      </w:r>
    </w:p>
    <w:p>
      <w:pPr>
        <w:snapToGrid w:val="0"/>
        <w:spacing w:before="165" w:beforeLines="50" w:after="50"/>
        <w:jc w:val="left"/>
        <w:rPr>
          <w:rFonts w:ascii="宋体" w:hAnsi="宋体"/>
          <w:b/>
          <w:color w:val="auto"/>
          <w:sz w:val="24"/>
          <w:highlight w:val="none"/>
        </w:rPr>
      </w:pPr>
    </w:p>
    <w:p>
      <w:pPr>
        <w:snapToGrid w:val="0"/>
        <w:spacing w:before="165" w:beforeLines="50" w:after="50"/>
        <w:jc w:val="left"/>
        <w:rPr>
          <w:color w:val="auto"/>
          <w:highlight w:val="none"/>
        </w:rPr>
      </w:pPr>
      <w:r>
        <w:rPr>
          <w:rFonts w:hint="eastAsia" w:ascii="宋体" w:hAnsi="宋体"/>
          <w:b/>
          <w:color w:val="auto"/>
          <w:sz w:val="24"/>
          <w:highlight w:val="none"/>
        </w:rPr>
        <w:t xml:space="preserve"> 1.中小企业声明函格式</w:t>
      </w:r>
    </w:p>
    <w:p>
      <w:pPr>
        <w:rPr>
          <w:color w:val="auto"/>
          <w:highlight w:val="none"/>
        </w:rPr>
      </w:pP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中小企业声明函（服务）</w:t>
      </w:r>
    </w:p>
    <w:p>
      <w:pPr>
        <w:spacing w:before="2" w:line="500" w:lineRule="exact"/>
        <w:rPr>
          <w:rFonts w:ascii="宋体" w:hAnsi="宋体" w:cs="宋体"/>
          <w:b/>
          <w:bCs/>
          <w:color w:val="auto"/>
          <w:sz w:val="27"/>
          <w:szCs w:val="27"/>
          <w:highlight w:val="none"/>
        </w:rPr>
      </w:pPr>
    </w:p>
    <w:p>
      <w:pPr>
        <w:pStyle w:val="2"/>
        <w:spacing w:line="360" w:lineRule="auto"/>
        <w:ind w:left="-426" w:leftChars="-203" w:right="142" w:firstLine="420" w:firstLineChars="200"/>
        <w:contextualSpacing/>
        <w:rPr>
          <w:rFonts w:ascii="宋体" w:hAnsi="宋体"/>
          <w:color w:val="auto"/>
          <w:kern w:val="24"/>
          <w:highlight w:val="none"/>
        </w:rPr>
      </w:pPr>
      <w:r>
        <w:rPr>
          <w:rFonts w:ascii="宋体" w:hAnsi="宋体"/>
          <w:color w:val="auto"/>
          <w:highlight w:val="none"/>
        </w:rPr>
        <w:t>本公司（联合体）郑重声明，根据《政府采购促进中小企业发展管理办法》（财库﹝2020﹞46号）的规定，本公司（联合体）参加</w:t>
      </w:r>
      <w:r>
        <w:rPr>
          <w:rFonts w:ascii="宋体" w:hAnsi="宋体"/>
          <w:color w:val="auto"/>
          <w:highlight w:val="none"/>
          <w:u w:val="single"/>
        </w:rPr>
        <w:t>（单位名称）</w:t>
      </w:r>
      <w:r>
        <w:rPr>
          <w:rFonts w:ascii="宋体" w:hAnsi="宋体"/>
          <w:color w:val="auto"/>
          <w:highlight w:val="none"/>
        </w:rPr>
        <w:t>的</w:t>
      </w:r>
      <w:r>
        <w:rPr>
          <w:rFonts w:ascii="宋体" w:hAnsi="宋体"/>
          <w:color w:val="auto"/>
          <w:highlight w:val="none"/>
          <w:u w:val="single"/>
        </w:rPr>
        <w:t>（项目名称）</w:t>
      </w:r>
      <w:r>
        <w:rPr>
          <w:rFonts w:ascii="宋体" w:hAnsi="宋体"/>
          <w:color w:val="auto"/>
          <w:highlight w:val="none"/>
        </w:rPr>
        <w:t>采购活动，</w:t>
      </w:r>
      <w:r>
        <w:rPr>
          <w:rFonts w:hint="eastAsia" w:ascii="宋体" w:hAnsi="宋体"/>
          <w:color w:val="auto"/>
          <w:highlight w:val="none"/>
        </w:rPr>
        <w:t>服务全部由符合政策要求的中小企业承接。相关企业（含联合体中的中小企业、签订分包意向协议的中小企业）的具体情况如下：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1.</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w:t>
      </w:r>
      <w:r>
        <w:rPr>
          <w:rFonts w:hint="eastAsia" w:ascii="宋体" w:hAnsi="宋体"/>
          <w:color w:val="auto"/>
          <w:kern w:val="24"/>
          <w:sz w:val="24"/>
          <w:highlight w:val="none"/>
        </w:rPr>
        <w:t>承接企业</w:t>
      </w:r>
      <w:r>
        <w:rPr>
          <w:rFonts w:ascii="宋体" w:hAnsi="宋体"/>
          <w:color w:val="auto"/>
          <w:kern w:val="24"/>
          <w:sz w:val="24"/>
          <w:highlight w:val="none"/>
        </w:rPr>
        <w:t>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tabs>
          <w:tab w:val="left" w:pos="1065"/>
          <w:tab w:val="left" w:pos="6477"/>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2.</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w:t>
      </w:r>
      <w:r>
        <w:rPr>
          <w:rFonts w:hint="eastAsia" w:ascii="宋体" w:hAnsi="宋体"/>
          <w:color w:val="auto"/>
          <w:kern w:val="24"/>
          <w:sz w:val="24"/>
          <w:highlight w:val="none"/>
        </w:rPr>
        <w:t>承接企业</w:t>
      </w:r>
      <w:r>
        <w:rPr>
          <w:rFonts w:ascii="宋体" w:hAnsi="宋体"/>
          <w:color w:val="auto"/>
          <w:kern w:val="24"/>
          <w:sz w:val="24"/>
          <w:highlight w:val="none"/>
        </w:rPr>
        <w:t>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pStyle w:val="2"/>
        <w:spacing w:line="360" w:lineRule="auto"/>
        <w:ind w:left="142" w:right="142"/>
        <w:contextualSpacing/>
        <w:rPr>
          <w:rFonts w:ascii="宋体" w:hAnsi="宋体"/>
          <w:color w:val="auto"/>
          <w:kern w:val="24"/>
          <w:highlight w:val="none"/>
        </w:rPr>
      </w:pPr>
      <w:r>
        <w:rPr>
          <w:rFonts w:ascii="宋体" w:hAnsi="宋体"/>
          <w:color w:val="auto"/>
          <w:kern w:val="24"/>
          <w:highlight w:val="none"/>
        </w:rPr>
        <w:t xml:space="preserve">…… </w:t>
      </w:r>
    </w:p>
    <w:p>
      <w:pPr>
        <w:pStyle w:val="2"/>
        <w:spacing w:line="360" w:lineRule="auto"/>
        <w:ind w:left="-405" w:leftChars="-193" w:right="142" w:firstLine="396" w:firstLineChars="189"/>
        <w:contextualSpacing/>
        <w:rPr>
          <w:rFonts w:ascii="宋体" w:hAnsi="宋体"/>
          <w:color w:val="auto"/>
          <w:kern w:val="24"/>
          <w:highlight w:val="none"/>
        </w:rPr>
      </w:pPr>
      <w:r>
        <w:rPr>
          <w:rFonts w:ascii="宋体" w:hAnsi="宋体"/>
          <w:color w:val="auto"/>
          <w:kern w:val="24"/>
          <w:highlight w:val="none"/>
        </w:rPr>
        <w:t>以上企业，不属于大企业的分支机构，不存在控股股东为大企业的情形，也不存在与大企业的负责人为同一人的情形。</w:t>
      </w:r>
    </w:p>
    <w:p>
      <w:pPr>
        <w:pStyle w:val="2"/>
        <w:spacing w:line="360" w:lineRule="auto"/>
        <w:ind w:left="-426" w:right="142" w:firstLine="567"/>
        <w:contextualSpacing/>
        <w:rPr>
          <w:rFonts w:ascii="宋体" w:hAnsi="宋体"/>
          <w:color w:val="auto"/>
          <w:kern w:val="24"/>
          <w:highlight w:val="none"/>
        </w:rPr>
      </w:pPr>
      <w:r>
        <w:rPr>
          <w:rFonts w:ascii="宋体" w:hAnsi="宋体"/>
          <w:color w:val="auto"/>
          <w:kern w:val="24"/>
          <w:highlight w:val="none"/>
        </w:rPr>
        <w:t>本企业对上述声明内容的真实性负责。如有虚假，将依法承担相应责任。</w:t>
      </w:r>
    </w:p>
    <w:p>
      <w:pPr>
        <w:pStyle w:val="2"/>
        <w:spacing w:line="360" w:lineRule="auto"/>
        <w:ind w:left="3960" w:right="1808"/>
        <w:contextualSpacing/>
        <w:rPr>
          <w:rFonts w:ascii="宋体" w:hAnsi="宋体"/>
          <w:color w:val="auto"/>
          <w:kern w:val="24"/>
          <w:highlight w:val="none"/>
        </w:rPr>
      </w:pPr>
    </w:p>
    <w:p>
      <w:pPr>
        <w:pStyle w:val="2"/>
        <w:spacing w:line="360" w:lineRule="auto"/>
        <w:ind w:left="3960" w:right="1808"/>
        <w:contextualSpacing/>
        <w:rPr>
          <w:rFonts w:ascii="宋体" w:hAnsi="宋体"/>
          <w:color w:val="auto"/>
          <w:kern w:val="24"/>
          <w:highlight w:val="none"/>
        </w:rPr>
      </w:pPr>
      <w:r>
        <w:rPr>
          <w:rFonts w:ascii="宋体" w:hAnsi="宋体"/>
          <w:color w:val="auto"/>
          <w:kern w:val="24"/>
          <w:highlight w:val="none"/>
        </w:rPr>
        <w:t xml:space="preserve">企业名称（章）： </w:t>
      </w:r>
    </w:p>
    <w:p>
      <w:pPr>
        <w:pStyle w:val="2"/>
        <w:spacing w:line="360" w:lineRule="auto"/>
        <w:ind w:left="3960" w:right="1808"/>
        <w:contextualSpacing/>
        <w:rPr>
          <w:rFonts w:ascii="宋体" w:hAnsi="宋体"/>
          <w:color w:val="auto"/>
          <w:kern w:val="24"/>
          <w:highlight w:val="none"/>
        </w:rPr>
      </w:pPr>
      <w:r>
        <w:rPr>
          <w:rFonts w:ascii="宋体" w:hAnsi="宋体"/>
          <w:color w:val="auto"/>
          <w:kern w:val="24"/>
          <w:highlight w:val="none"/>
        </w:rPr>
        <w:t>日</w:t>
      </w:r>
      <w:r>
        <w:rPr>
          <w:rFonts w:hint="eastAsia" w:ascii="宋体" w:hAnsi="宋体"/>
          <w:color w:val="auto"/>
          <w:kern w:val="24"/>
          <w:highlight w:val="none"/>
        </w:rPr>
        <w:t xml:space="preserve"> </w:t>
      </w:r>
      <w:r>
        <w:rPr>
          <w:rFonts w:ascii="宋体" w:hAnsi="宋体"/>
          <w:color w:val="auto"/>
          <w:kern w:val="24"/>
          <w:highlight w:val="none"/>
        </w:rPr>
        <w:t>期：</w:t>
      </w:r>
    </w:p>
    <w:p>
      <w:pPr>
        <w:pStyle w:val="2"/>
        <w:spacing w:line="360" w:lineRule="auto"/>
        <w:ind w:left="3960" w:right="1808"/>
        <w:contextualSpacing/>
        <w:rPr>
          <w:rFonts w:ascii="宋体" w:hAnsi="宋体"/>
          <w:color w:val="auto"/>
          <w:kern w:val="24"/>
          <w:highlight w:val="none"/>
        </w:rPr>
      </w:pPr>
    </w:p>
    <w:p>
      <w:pPr>
        <w:pStyle w:val="2"/>
        <w:spacing w:line="360" w:lineRule="auto"/>
        <w:ind w:left="3960" w:right="1808"/>
        <w:contextualSpacing/>
        <w:rPr>
          <w:rFonts w:ascii="宋体" w:hAnsi="宋体"/>
          <w:color w:val="auto"/>
          <w:kern w:val="24"/>
          <w:highlight w:val="none"/>
        </w:rPr>
      </w:pPr>
    </w:p>
    <w:p>
      <w:pPr>
        <w:pStyle w:val="2"/>
        <w:spacing w:line="360" w:lineRule="auto"/>
        <w:ind w:left="-426" w:right="142" w:firstLine="567"/>
        <w:contextualSpacing/>
        <w:rPr>
          <w:rFonts w:ascii="宋体" w:hAnsi="宋体"/>
          <w:color w:val="auto"/>
          <w:kern w:val="24"/>
          <w:highlight w:val="none"/>
        </w:rPr>
      </w:pPr>
      <w:r>
        <w:rPr>
          <w:rFonts w:hint="eastAsia" w:ascii="宋体" w:hAnsi="宋体"/>
          <w:color w:val="auto"/>
          <w:kern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65" w:beforeLines="50" w:after="50"/>
        <w:ind w:left="142"/>
        <w:jc w:val="left"/>
        <w:rPr>
          <w:rFonts w:ascii="宋体" w:hAnsi="宋体"/>
          <w:b/>
          <w:color w:val="auto"/>
          <w:sz w:val="24"/>
          <w:highlight w:val="none"/>
        </w:rPr>
      </w:pPr>
    </w:p>
    <w:p>
      <w:pPr>
        <w:pStyle w:val="18"/>
        <w:jc w:val="left"/>
        <w:rPr>
          <w:rFonts w:ascii="Arial Unicode MS" w:hAnsi="Arial Unicode MS" w:eastAsia="Arial Unicode MS" w:cs="Arial Unicode MS"/>
          <w:color w:val="auto"/>
          <w:sz w:val="32"/>
          <w:szCs w:val="32"/>
          <w:highlight w:val="none"/>
        </w:rPr>
      </w:pPr>
      <w:r>
        <w:rPr>
          <w:rFonts w:ascii="Arial Unicode MS" w:hAnsi="Arial Unicode MS" w:eastAsia="Arial Unicode MS" w:cs="Arial Unicode MS"/>
          <w:color w:val="auto"/>
          <w:sz w:val="32"/>
          <w:szCs w:val="32"/>
          <w:highlight w:val="none"/>
        </w:rPr>
        <w:br w:type="page"/>
      </w:r>
      <w:r>
        <w:rPr>
          <w:rFonts w:hint="eastAsia" w:ascii="Arial Unicode MS" w:hAnsi="Arial Unicode MS" w:eastAsia="Arial Unicode MS" w:cs="Arial Unicode MS"/>
          <w:color w:val="auto"/>
          <w:sz w:val="32"/>
          <w:szCs w:val="32"/>
          <w:highlight w:val="none"/>
        </w:rPr>
        <w:t>附：</w:t>
      </w:r>
    </w:p>
    <w:p>
      <w:pPr>
        <w:jc w:val="center"/>
        <w:rPr>
          <w:rFonts w:ascii="宋体" w:hAnsi="宋体" w:cs="Arial Unicode MS"/>
          <w:color w:val="auto"/>
          <w:sz w:val="44"/>
          <w:szCs w:val="44"/>
          <w:highlight w:val="none"/>
        </w:rPr>
      </w:pPr>
      <w:r>
        <w:rPr>
          <w:rFonts w:hint="eastAsia" w:ascii="宋体" w:hAnsi="宋体" w:cs="Arial Unicode MS"/>
          <w:color w:val="auto"/>
          <w:sz w:val="44"/>
          <w:szCs w:val="44"/>
          <w:highlight w:val="none"/>
        </w:rPr>
        <w:t>中小微企业划型标准</w:t>
      </w:r>
    </w:p>
    <w:p>
      <w:pPr>
        <w:ind w:left="1871"/>
        <w:rPr>
          <w:rFonts w:ascii="宋体" w:hAnsi="宋体" w:cs="Arial Unicode MS"/>
          <w:color w:val="auto"/>
          <w:szCs w:val="21"/>
          <w:highlight w:val="none"/>
        </w:rPr>
      </w:pPr>
    </w:p>
    <w:tbl>
      <w:tblPr>
        <w:tblStyle w:val="34"/>
        <w:tblW w:w="0" w:type="auto"/>
        <w:tblInd w:w="25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行业名称</w:t>
            </w:r>
          </w:p>
        </w:tc>
        <w:tc>
          <w:tcPr>
            <w:tcW w:w="1384"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指标名称</w:t>
            </w:r>
          </w:p>
        </w:tc>
        <w:tc>
          <w:tcPr>
            <w:tcW w:w="913"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计量单位</w:t>
            </w:r>
          </w:p>
        </w:tc>
        <w:tc>
          <w:tcPr>
            <w:tcW w:w="162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中型</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小型</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农、林、牧、渔</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工业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建筑业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6000≤Y＜80000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300≤Y＜6000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300≤Z＜5000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批发业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5≤X＜20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零售业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10≤X＜50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交通运输业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200≤Y＜3000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仓储业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邮政业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住宿业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餐饮业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信息传输业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软件和信息技术服务业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房地产开发经营</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1000≤Y＜200000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物业管理</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租赁和商务服务业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8000≤Z＜120000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100≤Z＜8000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其他未列明行业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bl>
    <w:p>
      <w:pPr>
        <w:ind w:firstLine="525" w:firstLineChars="250"/>
        <w:rPr>
          <w:rFonts w:ascii="宋体" w:hAnsi="宋体"/>
          <w:b/>
          <w:color w:val="auto"/>
          <w:sz w:val="24"/>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snapToGrid w:val="0"/>
        <w:spacing w:before="165"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2.残疾人福利性单位声明函格式</w:t>
      </w:r>
    </w:p>
    <w:p>
      <w:pPr>
        <w:spacing w:line="588" w:lineRule="exact"/>
        <w:jc w:val="center"/>
        <w:rPr>
          <w:rFonts w:ascii="仿宋_GB2312" w:eastAsia="仿宋_GB2312"/>
          <w:b/>
          <w:color w:val="auto"/>
          <w:spacing w:val="6"/>
          <w:sz w:val="32"/>
          <w:szCs w:val="32"/>
          <w:highlight w:val="none"/>
        </w:rPr>
      </w:pPr>
    </w:p>
    <w:p>
      <w:pPr>
        <w:spacing w:line="588" w:lineRule="exact"/>
        <w:jc w:val="center"/>
        <w:rPr>
          <w:rFonts w:ascii="方正小标宋简体" w:hAnsi="方正小标宋简体" w:eastAsia="方正小标宋简体" w:cs="方正小标宋简体"/>
          <w:bCs/>
          <w:color w:val="auto"/>
          <w:spacing w:val="6"/>
          <w:sz w:val="44"/>
          <w:szCs w:val="44"/>
          <w:highlight w:val="none"/>
        </w:rPr>
      </w:pPr>
      <w:r>
        <w:rPr>
          <w:rFonts w:hint="eastAsia" w:ascii="方正小标宋简体" w:hAnsi="方正小标宋简体" w:eastAsia="方正小标宋简体" w:cs="方正小标宋简体"/>
          <w:bCs/>
          <w:color w:val="auto"/>
          <w:spacing w:val="6"/>
          <w:sz w:val="44"/>
          <w:szCs w:val="44"/>
          <w:highlight w:val="none"/>
        </w:rPr>
        <w:t>残疾人福利性单位声明函</w:t>
      </w:r>
    </w:p>
    <w:p>
      <w:pPr>
        <w:spacing w:line="360" w:lineRule="auto"/>
        <w:contextualSpacing/>
        <w:rPr>
          <w:rFonts w:ascii="仿宋_GB2312" w:eastAsia="仿宋_GB2312"/>
          <w:bCs/>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单位名称（盖公章）：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3.质疑函格式</w:t>
      </w:r>
    </w:p>
    <w:p>
      <w:pPr>
        <w:spacing w:line="360" w:lineRule="auto"/>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质疑函</w:t>
      </w:r>
    </w:p>
    <w:p>
      <w:pPr>
        <w:pStyle w:val="18"/>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18"/>
        <w:snapToGrid w:val="0"/>
        <w:spacing w:line="360" w:lineRule="auto"/>
        <w:ind w:firstLine="480" w:firstLineChars="200"/>
        <w:rPr>
          <w:rFonts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8"/>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8"/>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8"/>
        <w:snapToGrid w:val="0"/>
        <w:spacing w:line="360" w:lineRule="auto"/>
        <w:ind w:firstLine="480" w:firstLineChars="200"/>
        <w:rPr>
          <w:rFonts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18"/>
        <w:snapToGrid w:val="0"/>
        <w:spacing w:line="360" w:lineRule="auto"/>
        <w:ind w:firstLine="480" w:firstLineChars="200"/>
        <w:rPr>
          <w:rFonts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8"/>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8"/>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二、质疑项目基本情况：</w:t>
      </w:r>
    </w:p>
    <w:p>
      <w:pPr>
        <w:pStyle w:val="18"/>
        <w:spacing w:line="360" w:lineRule="auto"/>
        <w:ind w:left="25" w:leftChars="12" w:firstLine="472" w:firstLineChars="197"/>
        <w:rPr>
          <w:rFonts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18"/>
        <w:spacing w:line="360" w:lineRule="auto"/>
        <w:ind w:left="25" w:leftChars="12" w:firstLine="472" w:firstLineChars="197"/>
        <w:rPr>
          <w:rFonts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w:t>
      </w:r>
    </w:p>
    <w:p>
      <w:pPr>
        <w:pStyle w:val="18"/>
        <w:spacing w:line="360" w:lineRule="auto"/>
        <w:ind w:left="25" w:leftChars="12" w:firstLine="352" w:firstLineChars="147"/>
        <w:rPr>
          <w:rFonts w:hAnsi="宋体"/>
          <w:color w:val="auto"/>
          <w:sz w:val="24"/>
          <w:szCs w:val="24"/>
          <w:highlight w:val="none"/>
        </w:rPr>
      </w:pPr>
      <w:r>
        <w:rPr>
          <w:rFonts w:hint="eastAsia" w:hAnsi="宋体"/>
          <w:color w:val="auto"/>
          <w:sz w:val="24"/>
          <w:szCs w:val="24"/>
          <w:highlight w:val="none"/>
        </w:rPr>
        <w:t>□招标文件   招标文件获取日期：</w:t>
      </w:r>
      <w:r>
        <w:rPr>
          <w:rFonts w:hint="eastAsia" w:hAnsi="宋体"/>
          <w:bCs/>
          <w:color w:val="auto"/>
          <w:sz w:val="24"/>
          <w:szCs w:val="24"/>
          <w:highlight w:val="none"/>
          <w:u w:val="single"/>
        </w:rPr>
        <w:t xml:space="preserve">                                   </w:t>
      </w:r>
    </w:p>
    <w:p>
      <w:pPr>
        <w:pStyle w:val="18"/>
        <w:spacing w:line="360" w:lineRule="auto"/>
        <w:ind w:left="25" w:leftChars="12" w:firstLine="352" w:firstLineChars="147"/>
        <w:rPr>
          <w:rFonts w:hAnsi="宋体"/>
          <w:color w:val="auto"/>
          <w:sz w:val="24"/>
          <w:szCs w:val="24"/>
          <w:highlight w:val="none"/>
        </w:rPr>
      </w:pPr>
      <w:r>
        <w:rPr>
          <w:rFonts w:hint="eastAsia" w:hAnsi="宋体"/>
          <w:color w:val="auto"/>
          <w:sz w:val="24"/>
          <w:szCs w:val="24"/>
          <w:highlight w:val="none"/>
        </w:rPr>
        <w:t xml:space="preserve">□采购过程   </w:t>
      </w:r>
    </w:p>
    <w:p>
      <w:pPr>
        <w:pStyle w:val="18"/>
        <w:spacing w:line="360" w:lineRule="auto"/>
        <w:ind w:left="25" w:leftChars="12" w:firstLine="352" w:firstLineChars="147"/>
        <w:rPr>
          <w:rFonts w:hAnsi="宋体"/>
          <w:bCs/>
          <w:color w:val="auto"/>
          <w:sz w:val="24"/>
          <w:szCs w:val="24"/>
          <w:highlight w:val="none"/>
          <w:u w:val="single"/>
        </w:rPr>
      </w:pPr>
      <w:r>
        <w:rPr>
          <w:rFonts w:hint="eastAsia" w:hAnsi="宋体"/>
          <w:color w:val="auto"/>
          <w:sz w:val="24"/>
          <w:szCs w:val="24"/>
          <w:highlight w:val="none"/>
        </w:rPr>
        <w:t xml:space="preserve">□中标结果   </w:t>
      </w:r>
    </w:p>
    <w:p>
      <w:pPr>
        <w:pStyle w:val="18"/>
        <w:spacing w:line="360" w:lineRule="auto"/>
        <w:ind w:left="25" w:leftChars="12" w:firstLine="472" w:firstLineChars="196"/>
        <w:rPr>
          <w:rFonts w:hAnsi="宋体"/>
          <w:b/>
          <w:color w:val="auto"/>
          <w:sz w:val="24"/>
          <w:szCs w:val="24"/>
          <w:highlight w:val="none"/>
        </w:rPr>
      </w:pPr>
      <w:r>
        <w:rPr>
          <w:rFonts w:hint="eastAsia" w:hAnsi="宋体"/>
          <w:b/>
          <w:color w:val="auto"/>
          <w:sz w:val="24"/>
          <w:szCs w:val="24"/>
          <w:highlight w:val="none"/>
        </w:rPr>
        <w:t>三、质疑事项具体内容</w:t>
      </w: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质疑事项2</w:t>
      </w:r>
    </w:p>
    <w:p>
      <w:pPr>
        <w:pStyle w:val="18"/>
        <w:spacing w:line="360" w:lineRule="auto"/>
        <w:ind w:left="25" w:leftChars="12" w:firstLine="472" w:firstLineChars="197"/>
        <w:rPr>
          <w:rFonts w:hAnsi="宋体"/>
          <w:color w:val="auto"/>
          <w:sz w:val="24"/>
          <w:szCs w:val="24"/>
          <w:highlight w:val="none"/>
        </w:rPr>
      </w:pPr>
      <w:r>
        <w:rPr>
          <w:rFonts w:hAnsi="宋体"/>
          <w:color w:val="auto"/>
          <w:sz w:val="24"/>
          <w:szCs w:val="24"/>
          <w:highlight w:val="none"/>
        </w:rPr>
        <w:t>……</w:t>
      </w: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四、与质疑事项相关的质疑请求：</w:t>
      </w: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18"/>
        <w:spacing w:line="360" w:lineRule="auto"/>
        <w:ind w:left="25" w:leftChars="12" w:firstLine="352" w:firstLineChars="147"/>
        <w:rPr>
          <w:rFonts w:hAnsi="宋体"/>
          <w:color w:val="auto"/>
          <w:sz w:val="24"/>
          <w:szCs w:val="24"/>
          <w:highlight w:val="none"/>
        </w:rPr>
      </w:pP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签字（签章）：                                       公章：</w:t>
      </w:r>
    </w:p>
    <w:p>
      <w:pPr>
        <w:pStyle w:val="18"/>
        <w:spacing w:line="360" w:lineRule="auto"/>
        <w:ind w:left="25" w:leftChars="12" w:firstLine="352" w:firstLineChars="147"/>
        <w:rPr>
          <w:rFonts w:hAnsi="宋体"/>
          <w:color w:val="auto"/>
          <w:sz w:val="24"/>
          <w:szCs w:val="24"/>
          <w:highlight w:val="none"/>
        </w:rPr>
      </w:pPr>
    </w:p>
    <w:p>
      <w:pPr>
        <w:pStyle w:val="18"/>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日期：</w:t>
      </w:r>
    </w:p>
    <w:p>
      <w:pPr>
        <w:pStyle w:val="18"/>
        <w:snapToGrid w:val="0"/>
        <w:spacing w:line="360" w:lineRule="auto"/>
        <w:rPr>
          <w:rFonts w:hAnsi="宋体"/>
          <w:b/>
          <w:color w:val="auto"/>
          <w:sz w:val="24"/>
          <w:szCs w:val="24"/>
          <w:highlight w:val="none"/>
        </w:rPr>
      </w:pPr>
    </w:p>
    <w:p>
      <w:pPr>
        <w:pStyle w:val="18"/>
        <w:snapToGrid w:val="0"/>
        <w:spacing w:line="360" w:lineRule="auto"/>
        <w:rPr>
          <w:rFonts w:hAnsi="宋体"/>
          <w:b/>
          <w:color w:val="auto"/>
          <w:sz w:val="24"/>
          <w:szCs w:val="24"/>
          <w:highlight w:val="none"/>
        </w:rPr>
      </w:pPr>
      <w:r>
        <w:rPr>
          <w:rFonts w:hint="eastAsia" w:hAnsi="宋体"/>
          <w:b/>
          <w:color w:val="auto"/>
          <w:sz w:val="24"/>
          <w:szCs w:val="24"/>
          <w:highlight w:val="none"/>
        </w:rPr>
        <w:t>说明：</w:t>
      </w:r>
    </w:p>
    <w:p>
      <w:pPr>
        <w:pStyle w:val="18"/>
        <w:spacing w:line="360" w:lineRule="auto"/>
        <w:ind w:left="25" w:leftChars="12" w:firstLine="354" w:firstLineChars="147"/>
        <w:rPr>
          <w:rFonts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18"/>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8"/>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18"/>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4.质疑函的质疑请求应与质疑事项相关。</w:t>
      </w:r>
    </w:p>
    <w:p>
      <w:pPr>
        <w:pStyle w:val="18"/>
        <w:spacing w:line="360" w:lineRule="auto"/>
        <w:ind w:left="25" w:leftChars="12" w:firstLine="354" w:firstLineChars="147"/>
        <w:rPr>
          <w:rFonts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pStyle w:val="18"/>
        <w:snapToGrid w:val="0"/>
        <w:rPr>
          <w:b/>
          <w:color w:val="auto"/>
          <w:sz w:val="24"/>
          <w:szCs w:val="24"/>
          <w:highlight w:val="none"/>
        </w:rPr>
      </w:pPr>
    </w:p>
    <w:p>
      <w:pPr>
        <w:spacing w:line="360" w:lineRule="auto"/>
        <w:jc w:val="left"/>
        <w:rPr>
          <w:rFonts w:ascii="宋体" w:hAnsi="宋体"/>
          <w:b/>
          <w:bCs/>
          <w:color w:val="auto"/>
          <w:sz w:val="32"/>
          <w:szCs w:val="32"/>
          <w:highlight w:val="none"/>
        </w:rPr>
      </w:pPr>
      <w:r>
        <w:rPr>
          <w:rFonts w:eastAsia="隶书"/>
          <w:color w:val="auto"/>
          <w:sz w:val="44"/>
          <w:highlight w:val="none"/>
        </w:rPr>
        <w:br w:type="page"/>
      </w:r>
      <w:r>
        <w:rPr>
          <w:rFonts w:hint="eastAsia" w:ascii="宋体" w:hAnsi="宋体" w:eastAsia="隶书"/>
          <w:b/>
          <w:color w:val="auto"/>
          <w:sz w:val="24"/>
          <w:highlight w:val="none"/>
        </w:rPr>
        <w:t>4</w:t>
      </w:r>
      <w:r>
        <w:rPr>
          <w:rFonts w:hint="eastAsia" w:ascii="宋体" w:hAnsi="宋体"/>
          <w:b/>
          <w:color w:val="auto"/>
          <w:sz w:val="24"/>
          <w:highlight w:val="none"/>
        </w:rPr>
        <w:t>.投诉书格式</w:t>
      </w: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投诉书</w:t>
      </w:r>
    </w:p>
    <w:p>
      <w:pPr>
        <w:pStyle w:val="18"/>
        <w:snapToGrid w:val="0"/>
        <w:spacing w:line="440" w:lineRule="exact"/>
        <w:ind w:firstLine="482" w:firstLineChars="200"/>
        <w:rPr>
          <w:rFonts w:hAnsi="宋体"/>
          <w:b/>
          <w:bCs/>
          <w:color w:val="auto"/>
          <w:sz w:val="24"/>
          <w:szCs w:val="24"/>
          <w:highlight w:val="none"/>
        </w:rPr>
      </w:pPr>
    </w:p>
    <w:p>
      <w:pPr>
        <w:pStyle w:val="18"/>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18"/>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8"/>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8"/>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18"/>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8"/>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8"/>
        <w:snapToGrid w:val="0"/>
        <w:spacing w:line="440" w:lineRule="exact"/>
        <w:ind w:firstLine="480" w:firstLineChars="200"/>
        <w:jc w:val="left"/>
        <w:rPr>
          <w:rFonts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8"/>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8"/>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被投诉人1：</w:t>
      </w:r>
    </w:p>
    <w:p>
      <w:pPr>
        <w:pStyle w:val="18"/>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18"/>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8"/>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18"/>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被投诉人2：</w:t>
      </w:r>
    </w:p>
    <w:p>
      <w:pPr>
        <w:pStyle w:val="18"/>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w:t>
      </w:r>
    </w:p>
    <w:p>
      <w:pPr>
        <w:pStyle w:val="18"/>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18"/>
        <w:snapToGrid w:val="0"/>
        <w:spacing w:line="440" w:lineRule="exact"/>
        <w:ind w:firstLine="480" w:firstLineChars="200"/>
        <w:jc w:val="left"/>
        <w:rPr>
          <w:rFonts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18"/>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18"/>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二、投诉项目基本情况：</w:t>
      </w:r>
    </w:p>
    <w:p>
      <w:pPr>
        <w:pStyle w:val="18"/>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18"/>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18"/>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18"/>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18"/>
        <w:spacing w:line="440" w:lineRule="exact"/>
        <w:ind w:left="25" w:leftChars="12" w:firstLine="472" w:firstLineChars="197"/>
        <w:rPr>
          <w:rFonts w:hAnsi="宋体"/>
          <w:bCs/>
          <w:color w:val="auto"/>
          <w:sz w:val="24"/>
          <w:szCs w:val="24"/>
          <w:highlight w:val="none"/>
          <w:u w:val="single"/>
        </w:rPr>
      </w:pPr>
      <w:r>
        <w:rPr>
          <w:rFonts w:hint="eastAsia" w:hAnsi="宋体"/>
          <w:bCs/>
          <w:color w:val="auto"/>
          <w:sz w:val="24"/>
          <w:szCs w:val="24"/>
          <w:highlight w:val="none"/>
        </w:rPr>
        <w:t>招标文件公告：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18"/>
        <w:spacing w:line="440" w:lineRule="exact"/>
        <w:ind w:left="25" w:leftChars="12" w:firstLine="472" w:firstLineChars="197"/>
        <w:rPr>
          <w:rFonts w:hAnsi="宋体"/>
          <w:b/>
          <w:color w:val="auto"/>
          <w:sz w:val="24"/>
          <w:szCs w:val="24"/>
          <w:highlight w:val="none"/>
        </w:rPr>
      </w:pPr>
      <w:r>
        <w:rPr>
          <w:rFonts w:hint="eastAsia" w:hAnsi="宋体"/>
          <w:bCs/>
          <w:color w:val="auto"/>
          <w:sz w:val="24"/>
          <w:szCs w:val="24"/>
          <w:highlight w:val="none"/>
        </w:rPr>
        <w:t>采购结果公告：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18"/>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三、质疑基本情况</w:t>
      </w:r>
    </w:p>
    <w:p>
      <w:pPr>
        <w:pStyle w:val="18"/>
        <w:spacing w:line="440" w:lineRule="exact"/>
        <w:ind w:left="25" w:leftChars="12" w:firstLine="480" w:firstLineChars="200"/>
        <w:rPr>
          <w:rFonts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18"/>
        <w:spacing w:line="440" w:lineRule="exact"/>
        <w:ind w:firstLine="241"/>
        <w:rPr>
          <w:rFonts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8"/>
        <w:spacing w:line="440" w:lineRule="exact"/>
        <w:ind w:firstLine="241"/>
        <w:rPr>
          <w:rFonts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18"/>
        <w:spacing w:line="440" w:lineRule="exact"/>
        <w:ind w:firstLine="480" w:firstLineChars="200"/>
        <w:rPr>
          <w:rFonts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18"/>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四、投诉事项具体内容</w:t>
      </w:r>
    </w:p>
    <w:p>
      <w:pPr>
        <w:pStyle w:val="18"/>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18"/>
        <w:spacing w:line="440" w:lineRule="exact"/>
        <w:ind w:firstLine="480" w:firstLineChars="200"/>
        <w:rPr>
          <w:rFonts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8"/>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u w:val="single"/>
        </w:rPr>
        <w:t xml:space="preserve">                                                                                        </w:t>
      </w:r>
    </w:p>
    <w:p>
      <w:pPr>
        <w:pStyle w:val="18"/>
        <w:spacing w:line="440" w:lineRule="exact"/>
        <w:ind w:firstLine="480" w:firstLineChars="200"/>
        <w:rPr>
          <w:rFonts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18"/>
        <w:spacing w:line="440" w:lineRule="exact"/>
        <w:ind w:left="25" w:leftChars="12" w:firstLine="352" w:firstLineChars="147"/>
        <w:rPr>
          <w:rFonts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18"/>
        <w:spacing w:line="440" w:lineRule="exact"/>
        <w:ind w:left="25" w:leftChars="12" w:firstLine="472" w:firstLineChars="197"/>
        <w:rPr>
          <w:rFonts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18"/>
        <w:spacing w:line="440" w:lineRule="exact"/>
        <w:ind w:left="25" w:leftChars="12" w:firstLine="472" w:firstLineChars="197"/>
        <w:rPr>
          <w:rFonts w:hAnsi="宋体"/>
          <w:bCs/>
          <w:color w:val="auto"/>
          <w:sz w:val="24"/>
          <w:szCs w:val="24"/>
          <w:highlight w:val="none"/>
        </w:rPr>
      </w:pPr>
      <w:r>
        <w:rPr>
          <w:rFonts w:hAnsi="宋体"/>
          <w:bCs/>
          <w:color w:val="auto"/>
          <w:sz w:val="24"/>
          <w:szCs w:val="24"/>
          <w:highlight w:val="none"/>
        </w:rPr>
        <w:t>……</w:t>
      </w:r>
    </w:p>
    <w:p>
      <w:pPr>
        <w:pStyle w:val="18"/>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五、与投诉事项相关的投诉请求：</w:t>
      </w:r>
    </w:p>
    <w:p>
      <w:pPr>
        <w:pStyle w:val="18"/>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18"/>
        <w:spacing w:line="440" w:lineRule="exact"/>
        <w:ind w:left="25" w:leftChars="12" w:firstLine="352" w:firstLineChars="147"/>
        <w:rPr>
          <w:rFonts w:hAnsi="宋体"/>
          <w:color w:val="auto"/>
          <w:sz w:val="24"/>
          <w:szCs w:val="24"/>
          <w:highlight w:val="none"/>
        </w:rPr>
      </w:pPr>
    </w:p>
    <w:p>
      <w:pPr>
        <w:pStyle w:val="18"/>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签字（签章）：                                       公章：</w:t>
      </w:r>
    </w:p>
    <w:p>
      <w:pPr>
        <w:pStyle w:val="18"/>
        <w:spacing w:line="440" w:lineRule="exact"/>
        <w:ind w:left="25" w:leftChars="12" w:firstLine="352" w:firstLineChars="147"/>
        <w:rPr>
          <w:rFonts w:hAnsi="宋体"/>
          <w:color w:val="auto"/>
          <w:sz w:val="24"/>
          <w:szCs w:val="24"/>
          <w:highlight w:val="none"/>
        </w:rPr>
      </w:pPr>
    </w:p>
    <w:p>
      <w:pPr>
        <w:pStyle w:val="18"/>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日期：</w:t>
      </w:r>
    </w:p>
    <w:p>
      <w:pPr>
        <w:pStyle w:val="18"/>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 xml:space="preserve">                                                                              </w:t>
      </w:r>
    </w:p>
    <w:p>
      <w:pPr>
        <w:pStyle w:val="18"/>
        <w:snapToGrid w:val="0"/>
        <w:spacing w:line="440" w:lineRule="exact"/>
        <w:rPr>
          <w:rFonts w:hAnsi="宋体"/>
          <w:b/>
          <w:color w:val="auto"/>
          <w:sz w:val="24"/>
          <w:szCs w:val="24"/>
          <w:highlight w:val="none"/>
        </w:rPr>
      </w:pPr>
      <w:r>
        <w:rPr>
          <w:rFonts w:hint="eastAsia" w:hAnsi="宋体"/>
          <w:b/>
          <w:color w:val="auto"/>
          <w:sz w:val="24"/>
          <w:szCs w:val="24"/>
          <w:highlight w:val="none"/>
        </w:rPr>
        <w:t>说明：</w:t>
      </w:r>
    </w:p>
    <w:p>
      <w:pPr>
        <w:pStyle w:val="18"/>
        <w:spacing w:line="440" w:lineRule="exact"/>
        <w:ind w:left="25" w:leftChars="12" w:firstLine="354" w:firstLineChars="147"/>
        <w:rPr>
          <w:rFonts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18"/>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8"/>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18"/>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18"/>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5.投诉书的投诉请求应与投诉事项相关。</w:t>
      </w:r>
    </w:p>
    <w:p>
      <w:pPr>
        <w:pStyle w:val="18"/>
        <w:spacing w:line="440" w:lineRule="exact"/>
        <w:ind w:left="25" w:leftChars="12" w:firstLine="354" w:firstLineChars="147"/>
        <w:rPr>
          <w:rFonts w:hAnsi="宋体"/>
          <w:b/>
          <w:color w:val="auto"/>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p>
      <w:pPr>
        <w:widowControl/>
        <w:ind w:firstLine="640" w:firstLineChars="200"/>
        <w:jc w:val="left"/>
        <w:rPr>
          <w:rFonts w:ascii="仿宋_GB2312" w:hAnsi="宋体" w:eastAsia="仿宋_GB2312" w:cs="宋体"/>
          <w:color w:val="auto"/>
          <w:kern w:val="0"/>
          <w:sz w:val="32"/>
          <w:szCs w:val="32"/>
          <w:highlight w:val="none"/>
        </w:rPr>
      </w:pPr>
    </w:p>
    <w:p>
      <w:pPr>
        <w:rPr>
          <w:color w:val="auto"/>
          <w:highlight w:val="none"/>
        </w:rPr>
      </w:pPr>
    </w:p>
    <w:sectPr>
      <w:footerReference r:id="rId13" w:type="first"/>
      <w:headerReference r:id="rId10" w:type="default"/>
      <w:footerReference r:id="rId11" w:type="default"/>
      <w:footerReference r:id="rId12" w:type="even"/>
      <w:pgSz w:w="11906" w:h="16838"/>
      <w:pgMar w:top="1134" w:right="1134" w:bottom="1134"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仿宋"/>
    <w:panose1 w:val="00000000000000000000"/>
    <w:charset w:val="00"/>
    <w:family w:val="auto"/>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7"/>
        <w:sz w:val="21"/>
      </w:rPr>
    </w:pPr>
    <w:r>
      <w:rPr>
        <w:sz w:val="21"/>
      </w:rPr>
      <w:fldChar w:fldCharType="begin"/>
    </w:r>
    <w:r>
      <w:rPr>
        <w:rStyle w:val="37"/>
        <w:sz w:val="21"/>
      </w:rPr>
      <w:instrText xml:space="preserve">PAGE  </w:instrText>
    </w:r>
    <w:r>
      <w:rPr>
        <w:sz w:val="21"/>
      </w:rPr>
      <w:fldChar w:fldCharType="separate"/>
    </w:r>
    <w:r>
      <w:rPr>
        <w:rStyle w:val="37"/>
        <w:sz w:val="21"/>
      </w:rPr>
      <w:t>0</w:t>
    </w:r>
    <w:r>
      <w:rPr>
        <w:sz w:val="21"/>
      </w:rPr>
      <w:fldChar w:fldCharType="end"/>
    </w:r>
  </w:p>
  <w:p>
    <w:pPr>
      <w:pStyle w:val="23"/>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560" w:hanging="5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3"/>
                            <w:ind w:left="560" w:hanging="560"/>
                          </w:pPr>
                          <w:r>
                            <w:fldChar w:fldCharType="begin"/>
                          </w:r>
                          <w:r>
                            <w:instrText xml:space="preserve"> PAGE  \* MERGEFORMAT </w:instrText>
                          </w:r>
                          <w:r>
                            <w:fldChar w:fldCharType="separate"/>
                          </w:r>
                          <w:r>
                            <w:t>29</w:t>
                          </w:r>
                          <w:r>
                            <w:fldChar w:fldCharType="end"/>
                          </w:r>
                        </w:p>
                      </w:txbxContent>
                    </wps:txbx>
                    <wps:bodyPr vert="horz" wrap="none" lIns="0" tIns="0" rIns="0" bIns="0" anchor="t" anchorCtr="0">
                      <a:spAutoFit/>
                    </wps:bodyPr>
                  </wps:wsp>
                </a:graphicData>
              </a:graphic>
            </wp:anchor>
          </w:drawing>
        </mc:Choice>
        <mc:Fallback>
          <w:pict>
            <v:shape id="文本框 1025"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5X5J0AAAAAMBAAAPAAAA&#10;AAAAAAEAIAAAACIAAABkcnMvZG93bnJldi54bWxQSwECFAAUAAAACACHTuJApzN9QOQBAADBAwAA&#10;DgAAAAAAAAABACAAAAAfAQAAZHJzL2Uyb0RvYy54bWxQSwUGAAAAAAYABgBZAQAAdQUAAAAA&#10;">
              <v:fill on="f" focussize="0,0"/>
              <v:stroke on="f"/>
              <v:imagedata o:title=""/>
              <o:lock v:ext="edit" aspectratio="f"/>
              <v:textbox inset="0mm,0mm,0mm,0mm" style="mso-fit-shape-to-text:t;">
                <w:txbxContent>
                  <w:p>
                    <w:pPr>
                      <w:pStyle w:val="23"/>
                      <w:ind w:left="560" w:hanging="560"/>
                    </w:pPr>
                    <w:r>
                      <w:fldChar w:fldCharType="begin"/>
                    </w:r>
                    <w:r>
                      <w:instrText xml:space="preserve"> PAGE  \* MERGEFORMAT </w:instrText>
                    </w:r>
                    <w:r>
                      <w:fldChar w:fldCharType="separate"/>
                    </w:r>
                    <w:r>
                      <w:t>29</w:t>
                    </w:r>
                    <w:r>
                      <w:fldChar w:fldCharType="end"/>
                    </w:r>
                  </w:p>
                </w:txbxContent>
              </v:textbox>
            </v:shape>
          </w:pict>
        </mc:Fallback>
      </mc:AlternateContent>
    </w:r>
  </w:p>
  <w:p>
    <w:pPr>
      <w:pStyle w:val="23"/>
      <w:ind w:left="560" w:hanging="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171</w:t>
    </w:r>
    <w:r>
      <w:fldChar w:fldCharType="end"/>
    </w:r>
  </w:p>
  <w:p>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183</w:t>
    </w:r>
    <w:r>
      <w:fldChar w:fldCharType="end"/>
    </w:r>
  </w:p>
  <w:p>
    <w:pPr>
      <w:pStyle w:val="2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7"/>
      </w:rPr>
    </w:pPr>
    <w:r>
      <w:fldChar w:fldCharType="begin"/>
    </w:r>
    <w:r>
      <w:rPr>
        <w:rStyle w:val="37"/>
      </w:rPr>
      <w:instrText xml:space="preserve">PAGE  </w:instrText>
    </w:r>
    <w:r>
      <w:fldChar w:fldCharType="end"/>
    </w:r>
  </w:p>
  <w:p>
    <w:pPr>
      <w:pStyle w:val="2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fldChar w:fldCharType="begin"/>
    </w:r>
    <w:r>
      <w:rPr>
        <w:rStyle w:val="37"/>
      </w:rPr>
      <w:instrText xml:space="preserve">PAGE  </w:instrText>
    </w:r>
    <w:r>
      <w:fldChar w:fldCharType="separate"/>
    </w:r>
    <w:r>
      <w:rPr>
        <w:rStyle w:val="37"/>
      </w:rPr>
      <w:t>122</w:t>
    </w:r>
    <w:r>
      <w:fldChar w:fldCharType="end"/>
    </w:r>
  </w:p>
  <w:p>
    <w:pPr>
      <w:pStyle w:val="23"/>
      <w:ind w:right="360"/>
      <w:jc w:val="both"/>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0"/>
        <w:tab w:val="clear" w:pos="4153"/>
      </w:tabs>
    </w:pPr>
    <w:r>
      <w:rPr>
        <w:rFonts w:hint="eastAsia"/>
      </w:rPr>
      <w:t>广西壮族自治区政府采购公开招标采购文件（项目编号：GXZC2024-G3-003825-JGJD（重））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0"/>
        <w:tab w:val="clear" w:pos="4153"/>
      </w:tabs>
    </w:pPr>
    <w:r>
      <w:rPr>
        <w:rFonts w:hint="eastAsia"/>
      </w:rPr>
      <w:t>政府采购公开招标文件（项目编号：LZZC2022-C3-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enter" w:pos="0"/>
        <w:tab w:val="left" w:pos="8306"/>
        <w:tab w:val="clear" w:pos="415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0"/>
        <w:tab w:val="clear" w:pos="4153"/>
      </w:tabs>
    </w:pPr>
    <w:r>
      <w:rPr>
        <w:rFonts w:hint="eastAsia"/>
      </w:rPr>
      <w:t>项目编号：@采购文件模板实体.项目编号1@</w:t>
    </w: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B7820"/>
    <w:multiLevelType w:val="singleLevel"/>
    <w:tmpl w:val="E2AB7820"/>
    <w:lvl w:ilvl="0" w:tentative="0">
      <w:start w:val="3"/>
      <w:numFmt w:val="chineseCounting"/>
      <w:suff w:val="nothing"/>
      <w:lvlText w:val="%1、"/>
      <w:lvlJc w:val="left"/>
      <w:rPr>
        <w:rFonts w:hint="eastAsia"/>
      </w:rPr>
    </w:lvl>
  </w:abstractNum>
  <w:abstractNum w:abstractNumId="1">
    <w:nsid w:val="41367BD3"/>
    <w:multiLevelType w:val="multilevel"/>
    <w:tmpl w:val="41367BD3"/>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601917"/>
    <w:multiLevelType w:val="singleLevel"/>
    <w:tmpl w:val="4C601917"/>
    <w:lvl w:ilvl="0" w:tentative="0">
      <w:start w:val="1"/>
      <w:numFmt w:val="decimal"/>
      <w:suff w:val="nothing"/>
      <w:lvlText w:val="（%1）"/>
      <w:lvlJc w:val="left"/>
      <w:pPr>
        <w:ind w:left="-2"/>
      </w:pPr>
    </w:lvl>
  </w:abstractNum>
  <w:abstractNum w:abstractNumId="3">
    <w:nsid w:val="5FABD14B"/>
    <w:multiLevelType w:val="singleLevel"/>
    <w:tmpl w:val="5FABD14B"/>
    <w:lvl w:ilvl="0" w:tentative="0">
      <w:start w:val="1"/>
      <w:numFmt w:val="decimal"/>
      <w:suff w:val="nothing"/>
      <w:lvlText w:val="（%1）"/>
      <w:lvlJc w:val="left"/>
    </w:lvl>
  </w:abstractNum>
  <w:abstractNum w:abstractNumId="4">
    <w:nsid w:val="72962756"/>
    <w:multiLevelType w:val="multilevel"/>
    <w:tmpl w:val="72962756"/>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5"/>
  <w:drawingGridVerticalSpacing w:val="33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yYWJmZTZmYzE3MmExZDJlMjljODY4ZjJkMzVmMzYifQ=="/>
  </w:docVars>
  <w:rsids>
    <w:rsidRoot w:val="00643DE5"/>
    <w:rsid w:val="0000096C"/>
    <w:rsid w:val="00000CDB"/>
    <w:rsid w:val="00001CDA"/>
    <w:rsid w:val="00004344"/>
    <w:rsid w:val="00005909"/>
    <w:rsid w:val="000207D5"/>
    <w:rsid w:val="00024E82"/>
    <w:rsid w:val="00027659"/>
    <w:rsid w:val="00030800"/>
    <w:rsid w:val="00031652"/>
    <w:rsid w:val="00034A7D"/>
    <w:rsid w:val="00035197"/>
    <w:rsid w:val="00035F9C"/>
    <w:rsid w:val="000401CD"/>
    <w:rsid w:val="00044EDB"/>
    <w:rsid w:val="00054304"/>
    <w:rsid w:val="000553BC"/>
    <w:rsid w:val="00056551"/>
    <w:rsid w:val="0006218D"/>
    <w:rsid w:val="00063F24"/>
    <w:rsid w:val="00065AF0"/>
    <w:rsid w:val="00066EA9"/>
    <w:rsid w:val="00066FE1"/>
    <w:rsid w:val="00074D5F"/>
    <w:rsid w:val="00077BF5"/>
    <w:rsid w:val="00081789"/>
    <w:rsid w:val="00085A0D"/>
    <w:rsid w:val="00092A54"/>
    <w:rsid w:val="00092F65"/>
    <w:rsid w:val="0009317E"/>
    <w:rsid w:val="00093B18"/>
    <w:rsid w:val="00094E84"/>
    <w:rsid w:val="000A7A4B"/>
    <w:rsid w:val="000C302E"/>
    <w:rsid w:val="000C5D44"/>
    <w:rsid w:val="000D5F48"/>
    <w:rsid w:val="000D7284"/>
    <w:rsid w:val="000E6783"/>
    <w:rsid w:val="000F1BBE"/>
    <w:rsid w:val="001031E7"/>
    <w:rsid w:val="00104245"/>
    <w:rsid w:val="001108AC"/>
    <w:rsid w:val="00110DD2"/>
    <w:rsid w:val="0011187C"/>
    <w:rsid w:val="00116FC9"/>
    <w:rsid w:val="00120C46"/>
    <w:rsid w:val="00125837"/>
    <w:rsid w:val="001306A8"/>
    <w:rsid w:val="00140B14"/>
    <w:rsid w:val="00140CE8"/>
    <w:rsid w:val="00143DA6"/>
    <w:rsid w:val="00151CEE"/>
    <w:rsid w:val="0015209C"/>
    <w:rsid w:val="001551E7"/>
    <w:rsid w:val="00170AA7"/>
    <w:rsid w:val="00173852"/>
    <w:rsid w:val="00174F9B"/>
    <w:rsid w:val="00177D95"/>
    <w:rsid w:val="00181460"/>
    <w:rsid w:val="00182C28"/>
    <w:rsid w:val="00190F4C"/>
    <w:rsid w:val="00193D49"/>
    <w:rsid w:val="0019577E"/>
    <w:rsid w:val="001B1366"/>
    <w:rsid w:val="001B2BDE"/>
    <w:rsid w:val="001B2FAE"/>
    <w:rsid w:val="001C2E44"/>
    <w:rsid w:val="001D047F"/>
    <w:rsid w:val="001E0216"/>
    <w:rsid w:val="001E0590"/>
    <w:rsid w:val="001E3E3A"/>
    <w:rsid w:val="001E4E53"/>
    <w:rsid w:val="001E6153"/>
    <w:rsid w:val="001E6C5D"/>
    <w:rsid w:val="001E7AB6"/>
    <w:rsid w:val="001F330A"/>
    <w:rsid w:val="001F4D3C"/>
    <w:rsid w:val="00201770"/>
    <w:rsid w:val="00204164"/>
    <w:rsid w:val="00204F25"/>
    <w:rsid w:val="00205999"/>
    <w:rsid w:val="00207350"/>
    <w:rsid w:val="00207DB7"/>
    <w:rsid w:val="00221909"/>
    <w:rsid w:val="002230A4"/>
    <w:rsid w:val="00231EAB"/>
    <w:rsid w:val="00232E04"/>
    <w:rsid w:val="00236055"/>
    <w:rsid w:val="00236B7D"/>
    <w:rsid w:val="00244627"/>
    <w:rsid w:val="002563B4"/>
    <w:rsid w:val="0025753A"/>
    <w:rsid w:val="002738BD"/>
    <w:rsid w:val="002867CF"/>
    <w:rsid w:val="00293976"/>
    <w:rsid w:val="00297271"/>
    <w:rsid w:val="002B3400"/>
    <w:rsid w:val="002B4610"/>
    <w:rsid w:val="002C0483"/>
    <w:rsid w:val="002C1328"/>
    <w:rsid w:val="002C27F2"/>
    <w:rsid w:val="002C38A0"/>
    <w:rsid w:val="002C7DD7"/>
    <w:rsid w:val="002D2EF2"/>
    <w:rsid w:val="002E0A18"/>
    <w:rsid w:val="002E6BA4"/>
    <w:rsid w:val="002F55FD"/>
    <w:rsid w:val="002F667D"/>
    <w:rsid w:val="003014B1"/>
    <w:rsid w:val="003051FD"/>
    <w:rsid w:val="00305816"/>
    <w:rsid w:val="00315EB2"/>
    <w:rsid w:val="003162D6"/>
    <w:rsid w:val="00316994"/>
    <w:rsid w:val="00320B19"/>
    <w:rsid w:val="00322C10"/>
    <w:rsid w:val="00327461"/>
    <w:rsid w:val="00330EE9"/>
    <w:rsid w:val="003331F5"/>
    <w:rsid w:val="00337A9F"/>
    <w:rsid w:val="00344631"/>
    <w:rsid w:val="00346976"/>
    <w:rsid w:val="00347950"/>
    <w:rsid w:val="00353905"/>
    <w:rsid w:val="00355191"/>
    <w:rsid w:val="00366E54"/>
    <w:rsid w:val="0037075A"/>
    <w:rsid w:val="00371C87"/>
    <w:rsid w:val="00384EB6"/>
    <w:rsid w:val="003868E3"/>
    <w:rsid w:val="0039417D"/>
    <w:rsid w:val="003A3917"/>
    <w:rsid w:val="003A622A"/>
    <w:rsid w:val="003B031E"/>
    <w:rsid w:val="003B31F1"/>
    <w:rsid w:val="003B7C9A"/>
    <w:rsid w:val="003C027A"/>
    <w:rsid w:val="003C393F"/>
    <w:rsid w:val="003D3465"/>
    <w:rsid w:val="003D478D"/>
    <w:rsid w:val="003D7400"/>
    <w:rsid w:val="003E0AD4"/>
    <w:rsid w:val="003E1425"/>
    <w:rsid w:val="003E64C1"/>
    <w:rsid w:val="003F1067"/>
    <w:rsid w:val="003F1F9C"/>
    <w:rsid w:val="003F7B0D"/>
    <w:rsid w:val="004029ED"/>
    <w:rsid w:val="00403AA3"/>
    <w:rsid w:val="0040651A"/>
    <w:rsid w:val="004273BA"/>
    <w:rsid w:val="00431C3B"/>
    <w:rsid w:val="00435268"/>
    <w:rsid w:val="0044023A"/>
    <w:rsid w:val="004437ED"/>
    <w:rsid w:val="0044600A"/>
    <w:rsid w:val="00447BDE"/>
    <w:rsid w:val="00450ADB"/>
    <w:rsid w:val="00452102"/>
    <w:rsid w:val="004531C4"/>
    <w:rsid w:val="0046694A"/>
    <w:rsid w:val="0046760D"/>
    <w:rsid w:val="00467833"/>
    <w:rsid w:val="00474447"/>
    <w:rsid w:val="004820E2"/>
    <w:rsid w:val="004853B6"/>
    <w:rsid w:val="004861BA"/>
    <w:rsid w:val="00486E44"/>
    <w:rsid w:val="0049027F"/>
    <w:rsid w:val="004925A4"/>
    <w:rsid w:val="004929AD"/>
    <w:rsid w:val="004A0443"/>
    <w:rsid w:val="004A5F2A"/>
    <w:rsid w:val="004A6736"/>
    <w:rsid w:val="004B49D2"/>
    <w:rsid w:val="004B6ABF"/>
    <w:rsid w:val="004C5B3E"/>
    <w:rsid w:val="004E126C"/>
    <w:rsid w:val="004F5BCD"/>
    <w:rsid w:val="005033B8"/>
    <w:rsid w:val="00503A40"/>
    <w:rsid w:val="00506840"/>
    <w:rsid w:val="00511A25"/>
    <w:rsid w:val="00517D40"/>
    <w:rsid w:val="00520861"/>
    <w:rsid w:val="00521880"/>
    <w:rsid w:val="00525C35"/>
    <w:rsid w:val="005279FB"/>
    <w:rsid w:val="00532BF5"/>
    <w:rsid w:val="0053541C"/>
    <w:rsid w:val="005458AD"/>
    <w:rsid w:val="0054778A"/>
    <w:rsid w:val="0055409E"/>
    <w:rsid w:val="00554A36"/>
    <w:rsid w:val="00562514"/>
    <w:rsid w:val="00564C6D"/>
    <w:rsid w:val="00576E04"/>
    <w:rsid w:val="0057733C"/>
    <w:rsid w:val="00581AC2"/>
    <w:rsid w:val="00583AC0"/>
    <w:rsid w:val="00584BFC"/>
    <w:rsid w:val="005873D0"/>
    <w:rsid w:val="005917A6"/>
    <w:rsid w:val="005932B6"/>
    <w:rsid w:val="00596F89"/>
    <w:rsid w:val="005B53A3"/>
    <w:rsid w:val="005C06FA"/>
    <w:rsid w:val="005D54D6"/>
    <w:rsid w:val="005D6CCE"/>
    <w:rsid w:val="005E671C"/>
    <w:rsid w:val="005F6F86"/>
    <w:rsid w:val="00600743"/>
    <w:rsid w:val="006048A4"/>
    <w:rsid w:val="00605362"/>
    <w:rsid w:val="006064F7"/>
    <w:rsid w:val="006068F0"/>
    <w:rsid w:val="00606C3B"/>
    <w:rsid w:val="00622C28"/>
    <w:rsid w:val="00626CA8"/>
    <w:rsid w:val="006271A0"/>
    <w:rsid w:val="006301C4"/>
    <w:rsid w:val="00631BAB"/>
    <w:rsid w:val="006406A8"/>
    <w:rsid w:val="00640B4E"/>
    <w:rsid w:val="00641D5B"/>
    <w:rsid w:val="00643DE5"/>
    <w:rsid w:val="00644AAD"/>
    <w:rsid w:val="00653CDE"/>
    <w:rsid w:val="00656442"/>
    <w:rsid w:val="00661DA0"/>
    <w:rsid w:val="006632E6"/>
    <w:rsid w:val="00670E85"/>
    <w:rsid w:val="0067703D"/>
    <w:rsid w:val="006831E3"/>
    <w:rsid w:val="00691B1A"/>
    <w:rsid w:val="00695425"/>
    <w:rsid w:val="006A04FC"/>
    <w:rsid w:val="006A101B"/>
    <w:rsid w:val="006A6DC8"/>
    <w:rsid w:val="006C015A"/>
    <w:rsid w:val="006C2360"/>
    <w:rsid w:val="006C55A9"/>
    <w:rsid w:val="006C5999"/>
    <w:rsid w:val="006D0A1B"/>
    <w:rsid w:val="006D6A62"/>
    <w:rsid w:val="006F0015"/>
    <w:rsid w:val="00707FF2"/>
    <w:rsid w:val="00715456"/>
    <w:rsid w:val="00717D53"/>
    <w:rsid w:val="0072047C"/>
    <w:rsid w:val="0072351B"/>
    <w:rsid w:val="00730FBB"/>
    <w:rsid w:val="00736625"/>
    <w:rsid w:val="00744B4B"/>
    <w:rsid w:val="00745BFF"/>
    <w:rsid w:val="0074683F"/>
    <w:rsid w:val="007549ED"/>
    <w:rsid w:val="0075643C"/>
    <w:rsid w:val="00756DD1"/>
    <w:rsid w:val="00757B36"/>
    <w:rsid w:val="00761289"/>
    <w:rsid w:val="00761EA6"/>
    <w:rsid w:val="00767154"/>
    <w:rsid w:val="00773B6C"/>
    <w:rsid w:val="00781DF2"/>
    <w:rsid w:val="00790B95"/>
    <w:rsid w:val="007937A3"/>
    <w:rsid w:val="007B4684"/>
    <w:rsid w:val="007C09EA"/>
    <w:rsid w:val="007C2309"/>
    <w:rsid w:val="007C3B9F"/>
    <w:rsid w:val="007D5273"/>
    <w:rsid w:val="007D6581"/>
    <w:rsid w:val="007D6EBC"/>
    <w:rsid w:val="007F0A33"/>
    <w:rsid w:val="007F1D2B"/>
    <w:rsid w:val="007F4D7D"/>
    <w:rsid w:val="007F717F"/>
    <w:rsid w:val="008176CE"/>
    <w:rsid w:val="008232D5"/>
    <w:rsid w:val="00823F88"/>
    <w:rsid w:val="0082700E"/>
    <w:rsid w:val="008300D6"/>
    <w:rsid w:val="00843D45"/>
    <w:rsid w:val="00852105"/>
    <w:rsid w:val="0085544C"/>
    <w:rsid w:val="008604A4"/>
    <w:rsid w:val="008606F1"/>
    <w:rsid w:val="00860D9E"/>
    <w:rsid w:val="00862516"/>
    <w:rsid w:val="0086784A"/>
    <w:rsid w:val="0087223B"/>
    <w:rsid w:val="008732C7"/>
    <w:rsid w:val="008811BB"/>
    <w:rsid w:val="00884C48"/>
    <w:rsid w:val="0089747C"/>
    <w:rsid w:val="008974F2"/>
    <w:rsid w:val="008A2454"/>
    <w:rsid w:val="008A2903"/>
    <w:rsid w:val="008C4798"/>
    <w:rsid w:val="008D3FFB"/>
    <w:rsid w:val="008D43F8"/>
    <w:rsid w:val="008E268A"/>
    <w:rsid w:val="008E3451"/>
    <w:rsid w:val="008E53FF"/>
    <w:rsid w:val="00904A9B"/>
    <w:rsid w:val="00905884"/>
    <w:rsid w:val="00912D5E"/>
    <w:rsid w:val="00920D6C"/>
    <w:rsid w:val="009276D5"/>
    <w:rsid w:val="00942D58"/>
    <w:rsid w:val="00942FDE"/>
    <w:rsid w:val="00952863"/>
    <w:rsid w:val="009528FA"/>
    <w:rsid w:val="0096166D"/>
    <w:rsid w:val="00986C7E"/>
    <w:rsid w:val="009911B9"/>
    <w:rsid w:val="009924D4"/>
    <w:rsid w:val="009961B0"/>
    <w:rsid w:val="009963BC"/>
    <w:rsid w:val="009A6C00"/>
    <w:rsid w:val="009B644A"/>
    <w:rsid w:val="009B67C7"/>
    <w:rsid w:val="009C3D9F"/>
    <w:rsid w:val="009C60E6"/>
    <w:rsid w:val="009D5E30"/>
    <w:rsid w:val="009D64B0"/>
    <w:rsid w:val="009D78FE"/>
    <w:rsid w:val="009E0DF2"/>
    <w:rsid w:val="009E2765"/>
    <w:rsid w:val="009E2C4C"/>
    <w:rsid w:val="009E509B"/>
    <w:rsid w:val="009E5F55"/>
    <w:rsid w:val="009F48CE"/>
    <w:rsid w:val="009F5431"/>
    <w:rsid w:val="009F5C57"/>
    <w:rsid w:val="00A079C6"/>
    <w:rsid w:val="00A11791"/>
    <w:rsid w:val="00A15437"/>
    <w:rsid w:val="00A207B9"/>
    <w:rsid w:val="00A317A2"/>
    <w:rsid w:val="00A31C07"/>
    <w:rsid w:val="00A31E32"/>
    <w:rsid w:val="00A35D90"/>
    <w:rsid w:val="00A37ECC"/>
    <w:rsid w:val="00A41DC7"/>
    <w:rsid w:val="00A4364F"/>
    <w:rsid w:val="00A5424F"/>
    <w:rsid w:val="00A54EBE"/>
    <w:rsid w:val="00A56CB5"/>
    <w:rsid w:val="00A64717"/>
    <w:rsid w:val="00A748C9"/>
    <w:rsid w:val="00A77398"/>
    <w:rsid w:val="00A80C51"/>
    <w:rsid w:val="00A81EDF"/>
    <w:rsid w:val="00A83A62"/>
    <w:rsid w:val="00A929CC"/>
    <w:rsid w:val="00A9536F"/>
    <w:rsid w:val="00A95495"/>
    <w:rsid w:val="00A955F2"/>
    <w:rsid w:val="00AA0FBE"/>
    <w:rsid w:val="00AA4479"/>
    <w:rsid w:val="00AA48D1"/>
    <w:rsid w:val="00AB7E31"/>
    <w:rsid w:val="00AD2F5B"/>
    <w:rsid w:val="00AD464B"/>
    <w:rsid w:val="00AD7E81"/>
    <w:rsid w:val="00AE0FF5"/>
    <w:rsid w:val="00AE127D"/>
    <w:rsid w:val="00AF12E5"/>
    <w:rsid w:val="00AF7D70"/>
    <w:rsid w:val="00B017FE"/>
    <w:rsid w:val="00B05D04"/>
    <w:rsid w:val="00B17E63"/>
    <w:rsid w:val="00B17F7F"/>
    <w:rsid w:val="00B20869"/>
    <w:rsid w:val="00B211ED"/>
    <w:rsid w:val="00B319D0"/>
    <w:rsid w:val="00B33B3B"/>
    <w:rsid w:val="00B52B37"/>
    <w:rsid w:val="00B548FD"/>
    <w:rsid w:val="00B556FB"/>
    <w:rsid w:val="00B56361"/>
    <w:rsid w:val="00B61746"/>
    <w:rsid w:val="00B62005"/>
    <w:rsid w:val="00B67934"/>
    <w:rsid w:val="00B76FFB"/>
    <w:rsid w:val="00B7795B"/>
    <w:rsid w:val="00B77961"/>
    <w:rsid w:val="00B803FE"/>
    <w:rsid w:val="00B84C74"/>
    <w:rsid w:val="00B94CF1"/>
    <w:rsid w:val="00BA2379"/>
    <w:rsid w:val="00BA6F13"/>
    <w:rsid w:val="00BB3A8E"/>
    <w:rsid w:val="00BB7111"/>
    <w:rsid w:val="00BC0690"/>
    <w:rsid w:val="00BC4D83"/>
    <w:rsid w:val="00BC6D1F"/>
    <w:rsid w:val="00BD1CD3"/>
    <w:rsid w:val="00BE0F5B"/>
    <w:rsid w:val="00BE242C"/>
    <w:rsid w:val="00BF2DE4"/>
    <w:rsid w:val="00BF4E4B"/>
    <w:rsid w:val="00BF7045"/>
    <w:rsid w:val="00C03881"/>
    <w:rsid w:val="00C03EC3"/>
    <w:rsid w:val="00C051BA"/>
    <w:rsid w:val="00C052AB"/>
    <w:rsid w:val="00C114D9"/>
    <w:rsid w:val="00C115C2"/>
    <w:rsid w:val="00C12A33"/>
    <w:rsid w:val="00C20A8B"/>
    <w:rsid w:val="00C234FA"/>
    <w:rsid w:val="00C31DD3"/>
    <w:rsid w:val="00C3405B"/>
    <w:rsid w:val="00C510B7"/>
    <w:rsid w:val="00C54574"/>
    <w:rsid w:val="00C67F26"/>
    <w:rsid w:val="00C72985"/>
    <w:rsid w:val="00C73607"/>
    <w:rsid w:val="00C7749B"/>
    <w:rsid w:val="00C82DE7"/>
    <w:rsid w:val="00C90F87"/>
    <w:rsid w:val="00C91EA9"/>
    <w:rsid w:val="00CB10A1"/>
    <w:rsid w:val="00CB1671"/>
    <w:rsid w:val="00CB3128"/>
    <w:rsid w:val="00CB582D"/>
    <w:rsid w:val="00CB63FC"/>
    <w:rsid w:val="00CB78F3"/>
    <w:rsid w:val="00CC1E96"/>
    <w:rsid w:val="00CC7527"/>
    <w:rsid w:val="00CD310F"/>
    <w:rsid w:val="00CD60E2"/>
    <w:rsid w:val="00CF37DE"/>
    <w:rsid w:val="00CF45D0"/>
    <w:rsid w:val="00CF4883"/>
    <w:rsid w:val="00CF6FCC"/>
    <w:rsid w:val="00D06972"/>
    <w:rsid w:val="00D21461"/>
    <w:rsid w:val="00D22BE5"/>
    <w:rsid w:val="00D30B85"/>
    <w:rsid w:val="00D37A63"/>
    <w:rsid w:val="00D44310"/>
    <w:rsid w:val="00D44B33"/>
    <w:rsid w:val="00D556A1"/>
    <w:rsid w:val="00D563C2"/>
    <w:rsid w:val="00D57164"/>
    <w:rsid w:val="00D57281"/>
    <w:rsid w:val="00D65967"/>
    <w:rsid w:val="00D732AF"/>
    <w:rsid w:val="00D777F1"/>
    <w:rsid w:val="00D8185B"/>
    <w:rsid w:val="00D8194A"/>
    <w:rsid w:val="00D82F3E"/>
    <w:rsid w:val="00D969A3"/>
    <w:rsid w:val="00DA584A"/>
    <w:rsid w:val="00DB6895"/>
    <w:rsid w:val="00DC7AB8"/>
    <w:rsid w:val="00DD525D"/>
    <w:rsid w:val="00DD5508"/>
    <w:rsid w:val="00DE0E0D"/>
    <w:rsid w:val="00DE5E63"/>
    <w:rsid w:val="00DE675A"/>
    <w:rsid w:val="00E1452E"/>
    <w:rsid w:val="00E375E1"/>
    <w:rsid w:val="00E40A3B"/>
    <w:rsid w:val="00E431DF"/>
    <w:rsid w:val="00E54657"/>
    <w:rsid w:val="00E54827"/>
    <w:rsid w:val="00E6697F"/>
    <w:rsid w:val="00E74681"/>
    <w:rsid w:val="00E77CF4"/>
    <w:rsid w:val="00E8042B"/>
    <w:rsid w:val="00E820A0"/>
    <w:rsid w:val="00E9217F"/>
    <w:rsid w:val="00E9496E"/>
    <w:rsid w:val="00E95E2C"/>
    <w:rsid w:val="00E96765"/>
    <w:rsid w:val="00E97D09"/>
    <w:rsid w:val="00EA009B"/>
    <w:rsid w:val="00EA04B7"/>
    <w:rsid w:val="00EA0937"/>
    <w:rsid w:val="00EA7723"/>
    <w:rsid w:val="00EB17F3"/>
    <w:rsid w:val="00EB28CA"/>
    <w:rsid w:val="00EB57D6"/>
    <w:rsid w:val="00EC5445"/>
    <w:rsid w:val="00EE1688"/>
    <w:rsid w:val="00EE23CC"/>
    <w:rsid w:val="00EF36D5"/>
    <w:rsid w:val="00EF3F63"/>
    <w:rsid w:val="00EF4C13"/>
    <w:rsid w:val="00EF6EEB"/>
    <w:rsid w:val="00F072C2"/>
    <w:rsid w:val="00F1066F"/>
    <w:rsid w:val="00F21207"/>
    <w:rsid w:val="00F5110A"/>
    <w:rsid w:val="00F52FF2"/>
    <w:rsid w:val="00F53FD4"/>
    <w:rsid w:val="00F56BEA"/>
    <w:rsid w:val="00F72D89"/>
    <w:rsid w:val="00F74F31"/>
    <w:rsid w:val="00F95FE2"/>
    <w:rsid w:val="00FA0D4F"/>
    <w:rsid w:val="00FA3C12"/>
    <w:rsid w:val="00FB02D1"/>
    <w:rsid w:val="00FB3A1E"/>
    <w:rsid w:val="00FB3C91"/>
    <w:rsid w:val="00FB4DCC"/>
    <w:rsid w:val="00FB6647"/>
    <w:rsid w:val="00FD3F1A"/>
    <w:rsid w:val="00FD442A"/>
    <w:rsid w:val="00FD6406"/>
    <w:rsid w:val="00FE4C7B"/>
    <w:rsid w:val="00FE5FE9"/>
    <w:rsid w:val="00FF0F02"/>
    <w:rsid w:val="019172A1"/>
    <w:rsid w:val="021F1C6E"/>
    <w:rsid w:val="03D219E6"/>
    <w:rsid w:val="03F47F88"/>
    <w:rsid w:val="04674D68"/>
    <w:rsid w:val="04FC07BA"/>
    <w:rsid w:val="05D848B3"/>
    <w:rsid w:val="06435D68"/>
    <w:rsid w:val="06FD2FAE"/>
    <w:rsid w:val="070619D4"/>
    <w:rsid w:val="08901822"/>
    <w:rsid w:val="094B5940"/>
    <w:rsid w:val="09CD219B"/>
    <w:rsid w:val="09ED576F"/>
    <w:rsid w:val="0A36039E"/>
    <w:rsid w:val="0A57659C"/>
    <w:rsid w:val="0B14138C"/>
    <w:rsid w:val="0B154424"/>
    <w:rsid w:val="0B7A589E"/>
    <w:rsid w:val="0B8E6234"/>
    <w:rsid w:val="0C347173"/>
    <w:rsid w:val="0C7739DA"/>
    <w:rsid w:val="0C7E427E"/>
    <w:rsid w:val="0D150F86"/>
    <w:rsid w:val="0DC603F7"/>
    <w:rsid w:val="0DC71F50"/>
    <w:rsid w:val="0E977180"/>
    <w:rsid w:val="0E9C7E2D"/>
    <w:rsid w:val="0F2A5DFB"/>
    <w:rsid w:val="0F8C0B97"/>
    <w:rsid w:val="0FB36372"/>
    <w:rsid w:val="0FF63438"/>
    <w:rsid w:val="1077652B"/>
    <w:rsid w:val="11415A97"/>
    <w:rsid w:val="11A00946"/>
    <w:rsid w:val="11B76268"/>
    <w:rsid w:val="11CE72AB"/>
    <w:rsid w:val="11DA1F57"/>
    <w:rsid w:val="11E1165F"/>
    <w:rsid w:val="13747240"/>
    <w:rsid w:val="13CD626C"/>
    <w:rsid w:val="14AA3E63"/>
    <w:rsid w:val="1500444F"/>
    <w:rsid w:val="16FB63CD"/>
    <w:rsid w:val="17CE7E68"/>
    <w:rsid w:val="17E40848"/>
    <w:rsid w:val="181E6DC2"/>
    <w:rsid w:val="193E71E8"/>
    <w:rsid w:val="199F72DD"/>
    <w:rsid w:val="19D44C1D"/>
    <w:rsid w:val="1B900DD2"/>
    <w:rsid w:val="1BE5548B"/>
    <w:rsid w:val="1C7F5342"/>
    <w:rsid w:val="1CF4520D"/>
    <w:rsid w:val="1D050FD1"/>
    <w:rsid w:val="1D33172A"/>
    <w:rsid w:val="1DA67191"/>
    <w:rsid w:val="1DB74A19"/>
    <w:rsid w:val="1E9B1CEE"/>
    <w:rsid w:val="1EB63404"/>
    <w:rsid w:val="1EB73147"/>
    <w:rsid w:val="1F4D7FB9"/>
    <w:rsid w:val="1FCD5DC0"/>
    <w:rsid w:val="1FD746B4"/>
    <w:rsid w:val="1FDB341E"/>
    <w:rsid w:val="20A22BE1"/>
    <w:rsid w:val="2129347A"/>
    <w:rsid w:val="216750D4"/>
    <w:rsid w:val="2291024E"/>
    <w:rsid w:val="24084702"/>
    <w:rsid w:val="244871F4"/>
    <w:rsid w:val="245B3C6C"/>
    <w:rsid w:val="24635513"/>
    <w:rsid w:val="24803A88"/>
    <w:rsid w:val="25100723"/>
    <w:rsid w:val="25904EF9"/>
    <w:rsid w:val="25C36217"/>
    <w:rsid w:val="25E9677D"/>
    <w:rsid w:val="26AE4434"/>
    <w:rsid w:val="26EC20B9"/>
    <w:rsid w:val="271700BC"/>
    <w:rsid w:val="289D3C13"/>
    <w:rsid w:val="29742782"/>
    <w:rsid w:val="298F7323"/>
    <w:rsid w:val="29C07BD4"/>
    <w:rsid w:val="29FB1396"/>
    <w:rsid w:val="2A1805FD"/>
    <w:rsid w:val="2A214D7D"/>
    <w:rsid w:val="2A2A1006"/>
    <w:rsid w:val="2A4B3E25"/>
    <w:rsid w:val="2A5C258F"/>
    <w:rsid w:val="2A9E278A"/>
    <w:rsid w:val="2CC057FC"/>
    <w:rsid w:val="2CF448EE"/>
    <w:rsid w:val="2D220E22"/>
    <w:rsid w:val="2FE12F14"/>
    <w:rsid w:val="30523B14"/>
    <w:rsid w:val="309704E6"/>
    <w:rsid w:val="31D02253"/>
    <w:rsid w:val="321532B5"/>
    <w:rsid w:val="32F64F2A"/>
    <w:rsid w:val="33D74D57"/>
    <w:rsid w:val="341B76FD"/>
    <w:rsid w:val="357E0FAD"/>
    <w:rsid w:val="35FF3220"/>
    <w:rsid w:val="36605302"/>
    <w:rsid w:val="36920EF0"/>
    <w:rsid w:val="36A12147"/>
    <w:rsid w:val="37165CDA"/>
    <w:rsid w:val="375C149E"/>
    <w:rsid w:val="37983F3B"/>
    <w:rsid w:val="37D12AAF"/>
    <w:rsid w:val="37E51F96"/>
    <w:rsid w:val="37EB063E"/>
    <w:rsid w:val="382D75D2"/>
    <w:rsid w:val="38D3711B"/>
    <w:rsid w:val="39577F3F"/>
    <w:rsid w:val="396B3311"/>
    <w:rsid w:val="39741D0B"/>
    <w:rsid w:val="39C95141"/>
    <w:rsid w:val="39FC2913"/>
    <w:rsid w:val="3A865F28"/>
    <w:rsid w:val="3AC12518"/>
    <w:rsid w:val="3BED730D"/>
    <w:rsid w:val="3C5F6722"/>
    <w:rsid w:val="3CA24510"/>
    <w:rsid w:val="3CB313E5"/>
    <w:rsid w:val="3CF63839"/>
    <w:rsid w:val="3DC62C68"/>
    <w:rsid w:val="3E440AB7"/>
    <w:rsid w:val="3E540005"/>
    <w:rsid w:val="3E8624E0"/>
    <w:rsid w:val="3EC4249A"/>
    <w:rsid w:val="3EEA20AF"/>
    <w:rsid w:val="3FAA6B8E"/>
    <w:rsid w:val="3FB672B0"/>
    <w:rsid w:val="3FC306F2"/>
    <w:rsid w:val="407A652F"/>
    <w:rsid w:val="419D26F2"/>
    <w:rsid w:val="41E75A03"/>
    <w:rsid w:val="41F83A9E"/>
    <w:rsid w:val="42426637"/>
    <w:rsid w:val="42B34AC9"/>
    <w:rsid w:val="4374336C"/>
    <w:rsid w:val="44C13E7D"/>
    <w:rsid w:val="44CA4BFA"/>
    <w:rsid w:val="44FD5630"/>
    <w:rsid w:val="453223B0"/>
    <w:rsid w:val="4638232C"/>
    <w:rsid w:val="465B7E10"/>
    <w:rsid w:val="483F42E6"/>
    <w:rsid w:val="489F2FD7"/>
    <w:rsid w:val="496962ED"/>
    <w:rsid w:val="49713D0D"/>
    <w:rsid w:val="4A306ED6"/>
    <w:rsid w:val="4ACC1D2F"/>
    <w:rsid w:val="4B8D6ED7"/>
    <w:rsid w:val="4B9C1A50"/>
    <w:rsid w:val="4BDB2578"/>
    <w:rsid w:val="4C1E1226"/>
    <w:rsid w:val="4C796CF2"/>
    <w:rsid w:val="4CF02842"/>
    <w:rsid w:val="4DE92CB2"/>
    <w:rsid w:val="4E3862A7"/>
    <w:rsid w:val="4E8B206D"/>
    <w:rsid w:val="504970E8"/>
    <w:rsid w:val="513053A2"/>
    <w:rsid w:val="519F19E3"/>
    <w:rsid w:val="533D58C6"/>
    <w:rsid w:val="54EE6540"/>
    <w:rsid w:val="54F32F13"/>
    <w:rsid w:val="54FA6652"/>
    <w:rsid w:val="553E3FA3"/>
    <w:rsid w:val="5575670C"/>
    <w:rsid w:val="55B045B8"/>
    <w:rsid w:val="55FC4375"/>
    <w:rsid w:val="560D439C"/>
    <w:rsid w:val="565B036A"/>
    <w:rsid w:val="56B01738"/>
    <w:rsid w:val="56D56B38"/>
    <w:rsid w:val="57067E06"/>
    <w:rsid w:val="57162345"/>
    <w:rsid w:val="574E096A"/>
    <w:rsid w:val="5765192D"/>
    <w:rsid w:val="587570FD"/>
    <w:rsid w:val="59283197"/>
    <w:rsid w:val="59940185"/>
    <w:rsid w:val="59FA5928"/>
    <w:rsid w:val="5A1804DF"/>
    <w:rsid w:val="5AA6271A"/>
    <w:rsid w:val="5AA86375"/>
    <w:rsid w:val="5AEC7235"/>
    <w:rsid w:val="5C776F19"/>
    <w:rsid w:val="5CD96437"/>
    <w:rsid w:val="5D373670"/>
    <w:rsid w:val="5DED6477"/>
    <w:rsid w:val="5E7A44C7"/>
    <w:rsid w:val="5F0F7118"/>
    <w:rsid w:val="5F5A7717"/>
    <w:rsid w:val="612B236F"/>
    <w:rsid w:val="62194FB3"/>
    <w:rsid w:val="62291F2D"/>
    <w:rsid w:val="625E0FA6"/>
    <w:rsid w:val="62A02B74"/>
    <w:rsid w:val="631A6E47"/>
    <w:rsid w:val="64D50799"/>
    <w:rsid w:val="64EE7E45"/>
    <w:rsid w:val="65064C8A"/>
    <w:rsid w:val="650D176A"/>
    <w:rsid w:val="65DC4CFC"/>
    <w:rsid w:val="66AF66E1"/>
    <w:rsid w:val="66B050FF"/>
    <w:rsid w:val="670F6C2E"/>
    <w:rsid w:val="674F5770"/>
    <w:rsid w:val="67603B6A"/>
    <w:rsid w:val="686869CF"/>
    <w:rsid w:val="698C56C9"/>
    <w:rsid w:val="6AE55AA5"/>
    <w:rsid w:val="6D6F36C4"/>
    <w:rsid w:val="6D717DF0"/>
    <w:rsid w:val="6DAA43B3"/>
    <w:rsid w:val="6DD5159A"/>
    <w:rsid w:val="6E1E5F9D"/>
    <w:rsid w:val="6EFD5A0E"/>
    <w:rsid w:val="6FA86B63"/>
    <w:rsid w:val="6FE27CE1"/>
    <w:rsid w:val="701557F7"/>
    <w:rsid w:val="70F866C2"/>
    <w:rsid w:val="7206464C"/>
    <w:rsid w:val="720B67F9"/>
    <w:rsid w:val="730646C5"/>
    <w:rsid w:val="73397F19"/>
    <w:rsid w:val="739A002C"/>
    <w:rsid w:val="73B85401"/>
    <w:rsid w:val="73E9220F"/>
    <w:rsid w:val="74312486"/>
    <w:rsid w:val="743E34FF"/>
    <w:rsid w:val="74797928"/>
    <w:rsid w:val="75457F23"/>
    <w:rsid w:val="75CC16D6"/>
    <w:rsid w:val="75F91E5D"/>
    <w:rsid w:val="765A4953"/>
    <w:rsid w:val="769073B7"/>
    <w:rsid w:val="76F0722E"/>
    <w:rsid w:val="776A5B6D"/>
    <w:rsid w:val="776E1C43"/>
    <w:rsid w:val="77776584"/>
    <w:rsid w:val="778D0871"/>
    <w:rsid w:val="77A574CA"/>
    <w:rsid w:val="77E05C28"/>
    <w:rsid w:val="790629DF"/>
    <w:rsid w:val="79817FDA"/>
    <w:rsid w:val="79D06F6E"/>
    <w:rsid w:val="7A0C6AE0"/>
    <w:rsid w:val="7AD9B659"/>
    <w:rsid w:val="7B044D7B"/>
    <w:rsid w:val="7B205624"/>
    <w:rsid w:val="7BE91E19"/>
    <w:rsid w:val="7C006F3B"/>
    <w:rsid w:val="7C9F4740"/>
    <w:rsid w:val="7CCB62E2"/>
    <w:rsid w:val="7CD304F9"/>
    <w:rsid w:val="7CFBB5C4"/>
    <w:rsid w:val="7E1E6FF0"/>
    <w:rsid w:val="7E694138"/>
    <w:rsid w:val="7FD21E32"/>
    <w:rsid w:val="7FE37A28"/>
    <w:rsid w:val="7FEEB963"/>
    <w:rsid w:val="7FFBA623"/>
    <w:rsid w:val="7FFD5BDC"/>
    <w:rsid w:val="BD9FD219"/>
    <w:rsid w:val="BFF2F1FD"/>
    <w:rsid w:val="DDB72AE1"/>
    <w:rsid w:val="DFFD8F5C"/>
    <w:rsid w:val="FFFF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4"/>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5"/>
    <w:qFormat/>
    <w:uiPriority w:val="0"/>
    <w:pPr>
      <w:keepNext/>
      <w:keepLines/>
      <w:spacing w:line="600" w:lineRule="exact"/>
      <w:ind w:firstLine="643" w:firstLineChars="200"/>
      <w:outlineLvl w:val="2"/>
    </w:pPr>
    <w:rPr>
      <w:b/>
      <w:bCs/>
      <w:sz w:val="32"/>
      <w:szCs w:val="32"/>
    </w:rPr>
  </w:style>
  <w:style w:type="paragraph" w:styleId="6">
    <w:name w:val="heading 4"/>
    <w:basedOn w:val="1"/>
    <w:next w:val="1"/>
    <w:link w:val="56"/>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7">
    <w:name w:val="heading 5"/>
    <w:basedOn w:val="1"/>
    <w:next w:val="8"/>
    <w:link w:val="57"/>
    <w:qFormat/>
    <w:uiPriority w:val="9"/>
    <w:pPr>
      <w:keepNext/>
      <w:keepLines/>
      <w:spacing w:before="280" w:after="290" w:line="376" w:lineRule="auto"/>
      <w:outlineLvl w:val="4"/>
    </w:pPr>
    <w:rPr>
      <w:b/>
      <w:bCs/>
      <w:sz w:val="28"/>
      <w:szCs w:val="28"/>
    </w:rPr>
  </w:style>
  <w:style w:type="paragraph" w:styleId="9">
    <w:name w:val="heading 6"/>
    <w:basedOn w:val="1"/>
    <w:next w:val="1"/>
    <w:qFormat/>
    <w:uiPriority w:val="99"/>
    <w:pPr>
      <w:keepNext/>
      <w:keepLines/>
      <w:spacing w:before="240" w:after="64" w:line="320" w:lineRule="auto"/>
      <w:outlineLvl w:val="5"/>
    </w:pPr>
    <w:rPr>
      <w:rFonts w:ascii="Arial" w:hAnsi="Arial" w:eastAsia="黑体" w:cs="Arial"/>
      <w:b/>
      <w:bCs/>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1"/>
    <w:unhideWhenUsed/>
    <w:qFormat/>
    <w:uiPriority w:val="99"/>
    <w:pPr>
      <w:spacing w:after="120"/>
    </w:pPr>
  </w:style>
  <w:style w:type="paragraph" w:styleId="8">
    <w:name w:val="Normal Indent"/>
    <w:basedOn w:val="1"/>
    <w:qFormat/>
    <w:uiPriority w:val="0"/>
    <w:pPr>
      <w:ind w:firstLine="420"/>
    </w:pPr>
    <w:rPr>
      <w:szCs w:val="20"/>
    </w:rPr>
  </w:style>
  <w:style w:type="paragraph" w:styleId="10">
    <w:name w:val="toc 7"/>
    <w:basedOn w:val="1"/>
    <w:next w:val="1"/>
    <w:unhideWhenUsed/>
    <w:qFormat/>
    <w:uiPriority w:val="39"/>
    <w:pPr>
      <w:jc w:val="left"/>
    </w:pPr>
    <w:rPr>
      <w:rFonts w:ascii="Calibri" w:hAnsi="Calibri"/>
      <w:sz w:val="22"/>
      <w:szCs w:val="22"/>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link w:val="58"/>
    <w:qFormat/>
    <w:uiPriority w:val="0"/>
    <w:rPr>
      <w:rFonts w:ascii="宋体"/>
      <w:sz w:val="18"/>
      <w:szCs w:val="18"/>
    </w:rPr>
  </w:style>
  <w:style w:type="paragraph" w:styleId="13">
    <w:name w:val="annotation text"/>
    <w:basedOn w:val="1"/>
    <w:link w:val="59"/>
    <w:qFormat/>
    <w:uiPriority w:val="0"/>
    <w:pPr>
      <w:jc w:val="left"/>
    </w:pPr>
  </w:style>
  <w:style w:type="paragraph" w:styleId="14">
    <w:name w:val="Body Text 3"/>
    <w:basedOn w:val="1"/>
    <w:link w:val="60"/>
    <w:unhideWhenUsed/>
    <w:qFormat/>
    <w:uiPriority w:val="99"/>
    <w:pPr>
      <w:spacing w:after="120"/>
    </w:pPr>
    <w:rPr>
      <w:sz w:val="16"/>
      <w:szCs w:val="16"/>
    </w:rPr>
  </w:style>
  <w:style w:type="paragraph" w:styleId="15">
    <w:name w:val="Body Text Indent"/>
    <w:basedOn w:val="1"/>
    <w:link w:val="52"/>
    <w:qFormat/>
    <w:uiPriority w:val="0"/>
    <w:pPr>
      <w:spacing w:line="200" w:lineRule="exact"/>
      <w:ind w:firstLine="301"/>
    </w:pPr>
    <w:rPr>
      <w:rFonts w:ascii="宋体" w:hAnsi="Courier New"/>
      <w:spacing w:val="-4"/>
      <w:sz w:val="18"/>
      <w:szCs w:val="20"/>
    </w:rPr>
  </w:style>
  <w:style w:type="paragraph" w:styleId="16">
    <w:name w:val="toc 5"/>
    <w:basedOn w:val="1"/>
    <w:next w:val="1"/>
    <w:unhideWhenUsed/>
    <w:qFormat/>
    <w:uiPriority w:val="39"/>
    <w:pPr>
      <w:jc w:val="left"/>
    </w:pPr>
    <w:rPr>
      <w:rFonts w:ascii="Calibri" w:hAnsi="Calibri"/>
      <w:sz w:val="22"/>
      <w:szCs w:val="22"/>
    </w:rPr>
  </w:style>
  <w:style w:type="paragraph" w:styleId="17">
    <w:name w:val="toc 3"/>
    <w:basedOn w:val="1"/>
    <w:next w:val="1"/>
    <w:unhideWhenUsed/>
    <w:qFormat/>
    <w:uiPriority w:val="39"/>
    <w:pPr>
      <w:jc w:val="left"/>
    </w:pPr>
    <w:rPr>
      <w:rFonts w:ascii="Calibri" w:hAnsi="Calibri"/>
      <w:smallCaps/>
      <w:sz w:val="22"/>
      <w:szCs w:val="22"/>
    </w:rPr>
  </w:style>
  <w:style w:type="paragraph" w:styleId="18">
    <w:name w:val="Plain Text"/>
    <w:basedOn w:val="1"/>
    <w:link w:val="61"/>
    <w:qFormat/>
    <w:uiPriority w:val="0"/>
    <w:rPr>
      <w:rFonts w:ascii="宋体" w:hAnsi="Courier New"/>
      <w:szCs w:val="20"/>
    </w:rPr>
  </w:style>
  <w:style w:type="paragraph" w:styleId="19">
    <w:name w:val="toc 8"/>
    <w:basedOn w:val="1"/>
    <w:next w:val="1"/>
    <w:unhideWhenUsed/>
    <w:qFormat/>
    <w:uiPriority w:val="39"/>
    <w:pPr>
      <w:jc w:val="left"/>
    </w:pPr>
    <w:rPr>
      <w:rFonts w:ascii="Calibri" w:hAnsi="Calibri"/>
      <w:sz w:val="22"/>
      <w:szCs w:val="22"/>
    </w:rPr>
  </w:style>
  <w:style w:type="paragraph" w:styleId="20">
    <w:name w:val="Date"/>
    <w:basedOn w:val="1"/>
    <w:next w:val="1"/>
    <w:link w:val="62"/>
    <w:qFormat/>
    <w:uiPriority w:val="0"/>
    <w:pPr>
      <w:ind w:left="100" w:leftChars="2500"/>
    </w:pPr>
  </w:style>
  <w:style w:type="paragraph" w:styleId="21">
    <w:name w:val="Body Text Indent 2"/>
    <w:basedOn w:val="1"/>
    <w:link w:val="63"/>
    <w:qFormat/>
    <w:uiPriority w:val="0"/>
    <w:pPr>
      <w:spacing w:after="120" w:line="480" w:lineRule="auto"/>
      <w:ind w:left="420" w:leftChars="200"/>
    </w:pPr>
  </w:style>
  <w:style w:type="paragraph" w:styleId="22">
    <w:name w:val="Balloon Text"/>
    <w:basedOn w:val="1"/>
    <w:link w:val="64"/>
    <w:qFormat/>
    <w:uiPriority w:val="0"/>
    <w:rPr>
      <w:sz w:val="18"/>
      <w:szCs w:val="18"/>
    </w:rPr>
  </w:style>
  <w:style w:type="paragraph" w:styleId="23">
    <w:name w:val="footer"/>
    <w:basedOn w:val="1"/>
    <w:link w:val="65"/>
    <w:qFormat/>
    <w:uiPriority w:val="99"/>
    <w:pPr>
      <w:tabs>
        <w:tab w:val="center" w:pos="4153"/>
        <w:tab w:val="right" w:pos="8306"/>
      </w:tabs>
      <w:snapToGrid w:val="0"/>
      <w:jc w:val="left"/>
    </w:pPr>
    <w:rPr>
      <w:sz w:val="18"/>
      <w:szCs w:val="18"/>
    </w:rPr>
  </w:style>
  <w:style w:type="paragraph" w:styleId="24">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360" w:after="360"/>
      <w:jc w:val="left"/>
    </w:pPr>
    <w:rPr>
      <w:rFonts w:ascii="Calibri" w:hAnsi="Calibri"/>
      <w:b/>
      <w:bCs/>
      <w:caps/>
      <w:sz w:val="22"/>
      <w:szCs w:val="22"/>
      <w:u w:val="single"/>
    </w:rPr>
  </w:style>
  <w:style w:type="paragraph" w:styleId="26">
    <w:name w:val="toc 4"/>
    <w:basedOn w:val="1"/>
    <w:next w:val="1"/>
    <w:unhideWhenUsed/>
    <w:qFormat/>
    <w:uiPriority w:val="39"/>
    <w:pPr>
      <w:jc w:val="left"/>
    </w:pPr>
    <w:rPr>
      <w:rFonts w:ascii="Calibri" w:hAnsi="Calibri"/>
      <w:sz w:val="22"/>
      <w:szCs w:val="22"/>
    </w:rPr>
  </w:style>
  <w:style w:type="paragraph" w:styleId="27">
    <w:name w:val="List"/>
    <w:basedOn w:val="1"/>
    <w:qFormat/>
    <w:uiPriority w:val="0"/>
    <w:pPr>
      <w:ind w:left="200" w:hanging="200" w:hangingChars="200"/>
    </w:pPr>
    <w:rPr>
      <w:sz w:val="28"/>
    </w:rPr>
  </w:style>
  <w:style w:type="paragraph" w:styleId="28">
    <w:name w:val="toc 6"/>
    <w:basedOn w:val="1"/>
    <w:next w:val="1"/>
    <w:unhideWhenUsed/>
    <w:qFormat/>
    <w:uiPriority w:val="39"/>
    <w:pPr>
      <w:jc w:val="left"/>
    </w:pPr>
    <w:rPr>
      <w:rFonts w:ascii="Calibri" w:hAnsi="Calibri"/>
      <w:sz w:val="22"/>
      <w:szCs w:val="22"/>
    </w:rPr>
  </w:style>
  <w:style w:type="paragraph" w:styleId="29">
    <w:name w:val="toc 2"/>
    <w:basedOn w:val="1"/>
    <w:next w:val="1"/>
    <w:qFormat/>
    <w:uiPriority w:val="39"/>
    <w:pPr>
      <w:jc w:val="left"/>
    </w:pPr>
    <w:rPr>
      <w:rFonts w:ascii="Calibri" w:hAnsi="Calibri"/>
      <w:b/>
      <w:bCs/>
      <w:smallCaps/>
      <w:sz w:val="22"/>
      <w:szCs w:val="22"/>
    </w:rPr>
  </w:style>
  <w:style w:type="paragraph" w:styleId="30">
    <w:name w:val="toc 9"/>
    <w:basedOn w:val="1"/>
    <w:next w:val="1"/>
    <w:unhideWhenUsed/>
    <w:qFormat/>
    <w:uiPriority w:val="39"/>
    <w:pPr>
      <w:jc w:val="left"/>
    </w:pPr>
    <w:rPr>
      <w:rFonts w:ascii="Calibri" w:hAnsi="Calibri"/>
      <w:sz w:val="22"/>
      <w:szCs w:val="22"/>
    </w:rPr>
  </w:style>
  <w:style w:type="paragraph" w:styleId="31">
    <w:name w:val="Normal (Web)"/>
    <w:basedOn w:val="1"/>
    <w:unhideWhenUsed/>
    <w:qFormat/>
    <w:uiPriority w:val="99"/>
    <w:pPr>
      <w:spacing w:before="75" w:after="75"/>
      <w:jc w:val="left"/>
    </w:pPr>
    <w:rPr>
      <w:kern w:val="0"/>
      <w:sz w:val="24"/>
    </w:rPr>
  </w:style>
  <w:style w:type="paragraph" w:styleId="32">
    <w:name w:val="annotation subject"/>
    <w:basedOn w:val="13"/>
    <w:next w:val="13"/>
    <w:link w:val="67"/>
    <w:unhideWhenUsed/>
    <w:qFormat/>
    <w:uiPriority w:val="99"/>
    <w:rPr>
      <w:b/>
      <w:bCs/>
    </w:rPr>
  </w:style>
  <w:style w:type="paragraph" w:styleId="33">
    <w:name w:val="Body Text First Indent 2"/>
    <w:basedOn w:val="15"/>
    <w:unhideWhenUsed/>
    <w:qFormat/>
    <w:uiPriority w:val="0"/>
    <w:pPr>
      <w:spacing w:after="120" w:line="240" w:lineRule="auto"/>
      <w:ind w:left="420" w:leftChars="200" w:firstLine="210" w:firstLineChars="200"/>
    </w:pPr>
    <w:rPr>
      <w:rFonts w:hAnsi="宋体"/>
      <w:sz w:val="28"/>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qFormat/>
    <w:uiPriority w:val="0"/>
  </w:style>
  <w:style w:type="character" w:styleId="38">
    <w:name w:val="FollowedHyperlink"/>
    <w:qFormat/>
    <w:uiPriority w:val="0"/>
    <w:rPr>
      <w:color w:val="800080"/>
      <w:u w:val="single"/>
    </w:rPr>
  </w:style>
  <w:style w:type="character" w:styleId="39">
    <w:name w:val="Emphasis"/>
    <w:basedOn w:val="36"/>
    <w:qFormat/>
    <w:uiPriority w:val="20"/>
  </w:style>
  <w:style w:type="character" w:styleId="40">
    <w:name w:val="HTML Definition"/>
    <w:basedOn w:val="36"/>
    <w:semiHidden/>
    <w:unhideWhenUsed/>
    <w:qFormat/>
    <w:uiPriority w:val="99"/>
  </w:style>
  <w:style w:type="character" w:styleId="41">
    <w:name w:val="HTML Typewriter"/>
    <w:basedOn w:val="36"/>
    <w:semiHidden/>
    <w:unhideWhenUsed/>
    <w:qFormat/>
    <w:uiPriority w:val="99"/>
    <w:rPr>
      <w:rFonts w:ascii="monospace" w:hAnsi="monospace" w:eastAsia="monospace" w:cs="monospace"/>
      <w:sz w:val="20"/>
    </w:rPr>
  </w:style>
  <w:style w:type="character" w:styleId="42">
    <w:name w:val="HTML Acronym"/>
    <w:basedOn w:val="36"/>
    <w:semiHidden/>
    <w:unhideWhenUsed/>
    <w:qFormat/>
    <w:uiPriority w:val="99"/>
  </w:style>
  <w:style w:type="character" w:styleId="43">
    <w:name w:val="HTML Variable"/>
    <w:basedOn w:val="36"/>
    <w:semiHidden/>
    <w:unhideWhenUsed/>
    <w:qFormat/>
    <w:uiPriority w:val="99"/>
  </w:style>
  <w:style w:type="character" w:styleId="44">
    <w:name w:val="Hyperlink"/>
    <w:basedOn w:val="36"/>
    <w:qFormat/>
    <w:uiPriority w:val="99"/>
    <w:rPr>
      <w:color w:val="0000FF"/>
      <w:u w:val="single"/>
    </w:rPr>
  </w:style>
  <w:style w:type="character" w:styleId="45">
    <w:name w:val="HTML Code"/>
    <w:basedOn w:val="36"/>
    <w:semiHidden/>
    <w:unhideWhenUsed/>
    <w:qFormat/>
    <w:uiPriority w:val="99"/>
    <w:rPr>
      <w:rFonts w:hint="default" w:ascii="monospace" w:hAnsi="monospace" w:eastAsia="monospace" w:cs="monospace"/>
      <w:sz w:val="20"/>
    </w:rPr>
  </w:style>
  <w:style w:type="character" w:styleId="46">
    <w:name w:val="annotation reference"/>
    <w:qFormat/>
    <w:uiPriority w:val="99"/>
    <w:rPr>
      <w:sz w:val="21"/>
      <w:szCs w:val="21"/>
    </w:rPr>
  </w:style>
  <w:style w:type="character" w:styleId="47">
    <w:name w:val="HTML Cite"/>
    <w:basedOn w:val="36"/>
    <w:semiHidden/>
    <w:unhideWhenUsed/>
    <w:qFormat/>
    <w:uiPriority w:val="99"/>
  </w:style>
  <w:style w:type="character" w:styleId="48">
    <w:name w:val="HTML Keyboard"/>
    <w:basedOn w:val="36"/>
    <w:semiHidden/>
    <w:unhideWhenUsed/>
    <w:qFormat/>
    <w:uiPriority w:val="99"/>
    <w:rPr>
      <w:rFonts w:hint="default" w:ascii="monospace" w:hAnsi="monospace" w:eastAsia="monospace" w:cs="monospace"/>
      <w:sz w:val="20"/>
    </w:rPr>
  </w:style>
  <w:style w:type="character" w:styleId="49">
    <w:name w:val="HTML Sample"/>
    <w:basedOn w:val="36"/>
    <w:semiHidden/>
    <w:unhideWhenUsed/>
    <w:qFormat/>
    <w:uiPriority w:val="99"/>
    <w:rPr>
      <w:rFonts w:hint="default" w:ascii="monospace" w:hAnsi="monospace" w:eastAsia="monospace" w:cs="monospace"/>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1">
    <w:name w:val="正文文本 字符1"/>
    <w:link w:val="2"/>
    <w:qFormat/>
    <w:uiPriority w:val="99"/>
    <w:rPr>
      <w:kern w:val="2"/>
      <w:sz w:val="21"/>
      <w:szCs w:val="24"/>
    </w:rPr>
  </w:style>
  <w:style w:type="character" w:customStyle="1" w:styleId="52">
    <w:name w:val="正文文本缩进 字符1"/>
    <w:link w:val="15"/>
    <w:qFormat/>
    <w:uiPriority w:val="0"/>
    <w:rPr>
      <w:rFonts w:ascii="宋体" w:hAnsi="Courier New" w:eastAsia="宋体"/>
      <w:spacing w:val="-4"/>
      <w:kern w:val="2"/>
      <w:sz w:val="18"/>
      <w:lang w:val="en-US" w:eastAsia="zh-CN" w:bidi="ar-SA"/>
    </w:rPr>
  </w:style>
  <w:style w:type="character" w:customStyle="1" w:styleId="53">
    <w:name w:val="标题 1 字符1"/>
    <w:link w:val="3"/>
    <w:qFormat/>
    <w:uiPriority w:val="0"/>
    <w:rPr>
      <w:b/>
      <w:bCs/>
      <w:kern w:val="44"/>
      <w:sz w:val="44"/>
      <w:szCs w:val="44"/>
    </w:rPr>
  </w:style>
  <w:style w:type="character" w:customStyle="1" w:styleId="54">
    <w:name w:val="标题 2 字符1"/>
    <w:link w:val="4"/>
    <w:qFormat/>
    <w:uiPriority w:val="0"/>
    <w:rPr>
      <w:rFonts w:ascii="Arial" w:hAnsi="Arial" w:eastAsia="黑体"/>
      <w:b/>
      <w:bCs/>
      <w:kern w:val="2"/>
      <w:sz w:val="32"/>
      <w:szCs w:val="32"/>
    </w:rPr>
  </w:style>
  <w:style w:type="character" w:customStyle="1" w:styleId="55">
    <w:name w:val="标题 3 字符1"/>
    <w:link w:val="5"/>
    <w:qFormat/>
    <w:uiPriority w:val="0"/>
    <w:rPr>
      <w:b/>
      <w:bCs/>
      <w:kern w:val="2"/>
      <w:sz w:val="32"/>
      <w:szCs w:val="32"/>
    </w:rPr>
  </w:style>
  <w:style w:type="character" w:customStyle="1" w:styleId="56">
    <w:name w:val="标题 4 字符1"/>
    <w:link w:val="6"/>
    <w:qFormat/>
    <w:uiPriority w:val="0"/>
    <w:rPr>
      <w:rFonts w:ascii="Arial" w:eastAsia="黑体"/>
      <w:sz w:val="28"/>
    </w:rPr>
  </w:style>
  <w:style w:type="character" w:customStyle="1" w:styleId="57">
    <w:name w:val="标题 5 字符1"/>
    <w:link w:val="7"/>
    <w:qFormat/>
    <w:uiPriority w:val="9"/>
    <w:rPr>
      <w:b/>
      <w:bCs/>
      <w:kern w:val="2"/>
      <w:sz w:val="28"/>
      <w:szCs w:val="28"/>
    </w:rPr>
  </w:style>
  <w:style w:type="character" w:customStyle="1" w:styleId="58">
    <w:name w:val="文档结构图 字符1"/>
    <w:link w:val="12"/>
    <w:qFormat/>
    <w:uiPriority w:val="0"/>
    <w:rPr>
      <w:rFonts w:ascii="宋体"/>
      <w:kern w:val="2"/>
      <w:sz w:val="18"/>
      <w:szCs w:val="18"/>
    </w:rPr>
  </w:style>
  <w:style w:type="character" w:customStyle="1" w:styleId="59">
    <w:name w:val="批注文字 字符2"/>
    <w:link w:val="13"/>
    <w:qFormat/>
    <w:uiPriority w:val="0"/>
    <w:rPr>
      <w:kern w:val="2"/>
      <w:sz w:val="21"/>
      <w:szCs w:val="24"/>
    </w:rPr>
  </w:style>
  <w:style w:type="character" w:customStyle="1" w:styleId="60">
    <w:name w:val="正文文本 3 字符1"/>
    <w:link w:val="14"/>
    <w:qFormat/>
    <w:uiPriority w:val="99"/>
    <w:rPr>
      <w:kern w:val="2"/>
      <w:sz w:val="16"/>
      <w:szCs w:val="16"/>
    </w:rPr>
  </w:style>
  <w:style w:type="character" w:customStyle="1" w:styleId="61">
    <w:name w:val="纯文本 字符3"/>
    <w:link w:val="18"/>
    <w:qFormat/>
    <w:uiPriority w:val="0"/>
    <w:rPr>
      <w:rFonts w:ascii="宋体" w:hAnsi="Courier New" w:eastAsia="宋体"/>
      <w:kern w:val="2"/>
      <w:sz w:val="21"/>
      <w:lang w:val="en-US" w:eastAsia="zh-CN" w:bidi="ar-SA"/>
    </w:rPr>
  </w:style>
  <w:style w:type="character" w:customStyle="1" w:styleId="62">
    <w:name w:val="日期 字符1"/>
    <w:link w:val="20"/>
    <w:qFormat/>
    <w:uiPriority w:val="0"/>
    <w:rPr>
      <w:kern w:val="2"/>
      <w:sz w:val="21"/>
      <w:szCs w:val="24"/>
    </w:rPr>
  </w:style>
  <w:style w:type="character" w:customStyle="1" w:styleId="63">
    <w:name w:val="正文文本缩进 2 字符1"/>
    <w:link w:val="21"/>
    <w:qFormat/>
    <w:uiPriority w:val="0"/>
    <w:rPr>
      <w:kern w:val="2"/>
      <w:sz w:val="21"/>
      <w:szCs w:val="24"/>
    </w:rPr>
  </w:style>
  <w:style w:type="character" w:customStyle="1" w:styleId="64">
    <w:name w:val="批注框文本 字符1"/>
    <w:link w:val="22"/>
    <w:qFormat/>
    <w:uiPriority w:val="0"/>
    <w:rPr>
      <w:kern w:val="2"/>
      <w:sz w:val="18"/>
      <w:szCs w:val="18"/>
    </w:rPr>
  </w:style>
  <w:style w:type="character" w:customStyle="1" w:styleId="65">
    <w:name w:val="页脚 字符2"/>
    <w:link w:val="23"/>
    <w:qFormat/>
    <w:uiPriority w:val="99"/>
    <w:rPr>
      <w:kern w:val="2"/>
      <w:sz w:val="18"/>
      <w:szCs w:val="18"/>
    </w:rPr>
  </w:style>
  <w:style w:type="character" w:customStyle="1" w:styleId="66">
    <w:name w:val="页眉 字符2"/>
    <w:link w:val="24"/>
    <w:qFormat/>
    <w:uiPriority w:val="99"/>
    <w:rPr>
      <w:kern w:val="2"/>
      <w:sz w:val="18"/>
      <w:szCs w:val="18"/>
    </w:rPr>
  </w:style>
  <w:style w:type="character" w:customStyle="1" w:styleId="67">
    <w:name w:val="批注主题 字符1"/>
    <w:link w:val="32"/>
    <w:qFormat/>
    <w:uiPriority w:val="99"/>
    <w:rPr>
      <w:b/>
      <w:bCs/>
      <w:kern w:val="2"/>
      <w:sz w:val="21"/>
      <w:szCs w:val="24"/>
    </w:rPr>
  </w:style>
  <w:style w:type="character" w:customStyle="1" w:styleId="68">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69">
    <w:name w:val="日期 字符"/>
    <w:qFormat/>
    <w:uiPriority w:val="0"/>
    <w:rPr>
      <w:kern w:val="2"/>
      <w:sz w:val="21"/>
      <w:szCs w:val="24"/>
    </w:rPr>
  </w:style>
  <w:style w:type="character" w:customStyle="1" w:styleId="70">
    <w:name w:val="纯文本 Char_0"/>
    <w:link w:val="71"/>
    <w:qFormat/>
    <w:uiPriority w:val="0"/>
    <w:rPr>
      <w:rFonts w:ascii="宋体" w:hAnsi="Courier New"/>
      <w:kern w:val="2"/>
      <w:sz w:val="21"/>
      <w:szCs w:val="21"/>
    </w:rPr>
  </w:style>
  <w:style w:type="paragraph" w:customStyle="1" w:styleId="71">
    <w:name w:val="纯文本_0_0"/>
    <w:basedOn w:val="1"/>
    <w:link w:val="70"/>
    <w:qFormat/>
    <w:uiPriority w:val="0"/>
    <w:rPr>
      <w:rFonts w:ascii="宋体" w:hAnsi="Courier New"/>
      <w:szCs w:val="21"/>
    </w:rPr>
  </w:style>
  <w:style w:type="character" w:customStyle="1" w:styleId="72">
    <w:name w:val="NormalCharacter"/>
    <w:qFormat/>
    <w:uiPriority w:val="0"/>
  </w:style>
  <w:style w:type="character" w:customStyle="1" w:styleId="73">
    <w:name w:val="纯文本 字符2"/>
    <w:qFormat/>
    <w:uiPriority w:val="0"/>
    <w:rPr>
      <w:rFonts w:ascii="宋体" w:hAnsi="Courier New" w:eastAsia="宋体" w:cs="Courier New"/>
      <w:szCs w:val="21"/>
    </w:rPr>
  </w:style>
  <w:style w:type="character" w:customStyle="1" w:styleId="74">
    <w:name w:val="正文文本_"/>
    <w:link w:val="75"/>
    <w:qFormat/>
    <w:uiPriority w:val="0"/>
    <w:rPr>
      <w:rFonts w:ascii="MingLiU" w:hAnsi="MingLiU" w:eastAsia="MingLiU" w:cs="MingLiU"/>
      <w:spacing w:val="9"/>
      <w:sz w:val="19"/>
      <w:szCs w:val="19"/>
      <w:shd w:val="clear" w:color="auto" w:fill="FFFFFF"/>
    </w:rPr>
  </w:style>
  <w:style w:type="paragraph" w:customStyle="1" w:styleId="75">
    <w:name w:val="正文文本1"/>
    <w:basedOn w:val="1"/>
    <w:link w:val="74"/>
    <w:qFormat/>
    <w:uiPriority w:val="0"/>
    <w:pPr>
      <w:shd w:val="clear" w:color="auto" w:fill="FFFFFF"/>
      <w:spacing w:line="302" w:lineRule="exact"/>
      <w:ind w:firstLine="460"/>
      <w:jc w:val="left"/>
    </w:pPr>
    <w:rPr>
      <w:rFonts w:ascii="MingLiU" w:hAnsi="MingLiU" w:eastAsia="MingLiU"/>
      <w:spacing w:val="9"/>
      <w:kern w:val="0"/>
      <w:sz w:val="19"/>
      <w:szCs w:val="19"/>
    </w:rPr>
  </w:style>
  <w:style w:type="character" w:customStyle="1" w:styleId="76">
    <w:name w:val="Char Char1"/>
    <w:qFormat/>
    <w:uiPriority w:val="0"/>
    <w:rPr>
      <w:rFonts w:ascii="宋体" w:hAnsi="Courier New" w:eastAsia="宋体"/>
      <w:kern w:val="2"/>
      <w:sz w:val="21"/>
      <w:lang w:val="en-US" w:eastAsia="zh-CN" w:bidi="ar-SA"/>
    </w:rPr>
  </w:style>
  <w:style w:type="character" w:customStyle="1" w:styleId="77">
    <w:name w:val="页眉 字符1"/>
    <w:qFormat/>
    <w:uiPriority w:val="99"/>
    <w:rPr>
      <w:kern w:val="2"/>
      <w:sz w:val="18"/>
      <w:szCs w:val="18"/>
    </w:rPr>
  </w:style>
  <w:style w:type="character" w:customStyle="1" w:styleId="78">
    <w:name w:val="批注框文本 字符"/>
    <w:qFormat/>
    <w:uiPriority w:val="0"/>
    <w:rPr>
      <w:kern w:val="2"/>
      <w:sz w:val="18"/>
      <w:szCs w:val="18"/>
    </w:rPr>
  </w:style>
  <w:style w:type="character" w:customStyle="1" w:styleId="79">
    <w:name w:val="标题 3 字符"/>
    <w:qFormat/>
    <w:uiPriority w:val="0"/>
    <w:rPr>
      <w:b/>
      <w:bCs/>
      <w:kern w:val="2"/>
      <w:sz w:val="32"/>
      <w:szCs w:val="32"/>
    </w:rPr>
  </w:style>
  <w:style w:type="character" w:customStyle="1" w:styleId="80">
    <w:name w:val="页眉 字符"/>
    <w:qFormat/>
    <w:uiPriority w:val="99"/>
    <w:rPr>
      <w:rFonts w:ascii="Times New Roman" w:hAnsi="Times New Roman"/>
      <w:kern w:val="2"/>
      <w:sz w:val="18"/>
      <w:szCs w:val="18"/>
    </w:rPr>
  </w:style>
  <w:style w:type="character" w:customStyle="1" w:styleId="81">
    <w:name w:val="标题 4 字符"/>
    <w:qFormat/>
    <w:uiPriority w:val="0"/>
    <w:rPr>
      <w:rFonts w:ascii="Arial" w:eastAsia="黑体"/>
      <w:sz w:val="28"/>
    </w:rPr>
  </w:style>
  <w:style w:type="character" w:customStyle="1" w:styleId="82">
    <w:name w:val="批注主题 字符"/>
    <w:qFormat/>
    <w:uiPriority w:val="99"/>
    <w:rPr>
      <w:b/>
      <w:bCs/>
      <w:kern w:val="2"/>
      <w:sz w:val="21"/>
      <w:szCs w:val="24"/>
    </w:rPr>
  </w:style>
  <w:style w:type="character" w:customStyle="1" w:styleId="83">
    <w:name w:val="正文文本 字符"/>
    <w:qFormat/>
    <w:uiPriority w:val="99"/>
    <w:rPr>
      <w:kern w:val="2"/>
      <w:sz w:val="21"/>
      <w:szCs w:val="24"/>
    </w:rPr>
  </w:style>
  <w:style w:type="character" w:customStyle="1" w:styleId="84">
    <w:name w:val="标题 1 字符"/>
    <w:qFormat/>
    <w:uiPriority w:val="0"/>
    <w:rPr>
      <w:b/>
      <w:bCs/>
      <w:kern w:val="44"/>
      <w:sz w:val="44"/>
      <w:szCs w:val="44"/>
    </w:rPr>
  </w:style>
  <w:style w:type="character" w:customStyle="1" w:styleId="85">
    <w:name w:val="文档结构图 字符"/>
    <w:qFormat/>
    <w:uiPriority w:val="0"/>
    <w:rPr>
      <w:rFonts w:ascii="宋体"/>
      <w:kern w:val="2"/>
      <w:sz w:val="18"/>
      <w:szCs w:val="18"/>
    </w:rPr>
  </w:style>
  <w:style w:type="character" w:customStyle="1" w:styleId="86">
    <w:name w:val="纯文本 字符1"/>
    <w:semiHidden/>
    <w:qFormat/>
    <w:locked/>
    <w:uiPriority w:val="0"/>
    <w:rPr>
      <w:rFonts w:ascii="宋体" w:hAnsi="Courier New"/>
      <w:kern w:val="2"/>
      <w:sz w:val="21"/>
    </w:rPr>
  </w:style>
  <w:style w:type="character" w:customStyle="1" w:styleId="87">
    <w:name w:val="标题 5 字符"/>
    <w:qFormat/>
    <w:uiPriority w:val="9"/>
    <w:rPr>
      <w:b/>
      <w:bCs/>
      <w:kern w:val="2"/>
      <w:sz w:val="28"/>
      <w:szCs w:val="28"/>
    </w:rPr>
  </w:style>
  <w:style w:type="character" w:customStyle="1" w:styleId="88">
    <w:name w:val="纯文本 字符"/>
    <w:qFormat/>
    <w:uiPriority w:val="0"/>
    <w:rPr>
      <w:rFonts w:ascii="宋体" w:hAnsi="Courier New"/>
      <w:kern w:val="2"/>
      <w:sz w:val="21"/>
    </w:rPr>
  </w:style>
  <w:style w:type="character" w:customStyle="1" w:styleId="89">
    <w:name w:val="批注文字 字符"/>
    <w:qFormat/>
    <w:uiPriority w:val="0"/>
    <w:rPr>
      <w:kern w:val="2"/>
      <w:sz w:val="21"/>
      <w:szCs w:val="24"/>
    </w:rPr>
  </w:style>
  <w:style w:type="character" w:customStyle="1" w:styleId="90">
    <w:name w:val="正文文本缩进 2 字符"/>
    <w:qFormat/>
    <w:uiPriority w:val="0"/>
    <w:rPr>
      <w:kern w:val="2"/>
      <w:sz w:val="21"/>
      <w:szCs w:val="24"/>
    </w:rPr>
  </w:style>
  <w:style w:type="character" w:customStyle="1" w:styleId="91">
    <w:name w:val="批注文字 字符1"/>
    <w:qFormat/>
    <w:uiPriority w:val="0"/>
    <w:rPr>
      <w:rFonts w:ascii="Times New Roman" w:hAnsi="Times New Roman"/>
      <w:kern w:val="2"/>
      <w:sz w:val="21"/>
      <w:szCs w:val="24"/>
    </w:rPr>
  </w:style>
  <w:style w:type="character" w:customStyle="1" w:styleId="92">
    <w:name w:val="正文文本 + 10 pt"/>
    <w:qFormat/>
    <w:uiPriority w:val="0"/>
    <w:rPr>
      <w:rFonts w:ascii="MingLiU" w:hAnsi="MingLiU" w:eastAsia="MingLiU" w:cs="MingLiU"/>
      <w:color w:val="000000"/>
      <w:spacing w:val="8"/>
      <w:w w:val="100"/>
      <w:position w:val="0"/>
      <w:sz w:val="20"/>
      <w:szCs w:val="20"/>
      <w:shd w:val="clear" w:color="auto" w:fill="FFFFFF"/>
      <w:lang w:val="zh-TW"/>
    </w:rPr>
  </w:style>
  <w:style w:type="character" w:customStyle="1" w:styleId="93">
    <w:name w:val="页脚 字符1"/>
    <w:qFormat/>
    <w:uiPriority w:val="99"/>
    <w:rPr>
      <w:kern w:val="2"/>
      <w:sz w:val="18"/>
      <w:szCs w:val="18"/>
    </w:rPr>
  </w:style>
  <w:style w:type="character" w:customStyle="1" w:styleId="94">
    <w:name w:val="标题 2 字符"/>
    <w:qFormat/>
    <w:uiPriority w:val="0"/>
    <w:rPr>
      <w:rFonts w:ascii="Arial" w:hAnsi="Arial" w:eastAsia="黑体"/>
      <w:b/>
      <w:bCs/>
      <w:kern w:val="2"/>
      <w:sz w:val="32"/>
      <w:szCs w:val="32"/>
    </w:rPr>
  </w:style>
  <w:style w:type="character" w:customStyle="1" w:styleId="95">
    <w:name w:val="正文文本缩进 字符"/>
    <w:qFormat/>
    <w:uiPriority w:val="0"/>
    <w:rPr>
      <w:rFonts w:ascii="宋体" w:hAnsi="Courier New"/>
      <w:spacing w:val="-4"/>
      <w:kern w:val="2"/>
      <w:sz w:val="18"/>
    </w:rPr>
  </w:style>
  <w:style w:type="character" w:customStyle="1" w:styleId="96">
    <w:name w:val="正文2 Char Char"/>
    <w:link w:val="97"/>
    <w:qFormat/>
    <w:uiPriority w:val="0"/>
    <w:rPr>
      <w:kern w:val="2"/>
      <w:sz w:val="24"/>
    </w:rPr>
  </w:style>
  <w:style w:type="paragraph" w:customStyle="1" w:styleId="97">
    <w:name w:val="正文2"/>
    <w:basedOn w:val="1"/>
    <w:link w:val="96"/>
    <w:qFormat/>
    <w:uiPriority w:val="0"/>
    <w:pPr>
      <w:adjustRightInd w:val="0"/>
      <w:spacing w:before="156" w:line="360" w:lineRule="auto"/>
      <w:ind w:firstLine="510" w:firstLineChars="200"/>
    </w:pPr>
    <w:rPr>
      <w:sz w:val="24"/>
      <w:szCs w:val="20"/>
    </w:rPr>
  </w:style>
  <w:style w:type="character" w:customStyle="1" w:styleId="98">
    <w:name w:val="页脚 字符"/>
    <w:qFormat/>
    <w:uiPriority w:val="99"/>
    <w:rPr>
      <w:sz w:val="18"/>
      <w:szCs w:val="18"/>
    </w:rPr>
  </w:style>
  <w:style w:type="character" w:customStyle="1" w:styleId="99">
    <w:name w:val="批注文字 Char1"/>
    <w:qFormat/>
    <w:uiPriority w:val="0"/>
    <w:rPr>
      <w:rFonts w:ascii="Times New Roman" w:hAnsi="Times New Roman"/>
      <w:kern w:val="2"/>
      <w:sz w:val="21"/>
      <w:szCs w:val="24"/>
    </w:rPr>
  </w:style>
  <w:style w:type="character" w:customStyle="1" w:styleId="100">
    <w:name w:val="纯文本 Char1"/>
    <w:link w:val="101"/>
    <w:qFormat/>
    <w:uiPriority w:val="0"/>
    <w:rPr>
      <w:rFonts w:ascii="宋体" w:hAnsi="Courier New" w:eastAsia="宋体"/>
      <w:kern w:val="2"/>
      <w:sz w:val="21"/>
      <w:lang w:val="en-US" w:eastAsia="zh-CN" w:bidi="ar-SA"/>
    </w:rPr>
  </w:style>
  <w:style w:type="paragraph" w:customStyle="1" w:styleId="101">
    <w:name w:val="纯文本1"/>
    <w:basedOn w:val="1"/>
    <w:link w:val="100"/>
    <w:qFormat/>
    <w:uiPriority w:val="0"/>
    <w:rPr>
      <w:rFonts w:ascii="宋体" w:hAnsi="Courier New"/>
      <w:szCs w:val="20"/>
    </w:rPr>
  </w:style>
  <w:style w:type="character" w:customStyle="1" w:styleId="102">
    <w:name w:val="正文文本 3 字符"/>
    <w:qFormat/>
    <w:uiPriority w:val="99"/>
    <w:rPr>
      <w:kern w:val="2"/>
      <w:sz w:val="16"/>
      <w:szCs w:val="16"/>
    </w:rPr>
  </w:style>
  <w:style w:type="paragraph" w:customStyle="1" w:styleId="103">
    <w:name w:val="正文段"/>
    <w:basedOn w:val="1"/>
    <w:qFormat/>
    <w:uiPriority w:val="0"/>
    <w:pPr>
      <w:widowControl/>
      <w:snapToGrid w:val="0"/>
      <w:spacing w:after="156" w:afterLines="50"/>
      <w:ind w:firstLine="200" w:firstLineChars="200"/>
    </w:pPr>
    <w:rPr>
      <w:kern w:val="0"/>
      <w:sz w:val="24"/>
      <w:szCs w:val="20"/>
    </w:rPr>
  </w:style>
  <w:style w:type="paragraph" w:customStyle="1" w:styleId="104">
    <w:name w:val="列出段落1"/>
    <w:basedOn w:val="1"/>
    <w:qFormat/>
    <w:uiPriority w:val="34"/>
    <w:pPr>
      <w:spacing w:before="100" w:beforeAutospacing="1" w:after="100" w:afterAutospacing="1" w:line="360" w:lineRule="auto"/>
      <w:ind w:firstLine="420" w:firstLineChars="200"/>
    </w:pPr>
  </w:style>
  <w:style w:type="paragraph" w:customStyle="1" w:styleId="105">
    <w:name w:val="Char Char Char Char Char Char Char"/>
    <w:basedOn w:val="1"/>
    <w:qFormat/>
    <w:uiPriority w:val="0"/>
  </w:style>
  <w:style w:type="paragraph" w:customStyle="1" w:styleId="106">
    <w:name w:val="_Style 1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108">
    <w:name w:val="默认段落字体 Para Char Char Char Char Char Char Char Char Char1 Char Char Char Char"/>
    <w:basedOn w:val="1"/>
    <w:qFormat/>
    <w:uiPriority w:val="0"/>
    <w:rPr>
      <w:rFonts w:ascii="Tahoma" w:hAnsi="Tahoma"/>
      <w:sz w:val="24"/>
      <w:szCs w:val="20"/>
    </w:rPr>
  </w:style>
  <w:style w:type="paragraph" w:customStyle="1" w:styleId="109">
    <w:name w:val="Char Char Char Char"/>
    <w:basedOn w:val="1"/>
    <w:qFormat/>
    <w:uiPriority w:val="0"/>
    <w:pPr>
      <w:widowControl/>
      <w:spacing w:after="160" w:line="240" w:lineRule="exact"/>
      <w:jc w:val="left"/>
    </w:pPr>
  </w:style>
  <w:style w:type="paragraph" w:customStyle="1" w:styleId="11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表格文字"/>
    <w:basedOn w:val="1"/>
    <w:next w:val="2"/>
    <w:qFormat/>
    <w:uiPriority w:val="0"/>
    <w:pPr>
      <w:adjustRightInd w:val="0"/>
      <w:spacing w:line="420" w:lineRule="atLeast"/>
      <w:jc w:val="left"/>
      <w:textAlignment w:val="baseline"/>
    </w:pPr>
    <w:rPr>
      <w:kern w:val="0"/>
    </w:rPr>
  </w:style>
  <w:style w:type="paragraph" w:customStyle="1" w:styleId="112">
    <w:name w:val="_Style 10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3">
    <w:name w:val="Char Char Char1 Char Char Char Char Char Char Char"/>
    <w:basedOn w:val="1"/>
    <w:qFormat/>
    <w:uiPriority w:val="0"/>
  </w:style>
  <w:style w:type="paragraph" w:customStyle="1" w:styleId="114">
    <w:name w:val="Char Char Char Char Char Char Char1"/>
    <w:basedOn w:val="1"/>
    <w:qFormat/>
    <w:uiPriority w:val="0"/>
  </w:style>
  <w:style w:type="paragraph" w:customStyle="1" w:styleId="115">
    <w:name w:val="Table Paragraph"/>
    <w:basedOn w:val="1"/>
    <w:qFormat/>
    <w:uiPriority w:val="1"/>
    <w:pPr>
      <w:jc w:val="left"/>
    </w:pPr>
    <w:rPr>
      <w:rFonts w:ascii="Calibri" w:hAnsi="Calibri"/>
      <w:kern w:val="0"/>
      <w:sz w:val="22"/>
      <w:szCs w:val="22"/>
      <w:lang w:eastAsia="en-US"/>
    </w:rPr>
  </w:style>
  <w:style w:type="paragraph" w:customStyle="1" w:styleId="116">
    <w:name w:val="Char Char Char Char Char Char Char Char Char Char Char Char"/>
    <w:basedOn w:val="1"/>
    <w:qFormat/>
    <w:uiPriority w:val="0"/>
    <w:pPr>
      <w:widowControl/>
      <w:spacing w:after="160" w:line="240" w:lineRule="exact"/>
      <w:jc w:val="left"/>
    </w:pPr>
  </w:style>
  <w:style w:type="paragraph" w:styleId="117">
    <w:name w:val="List Paragraph"/>
    <w:basedOn w:val="1"/>
    <w:qFormat/>
    <w:uiPriority w:val="34"/>
    <w:pPr>
      <w:ind w:firstLine="420" w:firstLineChars="200"/>
    </w:pPr>
  </w:style>
  <w:style w:type="paragraph" w:customStyle="1" w:styleId="118">
    <w:name w:val="_Style 108"/>
    <w:qFormat/>
    <w:uiPriority w:val="0"/>
    <w:rPr>
      <w:rFonts w:ascii="Times New Roman" w:hAnsi="Times New Roman" w:eastAsia="宋体" w:cs="Times New Roman"/>
      <w:kern w:val="2"/>
      <w:sz w:val="21"/>
      <w:szCs w:val="24"/>
      <w:lang w:val="en-US" w:eastAsia="zh-CN" w:bidi="ar-SA"/>
    </w:rPr>
  </w:style>
  <w:style w:type="paragraph" w:customStyle="1" w:styleId="119">
    <w:name w:val="标书二级标题，自动编号"/>
    <w:basedOn w:val="1"/>
    <w:qFormat/>
    <w:uiPriority w:val="0"/>
    <w:pPr>
      <w:keepNext/>
      <w:keepLines/>
      <w:tabs>
        <w:tab w:val="left" w:pos="720"/>
      </w:tabs>
      <w:spacing w:before="160" w:after="160" w:line="415" w:lineRule="auto"/>
      <w:ind w:left="720"/>
      <w:jc w:val="left"/>
      <w:outlineLvl w:val="2"/>
    </w:pPr>
    <w:rPr>
      <w:bCs/>
      <w:sz w:val="28"/>
      <w:szCs w:val="32"/>
    </w:rPr>
  </w:style>
  <w:style w:type="paragraph" w:customStyle="1" w:styleId="120">
    <w:name w:val="正文缩进1"/>
    <w:basedOn w:val="1"/>
    <w:next w:val="15"/>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21">
    <w:name w:val="Char Char Char"/>
    <w:basedOn w:val="1"/>
    <w:qFormat/>
    <w:uiPriority w:val="0"/>
    <w:rPr>
      <w:szCs w:val="20"/>
    </w:rPr>
  </w:style>
  <w:style w:type="paragraph" w:customStyle="1" w:styleId="122">
    <w:name w:val="Char"/>
    <w:basedOn w:val="1"/>
    <w:qFormat/>
    <w:uiPriority w:val="0"/>
    <w:rPr>
      <w:szCs w:val="21"/>
    </w:rPr>
  </w:style>
  <w:style w:type="paragraph" w:customStyle="1" w:styleId="123">
    <w:name w:val="Char1"/>
    <w:basedOn w:val="1"/>
    <w:qFormat/>
    <w:uiPriority w:val="0"/>
  </w:style>
  <w:style w:type="paragraph" w:customStyle="1" w:styleId="124">
    <w:name w:val="Char Char Char Char Char Char Char Char Char Char Char Char1"/>
    <w:basedOn w:val="1"/>
    <w:qFormat/>
    <w:uiPriority w:val="0"/>
    <w:pPr>
      <w:widowControl/>
      <w:spacing w:after="160" w:line="240" w:lineRule="exact"/>
      <w:jc w:val="left"/>
    </w:pPr>
  </w:style>
  <w:style w:type="paragraph" w:customStyle="1" w:styleId="125">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126">
    <w:name w:val="p0"/>
    <w:basedOn w:val="1"/>
    <w:qFormat/>
    <w:uiPriority w:val="0"/>
    <w:pPr>
      <w:widowControl/>
    </w:pPr>
    <w:rPr>
      <w:kern w:val="0"/>
      <w:szCs w:val="21"/>
    </w:rPr>
  </w:style>
  <w:style w:type="paragraph" w:customStyle="1" w:styleId="127">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28">
    <w:name w:val="Char Char Char Char1"/>
    <w:basedOn w:val="1"/>
    <w:qFormat/>
    <w:uiPriority w:val="0"/>
    <w:pPr>
      <w:widowControl/>
      <w:spacing w:after="160" w:line="240" w:lineRule="exact"/>
      <w:jc w:val="left"/>
    </w:pPr>
  </w:style>
  <w:style w:type="character" w:customStyle="1" w:styleId="129">
    <w:name w:val="bookmark-item uuid-1595940713919 code-am01400046 editdisable single-line-text-input-box-cls readonly"/>
    <w:qFormat/>
    <w:uiPriority w:val="0"/>
  </w:style>
  <w:style w:type="character" w:customStyle="1" w:styleId="130">
    <w:name w:val="bookmark-item uuid-1594624424199 code-23012 addword single-line-text-input-box-cls readonly"/>
    <w:qFormat/>
    <w:uiPriority w:val="0"/>
  </w:style>
  <w:style w:type="character" w:customStyle="1" w:styleId="131">
    <w:name w:val="bookmark-item uuid-1589194982864 code-31006 addword multi-line-text-input-box-cls"/>
    <w:qFormat/>
    <w:uiPriority w:val="0"/>
    <w:rPr>
      <w:rFonts w:ascii="Times New Roman" w:hAnsi="Times New Roman" w:eastAsia="宋体" w:cs="Times New Roman"/>
    </w:rPr>
  </w:style>
  <w:style w:type="paragraph" w:customStyle="1" w:styleId="13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table" w:customStyle="1" w:styleId="133">
    <w:name w:val="网格型1"/>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4">
    <w:name w:val="first-child"/>
    <w:basedOn w:val="36"/>
    <w:qFormat/>
    <w:uiPriority w:val="0"/>
  </w:style>
  <w:style w:type="character" w:customStyle="1" w:styleId="135">
    <w:name w:val="layui-layer-tabnow"/>
    <w:basedOn w:val="36"/>
    <w:qFormat/>
    <w:uiPriority w:val="0"/>
    <w:rPr>
      <w:bdr w:val="single" w:color="CCCCCC" w:sz="6" w:space="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88</Pages>
  <Words>52281</Words>
  <Characters>55216</Characters>
  <Lines>990</Lines>
  <Paragraphs>278</Paragraphs>
  <TotalTime>40</TotalTime>
  <ScaleCrop>false</ScaleCrop>
  <LinksUpToDate>false</LinksUpToDate>
  <CharactersWithSpaces>61293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2024-05-31T14:36:00Z</dcterms:created>
  <dc:creator>丁琳</dc:creator>
  <cp:lastModifiedBy>lhb</cp:lastModifiedBy>
  <cp:lastPrinted>2021-08-18T19:26:00Z</cp:lastPrinted>
  <dcterms:modified xsi:type="dcterms:W3CDTF">2024-07-02T13:08:43Z</dcterms:modified>
  <dc:title>南财采管〔2012〕3号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E86DF5D132A44E519B055FCD1E0AB0CE_13</vt:lpwstr>
  </property>
</Properties>
</file>