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CBC63">
      <w:pPr>
        <w:pStyle w:val="18"/>
        <w:spacing w:line="20" w:lineRule="exact"/>
        <w:ind w:left="630"/>
        <w:rPr>
          <w:color w:val="auto"/>
          <w:sz w:val="2"/>
        </w:rPr>
      </w:pPr>
    </w:p>
    <w:p w14:paraId="56E2B667">
      <w:pPr>
        <w:pStyle w:val="5"/>
        <w:jc w:val="center"/>
        <w:rPr>
          <w:rFonts w:hint="eastAsia" w:eastAsia="黑体"/>
          <w:color w:val="auto"/>
          <w:lang w:eastAsia="zh-CN"/>
        </w:rPr>
      </w:pPr>
      <w:bookmarkStart w:id="0" w:name="OLE_LINK23"/>
      <w:r>
        <w:rPr>
          <w:rFonts w:hint="eastAsia" w:ascii="华文新魏" w:hAnsi="华文新魏" w:eastAsia="华文新魏" w:cs="华文新魏"/>
          <w:b/>
          <w:bCs/>
          <w:color w:val="auto"/>
          <w:sz w:val="44"/>
          <w:szCs w:val="44"/>
          <w:lang w:eastAsia="zh-CN"/>
        </w:rPr>
        <w:t>广西鑫磐工程项目管理有限责任公司</w:t>
      </w:r>
    </w:p>
    <w:p w14:paraId="2AF2DA8B">
      <w:pPr>
        <w:pStyle w:val="24"/>
        <w:tabs>
          <w:tab w:val="left" w:pos="0"/>
          <w:tab w:val="left" w:pos="7560"/>
        </w:tabs>
        <w:jc w:val="center"/>
        <w:rPr>
          <w:rFonts w:hint="eastAsia" w:ascii="华文新魏" w:hAnsi="华文新魏" w:eastAsia="华文新魏" w:cs="华文新魏"/>
          <w:b/>
          <w:color w:val="auto"/>
          <w:sz w:val="72"/>
          <w:szCs w:val="72"/>
        </w:rPr>
      </w:pPr>
      <w:r>
        <w:rPr>
          <w:rFonts w:hint="eastAsia" w:ascii="华文新魏" w:hAnsi="华文新魏" w:eastAsia="华文新魏" w:cs="华文新魏"/>
          <w:b/>
          <w:bCs/>
          <w:color w:val="auto"/>
          <w:sz w:val="72"/>
          <w:szCs w:val="72"/>
        </w:rPr>
        <w:t>竞争性磋商</w:t>
      </w:r>
      <w:r>
        <w:rPr>
          <w:rFonts w:hint="eastAsia" w:ascii="华文新魏" w:hAnsi="华文新魏" w:eastAsia="华文新魏" w:cs="华文新魏"/>
          <w:b/>
          <w:color w:val="auto"/>
          <w:sz w:val="72"/>
          <w:szCs w:val="72"/>
        </w:rPr>
        <w:t>采购文件</w:t>
      </w:r>
      <w:bookmarkEnd w:id="0"/>
    </w:p>
    <w:p w14:paraId="337F51CB">
      <w:pPr>
        <w:pStyle w:val="5"/>
        <w:jc w:val="center"/>
        <w:rPr>
          <w:rFonts w:hint="eastAsia" w:eastAsia="华文新魏"/>
          <w:color w:val="auto"/>
          <w:lang w:val="en-US" w:eastAsia="zh-CN"/>
        </w:rPr>
      </w:pPr>
      <w:r>
        <w:rPr>
          <w:rFonts w:hint="eastAsia" w:eastAsia="华文新魏"/>
          <w:color w:val="auto"/>
          <w:lang w:val="en-US" w:eastAsia="zh-CN"/>
        </w:rPr>
        <w:t>（全流程电子标）</w:t>
      </w:r>
    </w:p>
    <w:p w14:paraId="1863F36A">
      <w:pPr>
        <w:pStyle w:val="24"/>
        <w:ind w:firstLine="1687" w:firstLineChars="700"/>
        <w:rPr>
          <w:rFonts w:hAnsi="宋体"/>
          <w:b/>
          <w:color w:val="auto"/>
          <w:sz w:val="24"/>
          <w:szCs w:val="24"/>
        </w:rPr>
      </w:pPr>
    </w:p>
    <w:p w14:paraId="0A03CA0E">
      <w:pPr>
        <w:pStyle w:val="24"/>
        <w:ind w:firstLine="1687" w:firstLineChars="700"/>
        <w:rPr>
          <w:rFonts w:hAnsi="宋体"/>
          <w:b/>
          <w:color w:val="auto"/>
          <w:sz w:val="24"/>
          <w:szCs w:val="24"/>
        </w:rPr>
      </w:pPr>
    </w:p>
    <w:p w14:paraId="15A18103">
      <w:pPr>
        <w:pStyle w:val="24"/>
        <w:ind w:firstLine="1687" w:firstLineChars="700"/>
        <w:rPr>
          <w:rFonts w:hAnsi="宋体"/>
          <w:b/>
          <w:color w:val="auto"/>
          <w:sz w:val="24"/>
          <w:szCs w:val="24"/>
        </w:rPr>
      </w:pPr>
    </w:p>
    <w:p w14:paraId="4087A323">
      <w:pPr>
        <w:pStyle w:val="4"/>
        <w:jc w:val="center"/>
        <w:rPr>
          <w:rFonts w:hint="eastAsia" w:ascii="Times New Roman" w:hAnsi="Times New Roman" w:eastAsia="宋体" w:cs="Times New Roman"/>
          <w:bCs w:val="0"/>
          <w:color w:val="auto"/>
          <w:sz w:val="32"/>
          <w:szCs w:val="32"/>
          <w:lang w:val="en-US" w:eastAsia="zh-CN"/>
        </w:rPr>
      </w:pPr>
      <w:r>
        <w:rPr>
          <w:rFonts w:hint="eastAsia" w:ascii="Times New Roman" w:hAnsi="Times New Roman" w:eastAsia="宋体" w:cs="Times New Roman"/>
          <w:bCs w:val="0"/>
          <w:color w:val="auto"/>
          <w:sz w:val="32"/>
          <w:szCs w:val="32"/>
          <w:lang w:val="en-US" w:eastAsia="zh-CN"/>
        </w:rPr>
        <w:t>项目名称：龙州县龙州镇新华中心小学运动场改扩建工程</w:t>
      </w:r>
    </w:p>
    <w:p w14:paraId="78B5E5A7">
      <w:pPr>
        <w:pStyle w:val="4"/>
        <w:jc w:val="center"/>
        <w:rPr>
          <w:rFonts w:hint="default" w:ascii="Times New Roman" w:hAnsi="Times New Roman" w:eastAsia="宋体" w:cs="Times New Roman"/>
          <w:bCs w:val="0"/>
          <w:color w:val="auto"/>
          <w:sz w:val="32"/>
          <w:szCs w:val="32"/>
          <w:lang w:val="en-US" w:eastAsia="zh-CN"/>
        </w:rPr>
      </w:pPr>
      <w:r>
        <w:rPr>
          <w:rFonts w:hint="eastAsia" w:ascii="Times New Roman" w:hAnsi="Times New Roman" w:eastAsia="宋体" w:cs="Times New Roman"/>
          <w:bCs w:val="0"/>
          <w:color w:val="auto"/>
          <w:sz w:val="32"/>
          <w:szCs w:val="32"/>
          <w:lang w:val="en-US" w:eastAsia="zh-CN"/>
        </w:rPr>
        <w:t>项目编号：</w:t>
      </w:r>
      <w:bookmarkStart w:id="1" w:name="OLE_LINK2"/>
      <w:r>
        <w:rPr>
          <w:rFonts w:hint="eastAsia" w:ascii="Times New Roman" w:hAnsi="Times New Roman" w:eastAsia="宋体" w:cs="Times New Roman"/>
          <w:bCs w:val="0"/>
          <w:color w:val="auto"/>
          <w:sz w:val="32"/>
          <w:szCs w:val="32"/>
          <w:lang w:val="zh-CN" w:eastAsia="zh-CN"/>
        </w:rPr>
        <w:t>CZZC2025-C2-230037-GXXP</w:t>
      </w:r>
    </w:p>
    <w:p w14:paraId="6ECC7139">
      <w:pPr>
        <w:tabs>
          <w:tab w:val="left" w:pos="2205"/>
        </w:tabs>
        <w:spacing w:line="520" w:lineRule="exact"/>
        <w:ind w:firstLine="1781" w:firstLineChars="400"/>
        <w:rPr>
          <w:b/>
          <w:color w:val="auto"/>
          <w:spacing w:val="62"/>
          <w:sz w:val="32"/>
          <w:szCs w:val="32"/>
        </w:rPr>
      </w:pPr>
    </w:p>
    <w:bookmarkEnd w:id="1"/>
    <w:p w14:paraId="1AF2B916">
      <w:pPr>
        <w:pStyle w:val="24"/>
        <w:rPr>
          <w:rFonts w:hAnsi="宋体"/>
          <w:color w:val="auto"/>
          <w:sz w:val="30"/>
          <w:szCs w:val="30"/>
        </w:rPr>
      </w:pPr>
    </w:p>
    <w:p w14:paraId="7E51BA7F">
      <w:pPr>
        <w:pStyle w:val="24"/>
        <w:jc w:val="center"/>
        <w:rPr>
          <w:rFonts w:hAnsi="宋体"/>
          <w:color w:val="auto"/>
          <w:sz w:val="30"/>
          <w:szCs w:val="30"/>
        </w:rPr>
      </w:pPr>
    </w:p>
    <w:p w14:paraId="639E6F9D">
      <w:pPr>
        <w:pStyle w:val="24"/>
        <w:jc w:val="center"/>
        <w:rPr>
          <w:rFonts w:hAnsi="宋体"/>
          <w:color w:val="auto"/>
          <w:sz w:val="30"/>
          <w:szCs w:val="30"/>
        </w:rPr>
      </w:pPr>
    </w:p>
    <w:p w14:paraId="42C04405">
      <w:pPr>
        <w:pStyle w:val="24"/>
        <w:jc w:val="center"/>
        <w:rPr>
          <w:rFonts w:hAnsi="宋体"/>
          <w:color w:val="auto"/>
          <w:sz w:val="30"/>
          <w:szCs w:val="30"/>
        </w:rPr>
      </w:pPr>
    </w:p>
    <w:p w14:paraId="1B079365">
      <w:pPr>
        <w:pStyle w:val="24"/>
        <w:rPr>
          <w:rFonts w:hAnsi="宋体"/>
          <w:color w:val="auto"/>
          <w:sz w:val="30"/>
          <w:szCs w:val="30"/>
        </w:rPr>
      </w:pPr>
    </w:p>
    <w:p w14:paraId="170F7FB1">
      <w:pPr>
        <w:pStyle w:val="24"/>
        <w:jc w:val="center"/>
        <w:rPr>
          <w:rFonts w:hAnsi="宋体"/>
          <w:color w:val="auto"/>
          <w:sz w:val="30"/>
          <w:szCs w:val="30"/>
        </w:rPr>
      </w:pPr>
    </w:p>
    <w:p w14:paraId="2C7B0BA1">
      <w:pPr>
        <w:jc w:val="center"/>
        <w:rPr>
          <w:b/>
          <w:color w:val="auto"/>
          <w:sz w:val="30"/>
          <w:szCs w:val="30"/>
        </w:rPr>
      </w:pPr>
      <w:r>
        <w:rPr>
          <w:rFonts w:hint="eastAsia"/>
          <w:b/>
          <w:color w:val="auto"/>
          <w:spacing w:val="113"/>
          <w:sz w:val="30"/>
          <w:szCs w:val="30"/>
        </w:rPr>
        <w:t>采购单位</w:t>
      </w:r>
      <w:r>
        <w:rPr>
          <w:rFonts w:hint="eastAsia"/>
          <w:b/>
          <w:color w:val="auto"/>
          <w:sz w:val="30"/>
          <w:szCs w:val="30"/>
        </w:rPr>
        <w:t>：</w:t>
      </w:r>
      <w:bookmarkStart w:id="2" w:name="OLE_LINK3"/>
      <w:r>
        <w:rPr>
          <w:rFonts w:hint="eastAsia"/>
          <w:b/>
          <w:color w:val="auto"/>
          <w:sz w:val="30"/>
          <w:szCs w:val="30"/>
          <w:lang w:val="zh-CN"/>
        </w:rPr>
        <w:t>龙州县教育局</w:t>
      </w:r>
    </w:p>
    <w:bookmarkEnd w:id="2"/>
    <w:p w14:paraId="2418A56D">
      <w:pPr>
        <w:spacing w:line="600" w:lineRule="exact"/>
        <w:jc w:val="center"/>
        <w:rPr>
          <w:rFonts w:hint="eastAsia"/>
          <w:b/>
          <w:color w:val="auto"/>
          <w:sz w:val="30"/>
          <w:szCs w:val="30"/>
          <w:lang w:eastAsia="zh-CN"/>
        </w:rPr>
      </w:pPr>
      <w:r>
        <w:rPr>
          <w:rFonts w:hint="eastAsia"/>
          <w:b/>
          <w:color w:val="auto"/>
          <w:sz w:val="30"/>
          <w:szCs w:val="30"/>
        </w:rPr>
        <w:t>采购代理机构：</w:t>
      </w:r>
      <w:r>
        <w:rPr>
          <w:rFonts w:hint="eastAsia"/>
          <w:b/>
          <w:color w:val="auto"/>
          <w:sz w:val="30"/>
          <w:szCs w:val="30"/>
          <w:lang w:eastAsia="zh-CN"/>
        </w:rPr>
        <w:t>广西鑫磐工程项目管理有限责任公司</w:t>
      </w:r>
    </w:p>
    <w:p w14:paraId="6A3C92ED">
      <w:pPr>
        <w:spacing w:line="600" w:lineRule="exact"/>
        <w:jc w:val="center"/>
        <w:rPr>
          <w:b/>
          <w:color w:val="auto"/>
          <w:spacing w:val="57"/>
          <w:sz w:val="30"/>
          <w:szCs w:val="30"/>
        </w:rPr>
      </w:pPr>
      <w:r>
        <w:rPr>
          <w:b/>
          <w:color w:val="auto"/>
          <w:spacing w:val="57"/>
          <w:sz w:val="30"/>
          <w:szCs w:val="30"/>
        </w:rPr>
        <w:t>20</w:t>
      </w:r>
      <w:r>
        <w:rPr>
          <w:rFonts w:hint="eastAsia"/>
          <w:b/>
          <w:color w:val="auto"/>
          <w:spacing w:val="57"/>
          <w:sz w:val="30"/>
          <w:szCs w:val="30"/>
        </w:rPr>
        <w:t>2</w:t>
      </w:r>
      <w:r>
        <w:rPr>
          <w:rFonts w:hint="eastAsia"/>
          <w:b/>
          <w:color w:val="auto"/>
          <w:spacing w:val="57"/>
          <w:sz w:val="30"/>
          <w:szCs w:val="30"/>
          <w:lang w:val="en-US" w:eastAsia="zh-CN"/>
        </w:rPr>
        <w:t>5</w:t>
      </w:r>
      <w:r>
        <w:rPr>
          <w:rFonts w:hint="eastAsia"/>
          <w:b/>
          <w:color w:val="auto"/>
          <w:spacing w:val="57"/>
          <w:sz w:val="30"/>
          <w:szCs w:val="30"/>
        </w:rPr>
        <w:t>年</w:t>
      </w:r>
      <w:r>
        <w:rPr>
          <w:rFonts w:hint="eastAsia"/>
          <w:b/>
          <w:color w:val="auto"/>
          <w:spacing w:val="57"/>
          <w:sz w:val="30"/>
          <w:szCs w:val="30"/>
          <w:lang w:val="en-US" w:eastAsia="zh-CN"/>
        </w:rPr>
        <w:t>05</w:t>
      </w:r>
      <w:r>
        <w:rPr>
          <w:rFonts w:hint="eastAsia"/>
          <w:b/>
          <w:color w:val="auto"/>
          <w:spacing w:val="57"/>
          <w:sz w:val="30"/>
          <w:szCs w:val="30"/>
        </w:rPr>
        <w:t>月</w:t>
      </w:r>
    </w:p>
    <w:p w14:paraId="22875033">
      <w:pPr>
        <w:spacing w:line="600" w:lineRule="exact"/>
        <w:jc w:val="center"/>
        <w:rPr>
          <w:b/>
          <w:color w:val="auto"/>
          <w:spacing w:val="57"/>
          <w:sz w:val="30"/>
          <w:szCs w:val="30"/>
        </w:rPr>
      </w:pPr>
    </w:p>
    <w:p w14:paraId="1642A343">
      <w:pPr>
        <w:spacing w:line="1200" w:lineRule="exact"/>
        <w:jc w:val="center"/>
        <w:rPr>
          <w:rFonts w:hint="eastAsia" w:hAnsi="宋体"/>
          <w:b/>
          <w:color w:val="auto"/>
          <w:sz w:val="44"/>
        </w:rPr>
        <w:sectPr>
          <w:pgSz w:w="11906" w:h="16838"/>
          <w:pgMar w:top="1304" w:right="722" w:bottom="1134" w:left="1304" w:header="851" w:footer="992" w:gutter="0"/>
          <w:cols w:space="720" w:num="1"/>
          <w:docGrid w:linePitch="312" w:charSpace="0"/>
        </w:sectPr>
      </w:pPr>
    </w:p>
    <w:p w14:paraId="70606307">
      <w:pPr>
        <w:spacing w:line="1200" w:lineRule="exact"/>
        <w:jc w:val="center"/>
        <w:rPr>
          <w:rFonts w:hAnsi="宋体"/>
          <w:b/>
          <w:color w:val="auto"/>
          <w:sz w:val="44"/>
        </w:rPr>
      </w:pPr>
      <w:r>
        <w:rPr>
          <w:rFonts w:hint="eastAsia" w:hAnsi="宋体"/>
          <w:b/>
          <w:color w:val="auto"/>
          <w:sz w:val="44"/>
        </w:rPr>
        <w:t>目  录</w:t>
      </w:r>
    </w:p>
    <w:p w14:paraId="5185A37B">
      <w:pPr>
        <w:spacing w:line="460" w:lineRule="exact"/>
        <w:jc w:val="center"/>
        <w:rPr>
          <w:rFonts w:ascii="宋体" w:hAnsi="宋体"/>
          <w:b/>
          <w:color w:val="auto"/>
          <w:sz w:val="30"/>
          <w:szCs w:val="30"/>
        </w:rPr>
      </w:pPr>
    </w:p>
    <w:p w14:paraId="618B87CA">
      <w:pPr>
        <w:pStyle w:val="37"/>
        <w:tabs>
          <w:tab w:val="right" w:leader="dot" w:pos="9458"/>
        </w:tabs>
        <w:spacing w:line="460" w:lineRule="exact"/>
        <w:ind w:left="0" w:leftChars="0"/>
        <w:rPr>
          <w:rFonts w:ascii="Calibri" w:hAnsi="Calibri"/>
          <w:color w:val="auto"/>
          <w:sz w:val="30"/>
          <w:szCs w:val="30"/>
        </w:rPr>
      </w:pPr>
      <w:r>
        <w:rPr>
          <w:rFonts w:ascii="宋体" w:hAnsi="宋体"/>
          <w:color w:val="auto"/>
          <w:sz w:val="30"/>
          <w:szCs w:val="30"/>
        </w:rPr>
        <w:fldChar w:fldCharType="begin"/>
      </w:r>
      <w:r>
        <w:rPr>
          <w:rFonts w:hint="eastAsia" w:ascii="宋体" w:hAnsi="宋体"/>
          <w:color w:val="auto"/>
          <w:sz w:val="30"/>
          <w:szCs w:val="30"/>
        </w:rPr>
        <w:instrText xml:space="preserve">TOC \o "1-3" \h \z \u</w:instrText>
      </w:r>
      <w:r>
        <w:rPr>
          <w:rFonts w:ascii="宋体" w:hAnsi="宋体"/>
          <w:color w:val="auto"/>
          <w:sz w:val="30"/>
          <w:szCs w:val="30"/>
        </w:rPr>
        <w:fldChar w:fldCharType="separate"/>
      </w:r>
      <w:r>
        <w:rPr>
          <w:color w:val="auto"/>
        </w:rPr>
        <w:fldChar w:fldCharType="begin"/>
      </w:r>
      <w:r>
        <w:rPr>
          <w:color w:val="auto"/>
        </w:rPr>
        <w:instrText xml:space="preserve"> HYPERLINK \l "_Toc80818612" </w:instrText>
      </w:r>
      <w:r>
        <w:rPr>
          <w:color w:val="auto"/>
        </w:rPr>
        <w:fldChar w:fldCharType="separate"/>
      </w:r>
      <w:r>
        <w:rPr>
          <w:rStyle w:val="53"/>
          <w:rFonts w:hint="eastAsia" w:ascii="宋体" w:hAnsi="宋体"/>
          <w:color w:val="auto"/>
          <w:sz w:val="30"/>
          <w:szCs w:val="30"/>
        </w:rPr>
        <w:t>第一章竞争性磋商公告</w:t>
      </w:r>
      <w:r>
        <w:rPr>
          <w:color w:val="auto"/>
          <w:sz w:val="30"/>
          <w:szCs w:val="30"/>
        </w:rPr>
        <w:tab/>
      </w:r>
      <w:r>
        <w:rPr>
          <w:color w:val="auto"/>
          <w:sz w:val="30"/>
          <w:szCs w:val="30"/>
        </w:rPr>
        <w:fldChar w:fldCharType="begin"/>
      </w:r>
      <w:r>
        <w:rPr>
          <w:color w:val="auto"/>
          <w:sz w:val="30"/>
          <w:szCs w:val="30"/>
        </w:rPr>
        <w:instrText xml:space="preserve"> PAGEREF _Toc80818612 \h </w:instrText>
      </w:r>
      <w:r>
        <w:rPr>
          <w:color w:val="auto"/>
          <w:sz w:val="30"/>
          <w:szCs w:val="30"/>
        </w:rPr>
        <w:fldChar w:fldCharType="separate"/>
      </w:r>
      <w:r>
        <w:rPr>
          <w:color w:val="auto"/>
          <w:sz w:val="30"/>
          <w:szCs w:val="30"/>
        </w:rPr>
        <w:t>1</w:t>
      </w:r>
      <w:r>
        <w:rPr>
          <w:color w:val="auto"/>
          <w:sz w:val="30"/>
          <w:szCs w:val="30"/>
        </w:rPr>
        <w:fldChar w:fldCharType="end"/>
      </w:r>
      <w:r>
        <w:rPr>
          <w:color w:val="auto"/>
          <w:sz w:val="30"/>
          <w:szCs w:val="30"/>
        </w:rPr>
        <w:fldChar w:fldCharType="end"/>
      </w:r>
    </w:p>
    <w:p w14:paraId="202535D5">
      <w:pPr>
        <w:pStyle w:val="37"/>
        <w:tabs>
          <w:tab w:val="right" w:leader="dot" w:pos="9458"/>
        </w:tabs>
        <w:spacing w:line="460" w:lineRule="exact"/>
        <w:ind w:left="0" w:leftChars="0"/>
        <w:rPr>
          <w:rFonts w:ascii="Calibri" w:hAnsi="Calibri"/>
          <w:color w:val="auto"/>
          <w:sz w:val="30"/>
          <w:szCs w:val="30"/>
        </w:rPr>
      </w:pPr>
      <w:r>
        <w:rPr>
          <w:color w:val="auto"/>
        </w:rPr>
        <w:fldChar w:fldCharType="begin"/>
      </w:r>
      <w:r>
        <w:rPr>
          <w:color w:val="auto"/>
        </w:rPr>
        <w:instrText xml:space="preserve"> HYPERLINK \l "_Toc80818613" </w:instrText>
      </w:r>
      <w:r>
        <w:rPr>
          <w:color w:val="auto"/>
        </w:rPr>
        <w:fldChar w:fldCharType="separate"/>
      </w:r>
      <w:r>
        <w:rPr>
          <w:rStyle w:val="53"/>
          <w:rFonts w:hint="eastAsia" w:ascii="宋体" w:hAnsi="宋体"/>
          <w:color w:val="auto"/>
          <w:sz w:val="30"/>
          <w:szCs w:val="30"/>
        </w:rPr>
        <w:t>第二章供应商须知及前附表</w:t>
      </w:r>
      <w:r>
        <w:rPr>
          <w:color w:val="auto"/>
          <w:sz w:val="30"/>
          <w:szCs w:val="30"/>
        </w:rPr>
        <w:tab/>
      </w:r>
      <w:r>
        <w:rPr>
          <w:color w:val="auto"/>
          <w:sz w:val="30"/>
          <w:szCs w:val="30"/>
        </w:rPr>
        <w:fldChar w:fldCharType="begin"/>
      </w:r>
      <w:r>
        <w:rPr>
          <w:color w:val="auto"/>
          <w:sz w:val="30"/>
          <w:szCs w:val="30"/>
        </w:rPr>
        <w:instrText xml:space="preserve"> PAGEREF _Toc80818613 \h </w:instrText>
      </w:r>
      <w:r>
        <w:rPr>
          <w:color w:val="auto"/>
          <w:sz w:val="30"/>
          <w:szCs w:val="30"/>
        </w:rPr>
        <w:fldChar w:fldCharType="separate"/>
      </w:r>
      <w:r>
        <w:rPr>
          <w:color w:val="auto"/>
          <w:sz w:val="30"/>
          <w:szCs w:val="30"/>
        </w:rPr>
        <w:t>4</w:t>
      </w:r>
      <w:r>
        <w:rPr>
          <w:color w:val="auto"/>
          <w:sz w:val="30"/>
          <w:szCs w:val="30"/>
        </w:rPr>
        <w:fldChar w:fldCharType="end"/>
      </w:r>
      <w:r>
        <w:rPr>
          <w:color w:val="auto"/>
          <w:sz w:val="30"/>
          <w:szCs w:val="30"/>
        </w:rPr>
        <w:fldChar w:fldCharType="end"/>
      </w:r>
    </w:p>
    <w:p w14:paraId="6942015E">
      <w:pPr>
        <w:pStyle w:val="31"/>
        <w:spacing w:line="460" w:lineRule="exact"/>
        <w:rPr>
          <w:rFonts w:ascii="Calibri" w:hAnsi="Calibri"/>
          <w:color w:val="auto"/>
          <w:sz w:val="30"/>
          <w:szCs w:val="30"/>
        </w:rPr>
      </w:pPr>
      <w:r>
        <w:rPr>
          <w:color w:val="auto"/>
        </w:rPr>
        <w:fldChar w:fldCharType="begin"/>
      </w:r>
      <w:r>
        <w:rPr>
          <w:color w:val="auto"/>
        </w:rPr>
        <w:instrText xml:space="preserve"> HYPERLINK \l "_Toc80818640" </w:instrText>
      </w:r>
      <w:r>
        <w:rPr>
          <w:color w:val="auto"/>
        </w:rPr>
        <w:fldChar w:fldCharType="separate"/>
      </w:r>
      <w:r>
        <w:rPr>
          <w:rStyle w:val="53"/>
          <w:rFonts w:hint="eastAsia" w:ascii="宋体" w:hAnsi="宋体" w:cs="宋体"/>
          <w:color w:val="auto"/>
          <w:sz w:val="30"/>
          <w:szCs w:val="30"/>
        </w:rPr>
        <w:t>第三章合同条款及格式</w:t>
      </w:r>
      <w:r>
        <w:rPr>
          <w:color w:val="auto"/>
          <w:sz w:val="30"/>
          <w:szCs w:val="30"/>
        </w:rPr>
        <w:tab/>
      </w:r>
      <w:r>
        <w:rPr>
          <w:color w:val="auto"/>
          <w:sz w:val="30"/>
          <w:szCs w:val="30"/>
        </w:rPr>
        <w:fldChar w:fldCharType="begin"/>
      </w:r>
      <w:r>
        <w:rPr>
          <w:color w:val="auto"/>
          <w:sz w:val="30"/>
          <w:szCs w:val="30"/>
        </w:rPr>
        <w:instrText xml:space="preserve"> PAGEREF _Toc80818640 \h </w:instrText>
      </w:r>
      <w:r>
        <w:rPr>
          <w:color w:val="auto"/>
          <w:sz w:val="30"/>
          <w:szCs w:val="30"/>
        </w:rPr>
        <w:fldChar w:fldCharType="separate"/>
      </w:r>
      <w:r>
        <w:rPr>
          <w:color w:val="auto"/>
          <w:sz w:val="30"/>
          <w:szCs w:val="30"/>
        </w:rPr>
        <w:t>20</w:t>
      </w:r>
      <w:r>
        <w:rPr>
          <w:color w:val="auto"/>
          <w:sz w:val="30"/>
          <w:szCs w:val="30"/>
        </w:rPr>
        <w:fldChar w:fldCharType="end"/>
      </w:r>
      <w:r>
        <w:rPr>
          <w:color w:val="auto"/>
          <w:sz w:val="30"/>
          <w:szCs w:val="30"/>
        </w:rPr>
        <w:fldChar w:fldCharType="end"/>
      </w:r>
    </w:p>
    <w:p w14:paraId="34329CE3">
      <w:pPr>
        <w:pStyle w:val="31"/>
        <w:spacing w:line="460" w:lineRule="exact"/>
        <w:rPr>
          <w:rFonts w:ascii="Calibri" w:hAnsi="Calibri"/>
          <w:color w:val="auto"/>
          <w:sz w:val="30"/>
          <w:szCs w:val="30"/>
        </w:rPr>
      </w:pPr>
      <w:r>
        <w:rPr>
          <w:color w:val="auto"/>
        </w:rPr>
        <w:fldChar w:fldCharType="begin"/>
      </w:r>
      <w:r>
        <w:rPr>
          <w:color w:val="auto"/>
        </w:rPr>
        <w:instrText xml:space="preserve"> HYPERLINK \l "_Toc80818641" </w:instrText>
      </w:r>
      <w:r>
        <w:rPr>
          <w:color w:val="auto"/>
        </w:rPr>
        <w:fldChar w:fldCharType="separate"/>
      </w:r>
      <w:r>
        <w:rPr>
          <w:rStyle w:val="53"/>
          <w:rFonts w:hint="eastAsia" w:ascii="宋体" w:hAnsi="宋体" w:cs="宋体"/>
          <w:color w:val="auto"/>
          <w:sz w:val="30"/>
          <w:szCs w:val="30"/>
        </w:rPr>
        <w:t>第四章图纸</w:t>
      </w:r>
      <w:r>
        <w:rPr>
          <w:color w:val="auto"/>
          <w:sz w:val="30"/>
          <w:szCs w:val="30"/>
        </w:rPr>
        <w:tab/>
      </w:r>
      <w:r>
        <w:rPr>
          <w:color w:val="auto"/>
          <w:sz w:val="30"/>
          <w:szCs w:val="30"/>
        </w:rPr>
        <w:fldChar w:fldCharType="begin"/>
      </w:r>
      <w:r>
        <w:rPr>
          <w:color w:val="auto"/>
          <w:sz w:val="30"/>
          <w:szCs w:val="30"/>
        </w:rPr>
        <w:instrText xml:space="preserve"> PAGEREF _Toc80818641 \h </w:instrText>
      </w:r>
      <w:r>
        <w:rPr>
          <w:color w:val="auto"/>
          <w:sz w:val="30"/>
          <w:szCs w:val="30"/>
        </w:rPr>
        <w:fldChar w:fldCharType="separate"/>
      </w:r>
      <w:r>
        <w:rPr>
          <w:color w:val="auto"/>
          <w:sz w:val="30"/>
          <w:szCs w:val="30"/>
        </w:rPr>
        <w:t>63</w:t>
      </w:r>
      <w:r>
        <w:rPr>
          <w:color w:val="auto"/>
          <w:sz w:val="30"/>
          <w:szCs w:val="30"/>
        </w:rPr>
        <w:fldChar w:fldCharType="end"/>
      </w:r>
      <w:r>
        <w:rPr>
          <w:color w:val="auto"/>
          <w:sz w:val="30"/>
          <w:szCs w:val="30"/>
        </w:rPr>
        <w:fldChar w:fldCharType="end"/>
      </w:r>
    </w:p>
    <w:p w14:paraId="6D7543AE">
      <w:pPr>
        <w:pStyle w:val="31"/>
        <w:spacing w:line="460" w:lineRule="exact"/>
        <w:rPr>
          <w:rFonts w:ascii="Calibri" w:hAnsi="Calibri"/>
          <w:color w:val="auto"/>
          <w:sz w:val="30"/>
          <w:szCs w:val="30"/>
        </w:rPr>
      </w:pPr>
      <w:r>
        <w:rPr>
          <w:color w:val="auto"/>
        </w:rPr>
        <w:fldChar w:fldCharType="begin"/>
      </w:r>
      <w:r>
        <w:rPr>
          <w:color w:val="auto"/>
        </w:rPr>
        <w:instrText xml:space="preserve"> HYPERLINK \l "_Toc80818643" </w:instrText>
      </w:r>
      <w:r>
        <w:rPr>
          <w:color w:val="auto"/>
        </w:rPr>
        <w:fldChar w:fldCharType="separate"/>
      </w:r>
      <w:r>
        <w:rPr>
          <w:rStyle w:val="53"/>
          <w:rFonts w:hint="eastAsia" w:ascii="宋体" w:hAnsi="宋体"/>
          <w:color w:val="auto"/>
          <w:sz w:val="30"/>
          <w:szCs w:val="30"/>
        </w:rPr>
        <w:t>第五章技术规范</w:t>
      </w:r>
      <w:r>
        <w:rPr>
          <w:color w:val="auto"/>
          <w:sz w:val="30"/>
          <w:szCs w:val="30"/>
        </w:rPr>
        <w:tab/>
      </w:r>
      <w:r>
        <w:rPr>
          <w:rFonts w:hint="eastAsia"/>
          <w:color w:val="auto"/>
          <w:sz w:val="30"/>
          <w:szCs w:val="30"/>
        </w:rPr>
        <w:t>40</w:t>
      </w:r>
      <w:r>
        <w:rPr>
          <w:rFonts w:hint="eastAsia"/>
          <w:color w:val="auto"/>
          <w:sz w:val="30"/>
          <w:szCs w:val="30"/>
        </w:rPr>
        <w:fldChar w:fldCharType="end"/>
      </w:r>
    </w:p>
    <w:p w14:paraId="759BA20C">
      <w:pPr>
        <w:pStyle w:val="31"/>
        <w:spacing w:line="460" w:lineRule="exact"/>
        <w:rPr>
          <w:rFonts w:ascii="Calibri" w:hAnsi="Calibri"/>
          <w:color w:val="auto"/>
          <w:sz w:val="30"/>
          <w:szCs w:val="30"/>
        </w:rPr>
      </w:pPr>
      <w:r>
        <w:rPr>
          <w:color w:val="auto"/>
        </w:rPr>
        <w:fldChar w:fldCharType="begin"/>
      </w:r>
      <w:r>
        <w:rPr>
          <w:color w:val="auto"/>
        </w:rPr>
        <w:instrText xml:space="preserve"> HYPERLINK \l "_Toc80818644" </w:instrText>
      </w:r>
      <w:r>
        <w:rPr>
          <w:color w:val="auto"/>
        </w:rPr>
        <w:fldChar w:fldCharType="separate"/>
      </w:r>
      <w:r>
        <w:rPr>
          <w:rStyle w:val="53"/>
          <w:rFonts w:hint="eastAsia" w:ascii="宋体" w:hAnsi="宋体"/>
          <w:color w:val="auto"/>
          <w:sz w:val="30"/>
          <w:szCs w:val="30"/>
        </w:rPr>
        <w:t>第六章工程量清单</w:t>
      </w:r>
      <w:r>
        <w:rPr>
          <w:color w:val="auto"/>
          <w:sz w:val="30"/>
          <w:szCs w:val="30"/>
        </w:rPr>
        <w:tab/>
      </w:r>
      <w:r>
        <w:rPr>
          <w:color w:val="auto"/>
          <w:sz w:val="30"/>
          <w:szCs w:val="30"/>
        </w:rPr>
        <w:fldChar w:fldCharType="begin"/>
      </w:r>
      <w:r>
        <w:rPr>
          <w:color w:val="auto"/>
          <w:sz w:val="30"/>
          <w:szCs w:val="30"/>
        </w:rPr>
        <w:instrText xml:space="preserve"> PAGEREF _Toc80818644 \h </w:instrText>
      </w:r>
      <w:r>
        <w:rPr>
          <w:color w:val="auto"/>
          <w:sz w:val="30"/>
          <w:szCs w:val="30"/>
        </w:rPr>
        <w:fldChar w:fldCharType="separate"/>
      </w:r>
      <w:r>
        <w:rPr>
          <w:color w:val="auto"/>
          <w:sz w:val="30"/>
          <w:szCs w:val="30"/>
        </w:rPr>
        <w:t>63</w:t>
      </w:r>
      <w:r>
        <w:rPr>
          <w:color w:val="auto"/>
          <w:sz w:val="30"/>
          <w:szCs w:val="30"/>
        </w:rPr>
        <w:fldChar w:fldCharType="end"/>
      </w:r>
      <w:r>
        <w:rPr>
          <w:color w:val="auto"/>
          <w:sz w:val="30"/>
          <w:szCs w:val="30"/>
        </w:rPr>
        <w:fldChar w:fldCharType="end"/>
      </w:r>
    </w:p>
    <w:p w14:paraId="2D3912C5">
      <w:pPr>
        <w:pStyle w:val="31"/>
        <w:spacing w:line="460" w:lineRule="exact"/>
        <w:rPr>
          <w:rFonts w:ascii="Calibri" w:hAnsi="Calibri"/>
          <w:color w:val="auto"/>
          <w:sz w:val="30"/>
          <w:szCs w:val="30"/>
        </w:rPr>
      </w:pPr>
      <w:r>
        <w:rPr>
          <w:color w:val="auto"/>
        </w:rPr>
        <w:fldChar w:fldCharType="begin"/>
      </w:r>
      <w:r>
        <w:rPr>
          <w:color w:val="auto"/>
        </w:rPr>
        <w:instrText xml:space="preserve"> HYPERLINK \l "_Toc80818646" </w:instrText>
      </w:r>
      <w:r>
        <w:rPr>
          <w:color w:val="auto"/>
        </w:rPr>
        <w:fldChar w:fldCharType="separate"/>
      </w:r>
      <w:r>
        <w:rPr>
          <w:rStyle w:val="53"/>
          <w:rFonts w:hint="eastAsia" w:ascii="宋体" w:hAnsi="宋体"/>
          <w:color w:val="auto"/>
          <w:sz w:val="30"/>
          <w:szCs w:val="30"/>
        </w:rPr>
        <w:t>第七章响应文件格式</w:t>
      </w:r>
      <w:r>
        <w:rPr>
          <w:color w:val="auto"/>
          <w:sz w:val="30"/>
          <w:szCs w:val="30"/>
        </w:rPr>
        <w:tab/>
      </w:r>
      <w:r>
        <w:rPr>
          <w:color w:val="auto"/>
          <w:sz w:val="30"/>
          <w:szCs w:val="30"/>
        </w:rPr>
        <w:fldChar w:fldCharType="begin"/>
      </w:r>
      <w:r>
        <w:rPr>
          <w:color w:val="auto"/>
          <w:sz w:val="30"/>
          <w:szCs w:val="30"/>
        </w:rPr>
        <w:instrText xml:space="preserve"> PAGEREF _Toc80818646 \h </w:instrText>
      </w:r>
      <w:r>
        <w:rPr>
          <w:color w:val="auto"/>
          <w:sz w:val="30"/>
          <w:szCs w:val="30"/>
        </w:rPr>
        <w:fldChar w:fldCharType="separate"/>
      </w:r>
      <w:r>
        <w:rPr>
          <w:color w:val="auto"/>
          <w:sz w:val="30"/>
          <w:szCs w:val="30"/>
        </w:rPr>
        <w:t>64</w:t>
      </w:r>
      <w:r>
        <w:rPr>
          <w:color w:val="auto"/>
          <w:sz w:val="30"/>
          <w:szCs w:val="30"/>
        </w:rPr>
        <w:fldChar w:fldCharType="end"/>
      </w:r>
      <w:r>
        <w:rPr>
          <w:color w:val="auto"/>
          <w:sz w:val="30"/>
          <w:szCs w:val="30"/>
        </w:rPr>
        <w:fldChar w:fldCharType="end"/>
      </w:r>
    </w:p>
    <w:p w14:paraId="66769A64">
      <w:pPr>
        <w:pStyle w:val="31"/>
        <w:spacing w:line="460" w:lineRule="exact"/>
        <w:rPr>
          <w:rFonts w:hAnsi="宋体"/>
          <w:color w:val="auto"/>
          <w:sz w:val="30"/>
          <w:szCs w:val="30"/>
        </w:rPr>
      </w:pPr>
      <w:r>
        <w:rPr>
          <w:rFonts w:hAnsi="宋体"/>
          <w:color w:val="auto"/>
          <w:sz w:val="30"/>
          <w:szCs w:val="30"/>
        </w:rPr>
        <w:fldChar w:fldCharType="end"/>
      </w:r>
    </w:p>
    <w:p w14:paraId="7CF1AEFB">
      <w:pPr>
        <w:pStyle w:val="3"/>
        <w:spacing w:after="0" w:line="460" w:lineRule="exact"/>
        <w:jc w:val="center"/>
        <w:rPr>
          <w:rFonts w:hint="eastAsia" w:ascii="宋体" w:hAnsi="宋体" w:eastAsia="宋体"/>
          <w:color w:val="auto"/>
          <w:sz w:val="36"/>
          <w:szCs w:val="24"/>
        </w:rPr>
        <w:sectPr>
          <w:footerReference r:id="rId3" w:type="default"/>
          <w:pgSz w:w="11906" w:h="16838"/>
          <w:pgMar w:top="1304" w:right="722" w:bottom="1134" w:left="1304" w:header="851" w:footer="992" w:gutter="0"/>
          <w:pgNumType w:start="1"/>
          <w:cols w:space="720" w:num="1"/>
          <w:docGrid w:linePitch="312" w:charSpace="0"/>
        </w:sectPr>
      </w:pPr>
      <w:bookmarkStart w:id="3" w:name="_Toc80818612"/>
    </w:p>
    <w:p w14:paraId="71900CF9">
      <w:pPr>
        <w:pStyle w:val="3"/>
        <w:spacing w:after="0" w:line="460" w:lineRule="exact"/>
        <w:jc w:val="center"/>
        <w:rPr>
          <w:rFonts w:ascii="宋体" w:hAnsi="宋体" w:eastAsia="宋体"/>
          <w:color w:val="auto"/>
          <w:szCs w:val="24"/>
        </w:rPr>
      </w:pPr>
      <w:r>
        <w:rPr>
          <w:rFonts w:hint="eastAsia" w:ascii="宋体" w:hAnsi="宋体" w:eastAsia="宋体"/>
          <w:color w:val="auto"/>
          <w:sz w:val="36"/>
          <w:szCs w:val="24"/>
        </w:rPr>
        <w:t>第一章 竞争性磋商公告</w:t>
      </w:r>
      <w:bookmarkEnd w:id="3"/>
    </w:p>
    <w:p w14:paraId="7A526531">
      <w:pPr>
        <w:rPr>
          <w:color w:val="auto"/>
        </w:rPr>
      </w:pPr>
    </w:p>
    <w:p w14:paraId="01E1B136">
      <w:pPr>
        <w:pStyle w:val="253"/>
        <w:ind w:left="90" w:leftChars="43" w:firstLine="482" w:firstLineChars="200"/>
        <w:rPr>
          <w:rFonts w:hAnsi="宋体"/>
          <w:b/>
          <w:color w:val="auto"/>
          <w:sz w:val="24"/>
          <w:szCs w:val="24"/>
        </w:rPr>
      </w:pPr>
      <w:r>
        <w:rPr>
          <w:rFonts w:hint="eastAsia" w:hAnsi="宋体"/>
          <w:b/>
          <w:color w:val="auto"/>
          <w:sz w:val="24"/>
          <w:szCs w:val="24"/>
          <w:lang w:val="en-US" w:eastAsia="zh-CN"/>
        </w:rPr>
        <w:t>龙州县龙州镇新华中心小学运动场改扩建工程</w:t>
      </w:r>
      <w:r>
        <w:rPr>
          <w:rFonts w:hint="eastAsia" w:hAnsi="宋体"/>
          <w:b/>
          <w:color w:val="auto"/>
          <w:sz w:val="24"/>
          <w:szCs w:val="24"/>
        </w:rPr>
        <w:t>（项目编号：</w:t>
      </w:r>
      <w:r>
        <w:rPr>
          <w:rFonts w:hint="eastAsia" w:hAnsi="宋体"/>
          <w:b/>
          <w:color w:val="auto"/>
          <w:sz w:val="24"/>
          <w:szCs w:val="24"/>
          <w:lang w:val="zh-CN" w:eastAsia="zh-CN"/>
        </w:rPr>
        <w:t>CZZC2025-C2-230037-GXXP</w:t>
      </w:r>
      <w:r>
        <w:rPr>
          <w:rFonts w:hint="eastAsia" w:hAnsi="宋体"/>
          <w:b/>
          <w:color w:val="auto"/>
          <w:sz w:val="24"/>
          <w:szCs w:val="24"/>
        </w:rPr>
        <w:t>）</w:t>
      </w:r>
    </w:p>
    <w:p w14:paraId="355EA72D">
      <w:pPr>
        <w:pStyle w:val="253"/>
        <w:jc w:val="center"/>
        <w:rPr>
          <w:rFonts w:hAnsi="宋体"/>
          <w:b/>
          <w:color w:val="auto"/>
          <w:sz w:val="24"/>
          <w:szCs w:val="24"/>
        </w:rPr>
      </w:pPr>
      <w:r>
        <w:rPr>
          <w:rFonts w:hint="eastAsia" w:hAnsi="宋体"/>
          <w:b/>
          <w:color w:val="auto"/>
          <w:sz w:val="24"/>
          <w:szCs w:val="24"/>
        </w:rPr>
        <w:t>竞争性磋商公告</w:t>
      </w:r>
    </w:p>
    <w:p w14:paraId="7E1CCC8A">
      <w:pPr>
        <w:pStyle w:val="253"/>
        <w:ind w:left="90" w:leftChars="43" w:firstLine="3373" w:firstLineChars="1400"/>
        <w:rPr>
          <w:rFonts w:hAnsi="宋体"/>
          <w:b/>
          <w:color w:val="auto"/>
          <w:sz w:val="24"/>
          <w:szCs w:val="24"/>
        </w:rPr>
      </w:pPr>
    </w:p>
    <w:p w14:paraId="1D2BA31F">
      <w:pPr>
        <w:pBdr>
          <w:top w:val="single" w:color="auto" w:sz="4" w:space="0"/>
          <w:left w:val="single" w:color="auto" w:sz="4" w:space="0"/>
          <w:bottom w:val="single" w:color="auto" w:sz="4" w:space="0"/>
          <w:right w:val="single" w:color="auto" w:sz="4" w:space="0"/>
        </w:pBdr>
        <w:spacing w:line="380" w:lineRule="exact"/>
        <w:ind w:firstLine="442" w:firstLineChars="200"/>
        <w:rPr>
          <w:rFonts w:ascii="宋体" w:hAnsi="宋体"/>
          <w:color w:val="auto"/>
          <w:sz w:val="22"/>
          <w:szCs w:val="22"/>
        </w:rPr>
      </w:pPr>
      <w:r>
        <w:rPr>
          <w:rFonts w:hint="eastAsia" w:ascii="宋体" w:hAnsi="宋体"/>
          <w:b/>
          <w:bCs/>
          <w:color w:val="auto"/>
          <w:sz w:val="22"/>
          <w:szCs w:val="22"/>
        </w:rPr>
        <w:t>项目概况</w:t>
      </w:r>
    </w:p>
    <w:p w14:paraId="36E3F46F">
      <w:pPr>
        <w:pBdr>
          <w:top w:val="single" w:color="auto" w:sz="4" w:space="0"/>
          <w:left w:val="single" w:color="auto" w:sz="4" w:space="0"/>
          <w:bottom w:val="single" w:color="auto" w:sz="4" w:space="0"/>
          <w:right w:val="single" w:color="auto" w:sz="4" w:space="0"/>
        </w:pBdr>
        <w:spacing w:line="380" w:lineRule="exact"/>
        <w:ind w:firstLine="420" w:firstLineChars="200"/>
        <w:rPr>
          <w:rFonts w:ascii="宋体" w:hAnsi="宋体"/>
          <w:b/>
          <w:color w:val="auto"/>
          <w:sz w:val="20"/>
          <w:szCs w:val="20"/>
        </w:rPr>
      </w:pPr>
      <w:r>
        <w:rPr>
          <w:rFonts w:hint="eastAsia" w:ascii="宋体" w:hAnsi="宋体"/>
          <w:color w:val="auto"/>
          <w:szCs w:val="21"/>
          <w:u w:val="single"/>
          <w:lang w:val="en-US" w:eastAsia="zh-CN"/>
        </w:rPr>
        <w:t>龙州县龙州镇新华中心小学运动场改扩建工程</w:t>
      </w:r>
      <w:r>
        <w:rPr>
          <w:rFonts w:hint="eastAsia" w:ascii="宋体" w:hAnsi="宋体"/>
          <w:color w:val="auto"/>
          <w:szCs w:val="21"/>
        </w:rPr>
        <w:t>的潜在供应商广西政府采购云平台</w:t>
      </w:r>
      <w:r>
        <w:rPr>
          <w:rFonts w:hint="eastAsia" w:ascii="宋体" w:hAnsi="宋体"/>
          <w:color w:val="auto"/>
          <w:szCs w:val="21"/>
          <w:lang w:eastAsia="zh-CN"/>
        </w:rPr>
        <w:t>（</w:t>
      </w:r>
      <w:r>
        <w:rPr>
          <w:rFonts w:hint="eastAsia" w:ascii="宋体" w:hAnsi="宋体"/>
          <w:color w:val="auto"/>
          <w:szCs w:val="21"/>
        </w:rPr>
        <w:t>https://www.gcy.zfcg.gxzf.gov.cn/</w:t>
      </w:r>
      <w:r>
        <w:rPr>
          <w:rFonts w:hint="eastAsia" w:ascii="宋体" w:hAnsi="宋体"/>
          <w:color w:val="auto"/>
          <w:szCs w:val="21"/>
          <w:lang w:eastAsia="zh-CN"/>
        </w:rPr>
        <w:t>）</w:t>
      </w:r>
      <w:r>
        <w:rPr>
          <w:rFonts w:hint="eastAsia" w:ascii="宋体" w:hAnsi="宋体"/>
          <w:color w:val="auto"/>
          <w:szCs w:val="21"/>
          <w:lang w:val="en-US" w:eastAsia="zh-CN"/>
        </w:rPr>
        <w:t xml:space="preserve"> 下载</w:t>
      </w:r>
      <w:r>
        <w:rPr>
          <w:rFonts w:hint="eastAsia" w:ascii="宋体" w:hAnsi="宋体"/>
          <w:color w:val="auto"/>
          <w:szCs w:val="21"/>
        </w:rPr>
        <w:t>，并于</w:t>
      </w:r>
      <w:r>
        <w:rPr>
          <w:rFonts w:hint="eastAsia" w:ascii="宋体" w:hAnsi="宋体"/>
          <w:color w:val="auto"/>
          <w:szCs w:val="21"/>
          <w:u w:val="single"/>
        </w:rPr>
        <w:t>202</w:t>
      </w:r>
      <w:r>
        <w:rPr>
          <w:rFonts w:hint="eastAsia" w:ascii="宋体" w:hAnsi="宋体"/>
          <w:color w:val="auto"/>
          <w:szCs w:val="21"/>
          <w:u w:val="single"/>
          <w:lang w:val="en-US" w:eastAsia="zh-CN"/>
        </w:rPr>
        <w:t>5</w:t>
      </w:r>
      <w:r>
        <w:rPr>
          <w:rFonts w:hint="eastAsia" w:ascii="宋体" w:hAnsi="宋体"/>
          <w:color w:val="auto"/>
          <w:szCs w:val="21"/>
          <w:u w:val="single"/>
        </w:rPr>
        <w:t>年</w:t>
      </w:r>
      <w:r>
        <w:rPr>
          <w:rFonts w:hint="eastAsia" w:ascii="宋体" w:hAnsi="宋体"/>
          <w:color w:val="auto"/>
          <w:szCs w:val="21"/>
          <w:u w:val="single"/>
          <w:lang w:val="en-US" w:eastAsia="zh-CN"/>
        </w:rPr>
        <w:t>05</w:t>
      </w:r>
      <w:r>
        <w:rPr>
          <w:rFonts w:hint="eastAsia" w:ascii="宋体" w:hAnsi="宋体"/>
          <w:color w:val="auto"/>
          <w:szCs w:val="21"/>
          <w:u w:val="single"/>
        </w:rPr>
        <w:t>月</w:t>
      </w:r>
      <w:r>
        <w:rPr>
          <w:rFonts w:hint="eastAsia" w:ascii="宋体" w:hAnsi="宋体"/>
          <w:color w:val="auto"/>
          <w:szCs w:val="21"/>
          <w:u w:val="single"/>
          <w:lang w:val="en-US" w:eastAsia="zh-CN"/>
        </w:rPr>
        <w:t>19</w:t>
      </w:r>
      <w:r>
        <w:rPr>
          <w:rFonts w:hint="eastAsia" w:ascii="宋体" w:hAnsi="宋体"/>
          <w:color w:val="auto"/>
          <w:szCs w:val="21"/>
          <w:u w:val="single"/>
        </w:rPr>
        <w:t>日</w:t>
      </w:r>
      <w:r>
        <w:rPr>
          <w:rFonts w:hint="eastAsia" w:ascii="宋体" w:hAnsi="宋体"/>
          <w:color w:val="auto"/>
          <w:szCs w:val="21"/>
          <w:u w:val="single"/>
          <w:lang w:val="en-US" w:eastAsia="zh-CN"/>
        </w:rPr>
        <w:t>09</w:t>
      </w:r>
      <w:r>
        <w:rPr>
          <w:rFonts w:hint="eastAsia" w:ascii="宋体" w:hAnsi="宋体"/>
          <w:color w:val="auto"/>
          <w:szCs w:val="21"/>
          <w:u w:val="single"/>
        </w:rPr>
        <w:t>时</w:t>
      </w:r>
      <w:r>
        <w:rPr>
          <w:rFonts w:hint="eastAsia" w:ascii="宋体" w:hAnsi="宋体"/>
          <w:color w:val="auto"/>
          <w:szCs w:val="21"/>
          <w:u w:val="single"/>
          <w:lang w:val="en-US" w:eastAsia="zh-CN"/>
        </w:rPr>
        <w:t>0</w:t>
      </w:r>
      <w:r>
        <w:rPr>
          <w:rFonts w:hint="eastAsia" w:ascii="宋体" w:hAnsi="宋体"/>
          <w:color w:val="auto"/>
          <w:szCs w:val="21"/>
          <w:u w:val="single"/>
        </w:rPr>
        <w:t>0分</w:t>
      </w:r>
      <w:r>
        <w:rPr>
          <w:rFonts w:hint="eastAsia" w:ascii="宋体" w:hAnsi="宋体"/>
          <w:color w:val="auto"/>
          <w:szCs w:val="21"/>
        </w:rPr>
        <w:t>（北京时间）前提交响应文件。</w:t>
      </w:r>
    </w:p>
    <w:p w14:paraId="68560958">
      <w:pPr>
        <w:pStyle w:val="41"/>
        <w:spacing w:before="75" w:beforeAutospacing="0" w:after="75" w:afterAutospacing="0" w:line="405" w:lineRule="atLeast"/>
        <w:ind w:firstLine="420"/>
        <w:jc w:val="both"/>
        <w:rPr>
          <w:rFonts w:cs="宋体"/>
          <w:color w:val="auto"/>
          <w:sz w:val="21"/>
          <w:szCs w:val="21"/>
          <w:lang w:bidi="zh-CN"/>
        </w:rPr>
      </w:pPr>
      <w:r>
        <w:rPr>
          <w:rFonts w:hint="eastAsia" w:cs="宋体"/>
          <w:b/>
          <w:bCs/>
          <w:color w:val="auto"/>
          <w:sz w:val="21"/>
          <w:szCs w:val="21"/>
          <w:lang w:bidi="zh-CN"/>
        </w:rPr>
        <w:t>一、项目基本情况</w:t>
      </w:r>
    </w:p>
    <w:p w14:paraId="67959C3C">
      <w:pPr>
        <w:pStyle w:val="41"/>
        <w:spacing w:before="0" w:beforeAutospacing="0" w:after="0" w:afterAutospacing="0" w:line="405" w:lineRule="atLeast"/>
        <w:ind w:firstLine="420"/>
        <w:jc w:val="both"/>
        <w:rPr>
          <w:rFonts w:hint="eastAsia" w:cs="宋体"/>
          <w:color w:val="auto"/>
          <w:sz w:val="21"/>
          <w:szCs w:val="21"/>
          <w:lang w:bidi="zh-CN"/>
        </w:rPr>
      </w:pPr>
      <w:r>
        <w:rPr>
          <w:rFonts w:hint="eastAsia" w:cs="宋体"/>
          <w:color w:val="auto"/>
          <w:sz w:val="21"/>
          <w:szCs w:val="21"/>
          <w:lang w:bidi="zh-CN"/>
        </w:rPr>
        <w:t>项目编号：</w:t>
      </w:r>
      <w:r>
        <w:rPr>
          <w:rFonts w:hint="eastAsia" w:cs="宋体"/>
          <w:color w:val="auto"/>
          <w:sz w:val="21"/>
          <w:szCs w:val="21"/>
          <w:lang w:val="zh-CN" w:eastAsia="zh-CN" w:bidi="zh-CN"/>
        </w:rPr>
        <w:t>CZZC2025-C2-230037-GXXP</w:t>
      </w:r>
    </w:p>
    <w:p w14:paraId="581C1513">
      <w:pPr>
        <w:pStyle w:val="41"/>
        <w:spacing w:before="0" w:beforeAutospacing="0" w:after="0" w:afterAutospacing="0" w:line="405" w:lineRule="atLeast"/>
        <w:ind w:firstLine="420"/>
        <w:jc w:val="both"/>
        <w:rPr>
          <w:rFonts w:hint="eastAsia" w:cs="宋体"/>
          <w:color w:val="auto"/>
          <w:sz w:val="21"/>
          <w:szCs w:val="21"/>
          <w:lang w:bidi="zh-CN"/>
        </w:rPr>
      </w:pPr>
      <w:r>
        <w:rPr>
          <w:rFonts w:hint="eastAsia" w:cs="宋体"/>
          <w:color w:val="auto"/>
          <w:sz w:val="21"/>
          <w:szCs w:val="21"/>
          <w:lang w:bidi="zh-CN"/>
        </w:rPr>
        <w:t>项目名称：</w:t>
      </w:r>
      <w:r>
        <w:rPr>
          <w:rFonts w:hint="eastAsia" w:cs="宋体"/>
          <w:color w:val="auto"/>
          <w:sz w:val="21"/>
          <w:szCs w:val="21"/>
          <w:lang w:val="en-US" w:eastAsia="zh-CN" w:bidi="zh-CN"/>
        </w:rPr>
        <w:t>龙州县龙州镇新华中心小学运动场改扩建工程</w:t>
      </w:r>
    </w:p>
    <w:p w14:paraId="5C91FC81">
      <w:pPr>
        <w:pStyle w:val="41"/>
        <w:spacing w:before="0" w:beforeAutospacing="0" w:after="0" w:afterAutospacing="0" w:line="405" w:lineRule="atLeast"/>
        <w:ind w:firstLine="420"/>
        <w:jc w:val="both"/>
        <w:rPr>
          <w:rFonts w:hint="eastAsia" w:cs="宋体"/>
          <w:color w:val="auto"/>
          <w:sz w:val="21"/>
          <w:szCs w:val="21"/>
          <w:lang w:bidi="zh-CN"/>
        </w:rPr>
      </w:pPr>
      <w:r>
        <w:rPr>
          <w:rFonts w:hint="eastAsia" w:cs="宋体"/>
          <w:color w:val="auto"/>
          <w:sz w:val="21"/>
          <w:szCs w:val="21"/>
          <w:lang w:bidi="zh-CN"/>
        </w:rPr>
        <w:t xml:space="preserve">采购方式：竞争性磋商 </w:t>
      </w:r>
    </w:p>
    <w:p w14:paraId="39472582">
      <w:pPr>
        <w:pStyle w:val="41"/>
        <w:spacing w:before="0" w:beforeAutospacing="0" w:after="0" w:afterAutospacing="0" w:line="405" w:lineRule="atLeast"/>
        <w:ind w:firstLine="420"/>
        <w:jc w:val="both"/>
        <w:rPr>
          <w:rFonts w:hint="eastAsia" w:cs="宋体"/>
          <w:color w:val="auto"/>
          <w:sz w:val="21"/>
          <w:szCs w:val="21"/>
          <w:lang w:bidi="zh-CN"/>
        </w:rPr>
      </w:pPr>
      <w:r>
        <w:rPr>
          <w:rFonts w:hint="eastAsia" w:cs="宋体"/>
          <w:color w:val="auto"/>
          <w:sz w:val="21"/>
          <w:szCs w:val="21"/>
          <w:lang w:bidi="zh-CN"/>
        </w:rPr>
        <w:t>采购预算价：¥</w:t>
      </w:r>
      <w:r>
        <w:rPr>
          <w:rFonts w:hint="eastAsia" w:cs="宋体"/>
          <w:color w:val="auto"/>
          <w:sz w:val="21"/>
          <w:szCs w:val="21"/>
          <w:lang w:val="en-US" w:bidi="zh-CN"/>
        </w:rPr>
        <w:t>1365965.00</w:t>
      </w:r>
      <w:r>
        <w:rPr>
          <w:rFonts w:hint="eastAsia" w:cs="宋体"/>
          <w:color w:val="auto"/>
          <w:sz w:val="21"/>
          <w:szCs w:val="21"/>
          <w:lang w:bidi="zh-CN"/>
        </w:rPr>
        <w:t>元。</w:t>
      </w:r>
    </w:p>
    <w:p w14:paraId="79167C9E">
      <w:pPr>
        <w:pStyle w:val="41"/>
        <w:spacing w:before="0" w:beforeAutospacing="0" w:after="0" w:afterAutospacing="0" w:line="405" w:lineRule="atLeast"/>
        <w:ind w:firstLine="420"/>
        <w:jc w:val="both"/>
        <w:rPr>
          <w:rFonts w:hint="eastAsia" w:cs="宋体"/>
          <w:color w:val="auto"/>
          <w:sz w:val="21"/>
          <w:szCs w:val="21"/>
          <w:lang w:bidi="zh-CN"/>
        </w:rPr>
      </w:pPr>
      <w:r>
        <w:rPr>
          <w:rFonts w:hint="eastAsia" w:cs="宋体"/>
          <w:color w:val="auto"/>
          <w:sz w:val="21"/>
          <w:szCs w:val="21"/>
          <w:lang w:bidi="zh-CN"/>
        </w:rPr>
        <w:t>建设内容：</w:t>
      </w:r>
      <w:r>
        <w:rPr>
          <w:rFonts w:hint="eastAsia" w:cs="宋体"/>
          <w:color w:val="auto"/>
          <w:sz w:val="21"/>
          <w:szCs w:val="21"/>
          <w:lang w:val="en-US" w:eastAsia="zh-CN" w:bidi="zh-CN"/>
        </w:rPr>
        <w:t>主要建设内容为场地土方、运动场改造、修补塑胶</w:t>
      </w:r>
      <w:bookmarkStart w:id="168" w:name="_GoBack"/>
      <w:bookmarkEnd w:id="168"/>
      <w:r>
        <w:rPr>
          <w:rFonts w:hint="eastAsia" w:cs="宋体"/>
          <w:color w:val="auto"/>
          <w:sz w:val="21"/>
          <w:szCs w:val="21"/>
          <w:lang w:val="en-US" w:eastAsia="zh-CN" w:bidi="zh-CN"/>
        </w:rPr>
        <w:t>跑道、10米高杆照明灯、绿化迁移等，具体详见工程量清单含的全部内容</w:t>
      </w:r>
      <w:r>
        <w:rPr>
          <w:rFonts w:hint="eastAsia" w:cs="宋体"/>
          <w:color w:val="auto"/>
          <w:sz w:val="21"/>
          <w:szCs w:val="21"/>
          <w:lang w:bidi="zh-CN"/>
        </w:rPr>
        <w:t>。</w:t>
      </w:r>
    </w:p>
    <w:p w14:paraId="617C8DC0">
      <w:pPr>
        <w:pStyle w:val="41"/>
        <w:spacing w:before="0" w:beforeAutospacing="0" w:after="0" w:afterAutospacing="0" w:line="405" w:lineRule="atLeast"/>
        <w:ind w:firstLine="420"/>
        <w:jc w:val="both"/>
        <w:rPr>
          <w:rFonts w:hint="eastAsia" w:cs="宋体"/>
          <w:color w:val="auto"/>
          <w:sz w:val="21"/>
          <w:szCs w:val="21"/>
          <w:lang w:bidi="zh-CN"/>
        </w:rPr>
      </w:pPr>
      <w:r>
        <w:rPr>
          <w:rFonts w:hint="eastAsia" w:cs="宋体"/>
          <w:color w:val="auto"/>
          <w:sz w:val="21"/>
          <w:szCs w:val="21"/>
          <w:lang w:bidi="zh-CN"/>
        </w:rPr>
        <w:t>合同履约期限：</w:t>
      </w:r>
      <w:r>
        <w:rPr>
          <w:rFonts w:hint="eastAsia" w:cs="宋体"/>
          <w:color w:val="auto"/>
          <w:sz w:val="21"/>
          <w:szCs w:val="21"/>
          <w:lang w:bidi="zh-CN"/>
        </w:rPr>
        <w:t>工期</w:t>
      </w:r>
      <w:r>
        <w:rPr>
          <w:rFonts w:hint="eastAsia" w:cs="宋体"/>
          <w:color w:val="auto"/>
          <w:sz w:val="21"/>
          <w:szCs w:val="21"/>
          <w:lang w:val="en-US" w:bidi="zh-CN"/>
        </w:rPr>
        <w:t>90</w:t>
      </w:r>
      <w:r>
        <w:rPr>
          <w:rFonts w:hint="eastAsia" w:cs="宋体"/>
          <w:color w:val="auto"/>
          <w:sz w:val="21"/>
          <w:szCs w:val="21"/>
          <w:lang w:bidi="zh-CN"/>
        </w:rPr>
        <w:t>日历天。</w:t>
      </w:r>
    </w:p>
    <w:p w14:paraId="58865975">
      <w:pPr>
        <w:ind w:firstLine="422" w:firstLineChars="200"/>
        <w:rPr>
          <w:rFonts w:ascii="宋体" w:hAnsi="宋体"/>
          <w:color w:val="auto"/>
          <w:szCs w:val="21"/>
        </w:rPr>
      </w:pPr>
      <w:r>
        <w:rPr>
          <w:rFonts w:hint="eastAsia" w:ascii="宋体" w:hAnsi="宋体"/>
          <w:b/>
          <w:color w:val="auto"/>
          <w:szCs w:val="21"/>
        </w:rPr>
        <w:t>二、申请人的资格要求</w:t>
      </w:r>
    </w:p>
    <w:p w14:paraId="39F4322C">
      <w:pPr>
        <w:spacing w:line="440" w:lineRule="exact"/>
        <w:ind w:firstLine="420" w:firstLineChars="200"/>
        <w:rPr>
          <w:rFonts w:ascii="宋体" w:hAnsi="宋体"/>
          <w:color w:val="auto"/>
          <w:szCs w:val="21"/>
        </w:rPr>
      </w:pPr>
      <w:r>
        <w:rPr>
          <w:rFonts w:hint="eastAsia" w:ascii="宋体" w:hAnsi="宋体"/>
          <w:color w:val="auto"/>
          <w:szCs w:val="21"/>
        </w:rPr>
        <w:t>1.满足《中华人民共和国政府采购法》第二十二条规定；</w:t>
      </w:r>
    </w:p>
    <w:p w14:paraId="1B684E52">
      <w:pPr>
        <w:spacing w:line="44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w:t>
      </w:r>
      <w:r>
        <w:rPr>
          <w:rFonts w:hint="eastAsia" w:cs="宋体"/>
          <w:color w:val="auto"/>
          <w:szCs w:val="21"/>
          <w:lang w:val="en-US" w:bidi="zh-CN"/>
        </w:rPr>
        <w:t>落实政府采购政策需满足的资格要求：本项目专门面向</w:t>
      </w:r>
      <w:r>
        <w:rPr>
          <w:rFonts w:hint="eastAsia" w:cs="宋体"/>
          <w:color w:val="auto"/>
          <w:szCs w:val="21"/>
          <w:lang w:val="en-US" w:bidi="zh-CN"/>
        </w:rPr>
        <w:t>中小企业采购</w:t>
      </w:r>
      <w:r>
        <w:rPr>
          <w:rFonts w:hint="eastAsia" w:cs="宋体"/>
          <w:color w:val="auto"/>
          <w:szCs w:val="21"/>
          <w:lang w:val="en-US" w:bidi="zh-CN"/>
        </w:rPr>
        <w:t>（供应商为中小微企业或监狱企业或残疾人福利企业）。</w:t>
      </w:r>
    </w:p>
    <w:p w14:paraId="6453CB80">
      <w:pPr>
        <w:spacing w:line="440" w:lineRule="exact"/>
        <w:ind w:firstLine="420" w:firstLineChars="200"/>
        <w:rPr>
          <w:rFonts w:ascii="宋体" w:hAnsi="宋体"/>
          <w:color w:val="auto"/>
          <w:szCs w:val="21"/>
        </w:rPr>
      </w:pPr>
      <w:r>
        <w:rPr>
          <w:rFonts w:hint="eastAsia" w:ascii="宋体" w:hAnsi="宋体"/>
          <w:color w:val="auto"/>
          <w:szCs w:val="21"/>
        </w:rPr>
        <w:t>3.本项目的特定资格要求：</w:t>
      </w:r>
    </w:p>
    <w:p w14:paraId="7428D497">
      <w:pPr>
        <w:spacing w:line="440" w:lineRule="exact"/>
        <w:ind w:firstLine="420" w:firstLineChars="200"/>
        <w:rPr>
          <w:rFonts w:hint="eastAsia" w:ascii="宋体" w:hAnsi="宋体"/>
          <w:color w:val="auto"/>
          <w:szCs w:val="21"/>
        </w:rPr>
      </w:pPr>
      <w:bookmarkStart w:id="4" w:name="_Hlk87627428"/>
      <w:r>
        <w:rPr>
          <w:rFonts w:hint="eastAsia" w:ascii="宋体" w:hAnsi="宋体"/>
          <w:color w:val="auto"/>
          <w:szCs w:val="21"/>
        </w:rPr>
        <w:t>（1）</w:t>
      </w:r>
      <w:bookmarkStart w:id="5" w:name="OLE_LINK6"/>
      <w:r>
        <w:rPr>
          <w:rFonts w:hint="eastAsia" w:ascii="宋体" w:hAnsi="宋体"/>
          <w:color w:val="auto"/>
          <w:szCs w:val="21"/>
        </w:rPr>
        <w:t>本次招标要求投标人须具备</w:t>
      </w:r>
      <w:r>
        <w:rPr>
          <w:rFonts w:hint="eastAsia" w:ascii="宋体" w:hAnsi="宋体"/>
          <w:color w:val="auto"/>
          <w:szCs w:val="21"/>
          <w:lang w:eastAsia="zh-CN"/>
        </w:rPr>
        <w:t>市政公用</w:t>
      </w:r>
      <w:r>
        <w:rPr>
          <w:rFonts w:hint="eastAsia" w:ascii="宋体" w:hAnsi="宋体"/>
          <w:color w:val="auto"/>
          <w:szCs w:val="21"/>
        </w:rPr>
        <w:t>工程施工总承包（含三级）以上资质；并在人员、设备、资金等方面具备相应的施工能力</w:t>
      </w:r>
      <w:bookmarkEnd w:id="5"/>
      <w:r>
        <w:rPr>
          <w:rFonts w:hint="eastAsia" w:ascii="宋体" w:hAnsi="宋体"/>
          <w:color w:val="auto"/>
          <w:szCs w:val="21"/>
        </w:rPr>
        <w:t>。其中，投标人拟派项目经理须具备</w:t>
      </w:r>
      <w:r>
        <w:rPr>
          <w:rFonts w:hint="eastAsia" w:ascii="宋体" w:hAnsi="宋体"/>
          <w:color w:val="auto"/>
          <w:szCs w:val="21"/>
          <w:lang w:eastAsia="zh-CN"/>
        </w:rPr>
        <w:t>市政公用</w:t>
      </w:r>
      <w:r>
        <w:rPr>
          <w:rFonts w:hint="eastAsia" w:ascii="宋体" w:hAnsi="宋体"/>
          <w:color w:val="auto"/>
          <w:szCs w:val="21"/>
        </w:rPr>
        <w:t>工程专业二级（含以上）注册建造师执业资格，具备有效的安全生产考核合格证书（B类）。</w:t>
      </w:r>
    </w:p>
    <w:bookmarkEnd w:id="4"/>
    <w:p w14:paraId="6D58A1FC">
      <w:pPr>
        <w:spacing w:line="440" w:lineRule="exact"/>
        <w:ind w:firstLine="420" w:firstLineChars="200"/>
        <w:rPr>
          <w:rFonts w:hint="eastAsia" w:ascii="宋体" w:hAnsi="宋体"/>
          <w:color w:val="auto"/>
          <w:szCs w:val="21"/>
          <w:lang w:val="zh-CN"/>
        </w:rPr>
      </w:pPr>
      <w:r>
        <w:rPr>
          <w:rFonts w:hint="eastAsia" w:ascii="宋体" w:hAnsi="宋体"/>
          <w:color w:val="auto"/>
          <w:szCs w:val="21"/>
        </w:rPr>
        <w:t>（2）</w:t>
      </w:r>
      <w:r>
        <w:rPr>
          <w:rFonts w:hint="eastAsia" w:ascii="宋体" w:hAnsi="宋体"/>
          <w:color w:val="auto"/>
          <w:szCs w:val="21"/>
          <w:lang w:val="zh-CN"/>
        </w:rPr>
        <w:t>不接受未按本竞争性磋商公告要求获取采购文件的供应商竞标。</w:t>
      </w:r>
    </w:p>
    <w:p w14:paraId="6DEA733E">
      <w:pPr>
        <w:spacing w:line="440" w:lineRule="exact"/>
        <w:ind w:firstLine="420" w:firstLineChars="200"/>
        <w:rPr>
          <w:rFonts w:hint="eastAsia"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lang w:val="en-US" w:eastAsia="zh-CN"/>
        </w:rPr>
        <w:t>3</w:t>
      </w:r>
      <w:r>
        <w:rPr>
          <w:rFonts w:hint="eastAsia" w:ascii="宋体" w:hAnsi="宋体"/>
          <w:color w:val="auto"/>
          <w:szCs w:val="21"/>
          <w:lang w:val="zh-CN"/>
        </w:rPr>
        <w:t>）本项目不接受联合体竞标,不允许转包和分包。</w:t>
      </w:r>
    </w:p>
    <w:p w14:paraId="5867FD30">
      <w:pPr>
        <w:spacing w:line="440" w:lineRule="exact"/>
        <w:ind w:firstLine="422" w:firstLineChars="200"/>
        <w:rPr>
          <w:rFonts w:ascii="宋体" w:hAnsi="宋体"/>
          <w:b/>
          <w:color w:val="auto"/>
          <w:szCs w:val="21"/>
        </w:rPr>
      </w:pPr>
      <w:r>
        <w:rPr>
          <w:rFonts w:hint="eastAsia" w:ascii="宋体" w:hAnsi="宋体"/>
          <w:b/>
          <w:color w:val="auto"/>
          <w:szCs w:val="21"/>
        </w:rPr>
        <w:t>三、获取采购文件</w:t>
      </w:r>
    </w:p>
    <w:p w14:paraId="2F62D213">
      <w:pPr>
        <w:wordWrap w:val="0"/>
        <w:spacing w:line="360" w:lineRule="auto"/>
        <w:ind w:firstLine="420" w:firstLineChars="200"/>
        <w:rPr>
          <w:rFonts w:hint="eastAsia" w:cs="宋体"/>
          <w:color w:val="auto"/>
          <w:szCs w:val="21"/>
          <w:lang w:val="zh-CN" w:bidi="zh-CN"/>
        </w:rPr>
      </w:pPr>
      <w:r>
        <w:rPr>
          <w:rFonts w:hint="eastAsia" w:cs="宋体"/>
          <w:color w:val="auto"/>
          <w:szCs w:val="21"/>
          <w:lang w:val="zh-CN" w:bidi="zh-CN"/>
        </w:rPr>
        <w:t>时间：202</w:t>
      </w:r>
      <w:r>
        <w:rPr>
          <w:rFonts w:hint="eastAsia" w:cs="宋体"/>
          <w:color w:val="auto"/>
          <w:szCs w:val="21"/>
          <w:lang w:val="en-US" w:eastAsia="zh-CN" w:bidi="zh-CN"/>
        </w:rPr>
        <w:t>5</w:t>
      </w:r>
      <w:r>
        <w:rPr>
          <w:rFonts w:hint="eastAsia" w:cs="宋体"/>
          <w:color w:val="auto"/>
          <w:szCs w:val="21"/>
          <w:lang w:val="zh-CN" w:bidi="zh-CN"/>
        </w:rPr>
        <w:t>年</w:t>
      </w:r>
      <w:r>
        <w:rPr>
          <w:rFonts w:hint="eastAsia" w:cs="宋体"/>
          <w:color w:val="auto"/>
          <w:szCs w:val="21"/>
          <w:lang w:val="en-US" w:bidi="zh-CN"/>
        </w:rPr>
        <w:t>5</w:t>
      </w:r>
      <w:r>
        <w:rPr>
          <w:rFonts w:hint="eastAsia" w:cs="宋体"/>
          <w:color w:val="auto"/>
          <w:szCs w:val="21"/>
          <w:lang w:val="zh-CN" w:bidi="zh-CN"/>
        </w:rPr>
        <w:t>月</w:t>
      </w:r>
      <w:r>
        <w:rPr>
          <w:rFonts w:hint="eastAsia" w:cs="宋体"/>
          <w:color w:val="auto"/>
          <w:szCs w:val="21"/>
          <w:lang w:val="en-US" w:bidi="zh-CN"/>
        </w:rPr>
        <w:t>8</w:t>
      </w:r>
      <w:r>
        <w:rPr>
          <w:rFonts w:hint="eastAsia" w:cs="宋体"/>
          <w:color w:val="auto"/>
          <w:szCs w:val="21"/>
          <w:lang w:val="zh-CN" w:bidi="zh-CN"/>
        </w:rPr>
        <w:t>日公告发布之时至202</w:t>
      </w:r>
      <w:r>
        <w:rPr>
          <w:rFonts w:hint="eastAsia" w:cs="宋体"/>
          <w:color w:val="auto"/>
          <w:szCs w:val="21"/>
          <w:lang w:val="en-US" w:eastAsia="zh-CN" w:bidi="zh-CN"/>
        </w:rPr>
        <w:t>5</w:t>
      </w:r>
      <w:r>
        <w:rPr>
          <w:rFonts w:hint="eastAsia" w:cs="宋体"/>
          <w:color w:val="auto"/>
          <w:szCs w:val="21"/>
          <w:lang w:val="zh-CN" w:bidi="zh-CN"/>
        </w:rPr>
        <w:t>年</w:t>
      </w:r>
      <w:r>
        <w:rPr>
          <w:rFonts w:hint="eastAsia" w:cs="宋体"/>
          <w:color w:val="auto"/>
          <w:szCs w:val="21"/>
          <w:lang w:val="en-US" w:bidi="zh-CN"/>
        </w:rPr>
        <w:t>5</w:t>
      </w:r>
      <w:r>
        <w:rPr>
          <w:rFonts w:hint="eastAsia" w:cs="宋体"/>
          <w:color w:val="auto"/>
          <w:szCs w:val="21"/>
          <w:lang w:val="zh-CN" w:bidi="zh-CN"/>
        </w:rPr>
        <w:t>月</w:t>
      </w:r>
      <w:r>
        <w:rPr>
          <w:rFonts w:hint="eastAsia" w:cs="宋体"/>
          <w:color w:val="auto"/>
          <w:szCs w:val="21"/>
          <w:lang w:val="en-US" w:eastAsia="zh-CN" w:bidi="zh-CN"/>
        </w:rPr>
        <w:t>16</w:t>
      </w:r>
      <w:r>
        <w:rPr>
          <w:rFonts w:hint="eastAsia" w:cs="宋体"/>
          <w:color w:val="auto"/>
          <w:szCs w:val="21"/>
          <w:lang w:val="zh-CN" w:bidi="zh-CN"/>
        </w:rPr>
        <w:t>日，每天上午00:00至12:00，下午12:00至23:59（北京时间 ）。</w:t>
      </w:r>
    </w:p>
    <w:p w14:paraId="15814BC5">
      <w:pPr>
        <w:wordWrap w:val="0"/>
        <w:spacing w:line="360" w:lineRule="auto"/>
        <w:ind w:firstLine="420" w:firstLineChars="200"/>
        <w:rPr>
          <w:rFonts w:hint="eastAsia" w:cs="宋体"/>
          <w:color w:val="auto"/>
          <w:szCs w:val="21"/>
          <w:lang w:val="zh-CN" w:bidi="zh-CN"/>
        </w:rPr>
      </w:pPr>
      <w:r>
        <w:rPr>
          <w:rFonts w:hint="eastAsia" w:cs="宋体"/>
          <w:color w:val="auto"/>
          <w:szCs w:val="21"/>
          <w:lang w:val="zh-CN" w:bidi="zh-CN"/>
        </w:rPr>
        <w:t>地点（网址）：广西政府采购云平台</w:t>
      </w:r>
      <w:r>
        <w:rPr>
          <w:rFonts w:hint="eastAsia" w:cs="宋体"/>
          <w:color w:val="auto"/>
          <w:szCs w:val="21"/>
          <w:lang w:val="zh-CN" w:eastAsia="zh-CN" w:bidi="zh-CN"/>
        </w:rPr>
        <w:t>（</w:t>
      </w:r>
      <w:r>
        <w:rPr>
          <w:rFonts w:hint="eastAsia" w:cs="宋体"/>
          <w:color w:val="auto"/>
          <w:szCs w:val="21"/>
          <w:lang w:val="zh-CN" w:bidi="zh-CN"/>
        </w:rPr>
        <w:t>https://www.gcy.zfcg.gxzf.gov.cn/</w:t>
      </w:r>
      <w:r>
        <w:rPr>
          <w:rFonts w:hint="eastAsia" w:cs="宋体"/>
          <w:color w:val="auto"/>
          <w:szCs w:val="21"/>
          <w:lang w:val="zh-CN" w:eastAsia="zh-CN" w:bidi="zh-CN"/>
        </w:rPr>
        <w:t>）。</w:t>
      </w:r>
    </w:p>
    <w:p w14:paraId="2EBC4C77">
      <w:pPr>
        <w:wordWrap w:val="0"/>
        <w:spacing w:line="360" w:lineRule="auto"/>
        <w:ind w:firstLine="420" w:firstLineChars="200"/>
        <w:rPr>
          <w:rFonts w:hint="eastAsia" w:cs="宋体"/>
          <w:color w:val="auto"/>
          <w:szCs w:val="21"/>
          <w:lang w:val="zh-CN" w:bidi="zh-CN"/>
        </w:rPr>
      </w:pPr>
      <w:r>
        <w:rPr>
          <w:rFonts w:hint="eastAsia" w:cs="宋体"/>
          <w:color w:val="auto"/>
          <w:szCs w:val="21"/>
          <w:lang w:val="zh-CN" w:bidi="zh-CN"/>
        </w:rPr>
        <w:t>方式：网上下载。本项目不发放纸质采购文件，潜在供应商可自行在广西政府采购云平台</w:t>
      </w:r>
      <w:r>
        <w:rPr>
          <w:rFonts w:hint="eastAsia" w:cs="宋体"/>
          <w:color w:val="auto"/>
          <w:szCs w:val="21"/>
          <w:lang w:val="zh-CN" w:eastAsia="zh-CN" w:bidi="zh-CN"/>
        </w:rPr>
        <w:t>（</w:t>
      </w:r>
      <w:r>
        <w:rPr>
          <w:rFonts w:hint="eastAsia" w:cs="宋体"/>
          <w:color w:val="auto"/>
          <w:szCs w:val="21"/>
          <w:lang w:val="zh-CN" w:bidi="zh-CN"/>
        </w:rPr>
        <w:t>https://www.gcy.zfcg.gxzf.gov.cn/</w:t>
      </w:r>
      <w:r>
        <w:rPr>
          <w:rFonts w:hint="eastAsia" w:cs="宋体"/>
          <w:color w:val="auto"/>
          <w:szCs w:val="21"/>
          <w:lang w:val="zh-CN" w:eastAsia="zh-CN" w:bidi="zh-CN"/>
        </w:rPr>
        <w:t>）</w:t>
      </w:r>
      <w:r>
        <w:rPr>
          <w:rFonts w:hint="eastAsia" w:cs="宋体"/>
          <w:color w:val="auto"/>
          <w:szCs w:val="21"/>
          <w:lang w:val="zh-CN" w:bidi="zh-CN"/>
        </w:rPr>
        <w:t>下载采购文件（操作路径：登录“政采云”平台-项目采购-获取采购文件-找到本项目-点击“申请获取采购文件”），电子响应文件制作需要基于广西政府采购云平台</w:t>
      </w:r>
      <w:r>
        <w:rPr>
          <w:rFonts w:hint="eastAsia" w:cs="宋体"/>
          <w:color w:val="auto"/>
          <w:szCs w:val="21"/>
          <w:lang w:val="zh-CN" w:eastAsia="zh-CN" w:bidi="zh-CN"/>
        </w:rPr>
        <w:t>（</w:t>
      </w:r>
      <w:r>
        <w:rPr>
          <w:rFonts w:hint="eastAsia" w:cs="宋体"/>
          <w:color w:val="auto"/>
          <w:szCs w:val="21"/>
          <w:lang w:val="zh-CN" w:bidi="zh-CN"/>
        </w:rPr>
        <w:t>https://www.gcy.zfcg.gxzf.gov.cn/</w:t>
      </w:r>
      <w:r>
        <w:rPr>
          <w:rFonts w:hint="eastAsia" w:cs="宋体"/>
          <w:color w:val="auto"/>
          <w:szCs w:val="21"/>
          <w:lang w:val="zh-CN" w:eastAsia="zh-CN" w:bidi="zh-CN"/>
        </w:rPr>
        <w:t>）</w:t>
      </w:r>
      <w:r>
        <w:rPr>
          <w:rFonts w:hint="eastAsia" w:cs="宋体"/>
          <w:color w:val="auto"/>
          <w:szCs w:val="21"/>
          <w:lang w:val="zh-CN" w:bidi="zh-CN"/>
        </w:rPr>
        <w:t>获取的采购文件编制。</w:t>
      </w:r>
    </w:p>
    <w:p w14:paraId="26FAEB6F">
      <w:pPr>
        <w:spacing w:line="440" w:lineRule="exact"/>
        <w:ind w:firstLine="422" w:firstLineChars="200"/>
        <w:rPr>
          <w:rFonts w:ascii="宋体" w:hAnsi="宋体"/>
          <w:b/>
          <w:color w:val="auto"/>
          <w:szCs w:val="21"/>
        </w:rPr>
      </w:pPr>
      <w:bookmarkStart w:id="6" w:name="_Hlk87630394"/>
      <w:r>
        <w:rPr>
          <w:rFonts w:hint="eastAsia" w:ascii="宋体" w:hAnsi="宋体"/>
          <w:b/>
          <w:color w:val="auto"/>
          <w:szCs w:val="21"/>
        </w:rPr>
        <w:t>四、响应文件提交</w:t>
      </w:r>
    </w:p>
    <w:p w14:paraId="1AFC0B21">
      <w:pPr>
        <w:spacing w:line="440" w:lineRule="exact"/>
        <w:ind w:firstLine="420" w:firstLineChars="200"/>
        <w:rPr>
          <w:rFonts w:ascii="宋体" w:hAnsi="宋体"/>
          <w:color w:val="auto"/>
          <w:szCs w:val="21"/>
        </w:rPr>
      </w:pPr>
      <w:r>
        <w:rPr>
          <w:rFonts w:hint="eastAsia" w:ascii="宋体" w:hAnsi="宋体"/>
          <w:color w:val="auto"/>
          <w:szCs w:val="21"/>
        </w:rPr>
        <w:t>截止时间：</w:t>
      </w:r>
      <w:r>
        <w:rPr>
          <w:rFonts w:hint="eastAsia" w:ascii="宋体" w:hAnsi="宋体"/>
          <w:color w:val="auto"/>
          <w:szCs w:val="21"/>
          <w:u w:val="none"/>
        </w:rPr>
        <w:t>202</w:t>
      </w:r>
      <w:r>
        <w:rPr>
          <w:rFonts w:hint="eastAsia" w:ascii="宋体" w:hAnsi="宋体"/>
          <w:color w:val="auto"/>
          <w:szCs w:val="21"/>
          <w:u w:val="none"/>
          <w:lang w:val="en-US" w:eastAsia="zh-CN"/>
        </w:rPr>
        <w:t>5</w:t>
      </w:r>
      <w:r>
        <w:rPr>
          <w:rFonts w:hint="eastAsia" w:ascii="宋体" w:hAnsi="宋体"/>
          <w:color w:val="auto"/>
          <w:szCs w:val="21"/>
          <w:u w:val="none"/>
        </w:rPr>
        <w:t>年</w:t>
      </w:r>
      <w:r>
        <w:rPr>
          <w:rFonts w:hint="eastAsia" w:ascii="宋体" w:hAnsi="宋体"/>
          <w:color w:val="auto"/>
          <w:szCs w:val="21"/>
          <w:u w:val="none"/>
          <w:lang w:val="en-US" w:eastAsia="zh-CN"/>
        </w:rPr>
        <w:t>5</w:t>
      </w:r>
      <w:r>
        <w:rPr>
          <w:rFonts w:hint="eastAsia" w:ascii="宋体" w:hAnsi="宋体"/>
          <w:color w:val="auto"/>
          <w:szCs w:val="21"/>
          <w:u w:val="none"/>
        </w:rPr>
        <w:t>月</w:t>
      </w:r>
      <w:r>
        <w:rPr>
          <w:rFonts w:hint="eastAsia" w:ascii="宋体" w:hAnsi="宋体"/>
          <w:color w:val="auto"/>
          <w:szCs w:val="21"/>
          <w:u w:val="none"/>
          <w:lang w:val="en-US" w:eastAsia="zh-CN"/>
        </w:rPr>
        <w:t>19</w:t>
      </w:r>
      <w:r>
        <w:rPr>
          <w:rFonts w:hint="eastAsia" w:ascii="宋体" w:hAnsi="宋体"/>
          <w:color w:val="auto"/>
          <w:szCs w:val="21"/>
          <w:u w:val="none"/>
        </w:rPr>
        <w:t>日</w:t>
      </w:r>
      <w:r>
        <w:rPr>
          <w:rFonts w:hint="eastAsia" w:ascii="宋体" w:hAnsi="宋体"/>
          <w:color w:val="auto"/>
          <w:szCs w:val="21"/>
          <w:u w:val="none"/>
          <w:lang w:val="en-US" w:eastAsia="zh-CN"/>
        </w:rPr>
        <w:t>09</w:t>
      </w:r>
      <w:r>
        <w:rPr>
          <w:rFonts w:hint="eastAsia" w:ascii="宋体" w:hAnsi="宋体"/>
          <w:color w:val="auto"/>
          <w:szCs w:val="21"/>
          <w:u w:val="none"/>
        </w:rPr>
        <w:t>时</w:t>
      </w:r>
      <w:r>
        <w:rPr>
          <w:rFonts w:hint="eastAsia" w:ascii="宋体" w:hAnsi="宋体"/>
          <w:color w:val="auto"/>
          <w:szCs w:val="21"/>
          <w:u w:val="none"/>
          <w:lang w:val="en-US" w:eastAsia="zh-CN"/>
        </w:rPr>
        <w:t>0</w:t>
      </w:r>
      <w:r>
        <w:rPr>
          <w:rFonts w:hint="eastAsia" w:ascii="宋体" w:hAnsi="宋体"/>
          <w:color w:val="auto"/>
          <w:szCs w:val="21"/>
          <w:u w:val="none"/>
        </w:rPr>
        <w:t>0分（北京时间）。</w:t>
      </w:r>
    </w:p>
    <w:p w14:paraId="1AC62A38">
      <w:pPr>
        <w:spacing w:line="440" w:lineRule="exact"/>
        <w:ind w:firstLine="420" w:firstLineChars="200"/>
        <w:rPr>
          <w:rFonts w:ascii="宋体" w:hAnsi="宋体"/>
          <w:color w:val="auto"/>
          <w:szCs w:val="21"/>
        </w:rPr>
      </w:pPr>
      <w:r>
        <w:rPr>
          <w:rFonts w:hint="eastAsia" w:ascii="宋体" w:hAnsi="宋体"/>
          <w:color w:val="auto"/>
          <w:szCs w:val="21"/>
        </w:rPr>
        <w:t>地点</w:t>
      </w:r>
      <w:r>
        <w:rPr>
          <w:rFonts w:ascii="宋体" w:hAnsi="宋体"/>
          <w:color w:val="auto"/>
          <w:szCs w:val="21"/>
        </w:rPr>
        <w:t>（网址）：</w:t>
      </w:r>
      <w:r>
        <w:rPr>
          <w:rFonts w:hint="eastAsia" w:ascii="宋体" w:hAnsi="宋体"/>
          <w:color w:val="auto"/>
          <w:szCs w:val="21"/>
        </w:rPr>
        <w:t>广西政府采购云平台</w:t>
      </w:r>
      <w:r>
        <w:rPr>
          <w:rFonts w:hint="eastAsia" w:ascii="宋体" w:hAnsi="宋体"/>
          <w:color w:val="auto"/>
          <w:szCs w:val="21"/>
          <w:lang w:eastAsia="zh-CN"/>
        </w:rPr>
        <w:t>（</w:t>
      </w:r>
      <w:r>
        <w:rPr>
          <w:rFonts w:hint="eastAsia" w:ascii="宋体" w:hAnsi="宋体"/>
          <w:color w:val="auto"/>
          <w:szCs w:val="21"/>
        </w:rPr>
        <w:t>https://www.gcy.zfcg.gxzf.gov.cn/</w:t>
      </w:r>
      <w:r>
        <w:rPr>
          <w:rFonts w:hint="eastAsia" w:ascii="宋体" w:hAnsi="宋体"/>
          <w:color w:val="auto"/>
          <w:szCs w:val="21"/>
          <w:lang w:eastAsia="zh-CN"/>
        </w:rPr>
        <w:t>）。</w:t>
      </w:r>
    </w:p>
    <w:bookmarkEnd w:id="6"/>
    <w:p w14:paraId="588A16F7">
      <w:pPr>
        <w:spacing w:line="440" w:lineRule="exact"/>
        <w:ind w:firstLine="422" w:firstLineChars="200"/>
        <w:rPr>
          <w:rFonts w:ascii="宋体" w:hAnsi="宋体"/>
          <w:b/>
          <w:color w:val="auto"/>
          <w:szCs w:val="21"/>
        </w:rPr>
      </w:pPr>
      <w:r>
        <w:rPr>
          <w:rFonts w:hint="eastAsia" w:ascii="宋体" w:hAnsi="宋体"/>
          <w:b/>
          <w:color w:val="auto"/>
          <w:szCs w:val="21"/>
        </w:rPr>
        <w:t>五、开启</w:t>
      </w:r>
    </w:p>
    <w:p w14:paraId="5F728C35">
      <w:pPr>
        <w:spacing w:line="440" w:lineRule="exact"/>
        <w:ind w:firstLine="420" w:firstLineChars="200"/>
        <w:rPr>
          <w:rFonts w:ascii="宋体" w:hAnsi="宋体"/>
          <w:color w:val="auto"/>
          <w:szCs w:val="21"/>
        </w:rPr>
      </w:pPr>
      <w:r>
        <w:rPr>
          <w:rFonts w:hint="eastAsia" w:ascii="宋体" w:hAnsi="宋体"/>
          <w:color w:val="auto"/>
          <w:szCs w:val="21"/>
        </w:rPr>
        <w:t>时间：</w:t>
      </w:r>
      <w:r>
        <w:rPr>
          <w:rFonts w:hint="eastAsia" w:ascii="宋体" w:hAnsi="宋体"/>
          <w:color w:val="auto"/>
          <w:szCs w:val="21"/>
          <w:u w:val="none"/>
        </w:rPr>
        <w:t>202</w:t>
      </w:r>
      <w:r>
        <w:rPr>
          <w:rFonts w:hint="eastAsia" w:ascii="宋体" w:hAnsi="宋体"/>
          <w:color w:val="auto"/>
          <w:szCs w:val="21"/>
          <w:u w:val="none"/>
          <w:lang w:val="en-US" w:eastAsia="zh-CN"/>
        </w:rPr>
        <w:t>5</w:t>
      </w:r>
      <w:r>
        <w:rPr>
          <w:rFonts w:hint="eastAsia" w:ascii="宋体" w:hAnsi="宋体"/>
          <w:color w:val="auto"/>
          <w:szCs w:val="21"/>
          <w:u w:val="none"/>
        </w:rPr>
        <w:t>年</w:t>
      </w:r>
      <w:r>
        <w:rPr>
          <w:rFonts w:hint="eastAsia" w:ascii="宋体" w:hAnsi="宋体"/>
          <w:color w:val="auto"/>
          <w:szCs w:val="21"/>
          <w:u w:val="none"/>
          <w:lang w:val="en-US" w:eastAsia="zh-CN"/>
        </w:rPr>
        <w:t>5</w:t>
      </w:r>
      <w:r>
        <w:rPr>
          <w:rFonts w:hint="eastAsia" w:ascii="宋体" w:hAnsi="宋体"/>
          <w:color w:val="auto"/>
          <w:szCs w:val="21"/>
          <w:u w:val="none"/>
        </w:rPr>
        <w:t>月</w:t>
      </w:r>
      <w:r>
        <w:rPr>
          <w:rFonts w:hint="eastAsia" w:ascii="宋体" w:hAnsi="宋体"/>
          <w:color w:val="auto"/>
          <w:szCs w:val="21"/>
          <w:u w:val="none"/>
          <w:lang w:val="en-US" w:eastAsia="zh-CN"/>
        </w:rPr>
        <w:t>19</w:t>
      </w:r>
      <w:r>
        <w:rPr>
          <w:rFonts w:hint="eastAsia" w:ascii="宋体" w:hAnsi="宋体"/>
          <w:color w:val="auto"/>
          <w:szCs w:val="21"/>
          <w:u w:val="none"/>
        </w:rPr>
        <w:t>日</w:t>
      </w:r>
      <w:r>
        <w:rPr>
          <w:rFonts w:hint="eastAsia" w:ascii="宋体" w:hAnsi="宋体"/>
          <w:color w:val="auto"/>
          <w:szCs w:val="21"/>
          <w:u w:val="none"/>
          <w:lang w:val="en-US" w:eastAsia="zh-CN"/>
        </w:rPr>
        <w:t>09</w:t>
      </w:r>
      <w:r>
        <w:rPr>
          <w:rFonts w:hint="eastAsia" w:ascii="宋体" w:hAnsi="宋体"/>
          <w:color w:val="auto"/>
          <w:szCs w:val="21"/>
          <w:u w:val="none"/>
        </w:rPr>
        <w:t>时</w:t>
      </w:r>
      <w:r>
        <w:rPr>
          <w:rFonts w:hint="eastAsia" w:ascii="宋体" w:hAnsi="宋体"/>
          <w:color w:val="auto"/>
          <w:szCs w:val="21"/>
          <w:u w:val="none"/>
          <w:lang w:val="en-US" w:eastAsia="zh-CN"/>
        </w:rPr>
        <w:t>0</w:t>
      </w:r>
      <w:r>
        <w:rPr>
          <w:rFonts w:hint="eastAsia" w:ascii="宋体" w:hAnsi="宋体"/>
          <w:color w:val="auto"/>
          <w:szCs w:val="21"/>
          <w:u w:val="none"/>
        </w:rPr>
        <w:t>0分（北京时间）。</w:t>
      </w:r>
    </w:p>
    <w:p w14:paraId="58D5FAD5">
      <w:pPr>
        <w:spacing w:line="440" w:lineRule="exact"/>
        <w:ind w:firstLine="420" w:firstLineChars="200"/>
        <w:rPr>
          <w:rFonts w:ascii="宋体" w:hAnsi="宋体"/>
          <w:color w:val="auto"/>
          <w:kern w:val="0"/>
          <w:szCs w:val="21"/>
        </w:rPr>
      </w:pPr>
      <w:r>
        <w:rPr>
          <w:rFonts w:hint="eastAsia" w:ascii="宋体" w:hAnsi="宋体"/>
          <w:color w:val="auto"/>
          <w:szCs w:val="21"/>
        </w:rPr>
        <w:t>地点</w:t>
      </w:r>
      <w:r>
        <w:rPr>
          <w:rFonts w:ascii="宋体" w:hAnsi="宋体"/>
          <w:color w:val="auto"/>
          <w:szCs w:val="21"/>
        </w:rPr>
        <w:t>（网址）</w:t>
      </w:r>
      <w:r>
        <w:rPr>
          <w:rFonts w:hint="eastAsia" w:ascii="宋体" w:hAnsi="宋体"/>
          <w:color w:val="auto"/>
          <w:szCs w:val="21"/>
        </w:rPr>
        <w:t>：广西政府采购云平台</w:t>
      </w:r>
      <w:r>
        <w:rPr>
          <w:rFonts w:hint="eastAsia" w:ascii="宋体" w:hAnsi="宋体"/>
          <w:color w:val="auto"/>
          <w:szCs w:val="21"/>
          <w:lang w:eastAsia="zh-CN"/>
        </w:rPr>
        <w:t>（</w:t>
      </w:r>
      <w:r>
        <w:rPr>
          <w:rFonts w:hint="eastAsia" w:ascii="宋体" w:hAnsi="宋体"/>
          <w:color w:val="auto"/>
          <w:szCs w:val="21"/>
        </w:rPr>
        <w:t>https://www.gcy.zfcg.gxzf.gov.cn/</w:t>
      </w:r>
      <w:r>
        <w:rPr>
          <w:rFonts w:hint="eastAsia" w:ascii="宋体" w:hAnsi="宋体"/>
          <w:color w:val="auto"/>
          <w:szCs w:val="21"/>
          <w:lang w:eastAsia="zh-CN"/>
        </w:rPr>
        <w:t>）</w:t>
      </w:r>
      <w:r>
        <w:rPr>
          <w:rFonts w:ascii="宋体" w:hAnsi="宋体"/>
          <w:color w:val="auto"/>
          <w:szCs w:val="21"/>
        </w:rPr>
        <w:t>在线解密开启。 </w:t>
      </w:r>
    </w:p>
    <w:p w14:paraId="43F36B8D">
      <w:pPr>
        <w:spacing w:line="440" w:lineRule="exact"/>
        <w:ind w:firstLine="422" w:firstLineChars="200"/>
        <w:rPr>
          <w:rFonts w:ascii="宋体" w:hAnsi="宋体"/>
          <w:b/>
          <w:color w:val="auto"/>
          <w:szCs w:val="21"/>
        </w:rPr>
      </w:pPr>
      <w:r>
        <w:rPr>
          <w:rFonts w:hint="eastAsia" w:ascii="宋体" w:hAnsi="宋体"/>
          <w:b/>
          <w:color w:val="auto"/>
          <w:szCs w:val="21"/>
        </w:rPr>
        <w:t>六、公告期限：</w:t>
      </w:r>
    </w:p>
    <w:p w14:paraId="004CDA44">
      <w:pPr>
        <w:spacing w:line="440" w:lineRule="exact"/>
        <w:ind w:firstLine="420" w:firstLineChars="200"/>
        <w:rPr>
          <w:rFonts w:ascii="宋体" w:hAnsi="宋体"/>
          <w:color w:val="auto"/>
          <w:kern w:val="0"/>
          <w:szCs w:val="21"/>
        </w:rPr>
      </w:pPr>
      <w:r>
        <w:rPr>
          <w:rFonts w:hint="eastAsia" w:ascii="宋体" w:hAnsi="宋体"/>
          <w:color w:val="auto"/>
          <w:kern w:val="0"/>
          <w:szCs w:val="21"/>
        </w:rPr>
        <w:t>自本公告发布之日起5个工作日。</w:t>
      </w:r>
    </w:p>
    <w:p w14:paraId="66E9BDD6">
      <w:pPr>
        <w:spacing w:line="440" w:lineRule="exact"/>
        <w:ind w:firstLine="422" w:firstLineChars="200"/>
        <w:rPr>
          <w:rFonts w:ascii="宋体" w:hAnsi="宋体"/>
          <w:b/>
          <w:color w:val="auto"/>
          <w:szCs w:val="21"/>
        </w:rPr>
      </w:pPr>
      <w:r>
        <w:rPr>
          <w:rFonts w:hint="eastAsia" w:ascii="宋体" w:hAnsi="宋体"/>
          <w:b/>
          <w:color w:val="auto"/>
          <w:szCs w:val="21"/>
        </w:rPr>
        <w:t>七、其他补充事宜：</w:t>
      </w:r>
    </w:p>
    <w:p w14:paraId="083C8A5D">
      <w:pPr>
        <w:spacing w:line="440" w:lineRule="exact"/>
        <w:ind w:firstLine="420" w:firstLineChars="200"/>
        <w:rPr>
          <w:rFonts w:ascii="宋体" w:hAnsi="宋体"/>
          <w:b/>
          <w:color w:val="auto"/>
          <w:szCs w:val="21"/>
        </w:rPr>
      </w:pPr>
      <w:r>
        <w:rPr>
          <w:rFonts w:ascii="宋体" w:hAnsi="宋体"/>
          <w:color w:val="auto"/>
          <w:kern w:val="0"/>
          <w:szCs w:val="21"/>
        </w:rPr>
        <w:t>1.本项目不收取磋商保证金。</w:t>
      </w:r>
    </w:p>
    <w:p w14:paraId="4D9781D5">
      <w:pPr>
        <w:autoSpaceDE w:val="0"/>
        <w:autoSpaceDN w:val="0"/>
        <w:spacing w:line="500" w:lineRule="exact"/>
        <w:ind w:firstLine="420" w:firstLineChars="200"/>
        <w:rPr>
          <w:rFonts w:ascii="宋体" w:hAnsi="宋体"/>
          <w:color w:val="auto"/>
          <w:kern w:val="0"/>
          <w:szCs w:val="21"/>
        </w:rPr>
      </w:pPr>
      <w:r>
        <w:rPr>
          <w:rFonts w:hint="eastAsia" w:ascii="宋体" w:hAnsi="宋体"/>
          <w:color w:val="auto"/>
          <w:szCs w:val="21"/>
        </w:rPr>
        <w:t>2.本项目需要落实的政府采购政策：</w:t>
      </w:r>
      <w:r>
        <w:rPr>
          <w:rFonts w:hint="eastAsia" w:ascii="宋体" w:hAnsi="宋体"/>
          <w:color w:val="auto"/>
          <w:kern w:val="0"/>
          <w:szCs w:val="21"/>
        </w:rPr>
        <w:t>《政府采购促进中小企业发展管理办法》（财库[2020]46号）</w:t>
      </w:r>
      <w:r>
        <w:rPr>
          <w:rFonts w:hint="eastAsia" w:ascii="宋体" w:hAnsi="宋体"/>
          <w:color w:val="auto"/>
          <w:szCs w:val="21"/>
        </w:rPr>
        <w:t>、《关于政府采购支持监狱企业发展有关问题的通知》(财库[2014]68号)、《关于促进残疾人就业政府采购政策的通知》(财库〔2017〕141号)、《财政部国家发展改革委关于印发&lt;节能产品政府采购实施意见&gt;的通知》（财库[2004]185号）、《财政部、国家环保总局联合印发&lt;关于环境标志产品政府采购实施的意见&gt;》(财库[2006]90号)、《政府采购中查询及使用信用记录有关问题的通知》（财库【2016】125号）</w:t>
      </w:r>
      <w:r>
        <w:rPr>
          <w:rFonts w:hint="eastAsia" w:ascii="宋体" w:hAnsi="宋体"/>
          <w:color w:val="auto"/>
          <w:szCs w:val="21"/>
          <w:lang w:eastAsia="zh-CN"/>
        </w:rPr>
        <w:t>、</w:t>
      </w:r>
      <w:r>
        <w:rPr>
          <w:rFonts w:hint="eastAsia" w:ascii="宋体" w:hAnsi="宋体"/>
          <w:color w:val="auto"/>
          <w:szCs w:val="21"/>
        </w:rPr>
        <w:t>《招标采购促进广西工业产品产销对接实施细则》（桂政发【2015】78号）等相关政府采购政策。</w:t>
      </w:r>
    </w:p>
    <w:p w14:paraId="113F5C03">
      <w:pPr>
        <w:autoSpaceDE w:val="0"/>
        <w:autoSpaceDN w:val="0"/>
        <w:spacing w:line="50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3.网上公告媒体查询：中国政府采购网、广西壮族自治区政府采购网、全国公共资源交易平台（广西.崇左）。</w:t>
      </w:r>
    </w:p>
    <w:p w14:paraId="6020A18A">
      <w:pPr>
        <w:widowControl/>
        <w:spacing w:line="460" w:lineRule="exact"/>
        <w:ind w:firstLine="420" w:firstLineChars="200"/>
        <w:jc w:val="left"/>
        <w:rPr>
          <w:rFonts w:ascii="宋体" w:hAnsi="宋体" w:cs="Arial"/>
          <w:color w:val="auto"/>
          <w:kern w:val="0"/>
          <w:szCs w:val="21"/>
        </w:rPr>
      </w:pPr>
      <w:r>
        <w:rPr>
          <w:rFonts w:hint="eastAsia" w:ascii="宋体" w:hAnsi="宋体"/>
          <w:color w:val="auto"/>
          <w:szCs w:val="21"/>
        </w:rPr>
        <w:t>4.</w:t>
      </w:r>
      <w:r>
        <w:rPr>
          <w:rFonts w:hint="eastAsia" w:ascii="宋体" w:hAnsi="宋体" w:cs="Arial"/>
          <w:color w:val="auto"/>
          <w:kern w:val="0"/>
          <w:szCs w:val="21"/>
        </w:rPr>
        <w:t>在线响应（网上</w:t>
      </w:r>
      <w:r>
        <w:rPr>
          <w:rFonts w:ascii="宋体" w:hAnsi="宋体" w:cs="Arial"/>
          <w:color w:val="auto"/>
          <w:kern w:val="0"/>
          <w:szCs w:val="21"/>
        </w:rPr>
        <w:t>磋商</w:t>
      </w:r>
      <w:r>
        <w:rPr>
          <w:rFonts w:hint="eastAsia" w:ascii="宋体" w:hAnsi="宋体" w:cs="Arial"/>
          <w:color w:val="auto"/>
          <w:kern w:val="0"/>
          <w:szCs w:val="21"/>
        </w:rPr>
        <w:t>）说明</w:t>
      </w:r>
    </w:p>
    <w:p w14:paraId="0E9C18EF">
      <w:pPr>
        <w:pageBreakBefore w:val="0"/>
        <w:widowControl/>
        <w:kinsoku/>
        <w:overflowPunct/>
        <w:topLinePunct w:val="0"/>
        <w:bidi w:val="0"/>
        <w:adjustRightInd/>
        <w:spacing w:line="360" w:lineRule="auto"/>
        <w:ind w:firstLine="420" w:firstLineChars="200"/>
        <w:jc w:val="left"/>
        <w:textAlignment w:val="auto"/>
        <w:rPr>
          <w:rFonts w:ascii="宋体" w:hAnsi="宋体" w:cs="Arial"/>
          <w:color w:val="auto"/>
          <w:kern w:val="0"/>
          <w:szCs w:val="21"/>
        </w:rPr>
      </w:pPr>
      <w:r>
        <w:rPr>
          <w:rFonts w:ascii="宋体" w:hAnsi="宋体" w:cs="Arial"/>
          <w:color w:val="auto"/>
          <w:kern w:val="0"/>
          <w:szCs w:val="21"/>
        </w:rPr>
        <w:t>（1）</w:t>
      </w:r>
      <w:r>
        <w:rPr>
          <w:rFonts w:ascii="宋体" w:hAnsi="宋体" w:cs="Arial"/>
          <w:b/>
          <w:bCs/>
          <w:color w:val="auto"/>
          <w:kern w:val="0"/>
          <w:szCs w:val="21"/>
        </w:rPr>
        <w:t>实行</w:t>
      </w:r>
      <w:r>
        <w:rPr>
          <w:rFonts w:hint="eastAsia" w:ascii="宋体" w:hAnsi="宋体" w:cs="Arial"/>
          <w:b/>
          <w:bCs/>
          <w:color w:val="auto"/>
          <w:kern w:val="0"/>
          <w:szCs w:val="21"/>
        </w:rPr>
        <w:t>全程电子投标且</w:t>
      </w:r>
      <w:r>
        <w:rPr>
          <w:rFonts w:cs="宋体" w:asciiTheme="minorEastAsia" w:hAnsiTheme="minorEastAsia" w:eastAsiaTheme="minorEastAsia"/>
          <w:b/>
          <w:bCs/>
          <w:color w:val="auto"/>
          <w:szCs w:val="21"/>
        </w:rPr>
        <w:t>采用远程异地评标</w:t>
      </w:r>
      <w:r>
        <w:rPr>
          <w:rFonts w:cs="宋体" w:asciiTheme="minorEastAsia" w:hAnsiTheme="minorEastAsia" w:eastAsiaTheme="minorEastAsia"/>
          <w:color w:val="auto"/>
          <w:szCs w:val="21"/>
        </w:rPr>
        <w:t>，</w:t>
      </w:r>
      <w:r>
        <w:rPr>
          <w:rFonts w:hint="eastAsia" w:ascii="宋体" w:hAnsi="宋体" w:cs="Arial"/>
          <w:color w:val="auto"/>
          <w:kern w:val="0"/>
          <w:szCs w:val="21"/>
        </w:rPr>
        <w:t>供应商</w:t>
      </w:r>
      <w:r>
        <w:rPr>
          <w:rFonts w:ascii="宋体" w:hAnsi="宋体" w:cs="Arial"/>
          <w:color w:val="auto"/>
          <w:kern w:val="0"/>
          <w:szCs w:val="21"/>
        </w:rPr>
        <w:t>应按照本项目</w:t>
      </w:r>
      <w:r>
        <w:rPr>
          <w:rFonts w:hint="eastAsia" w:ascii="宋体" w:hAnsi="宋体" w:cs="Arial"/>
          <w:color w:val="auto"/>
          <w:kern w:val="0"/>
          <w:szCs w:val="21"/>
        </w:rPr>
        <w:t>磋商</w:t>
      </w:r>
      <w:r>
        <w:rPr>
          <w:rFonts w:ascii="宋体" w:hAnsi="宋体" w:cs="Arial"/>
          <w:color w:val="auto"/>
          <w:kern w:val="0"/>
          <w:szCs w:val="21"/>
        </w:rPr>
        <w:t>文件和政采云平台的要求编制、加密并提交</w:t>
      </w:r>
      <w:r>
        <w:rPr>
          <w:rFonts w:hint="eastAsia" w:ascii="宋体" w:hAnsi="宋体" w:cs="Arial"/>
          <w:color w:val="auto"/>
          <w:kern w:val="0"/>
          <w:szCs w:val="21"/>
        </w:rPr>
        <w:t>响应</w:t>
      </w:r>
      <w:r>
        <w:rPr>
          <w:rFonts w:ascii="宋体" w:hAnsi="宋体" w:cs="Arial"/>
          <w:color w:val="auto"/>
          <w:kern w:val="0"/>
          <w:szCs w:val="21"/>
        </w:rPr>
        <w:t>文件。</w:t>
      </w:r>
      <w:r>
        <w:rPr>
          <w:rFonts w:hint="eastAsia" w:ascii="宋体" w:hAnsi="宋体" w:cs="Arial"/>
          <w:color w:val="auto"/>
          <w:kern w:val="0"/>
          <w:szCs w:val="21"/>
        </w:rPr>
        <w:t>供应商</w:t>
      </w:r>
      <w:r>
        <w:rPr>
          <w:rFonts w:ascii="宋体" w:hAnsi="宋体" w:cs="Arial"/>
          <w:color w:val="auto"/>
          <w:kern w:val="0"/>
          <w:szCs w:val="21"/>
        </w:rPr>
        <w:t>在使用系统参与</w:t>
      </w:r>
      <w:r>
        <w:rPr>
          <w:rFonts w:hint="eastAsia" w:ascii="宋体" w:hAnsi="宋体" w:cs="Arial"/>
          <w:color w:val="auto"/>
          <w:kern w:val="0"/>
          <w:szCs w:val="21"/>
        </w:rPr>
        <w:t>磋商</w:t>
      </w:r>
      <w:r>
        <w:rPr>
          <w:rFonts w:ascii="宋体" w:hAnsi="宋体" w:cs="Arial"/>
          <w:color w:val="auto"/>
          <w:kern w:val="0"/>
          <w:szCs w:val="21"/>
        </w:rPr>
        <w:t>过程中遇到涉及平台使用的任何问题，可致电政采云平台技术支持热线咨询，联系方式：400-881-7190。</w:t>
      </w:r>
    </w:p>
    <w:p w14:paraId="03320CFC">
      <w:pPr>
        <w:widowControl/>
        <w:spacing w:line="460" w:lineRule="exact"/>
        <w:ind w:firstLine="420" w:firstLineChars="200"/>
        <w:jc w:val="left"/>
        <w:rPr>
          <w:rFonts w:ascii="宋体" w:hAnsi="宋体" w:cs="Arial"/>
          <w:color w:val="auto"/>
          <w:kern w:val="0"/>
          <w:szCs w:val="21"/>
        </w:rPr>
      </w:pPr>
      <w:r>
        <w:rPr>
          <w:rFonts w:ascii="宋体" w:hAnsi="宋体" w:cs="Arial"/>
          <w:color w:val="auto"/>
          <w:kern w:val="0"/>
          <w:szCs w:val="21"/>
        </w:rPr>
        <w:t>（2）</w:t>
      </w:r>
      <w:r>
        <w:rPr>
          <w:rFonts w:hint="eastAsia" w:ascii="宋体" w:hAnsi="宋体" w:cs="Arial"/>
          <w:color w:val="auto"/>
          <w:kern w:val="0"/>
          <w:szCs w:val="21"/>
        </w:rPr>
        <w:t>供应商</w:t>
      </w:r>
      <w:r>
        <w:rPr>
          <w:rFonts w:ascii="宋体" w:hAnsi="宋体" w:cs="Arial"/>
          <w:color w:val="auto"/>
          <w:kern w:val="0"/>
          <w:szCs w:val="21"/>
        </w:rPr>
        <w:t>应及时熟悉掌握电子标系统操作指南（见政采云电子卖场首页右上角—服务中心—帮助文档—项目采购）：</w:t>
      </w:r>
      <w:r>
        <w:rPr>
          <w:color w:val="auto"/>
        </w:rPr>
        <w:fldChar w:fldCharType="begin"/>
      </w:r>
      <w:r>
        <w:rPr>
          <w:color w:val="auto"/>
        </w:rPr>
        <w:instrText xml:space="preserve"> HYPERLINK "https://service.zcygov.cn/" \l "/knowledges/tree?tag=AG1DtGwBFdiHxlNdhY0r" </w:instrText>
      </w:r>
      <w:r>
        <w:rPr>
          <w:color w:val="auto"/>
        </w:rPr>
        <w:fldChar w:fldCharType="separate"/>
      </w:r>
      <w:r>
        <w:rPr>
          <w:color w:val="auto"/>
          <w:szCs w:val="21"/>
        </w:rPr>
        <w:t>https://service.zcygov.cn/#/knowledges/tree?tag=AG1DtGwBFdiHxlNdhY0r</w:t>
      </w:r>
      <w:r>
        <w:rPr>
          <w:color w:val="auto"/>
          <w:szCs w:val="21"/>
        </w:rPr>
        <w:fldChar w:fldCharType="end"/>
      </w:r>
      <w:r>
        <w:rPr>
          <w:rFonts w:ascii="宋体" w:hAnsi="宋体" w:cs="Arial"/>
          <w:color w:val="auto"/>
          <w:kern w:val="0"/>
          <w:szCs w:val="21"/>
        </w:rPr>
        <w:t>。</w:t>
      </w:r>
    </w:p>
    <w:p w14:paraId="77503687">
      <w:pPr>
        <w:widowControl/>
        <w:spacing w:line="460" w:lineRule="exact"/>
        <w:ind w:firstLine="420" w:firstLineChars="200"/>
        <w:jc w:val="left"/>
        <w:rPr>
          <w:rFonts w:ascii="宋体" w:hAnsi="宋体" w:cs="Arial"/>
          <w:color w:val="auto"/>
          <w:kern w:val="0"/>
          <w:szCs w:val="21"/>
        </w:rPr>
      </w:pPr>
      <w:r>
        <w:rPr>
          <w:rFonts w:ascii="宋体" w:hAnsi="宋体" w:cs="Arial"/>
          <w:color w:val="auto"/>
          <w:kern w:val="0"/>
          <w:szCs w:val="21"/>
        </w:rPr>
        <w:t>（3）</w:t>
      </w:r>
      <w:r>
        <w:rPr>
          <w:rFonts w:hint="eastAsia" w:ascii="宋体" w:hAnsi="宋体" w:cs="Arial"/>
          <w:color w:val="auto"/>
          <w:kern w:val="0"/>
          <w:szCs w:val="21"/>
        </w:rPr>
        <w:t>供应商应当在响应文件提交截止时间前完成在“政府采购云平台”的身份认证，确保在电子投标过程中能够对相关数据电文进行加密和使用电子签章。使用“政采云电子交易客户端”需要提前申领 CA 数字证书，申领流程</w:t>
      </w:r>
      <w:r>
        <w:rPr>
          <w:rFonts w:ascii="宋体" w:hAnsi="宋体" w:cs="Arial"/>
          <w:color w:val="auto"/>
          <w:kern w:val="0"/>
          <w:szCs w:val="21"/>
        </w:rPr>
        <w:t>见广西壮族自治区政府采购网—办事服务—下载专区-政采云CA证书办理操作指南</w:t>
      </w:r>
      <w:r>
        <w:rPr>
          <w:rFonts w:hint="eastAsia" w:ascii="宋体" w:hAnsi="宋体" w:cs="Arial"/>
          <w:color w:val="auto"/>
          <w:kern w:val="0"/>
          <w:szCs w:val="21"/>
        </w:rPr>
        <w:t>。</w:t>
      </w:r>
    </w:p>
    <w:p w14:paraId="42F1C6BD">
      <w:pPr>
        <w:widowControl/>
        <w:spacing w:line="460" w:lineRule="exact"/>
        <w:ind w:firstLine="420" w:firstLineChars="200"/>
        <w:jc w:val="left"/>
        <w:rPr>
          <w:rFonts w:ascii="宋体" w:hAnsi="宋体" w:cs="Arial"/>
          <w:color w:val="auto"/>
          <w:kern w:val="0"/>
          <w:szCs w:val="21"/>
        </w:rPr>
      </w:pPr>
      <w:r>
        <w:rPr>
          <w:rFonts w:ascii="宋体" w:hAnsi="宋体" w:cs="Arial"/>
          <w:color w:val="auto"/>
          <w:kern w:val="0"/>
          <w:szCs w:val="21"/>
        </w:rPr>
        <w:t>（4）</w:t>
      </w:r>
      <w:r>
        <w:rPr>
          <w:rFonts w:hint="eastAsia" w:ascii="宋体" w:hAnsi="宋体" w:cs="Arial"/>
          <w:color w:val="auto"/>
          <w:kern w:val="0"/>
          <w:szCs w:val="21"/>
        </w:rPr>
        <w:t>供应商</w:t>
      </w:r>
      <w:r>
        <w:rPr>
          <w:rFonts w:ascii="宋体" w:hAnsi="宋体" w:cs="Arial"/>
          <w:color w:val="auto"/>
          <w:kern w:val="0"/>
          <w:szCs w:val="21"/>
        </w:rPr>
        <w:t>通过政采云投标客户端软件制作</w:t>
      </w:r>
      <w:r>
        <w:rPr>
          <w:rFonts w:hint="eastAsia" w:ascii="宋体" w:hAnsi="宋体" w:cs="Arial"/>
          <w:color w:val="auto"/>
          <w:kern w:val="0"/>
          <w:szCs w:val="21"/>
        </w:rPr>
        <w:t>响应</w:t>
      </w:r>
      <w:r>
        <w:rPr>
          <w:rFonts w:ascii="宋体" w:hAnsi="宋体" w:cs="Arial"/>
          <w:color w:val="auto"/>
          <w:kern w:val="0"/>
          <w:szCs w:val="21"/>
        </w:rPr>
        <w:t>文件，政采云投标客户端软件请</w:t>
      </w:r>
      <w:r>
        <w:rPr>
          <w:rFonts w:hint="eastAsia" w:ascii="宋体" w:hAnsi="宋体" w:cs="Arial"/>
          <w:color w:val="auto"/>
          <w:kern w:val="0"/>
          <w:szCs w:val="21"/>
        </w:rPr>
        <w:t>供应商</w:t>
      </w:r>
      <w:r>
        <w:rPr>
          <w:rFonts w:ascii="宋体" w:hAnsi="宋体" w:cs="Arial"/>
          <w:color w:val="auto"/>
          <w:kern w:val="0"/>
          <w:szCs w:val="21"/>
        </w:rPr>
        <w:t>自行前往下载并安装（见广西壮族自治区政府采购网—办事服务—下载专区-广西壮族自治区全流程电子招投标项目管理系统--供应商客户端）。</w:t>
      </w:r>
    </w:p>
    <w:p w14:paraId="6AAFF722">
      <w:pPr>
        <w:widowControl/>
        <w:spacing w:line="460" w:lineRule="exact"/>
        <w:ind w:firstLine="420" w:firstLineChars="200"/>
        <w:jc w:val="left"/>
        <w:rPr>
          <w:rFonts w:ascii="宋体" w:hAnsi="宋体" w:cs="Arial"/>
          <w:strike/>
          <w:color w:val="auto"/>
          <w:kern w:val="0"/>
          <w:szCs w:val="21"/>
        </w:rPr>
      </w:pPr>
      <w:r>
        <w:rPr>
          <w:rFonts w:hint="eastAsia" w:ascii="宋体" w:hAnsi="宋体" w:cs="Arial"/>
          <w:color w:val="auto"/>
          <w:kern w:val="0"/>
          <w:szCs w:val="21"/>
        </w:rPr>
        <w:t>（</w:t>
      </w:r>
      <w:r>
        <w:rPr>
          <w:rFonts w:hint="eastAsia" w:ascii="宋体" w:hAnsi="宋体" w:cs="Arial"/>
          <w:color w:val="auto"/>
          <w:kern w:val="0"/>
          <w:szCs w:val="21"/>
          <w:lang w:val="en-US" w:eastAsia="zh-CN"/>
        </w:rPr>
        <w:t>5</w:t>
      </w:r>
      <w:r>
        <w:rPr>
          <w:rFonts w:hint="eastAsia" w:ascii="宋体" w:hAnsi="宋体" w:cs="Arial"/>
          <w:color w:val="auto"/>
          <w:kern w:val="0"/>
          <w:szCs w:val="21"/>
        </w:rPr>
        <w:t>）通过“政府采购云平台”上传提交的“电子加密投标文件”无法按时解密，供应商提交了电子备份响应文件的，以电子备份响应文件为依据，否则视为响应文件撤销,如电子备份响应文件因供应商自身制作原因无法导入上传系统的，也视为响应文件撤销。通过政采云平台上传提交的电子加密响应文件已按时解密的，电子备份响应文件自动失效。供应商仅提交电子备份响应文件而未在“政府采购云平台”上传提交“电子加密投标文件”的，磋商无效。</w:t>
      </w:r>
    </w:p>
    <w:p w14:paraId="37CC6053">
      <w:pPr>
        <w:widowControl/>
        <w:spacing w:line="460" w:lineRule="exact"/>
        <w:ind w:firstLine="420" w:firstLineChars="200"/>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rPr>
        <w:t>（</w:t>
      </w:r>
      <w:r>
        <w:rPr>
          <w:rFonts w:hint="eastAsia" w:ascii="宋体" w:hAnsi="宋体" w:cs="Arial"/>
          <w:color w:val="auto"/>
          <w:kern w:val="0"/>
          <w:szCs w:val="21"/>
          <w:lang w:val="en-US" w:eastAsia="zh-CN"/>
        </w:rPr>
        <w:t>6</w:t>
      </w:r>
      <w:r>
        <w:rPr>
          <w:rFonts w:hint="eastAsia" w:ascii="宋体" w:hAnsi="宋体" w:eastAsia="宋体" w:cs="Arial"/>
          <w:color w:val="auto"/>
          <w:kern w:val="0"/>
          <w:szCs w:val="21"/>
        </w:rPr>
        <w:t>）提交响应文件截止时间后，政采云（电子标系统）自动提取所有响应文件，各供应商须在响应文件提交截止时间后30分钟内对上传政采云的响应文件进行解密，所有供应商在规定的解密时限内解密完成或解密时限结束后，采购代理机构开启响应文件</w:t>
      </w:r>
      <w:r>
        <w:rPr>
          <w:rFonts w:hint="eastAsia" w:ascii="宋体" w:hAnsi="宋体" w:eastAsia="宋体" w:cs="Arial"/>
          <w:color w:val="auto"/>
          <w:kern w:val="0"/>
          <w:szCs w:val="21"/>
          <w:lang w:eastAsia="zh-CN"/>
        </w:rPr>
        <w:t>。</w:t>
      </w:r>
    </w:p>
    <w:p w14:paraId="5F5629B5">
      <w:pPr>
        <w:pageBreakBefore w:val="0"/>
        <w:widowControl/>
        <w:shd w:val="clear" w:color="auto" w:fill="FFFFFF"/>
        <w:kinsoku/>
        <w:overflowPunct/>
        <w:topLinePunct w:val="0"/>
        <w:bidi w:val="0"/>
        <w:adjustRightInd/>
        <w:snapToGrid w:val="0"/>
        <w:spacing w:line="360" w:lineRule="auto"/>
        <w:ind w:firstLine="420" w:firstLineChars="200"/>
        <w:jc w:val="left"/>
        <w:textAlignment w:val="auto"/>
        <w:rPr>
          <w:rFonts w:ascii="宋体" w:hAnsi="宋体" w:cs="Arial"/>
          <w:color w:val="auto"/>
          <w:kern w:val="0"/>
          <w:szCs w:val="21"/>
        </w:rPr>
      </w:pPr>
      <w:r>
        <w:rPr>
          <w:rFonts w:ascii="宋体" w:hAnsi="宋体" w:cs="Arial"/>
          <w:color w:val="auto"/>
          <w:kern w:val="0"/>
          <w:szCs w:val="21"/>
        </w:rPr>
        <w:t>（</w:t>
      </w:r>
      <w:r>
        <w:rPr>
          <w:rFonts w:hint="eastAsia" w:ascii="宋体" w:hAnsi="宋体" w:cs="Arial"/>
          <w:color w:val="auto"/>
          <w:kern w:val="0"/>
          <w:szCs w:val="21"/>
          <w:lang w:val="en-US" w:eastAsia="zh-CN"/>
        </w:rPr>
        <w:t>7</w:t>
      </w:r>
      <w:r>
        <w:rPr>
          <w:rFonts w:ascii="宋体" w:hAnsi="宋体" w:cs="Arial"/>
          <w:color w:val="auto"/>
          <w:kern w:val="0"/>
          <w:szCs w:val="21"/>
        </w:rPr>
        <w:t>）为加大政府采购支持中小企业力度，帮助政府采购成交供应商解决融资难、融资贵的问题，进一步做好线上“政采贷”融资业务工作，如供应商有需要的，详见采购文件中附件：《崇左市线上“政采贷”政策告知函》、《崇左市线上“政采贷”业务流程图》、《崇左市金融机构线上“政采贷”业务办理联络表》。</w:t>
      </w:r>
    </w:p>
    <w:p w14:paraId="22FA22F0">
      <w:pPr>
        <w:pageBreakBefore w:val="0"/>
        <w:widowControl/>
        <w:shd w:val="clear" w:color="auto" w:fill="FFFFFF"/>
        <w:kinsoku/>
        <w:overflowPunct/>
        <w:topLinePunct w:val="0"/>
        <w:bidi w:val="0"/>
        <w:adjustRightInd/>
        <w:snapToGrid w:val="0"/>
        <w:spacing w:line="360" w:lineRule="auto"/>
        <w:ind w:firstLine="420" w:firstLineChars="200"/>
        <w:jc w:val="left"/>
        <w:textAlignment w:val="auto"/>
        <w:rPr>
          <w:rFonts w:hint="eastAsia" w:ascii="宋体" w:hAnsi="宋体" w:eastAsia="宋体" w:cs="Arial"/>
          <w:color w:val="auto"/>
          <w:kern w:val="0"/>
          <w:szCs w:val="21"/>
        </w:rPr>
      </w:pPr>
      <w:r>
        <w:rPr>
          <w:rFonts w:hint="eastAsia" w:ascii="宋体" w:hAnsi="宋体" w:cs="Arial"/>
          <w:color w:val="auto"/>
          <w:kern w:val="0"/>
          <w:szCs w:val="21"/>
        </w:rPr>
        <w:t>（</w:t>
      </w:r>
      <w:r>
        <w:rPr>
          <w:rFonts w:hint="eastAsia" w:ascii="宋体" w:hAnsi="宋体" w:cs="Arial"/>
          <w:color w:val="auto"/>
          <w:kern w:val="0"/>
          <w:szCs w:val="21"/>
          <w:lang w:val="en-US" w:eastAsia="zh-CN"/>
        </w:rPr>
        <w:t>8</w:t>
      </w:r>
      <w:r>
        <w:rPr>
          <w:rFonts w:hint="eastAsia" w:ascii="宋体" w:hAnsi="宋体" w:cs="Arial"/>
          <w:color w:val="auto"/>
          <w:kern w:val="0"/>
          <w:szCs w:val="21"/>
        </w:rPr>
        <w:t>）本项目实行中标后线上合同签订方式，请各供应商提前办好企业</w:t>
      </w:r>
      <w:r>
        <w:rPr>
          <w:rFonts w:ascii="宋体" w:hAnsi="宋体" w:cs="Arial"/>
          <w:color w:val="auto"/>
          <w:kern w:val="0"/>
          <w:szCs w:val="21"/>
        </w:rPr>
        <w:t>CA数字证书</w:t>
      </w:r>
      <w:r>
        <w:rPr>
          <w:rFonts w:hint="eastAsia" w:ascii="宋体" w:hAnsi="宋体" w:cs="Arial"/>
          <w:color w:val="auto"/>
          <w:kern w:val="0"/>
          <w:szCs w:val="21"/>
        </w:rPr>
        <w:t>和企业法人证书，具体办理方</w:t>
      </w:r>
      <w:r>
        <w:rPr>
          <w:rFonts w:hint="eastAsia" w:ascii="宋体" w:hAnsi="宋体" w:eastAsia="宋体" w:cs="Arial"/>
          <w:color w:val="auto"/>
          <w:kern w:val="0"/>
          <w:szCs w:val="21"/>
        </w:rPr>
        <w:t>式详见政采云ca办理模块。</w:t>
      </w:r>
    </w:p>
    <w:p w14:paraId="006ED9EB">
      <w:pPr>
        <w:pageBreakBefore w:val="0"/>
        <w:widowControl/>
        <w:shd w:val="clear" w:color="auto" w:fill="FFFFFF"/>
        <w:kinsoku/>
        <w:overflowPunct/>
        <w:topLinePunct w:val="0"/>
        <w:bidi w:val="0"/>
        <w:adjustRightInd/>
        <w:snapToGrid w:val="0"/>
        <w:spacing w:line="360" w:lineRule="auto"/>
        <w:ind w:firstLine="420" w:firstLineChars="200"/>
        <w:jc w:val="left"/>
        <w:textAlignment w:val="auto"/>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w:t>
      </w:r>
      <w:r>
        <w:rPr>
          <w:rFonts w:hint="eastAsia" w:ascii="宋体" w:hAnsi="宋体" w:eastAsia="宋体" w:cs="Arial"/>
          <w:color w:val="auto"/>
          <w:kern w:val="0"/>
          <w:szCs w:val="21"/>
          <w:lang w:val="en-US" w:eastAsia="zh-CN"/>
        </w:rPr>
        <w:t>9</w:t>
      </w:r>
      <w:r>
        <w:rPr>
          <w:rFonts w:hint="eastAsia" w:ascii="宋体" w:hAnsi="宋体" w:eastAsia="宋体" w:cs="Arial"/>
          <w:color w:val="auto"/>
          <w:kern w:val="0"/>
          <w:szCs w:val="21"/>
          <w:lang w:eastAsia="zh-CN"/>
        </w:rPr>
        <w:t>）</w:t>
      </w:r>
      <w:r>
        <w:rPr>
          <w:rFonts w:hint="eastAsia" w:ascii="宋体" w:hAnsi="宋体" w:eastAsia="宋体" w:cs="Arial"/>
          <w:color w:val="auto"/>
          <w:kern w:val="0"/>
          <w:szCs w:val="21"/>
          <w:lang w:val="en-US" w:eastAsia="zh-CN"/>
        </w:rPr>
        <w:t>项目</w:t>
      </w:r>
      <w:r>
        <w:rPr>
          <w:rFonts w:ascii="宋体" w:hAnsi="宋体" w:eastAsia="宋体" w:cs="Arial"/>
          <w:color w:val="auto"/>
          <w:kern w:val="0"/>
          <w:szCs w:val="21"/>
        </w:rPr>
        <w:t>实行</w:t>
      </w:r>
      <w:r>
        <w:rPr>
          <w:rFonts w:hint="eastAsia" w:ascii="宋体" w:hAnsi="宋体" w:eastAsia="宋体" w:cs="Arial"/>
          <w:color w:val="auto"/>
          <w:kern w:val="0"/>
          <w:szCs w:val="21"/>
        </w:rPr>
        <w:t>全程电子投标且</w:t>
      </w:r>
      <w:r>
        <w:rPr>
          <w:rFonts w:ascii="宋体" w:hAnsi="宋体" w:eastAsia="宋体" w:cs="Arial"/>
          <w:color w:val="auto"/>
          <w:kern w:val="0"/>
          <w:szCs w:val="21"/>
        </w:rPr>
        <w:t>采用远程异地评标，评标主场设在</w:t>
      </w:r>
      <w:r>
        <w:rPr>
          <w:rFonts w:hint="eastAsia" w:ascii="宋体" w:hAnsi="宋体" w:eastAsia="宋体" w:cs="Arial"/>
          <w:color w:val="auto"/>
          <w:kern w:val="0"/>
          <w:szCs w:val="21"/>
        </w:rPr>
        <w:t>崇左市公共资源交易中心五层评标区（崇左市江州区石景林路）</w:t>
      </w:r>
      <w:r>
        <w:rPr>
          <w:rFonts w:ascii="宋体" w:hAnsi="宋体" w:eastAsia="宋体" w:cs="Arial"/>
          <w:color w:val="auto"/>
          <w:kern w:val="0"/>
          <w:szCs w:val="21"/>
        </w:rPr>
        <w:t>，分会场设在南宁市</w:t>
      </w:r>
      <w:r>
        <w:rPr>
          <w:rFonts w:hint="eastAsia" w:ascii="宋体" w:hAnsi="宋体" w:eastAsia="宋体" w:cs="Arial"/>
          <w:color w:val="auto"/>
          <w:kern w:val="0"/>
          <w:szCs w:val="21"/>
          <w:lang w:eastAsia="zh-CN"/>
        </w:rPr>
        <w:t>青秀区枫林路</w:t>
      </w:r>
      <w:r>
        <w:rPr>
          <w:rFonts w:hint="eastAsia" w:ascii="宋体" w:hAnsi="宋体" w:eastAsia="宋体" w:cs="Arial"/>
          <w:color w:val="auto"/>
          <w:kern w:val="0"/>
          <w:szCs w:val="21"/>
          <w:lang w:val="en-US" w:eastAsia="zh-CN"/>
        </w:rPr>
        <w:t>18号广西国资交易中心3楼</w:t>
      </w:r>
      <w:r>
        <w:rPr>
          <w:rFonts w:hint="eastAsia" w:ascii="宋体" w:hAnsi="宋体" w:eastAsia="宋体" w:cs="Arial"/>
          <w:color w:val="auto"/>
          <w:kern w:val="0"/>
          <w:szCs w:val="21"/>
          <w:lang w:eastAsia="zh-CN"/>
        </w:rPr>
        <w:t>（</w:t>
      </w:r>
      <w:r>
        <w:rPr>
          <w:rFonts w:hint="eastAsia" w:ascii="宋体" w:hAnsi="宋体" w:eastAsia="宋体" w:cs="Arial"/>
          <w:color w:val="auto"/>
          <w:kern w:val="0"/>
          <w:szCs w:val="21"/>
        </w:rPr>
        <w:t>联系人：</w:t>
      </w:r>
      <w:r>
        <w:rPr>
          <w:rFonts w:hint="eastAsia" w:ascii="宋体" w:hAnsi="宋体" w:eastAsia="宋体" w:cs="Arial"/>
          <w:color w:val="auto"/>
          <w:kern w:val="0"/>
          <w:szCs w:val="21"/>
          <w:lang w:eastAsia="zh-CN"/>
        </w:rPr>
        <w:t>张凯</w:t>
      </w:r>
      <w:r>
        <w:rPr>
          <w:rFonts w:hint="eastAsia" w:ascii="宋体" w:hAnsi="宋体" w:eastAsia="宋体" w:cs="Arial"/>
          <w:color w:val="auto"/>
          <w:kern w:val="0"/>
          <w:szCs w:val="21"/>
          <w:lang w:val="en-US" w:eastAsia="zh-CN"/>
        </w:rPr>
        <w:t xml:space="preserve"> 15977674154，0771-2507590）。</w:t>
      </w:r>
      <w:r>
        <w:rPr>
          <w:rFonts w:hint="eastAsia" w:ascii="宋体" w:hAnsi="宋体" w:eastAsia="宋体" w:cs="Arial"/>
          <w:color w:val="auto"/>
          <w:kern w:val="0"/>
          <w:szCs w:val="21"/>
        </w:rPr>
        <w:t> </w:t>
      </w:r>
    </w:p>
    <w:p w14:paraId="56609B1B">
      <w:pPr>
        <w:spacing w:line="440" w:lineRule="exact"/>
        <w:ind w:firstLine="422" w:firstLineChars="200"/>
        <w:rPr>
          <w:rFonts w:ascii="宋体" w:hAnsi="宋体"/>
          <w:b/>
          <w:color w:val="auto"/>
          <w:szCs w:val="21"/>
        </w:rPr>
      </w:pPr>
      <w:r>
        <w:rPr>
          <w:rFonts w:hint="eastAsia" w:ascii="宋体" w:hAnsi="宋体"/>
          <w:b/>
          <w:color w:val="auto"/>
          <w:szCs w:val="21"/>
        </w:rPr>
        <w:t>八、凡对本次采购提出询问，请按以下方式联系。</w:t>
      </w:r>
    </w:p>
    <w:p w14:paraId="6C8AB388">
      <w:pPr>
        <w:spacing w:line="44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采购人信息</w:t>
      </w:r>
    </w:p>
    <w:p w14:paraId="5793BB99">
      <w:pPr>
        <w:spacing w:line="440" w:lineRule="exact"/>
        <w:ind w:firstLine="420" w:firstLineChars="200"/>
        <w:rPr>
          <w:rFonts w:ascii="宋体" w:hAnsi="宋体"/>
          <w:color w:val="auto"/>
          <w:szCs w:val="21"/>
        </w:rPr>
      </w:pPr>
      <w:r>
        <w:rPr>
          <w:rFonts w:hint="eastAsia" w:ascii="宋体" w:hAnsi="宋体"/>
          <w:color w:val="auto"/>
          <w:szCs w:val="21"/>
        </w:rPr>
        <w:t>名称：</w:t>
      </w:r>
      <w:r>
        <w:rPr>
          <w:rFonts w:ascii="宋体" w:hAnsi="宋体"/>
          <w:color w:val="auto"/>
          <w:szCs w:val="21"/>
        </w:rPr>
        <w:t>龙州县</w:t>
      </w:r>
      <w:r>
        <w:rPr>
          <w:rFonts w:hint="eastAsia" w:ascii="宋体" w:hAnsi="宋体"/>
          <w:color w:val="auto"/>
          <w:szCs w:val="21"/>
        </w:rPr>
        <w:t>教育局</w:t>
      </w:r>
    </w:p>
    <w:p w14:paraId="6B09C711">
      <w:pPr>
        <w:spacing w:line="440" w:lineRule="exact"/>
        <w:ind w:firstLine="420" w:firstLineChars="200"/>
        <w:rPr>
          <w:rFonts w:ascii="宋体" w:hAnsi="宋体"/>
          <w:color w:val="auto"/>
          <w:szCs w:val="21"/>
        </w:rPr>
      </w:pPr>
      <w:r>
        <w:rPr>
          <w:rFonts w:hint="eastAsia" w:ascii="宋体" w:hAnsi="宋体"/>
          <w:color w:val="auto"/>
          <w:szCs w:val="21"/>
        </w:rPr>
        <w:t>地址：龙州县龙州镇城北路34号</w:t>
      </w:r>
    </w:p>
    <w:p w14:paraId="36422770">
      <w:pPr>
        <w:spacing w:line="440" w:lineRule="exact"/>
        <w:ind w:firstLine="420" w:firstLineChars="200"/>
        <w:rPr>
          <w:rFonts w:ascii="宋体" w:hAnsi="宋体" w:cs="宋体"/>
          <w:color w:val="auto"/>
          <w:szCs w:val="21"/>
        </w:rPr>
      </w:pPr>
      <w:r>
        <w:rPr>
          <w:rFonts w:hint="eastAsia" w:ascii="宋体" w:hAnsi="宋体"/>
          <w:color w:val="auto"/>
          <w:szCs w:val="21"/>
        </w:rPr>
        <w:t>联系方式：</w:t>
      </w:r>
      <w:r>
        <w:rPr>
          <w:rFonts w:hint="eastAsia" w:ascii="宋体" w:hAnsi="宋体"/>
          <w:color w:val="auto"/>
          <w:szCs w:val="21"/>
          <w:lang w:eastAsia="zh-CN"/>
        </w:rPr>
        <w:t>欧</w:t>
      </w:r>
      <w:r>
        <w:rPr>
          <w:rFonts w:hint="eastAsia" w:ascii="宋体" w:hAnsi="宋体"/>
          <w:color w:val="auto"/>
          <w:szCs w:val="21"/>
        </w:rPr>
        <w:t>主任   0771-8815910</w:t>
      </w:r>
    </w:p>
    <w:p w14:paraId="310C4E1B">
      <w:pPr>
        <w:spacing w:line="440" w:lineRule="exact"/>
        <w:ind w:firstLine="420" w:firstLineChars="200"/>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采购代理机构信息</w:t>
      </w:r>
    </w:p>
    <w:p w14:paraId="4A230900">
      <w:pPr>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名称：广西</w:t>
      </w:r>
      <w:r>
        <w:rPr>
          <w:rFonts w:hint="eastAsia" w:ascii="宋体" w:hAnsi="宋体" w:eastAsia="宋体" w:cs="宋体"/>
          <w:color w:val="auto"/>
          <w:kern w:val="0"/>
          <w:szCs w:val="21"/>
          <w:lang w:val="en-US" w:eastAsia="zh-CN"/>
        </w:rPr>
        <w:t>鑫磐工程项目管理</w:t>
      </w:r>
      <w:r>
        <w:rPr>
          <w:rFonts w:hint="eastAsia" w:ascii="宋体" w:hAnsi="宋体" w:eastAsia="宋体" w:cs="宋体"/>
          <w:color w:val="auto"/>
          <w:kern w:val="0"/>
          <w:szCs w:val="21"/>
        </w:rPr>
        <w:t>有限</w:t>
      </w:r>
      <w:r>
        <w:rPr>
          <w:rFonts w:hint="eastAsia" w:ascii="宋体" w:hAnsi="宋体" w:eastAsia="宋体" w:cs="宋体"/>
          <w:color w:val="auto"/>
          <w:kern w:val="0"/>
          <w:szCs w:val="21"/>
          <w:lang w:val="en-US" w:eastAsia="zh-CN"/>
        </w:rPr>
        <w:t>责任</w:t>
      </w:r>
      <w:r>
        <w:rPr>
          <w:rFonts w:hint="eastAsia" w:ascii="宋体" w:hAnsi="宋体" w:eastAsia="宋体" w:cs="宋体"/>
          <w:color w:val="auto"/>
          <w:kern w:val="0"/>
          <w:szCs w:val="21"/>
        </w:rPr>
        <w:t>公司</w:t>
      </w:r>
    </w:p>
    <w:p w14:paraId="26ED800F">
      <w:pPr>
        <w:spacing w:line="440" w:lineRule="exact"/>
        <w:ind w:firstLine="420" w:firstLineChars="2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地址：南</w:t>
      </w:r>
      <w:r>
        <w:rPr>
          <w:rFonts w:hint="eastAsia" w:ascii="宋体" w:hAnsi="宋体" w:eastAsia="宋体" w:cs="宋体"/>
          <w:color w:val="auto"/>
          <w:kern w:val="0"/>
          <w:szCs w:val="21"/>
          <w:lang w:val="en-US" w:eastAsia="zh-CN"/>
        </w:rPr>
        <w:t>宁市朝阳路76号维也纳酒店副楼b725室</w:t>
      </w:r>
    </w:p>
    <w:p w14:paraId="47F14F0B">
      <w:pPr>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3.项目联系方式</w:t>
      </w:r>
    </w:p>
    <w:p w14:paraId="094AFF27">
      <w:pPr>
        <w:spacing w:line="440" w:lineRule="exact"/>
        <w:ind w:firstLine="420" w:firstLineChars="2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项目联系人：张工</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电话：15977674154</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0771-</w:t>
      </w:r>
      <w:r>
        <w:rPr>
          <w:rFonts w:hint="eastAsia" w:ascii="宋体" w:hAnsi="宋体" w:eastAsia="宋体" w:cs="宋体"/>
          <w:color w:val="auto"/>
          <w:kern w:val="0"/>
          <w:szCs w:val="21"/>
          <w:lang w:val="en-US" w:eastAsia="zh-CN"/>
        </w:rPr>
        <w:t xml:space="preserve">2507590 </w:t>
      </w:r>
    </w:p>
    <w:p w14:paraId="3FB5B48F">
      <w:pPr>
        <w:spacing w:line="360" w:lineRule="auto"/>
        <w:ind w:firstLine="420" w:firstLineChars="200"/>
        <w:jc w:val="right"/>
        <w:rPr>
          <w:rFonts w:ascii="宋体" w:hAnsi="宋体" w:cs="宋体"/>
          <w:color w:val="auto"/>
          <w:szCs w:val="21"/>
        </w:rPr>
      </w:pPr>
    </w:p>
    <w:p w14:paraId="3CA056B8">
      <w:pPr>
        <w:spacing w:line="360" w:lineRule="auto"/>
        <w:jc w:val="right"/>
        <w:rPr>
          <w:rFonts w:hint="eastAsia" w:ascii="宋体" w:hAnsi="宋体" w:cs="宋体"/>
          <w:color w:val="auto"/>
          <w:szCs w:val="21"/>
          <w:lang w:eastAsia="zh-CN"/>
        </w:rPr>
      </w:pPr>
      <w:r>
        <w:rPr>
          <w:rFonts w:hint="eastAsia" w:ascii="宋体" w:hAnsi="宋体" w:cs="宋体"/>
          <w:color w:val="auto"/>
          <w:szCs w:val="21"/>
          <w:lang w:eastAsia="zh-CN"/>
        </w:rPr>
        <w:t>广西鑫磐工程项目管理有限责任公司</w:t>
      </w:r>
    </w:p>
    <w:p w14:paraId="13D9C28E">
      <w:pPr>
        <w:spacing w:line="360" w:lineRule="auto"/>
        <w:jc w:val="right"/>
        <w:rPr>
          <w:rFonts w:ascii="宋体" w:hAnsi="宋体"/>
          <w:color w:val="auto"/>
          <w:szCs w:val="21"/>
        </w:rPr>
      </w:pPr>
      <w:r>
        <w:rPr>
          <w:rFonts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05</w:t>
      </w:r>
      <w:r>
        <w:rPr>
          <w:rFonts w:hint="eastAsia" w:ascii="宋体" w:hAnsi="宋体" w:cs="宋体"/>
          <w:color w:val="auto"/>
          <w:szCs w:val="21"/>
        </w:rPr>
        <w:t>月</w:t>
      </w:r>
      <w:r>
        <w:rPr>
          <w:rFonts w:hint="eastAsia" w:ascii="宋体" w:hAnsi="宋体" w:cs="宋体"/>
          <w:color w:val="auto"/>
          <w:szCs w:val="21"/>
          <w:lang w:val="en-US" w:eastAsia="zh-CN"/>
        </w:rPr>
        <w:t>08</w:t>
      </w:r>
      <w:r>
        <w:rPr>
          <w:rFonts w:hint="eastAsia" w:ascii="宋体" w:hAnsi="宋体" w:cs="宋体"/>
          <w:color w:val="auto"/>
          <w:szCs w:val="21"/>
        </w:rPr>
        <w:t>日</w:t>
      </w:r>
      <w:r>
        <w:rPr>
          <w:rFonts w:hint="eastAsia" w:ascii="宋体" w:hAnsi="宋体"/>
          <w:color w:val="auto"/>
          <w:szCs w:val="21"/>
        </w:rPr>
        <w:t xml:space="preserve">                                                       </w:t>
      </w:r>
    </w:p>
    <w:p w14:paraId="6B989CA3">
      <w:pPr>
        <w:pStyle w:val="3"/>
        <w:spacing w:line="460" w:lineRule="exact"/>
        <w:jc w:val="center"/>
        <w:rPr>
          <w:rFonts w:ascii="宋体" w:hAnsi="宋体" w:eastAsia="宋体"/>
          <w:color w:val="auto"/>
          <w:szCs w:val="24"/>
        </w:rPr>
      </w:pPr>
      <w:r>
        <w:rPr>
          <w:rFonts w:ascii="宋体" w:hAnsi="宋体" w:eastAsia="宋体"/>
          <w:b w:val="0"/>
          <w:bCs w:val="0"/>
          <w:color w:val="auto"/>
          <w:sz w:val="24"/>
          <w:szCs w:val="24"/>
        </w:rPr>
        <w:br w:type="page"/>
      </w:r>
      <w:bookmarkStart w:id="7" w:name="_Toc80818613"/>
      <w:r>
        <w:rPr>
          <w:rFonts w:hint="eastAsia" w:ascii="宋体" w:hAnsi="宋体" w:eastAsia="宋体"/>
          <w:color w:val="auto"/>
          <w:szCs w:val="24"/>
        </w:rPr>
        <w:t>第二章  供应商须知及前附表</w:t>
      </w:r>
      <w:bookmarkEnd w:id="7"/>
    </w:p>
    <w:p w14:paraId="498D8C92">
      <w:pPr>
        <w:pStyle w:val="3"/>
        <w:spacing w:before="0" w:after="0" w:line="276" w:lineRule="auto"/>
        <w:jc w:val="center"/>
        <w:rPr>
          <w:rFonts w:ascii="宋体" w:hAnsi="宋体" w:eastAsia="宋体"/>
          <w:color w:val="auto"/>
          <w:sz w:val="30"/>
          <w:szCs w:val="30"/>
        </w:rPr>
      </w:pPr>
      <w:bookmarkStart w:id="8" w:name="_Toc18682802"/>
      <w:bookmarkStart w:id="9" w:name="_Toc18682862"/>
      <w:bookmarkStart w:id="10" w:name="_Toc80818614"/>
      <w:r>
        <w:rPr>
          <w:rFonts w:hint="eastAsia" w:ascii="宋体" w:hAnsi="宋体" w:eastAsia="宋体"/>
          <w:color w:val="auto"/>
          <w:sz w:val="30"/>
          <w:szCs w:val="30"/>
        </w:rPr>
        <w:t>前附表</w:t>
      </w:r>
      <w:bookmarkEnd w:id="8"/>
      <w:bookmarkEnd w:id="9"/>
      <w:bookmarkEnd w:id="10"/>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682"/>
        <w:gridCol w:w="6965"/>
      </w:tblGrid>
      <w:tr w14:paraId="09E6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09655666">
            <w:pPr>
              <w:spacing w:line="440" w:lineRule="exact"/>
              <w:jc w:val="center"/>
              <w:rPr>
                <w:rFonts w:ascii="宋体" w:hAnsi="宋体" w:cs="Courier New"/>
                <w:b/>
                <w:color w:val="auto"/>
                <w:spacing w:val="2"/>
                <w:szCs w:val="21"/>
              </w:rPr>
            </w:pPr>
            <w:bookmarkStart w:id="11" w:name="_Hlk87630531"/>
            <w:r>
              <w:rPr>
                <w:rFonts w:hint="eastAsia" w:ascii="宋体" w:hAnsi="宋体" w:cs="Courier New"/>
                <w:b/>
                <w:color w:val="auto"/>
                <w:spacing w:val="2"/>
                <w:szCs w:val="21"/>
              </w:rPr>
              <w:t>项号</w:t>
            </w:r>
          </w:p>
        </w:tc>
        <w:tc>
          <w:tcPr>
            <w:tcW w:w="1682" w:type="dxa"/>
            <w:vAlign w:val="center"/>
          </w:tcPr>
          <w:p w14:paraId="0B72B7B8">
            <w:pPr>
              <w:spacing w:line="440" w:lineRule="exact"/>
              <w:jc w:val="center"/>
              <w:rPr>
                <w:rFonts w:ascii="宋体" w:hAnsi="宋体" w:cs="Courier New"/>
                <w:b/>
                <w:color w:val="auto"/>
                <w:spacing w:val="2"/>
                <w:szCs w:val="21"/>
              </w:rPr>
            </w:pPr>
            <w:r>
              <w:rPr>
                <w:rFonts w:hint="eastAsia" w:ascii="宋体" w:hAnsi="宋体" w:cs="Courier New"/>
                <w:b/>
                <w:color w:val="auto"/>
                <w:spacing w:val="2"/>
                <w:szCs w:val="21"/>
              </w:rPr>
              <w:t>内容</w:t>
            </w:r>
          </w:p>
        </w:tc>
        <w:tc>
          <w:tcPr>
            <w:tcW w:w="6965" w:type="dxa"/>
            <w:vAlign w:val="center"/>
          </w:tcPr>
          <w:p w14:paraId="2B1D025F">
            <w:pPr>
              <w:spacing w:line="440" w:lineRule="exact"/>
              <w:jc w:val="center"/>
              <w:rPr>
                <w:rFonts w:ascii="宋体" w:hAnsi="宋体" w:cs="Courier New"/>
                <w:b/>
                <w:color w:val="auto"/>
                <w:spacing w:val="2"/>
                <w:szCs w:val="21"/>
              </w:rPr>
            </w:pPr>
            <w:r>
              <w:rPr>
                <w:rFonts w:hint="eastAsia" w:ascii="宋体" w:hAnsi="宋体" w:cs="Courier New"/>
                <w:b/>
                <w:color w:val="auto"/>
                <w:spacing w:val="2"/>
                <w:szCs w:val="21"/>
              </w:rPr>
              <w:t>说明与要求</w:t>
            </w:r>
          </w:p>
        </w:tc>
      </w:tr>
      <w:tr w14:paraId="3C4F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18" w:type="dxa"/>
            <w:vAlign w:val="center"/>
          </w:tcPr>
          <w:p w14:paraId="016B81D1">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w:t>
            </w:r>
          </w:p>
        </w:tc>
        <w:tc>
          <w:tcPr>
            <w:tcW w:w="1682" w:type="dxa"/>
            <w:vAlign w:val="center"/>
          </w:tcPr>
          <w:p w14:paraId="02F59F73">
            <w:pPr>
              <w:spacing w:line="440" w:lineRule="exact"/>
              <w:jc w:val="center"/>
              <w:rPr>
                <w:rFonts w:ascii="宋体" w:hAnsi="宋体"/>
                <w:color w:val="auto"/>
                <w:szCs w:val="21"/>
              </w:rPr>
            </w:pPr>
            <w:r>
              <w:rPr>
                <w:rFonts w:hint="eastAsia" w:ascii="宋体" w:hAnsi="宋体"/>
                <w:color w:val="auto"/>
                <w:szCs w:val="21"/>
              </w:rPr>
              <w:t>采购项目名称及编号</w:t>
            </w:r>
          </w:p>
        </w:tc>
        <w:tc>
          <w:tcPr>
            <w:tcW w:w="6965" w:type="dxa"/>
          </w:tcPr>
          <w:p w14:paraId="51F1DBA2">
            <w:pPr>
              <w:spacing w:line="440" w:lineRule="exact"/>
              <w:jc w:val="left"/>
              <w:rPr>
                <w:rFonts w:hint="eastAsia" w:ascii="Times New Roman" w:hAnsi="宋体" w:eastAsia="宋体" w:cs="Times New Roman"/>
                <w:b/>
                <w:color w:val="auto"/>
                <w:sz w:val="21"/>
                <w:szCs w:val="21"/>
                <w:lang w:val="en-US" w:eastAsia="zh-CN"/>
              </w:rPr>
            </w:pPr>
            <w:r>
              <w:rPr>
                <w:rFonts w:hint="eastAsia" w:ascii="Times New Roman" w:hAnsi="宋体" w:eastAsia="宋体" w:cs="Times New Roman"/>
                <w:b/>
                <w:color w:val="auto"/>
                <w:sz w:val="21"/>
                <w:szCs w:val="21"/>
                <w:lang w:val="en-US" w:eastAsia="zh-CN"/>
              </w:rPr>
              <w:t>采购项目名称：龙州县龙州镇新华中心小学运动场改扩建工程</w:t>
            </w:r>
          </w:p>
          <w:p w14:paraId="14D76137">
            <w:pPr>
              <w:spacing w:line="440" w:lineRule="exact"/>
              <w:jc w:val="left"/>
              <w:rPr>
                <w:rFonts w:ascii="宋体" w:hAnsi="宋体"/>
                <w:color w:val="auto"/>
                <w:szCs w:val="21"/>
              </w:rPr>
            </w:pPr>
            <w:r>
              <w:rPr>
                <w:rFonts w:hint="eastAsia" w:ascii="Times New Roman" w:hAnsi="宋体" w:eastAsia="宋体" w:cs="Times New Roman"/>
                <w:b/>
                <w:color w:val="auto"/>
                <w:sz w:val="21"/>
                <w:szCs w:val="21"/>
                <w:lang w:val="en-US" w:eastAsia="zh-CN"/>
              </w:rPr>
              <w:t>项目编号：CZZC2025-C2-230037-GXXP</w:t>
            </w:r>
          </w:p>
        </w:tc>
      </w:tr>
      <w:tr w14:paraId="0AF3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2ADEDBDB">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w:t>
            </w:r>
          </w:p>
        </w:tc>
        <w:tc>
          <w:tcPr>
            <w:tcW w:w="1682" w:type="dxa"/>
            <w:vAlign w:val="center"/>
          </w:tcPr>
          <w:p w14:paraId="5CEB66FB">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建设地点</w:t>
            </w:r>
          </w:p>
        </w:tc>
        <w:tc>
          <w:tcPr>
            <w:tcW w:w="6965" w:type="dxa"/>
            <w:vAlign w:val="center"/>
          </w:tcPr>
          <w:p w14:paraId="09EBA8D6">
            <w:pPr>
              <w:spacing w:line="420" w:lineRule="exact"/>
              <w:rPr>
                <w:rFonts w:hint="eastAsia" w:ascii="宋体" w:hAnsi="宋体" w:eastAsia="宋体"/>
                <w:color w:val="auto"/>
                <w:szCs w:val="21"/>
                <w:lang w:eastAsia="zh-CN"/>
              </w:rPr>
            </w:pPr>
            <w:r>
              <w:rPr>
                <w:rFonts w:hint="eastAsia"/>
                <w:color w:val="auto"/>
                <w:szCs w:val="21"/>
              </w:rPr>
              <w:t>龙州县</w:t>
            </w:r>
            <w:r>
              <w:rPr>
                <w:rFonts w:hint="eastAsia"/>
                <w:color w:val="auto"/>
                <w:szCs w:val="21"/>
                <w:lang w:eastAsia="zh-CN"/>
              </w:rPr>
              <w:t>龙州镇</w:t>
            </w:r>
          </w:p>
        </w:tc>
      </w:tr>
      <w:tr w14:paraId="63AC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Align w:val="center"/>
          </w:tcPr>
          <w:p w14:paraId="1A37E46D">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3</w:t>
            </w:r>
          </w:p>
        </w:tc>
        <w:tc>
          <w:tcPr>
            <w:tcW w:w="1682" w:type="dxa"/>
            <w:vAlign w:val="center"/>
          </w:tcPr>
          <w:p w14:paraId="79711AD6">
            <w:pPr>
              <w:spacing w:line="440" w:lineRule="exact"/>
              <w:jc w:val="center"/>
              <w:rPr>
                <w:rFonts w:ascii="宋体" w:hAnsi="宋体"/>
                <w:color w:val="auto"/>
                <w:szCs w:val="21"/>
              </w:rPr>
            </w:pPr>
            <w:r>
              <w:rPr>
                <w:rFonts w:hint="eastAsia" w:ascii="宋体" w:hAnsi="宋体"/>
                <w:color w:val="auto"/>
                <w:szCs w:val="21"/>
              </w:rPr>
              <w:t>建设概况</w:t>
            </w:r>
          </w:p>
        </w:tc>
        <w:tc>
          <w:tcPr>
            <w:tcW w:w="6965" w:type="dxa"/>
            <w:vAlign w:val="center"/>
          </w:tcPr>
          <w:p w14:paraId="6FAF0D3D">
            <w:pPr>
              <w:wordWrap w:val="0"/>
              <w:spacing w:line="360" w:lineRule="auto"/>
              <w:rPr>
                <w:rFonts w:ascii="宋体" w:hAnsi="宋体"/>
                <w:color w:val="auto"/>
                <w:szCs w:val="21"/>
              </w:rPr>
            </w:pPr>
            <w:r>
              <w:rPr>
                <w:rFonts w:hint="eastAsia" w:cs="宋体"/>
                <w:color w:val="auto"/>
                <w:sz w:val="21"/>
                <w:szCs w:val="21"/>
                <w:lang w:val="en-US" w:eastAsia="zh-CN" w:bidi="zh-CN"/>
              </w:rPr>
              <w:t>主要建设内容为场地土方、运动场改造、修补塑胶跑道、10米高杆照明灯、绿化迁移等，具体详见工程量清单含的全部内容</w:t>
            </w:r>
            <w:r>
              <w:rPr>
                <w:rFonts w:hint="eastAsia" w:cs="宋体"/>
                <w:color w:val="auto"/>
                <w:sz w:val="21"/>
                <w:szCs w:val="21"/>
                <w:lang w:bidi="zh-CN"/>
              </w:rPr>
              <w:t>。</w:t>
            </w:r>
          </w:p>
        </w:tc>
      </w:tr>
      <w:tr w14:paraId="4976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18" w:type="dxa"/>
            <w:vAlign w:val="center"/>
          </w:tcPr>
          <w:p w14:paraId="1CC70462">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4</w:t>
            </w:r>
          </w:p>
        </w:tc>
        <w:tc>
          <w:tcPr>
            <w:tcW w:w="1682" w:type="dxa"/>
            <w:vAlign w:val="center"/>
          </w:tcPr>
          <w:p w14:paraId="4539098C">
            <w:pPr>
              <w:spacing w:line="440" w:lineRule="exact"/>
              <w:jc w:val="center"/>
              <w:rPr>
                <w:rFonts w:ascii="宋体" w:hAnsi="宋体"/>
                <w:b/>
                <w:color w:val="auto"/>
                <w:szCs w:val="21"/>
              </w:rPr>
            </w:pPr>
            <w:r>
              <w:rPr>
                <w:rFonts w:hint="eastAsia" w:ascii="宋体" w:hAnsi="宋体"/>
                <w:color w:val="auto"/>
                <w:szCs w:val="21"/>
              </w:rPr>
              <w:t>采购预算金额</w:t>
            </w:r>
          </w:p>
        </w:tc>
        <w:tc>
          <w:tcPr>
            <w:tcW w:w="6965" w:type="dxa"/>
            <w:vAlign w:val="center"/>
          </w:tcPr>
          <w:p w14:paraId="069E7C6C">
            <w:pPr>
              <w:spacing w:line="420" w:lineRule="exact"/>
              <w:jc w:val="left"/>
              <w:rPr>
                <w:rFonts w:ascii="宋体" w:hAnsi="宋体"/>
                <w:b/>
                <w:bCs/>
                <w:color w:val="auto"/>
                <w:szCs w:val="21"/>
              </w:rPr>
            </w:pPr>
            <w:r>
              <w:rPr>
                <w:rFonts w:hint="eastAsia" w:ascii="宋体" w:hAnsi="宋体"/>
                <w:b/>
                <w:bCs/>
                <w:color w:val="auto"/>
                <w:szCs w:val="21"/>
              </w:rPr>
              <w:t>上控价为：</w:t>
            </w:r>
            <w:r>
              <w:rPr>
                <w:rFonts w:hint="eastAsia" w:cs="宋体"/>
                <w:color w:val="auto"/>
                <w:sz w:val="21"/>
                <w:szCs w:val="21"/>
                <w:lang w:bidi="zh-CN"/>
              </w:rPr>
              <w:t>¥</w:t>
            </w:r>
            <w:r>
              <w:rPr>
                <w:rFonts w:hint="eastAsia" w:cs="宋体"/>
                <w:color w:val="auto"/>
                <w:sz w:val="21"/>
                <w:szCs w:val="21"/>
                <w:lang w:val="en-US" w:bidi="zh-CN"/>
              </w:rPr>
              <w:t>1365965.00</w:t>
            </w:r>
            <w:r>
              <w:rPr>
                <w:rFonts w:hint="eastAsia" w:cs="宋体"/>
                <w:color w:val="auto"/>
                <w:sz w:val="21"/>
                <w:szCs w:val="21"/>
                <w:lang w:bidi="zh-CN"/>
              </w:rPr>
              <w:t>元。</w:t>
            </w:r>
          </w:p>
          <w:p w14:paraId="46ADDBFE">
            <w:pPr>
              <w:spacing w:line="420" w:lineRule="exact"/>
              <w:jc w:val="left"/>
              <w:rPr>
                <w:rFonts w:ascii="宋体" w:hAnsi="宋体" w:cs="Courier New"/>
                <w:b/>
                <w:color w:val="auto"/>
                <w:spacing w:val="2"/>
                <w:szCs w:val="21"/>
              </w:rPr>
            </w:pPr>
            <w:r>
              <w:rPr>
                <w:rFonts w:hint="eastAsia" w:ascii="宋体" w:hAnsi="宋体" w:cs="Courier New"/>
                <w:b/>
                <w:color w:val="auto"/>
                <w:spacing w:val="2"/>
                <w:szCs w:val="21"/>
              </w:rPr>
              <w:t>供应商的最终磋商报价不能高于本项目的采购预算金额。</w:t>
            </w:r>
          </w:p>
        </w:tc>
      </w:tr>
      <w:tr w14:paraId="3C90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18" w:type="dxa"/>
            <w:vAlign w:val="center"/>
          </w:tcPr>
          <w:p w14:paraId="2ACFA826">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5</w:t>
            </w:r>
          </w:p>
        </w:tc>
        <w:tc>
          <w:tcPr>
            <w:tcW w:w="1682" w:type="dxa"/>
            <w:vAlign w:val="center"/>
          </w:tcPr>
          <w:p w14:paraId="24CDF8B0">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质量标准</w:t>
            </w:r>
          </w:p>
        </w:tc>
        <w:tc>
          <w:tcPr>
            <w:tcW w:w="6965" w:type="dxa"/>
            <w:vAlign w:val="center"/>
          </w:tcPr>
          <w:p w14:paraId="3C1499B3">
            <w:pPr>
              <w:spacing w:line="420" w:lineRule="exact"/>
              <w:rPr>
                <w:rFonts w:ascii="宋体" w:hAnsi="宋体"/>
                <w:color w:val="auto"/>
                <w:szCs w:val="21"/>
              </w:rPr>
            </w:pPr>
            <w:r>
              <w:rPr>
                <w:rFonts w:hint="eastAsia" w:ascii="宋体" w:hAnsi="宋体"/>
                <w:color w:val="auto"/>
                <w:szCs w:val="21"/>
              </w:rPr>
              <w:t>达到现行国家竣工验收规范的合格标准。</w:t>
            </w:r>
          </w:p>
        </w:tc>
      </w:tr>
      <w:tr w14:paraId="6076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vAlign w:val="center"/>
          </w:tcPr>
          <w:p w14:paraId="1F23E7CD">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6</w:t>
            </w:r>
          </w:p>
        </w:tc>
        <w:tc>
          <w:tcPr>
            <w:tcW w:w="1682" w:type="dxa"/>
            <w:vAlign w:val="center"/>
          </w:tcPr>
          <w:p w14:paraId="4F434107">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采购范围</w:t>
            </w:r>
          </w:p>
        </w:tc>
        <w:tc>
          <w:tcPr>
            <w:tcW w:w="6965" w:type="dxa"/>
            <w:vAlign w:val="center"/>
          </w:tcPr>
          <w:p w14:paraId="070F354F">
            <w:pPr>
              <w:spacing w:line="420" w:lineRule="exact"/>
              <w:rPr>
                <w:rFonts w:ascii="宋体" w:hAnsi="宋体"/>
                <w:color w:val="auto"/>
                <w:szCs w:val="21"/>
              </w:rPr>
            </w:pPr>
            <w:r>
              <w:rPr>
                <w:rFonts w:hint="eastAsia" w:ascii="宋体" w:hAnsi="宋体"/>
                <w:color w:val="auto"/>
                <w:szCs w:val="21"/>
              </w:rPr>
              <w:t>工程采购清单包含及其附属工程等全部内容（具体内容详见工程量清单）。</w:t>
            </w:r>
          </w:p>
        </w:tc>
      </w:tr>
      <w:tr w14:paraId="12B2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1722D6BD">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7</w:t>
            </w:r>
          </w:p>
        </w:tc>
        <w:tc>
          <w:tcPr>
            <w:tcW w:w="1682" w:type="dxa"/>
            <w:vAlign w:val="center"/>
          </w:tcPr>
          <w:p w14:paraId="04494B9B">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工期要求</w:t>
            </w:r>
          </w:p>
        </w:tc>
        <w:tc>
          <w:tcPr>
            <w:tcW w:w="6965" w:type="dxa"/>
            <w:vAlign w:val="center"/>
          </w:tcPr>
          <w:p w14:paraId="1920EAB4">
            <w:pPr>
              <w:pStyle w:val="41"/>
              <w:widowControl w:val="0"/>
              <w:adjustRightInd w:val="0"/>
              <w:snapToGrid w:val="0"/>
              <w:spacing w:before="0" w:beforeAutospacing="0" w:after="0" w:afterAutospacing="0" w:line="400" w:lineRule="exact"/>
              <w:rPr>
                <w:rFonts w:hint="eastAsia" w:eastAsia="宋体"/>
                <w:color w:val="auto"/>
                <w:kern w:val="2"/>
                <w:sz w:val="21"/>
                <w:szCs w:val="21"/>
                <w:lang w:val="en-US" w:eastAsia="zh-CN"/>
              </w:rPr>
            </w:pPr>
            <w:r>
              <w:rPr>
                <w:rFonts w:hint="eastAsia"/>
                <w:color w:val="auto"/>
                <w:kern w:val="2"/>
                <w:sz w:val="21"/>
                <w:szCs w:val="21"/>
              </w:rPr>
              <w:t>计划工期:</w:t>
            </w:r>
            <w:r>
              <w:rPr>
                <w:rFonts w:hint="eastAsia"/>
                <w:color w:val="auto"/>
                <w:kern w:val="2"/>
                <w:sz w:val="21"/>
                <w:szCs w:val="21"/>
                <w:lang w:val="en-US" w:eastAsia="zh-CN"/>
              </w:rPr>
              <w:t>90</w:t>
            </w:r>
            <w:r>
              <w:rPr>
                <w:rFonts w:hint="eastAsia"/>
                <w:color w:val="auto"/>
                <w:kern w:val="2"/>
                <w:sz w:val="21"/>
                <w:szCs w:val="21"/>
              </w:rPr>
              <w:t>日历天</w:t>
            </w:r>
            <w:r>
              <w:rPr>
                <w:rFonts w:hint="eastAsia"/>
                <w:color w:val="auto"/>
                <w:kern w:val="2"/>
                <w:sz w:val="21"/>
                <w:szCs w:val="21"/>
                <w:lang w:val="en-US" w:eastAsia="zh-CN"/>
              </w:rPr>
              <w:t>.</w:t>
            </w:r>
          </w:p>
        </w:tc>
      </w:tr>
      <w:bookmarkEnd w:id="11"/>
      <w:tr w14:paraId="5B4A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18" w:type="dxa"/>
            <w:vAlign w:val="center"/>
          </w:tcPr>
          <w:p w14:paraId="0EEAB126">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8</w:t>
            </w:r>
          </w:p>
        </w:tc>
        <w:tc>
          <w:tcPr>
            <w:tcW w:w="1682" w:type="dxa"/>
            <w:vAlign w:val="center"/>
          </w:tcPr>
          <w:p w14:paraId="55BA7AF6">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供应商资格要求</w:t>
            </w:r>
          </w:p>
        </w:tc>
        <w:tc>
          <w:tcPr>
            <w:tcW w:w="6965" w:type="dxa"/>
          </w:tcPr>
          <w:p w14:paraId="5B157216">
            <w:pPr>
              <w:spacing w:line="440" w:lineRule="exact"/>
              <w:ind w:firstLine="420" w:firstLineChars="200"/>
              <w:rPr>
                <w:color w:val="auto"/>
              </w:rPr>
            </w:pPr>
            <w:r>
              <w:rPr>
                <w:rFonts w:hint="eastAsia"/>
                <w:color w:val="auto"/>
              </w:rPr>
              <w:t>1.满足《中华人民共和国政府采购法》第二十二条规定；</w:t>
            </w:r>
          </w:p>
          <w:p w14:paraId="4FF4EB1A">
            <w:pPr>
              <w:spacing w:line="440" w:lineRule="exact"/>
              <w:ind w:firstLine="420" w:firstLineChars="200"/>
              <w:rPr>
                <w:color w:val="auto"/>
              </w:rPr>
            </w:pPr>
            <w:r>
              <w:rPr>
                <w:color w:val="auto"/>
              </w:rPr>
              <w:t>2</w:t>
            </w:r>
            <w:r>
              <w:rPr>
                <w:rFonts w:hint="eastAsia"/>
                <w:color w:val="auto"/>
              </w:rPr>
              <w:t>.落实政府采购政策需满足的资格要求：</w:t>
            </w:r>
            <w:r>
              <w:rPr>
                <w:rFonts w:hint="eastAsia" w:cs="宋体"/>
                <w:color w:val="auto"/>
                <w:szCs w:val="21"/>
                <w:lang w:val="en-US" w:bidi="zh-CN"/>
              </w:rPr>
              <w:t>本项目专门面向</w:t>
            </w:r>
            <w:r>
              <w:rPr>
                <w:rFonts w:hint="eastAsia" w:cs="宋体"/>
                <w:color w:val="auto"/>
                <w:szCs w:val="21"/>
                <w:lang w:val="en-US" w:bidi="zh-CN"/>
              </w:rPr>
              <w:t>中小企业采购</w:t>
            </w:r>
            <w:r>
              <w:rPr>
                <w:rFonts w:hint="eastAsia" w:cs="宋体"/>
                <w:color w:val="auto"/>
                <w:szCs w:val="21"/>
                <w:lang w:val="en-US" w:bidi="zh-CN"/>
              </w:rPr>
              <w:t>（供应商为中小微企业或监狱企业或残疾人福利企业 ）。</w:t>
            </w:r>
          </w:p>
          <w:p w14:paraId="386B787F">
            <w:pPr>
              <w:spacing w:line="440" w:lineRule="exact"/>
              <w:ind w:firstLine="420" w:firstLineChars="200"/>
              <w:rPr>
                <w:rFonts w:hint="eastAsia" w:eastAsia="宋体"/>
                <w:color w:val="auto"/>
              </w:rPr>
            </w:pPr>
            <w:r>
              <w:rPr>
                <w:rFonts w:hint="eastAsia"/>
                <w:color w:val="auto"/>
              </w:rPr>
              <w:t>3</w:t>
            </w:r>
            <w:r>
              <w:rPr>
                <w:rFonts w:hint="eastAsia" w:eastAsia="宋体"/>
                <w:color w:val="auto"/>
              </w:rPr>
              <w:t>.本项目的特定资格要求：</w:t>
            </w:r>
          </w:p>
          <w:p w14:paraId="32579383">
            <w:pPr>
              <w:spacing w:line="440" w:lineRule="exact"/>
              <w:ind w:firstLine="420" w:firstLineChars="200"/>
              <w:rPr>
                <w:rFonts w:hint="eastAsia" w:eastAsia="宋体"/>
                <w:color w:val="auto"/>
              </w:rPr>
            </w:pPr>
            <w:r>
              <w:rPr>
                <w:rFonts w:hint="eastAsia" w:eastAsia="宋体"/>
                <w:color w:val="auto"/>
              </w:rPr>
              <w:t>（1）本次招标要求投标人须具备</w:t>
            </w:r>
            <w:r>
              <w:rPr>
                <w:rFonts w:hint="eastAsia" w:eastAsia="宋体"/>
                <w:color w:val="auto"/>
                <w:lang w:eastAsia="zh-CN"/>
              </w:rPr>
              <w:t>市政公用</w:t>
            </w:r>
            <w:r>
              <w:rPr>
                <w:rFonts w:hint="eastAsia" w:eastAsia="宋体"/>
                <w:color w:val="auto"/>
              </w:rPr>
              <w:t>工程施工总承包（含三级）以上资质；并在人员、设备、资金等方面具备相应的施工能力。其中，投标人拟派项目经理须具备</w:t>
            </w:r>
            <w:r>
              <w:rPr>
                <w:rFonts w:hint="eastAsia" w:eastAsia="宋体"/>
                <w:color w:val="auto"/>
                <w:lang w:eastAsia="zh-CN"/>
              </w:rPr>
              <w:t>市政公用</w:t>
            </w:r>
            <w:r>
              <w:rPr>
                <w:rFonts w:hint="eastAsia" w:eastAsia="宋体"/>
                <w:color w:val="auto"/>
              </w:rPr>
              <w:t>工程专业二级（含以上）注册建造师执业资格，具备有效的安全生产考核合格证书（B类）。</w:t>
            </w:r>
          </w:p>
          <w:p w14:paraId="6BEB652D">
            <w:pPr>
              <w:spacing w:line="440" w:lineRule="exact"/>
              <w:ind w:firstLine="420" w:firstLineChars="200"/>
              <w:rPr>
                <w:rFonts w:hint="eastAsia" w:eastAsia="宋体"/>
                <w:color w:val="auto"/>
                <w:lang w:val="zh-CN"/>
              </w:rPr>
            </w:pPr>
            <w:r>
              <w:rPr>
                <w:rFonts w:hint="eastAsia" w:eastAsia="宋体"/>
                <w:color w:val="auto"/>
              </w:rPr>
              <w:t>（2）</w:t>
            </w:r>
            <w:r>
              <w:rPr>
                <w:rFonts w:hint="eastAsia" w:eastAsia="宋体"/>
                <w:color w:val="auto"/>
                <w:lang w:val="zh-CN"/>
              </w:rPr>
              <w:t>不接受未按本竞争性磋商公告要求获取采购文件的供应商竞标。</w:t>
            </w:r>
          </w:p>
          <w:p w14:paraId="29D30E90">
            <w:pPr>
              <w:spacing w:line="440" w:lineRule="exact"/>
              <w:ind w:firstLine="420" w:firstLineChars="200"/>
              <w:rPr>
                <w:color w:val="auto"/>
                <w:lang w:val="zh-CN"/>
              </w:rPr>
            </w:pPr>
            <w:r>
              <w:rPr>
                <w:rFonts w:hint="eastAsia" w:eastAsia="宋体"/>
                <w:color w:val="auto"/>
                <w:lang w:val="zh-CN"/>
              </w:rPr>
              <w:t>（</w:t>
            </w:r>
            <w:r>
              <w:rPr>
                <w:rFonts w:hint="eastAsia" w:eastAsia="宋体"/>
                <w:color w:val="auto"/>
                <w:lang w:val="en-US" w:eastAsia="zh-CN"/>
              </w:rPr>
              <w:t>3</w:t>
            </w:r>
            <w:r>
              <w:rPr>
                <w:rFonts w:hint="eastAsia" w:eastAsia="宋体"/>
                <w:color w:val="auto"/>
                <w:lang w:val="zh-CN"/>
              </w:rPr>
              <w:t>）本项目不接受联合体竞标,不允许转包和分包。</w:t>
            </w:r>
          </w:p>
        </w:tc>
      </w:tr>
      <w:tr w14:paraId="0416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18" w:type="dxa"/>
            <w:vAlign w:val="center"/>
          </w:tcPr>
          <w:p w14:paraId="047630EE">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9</w:t>
            </w:r>
          </w:p>
        </w:tc>
        <w:tc>
          <w:tcPr>
            <w:tcW w:w="1682" w:type="dxa"/>
            <w:vAlign w:val="center"/>
          </w:tcPr>
          <w:p w14:paraId="34300DCD">
            <w:pPr>
              <w:spacing w:line="440" w:lineRule="exact"/>
              <w:jc w:val="center"/>
              <w:rPr>
                <w:rFonts w:ascii="宋体" w:hAnsi="宋体" w:cs="Courier New"/>
                <w:color w:val="auto"/>
                <w:spacing w:val="2"/>
                <w:szCs w:val="21"/>
              </w:rPr>
            </w:pPr>
            <w:r>
              <w:rPr>
                <w:rFonts w:hint="eastAsia" w:ascii="宋体" w:hAnsi="宋体"/>
                <w:bCs/>
                <w:color w:val="auto"/>
                <w:szCs w:val="21"/>
              </w:rPr>
              <w:t>报价方式</w:t>
            </w:r>
          </w:p>
        </w:tc>
        <w:tc>
          <w:tcPr>
            <w:tcW w:w="6965" w:type="dxa"/>
            <w:vAlign w:val="center"/>
          </w:tcPr>
          <w:p w14:paraId="3AC2BBEF">
            <w:pPr>
              <w:pStyle w:val="198"/>
              <w:spacing w:line="420" w:lineRule="exact"/>
              <w:rPr>
                <w:rFonts w:hAnsi="宋体"/>
                <w:color w:val="auto"/>
                <w:szCs w:val="21"/>
              </w:rPr>
            </w:pPr>
            <w:r>
              <w:rPr>
                <w:rFonts w:hint="eastAsia" w:hAnsi="宋体"/>
                <w:bCs/>
                <w:color w:val="auto"/>
                <w:szCs w:val="21"/>
              </w:rPr>
              <w:t>工程量清单报价（</w:t>
            </w:r>
            <w:r>
              <w:rPr>
                <w:rFonts w:hint="eastAsia" w:hAnsi="宋体"/>
                <w:b/>
                <w:bCs/>
                <w:color w:val="auto"/>
                <w:szCs w:val="21"/>
              </w:rPr>
              <w:t>清单计价法），</w:t>
            </w:r>
            <w:r>
              <w:rPr>
                <w:rFonts w:hint="eastAsia" w:hAnsi="宋体"/>
                <w:color w:val="auto"/>
                <w:szCs w:val="21"/>
              </w:rPr>
              <w:t>供应商按照采购人提供的工程量清单填写。</w:t>
            </w:r>
          </w:p>
        </w:tc>
      </w:tr>
      <w:tr w14:paraId="268D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18" w:type="dxa"/>
            <w:vAlign w:val="center"/>
          </w:tcPr>
          <w:p w14:paraId="16169727">
            <w:pPr>
              <w:spacing w:line="440" w:lineRule="exact"/>
              <w:jc w:val="center"/>
              <w:rPr>
                <w:rFonts w:ascii="宋体" w:hAnsi="宋体" w:cs="Courier New"/>
                <w:color w:val="auto"/>
                <w:spacing w:val="2"/>
                <w:szCs w:val="21"/>
              </w:rPr>
            </w:pPr>
            <w:bookmarkStart w:id="12" w:name="_Hlk87630554"/>
            <w:r>
              <w:rPr>
                <w:rFonts w:hint="eastAsia" w:ascii="宋体" w:hAnsi="宋体" w:cs="Courier New"/>
                <w:color w:val="auto"/>
                <w:spacing w:val="2"/>
                <w:szCs w:val="21"/>
              </w:rPr>
              <w:t>10</w:t>
            </w:r>
          </w:p>
        </w:tc>
        <w:tc>
          <w:tcPr>
            <w:tcW w:w="1682" w:type="dxa"/>
            <w:vAlign w:val="center"/>
          </w:tcPr>
          <w:p w14:paraId="42FE238D">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磋商有效期</w:t>
            </w:r>
          </w:p>
        </w:tc>
        <w:tc>
          <w:tcPr>
            <w:tcW w:w="6965" w:type="dxa"/>
            <w:vAlign w:val="center"/>
          </w:tcPr>
          <w:p w14:paraId="63BF824D">
            <w:pPr>
              <w:spacing w:line="420" w:lineRule="exact"/>
              <w:rPr>
                <w:rFonts w:ascii="宋体" w:hAnsi="宋体" w:cs="Courier New"/>
                <w:color w:val="auto"/>
                <w:spacing w:val="2"/>
                <w:szCs w:val="21"/>
              </w:rPr>
            </w:pPr>
            <w:r>
              <w:rPr>
                <w:rFonts w:hint="eastAsia" w:ascii="宋体" w:hAnsi="宋体" w:cs="Courier New"/>
                <w:color w:val="auto"/>
                <w:spacing w:val="2"/>
                <w:szCs w:val="21"/>
              </w:rPr>
              <w:t>磋商截止之日后</w:t>
            </w:r>
            <w:r>
              <w:rPr>
                <w:rFonts w:hint="eastAsia" w:ascii="宋体" w:hAnsi="宋体" w:cs="Courier New"/>
                <w:color w:val="auto"/>
                <w:spacing w:val="2"/>
                <w:szCs w:val="21"/>
                <w:lang w:val="en-US" w:eastAsia="zh-CN"/>
              </w:rPr>
              <w:t>60</w:t>
            </w:r>
            <w:r>
              <w:rPr>
                <w:rFonts w:hint="eastAsia" w:ascii="宋体" w:hAnsi="宋体" w:cs="Courier New"/>
                <w:color w:val="auto"/>
                <w:spacing w:val="2"/>
                <w:szCs w:val="21"/>
              </w:rPr>
              <w:t>日历天</w:t>
            </w:r>
          </w:p>
        </w:tc>
      </w:tr>
      <w:bookmarkEnd w:id="12"/>
      <w:tr w14:paraId="086F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18" w:type="dxa"/>
            <w:vAlign w:val="center"/>
          </w:tcPr>
          <w:p w14:paraId="1878C8FC">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11</w:t>
            </w:r>
          </w:p>
        </w:tc>
        <w:tc>
          <w:tcPr>
            <w:tcW w:w="1682" w:type="dxa"/>
            <w:vAlign w:val="center"/>
          </w:tcPr>
          <w:p w14:paraId="7F30E63A">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磋商保证金</w:t>
            </w:r>
          </w:p>
        </w:tc>
        <w:tc>
          <w:tcPr>
            <w:tcW w:w="6965" w:type="dxa"/>
            <w:vAlign w:val="center"/>
          </w:tcPr>
          <w:p w14:paraId="13ED748E">
            <w:pPr>
              <w:spacing w:line="420" w:lineRule="exact"/>
              <w:rPr>
                <w:rFonts w:ascii="宋体" w:hAnsi="宋体"/>
                <w:color w:val="auto"/>
                <w:kern w:val="0"/>
                <w:szCs w:val="21"/>
              </w:rPr>
            </w:pPr>
            <w:r>
              <w:rPr>
                <w:rFonts w:hint="eastAsia" w:ascii="宋体" w:hAnsi="宋体"/>
                <w:color w:val="auto"/>
                <w:kern w:val="0"/>
                <w:szCs w:val="21"/>
              </w:rPr>
              <w:t>本项目不收取磋商保证金</w:t>
            </w:r>
          </w:p>
        </w:tc>
      </w:tr>
      <w:tr w14:paraId="3C11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44BA528F">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12</w:t>
            </w:r>
          </w:p>
        </w:tc>
        <w:tc>
          <w:tcPr>
            <w:tcW w:w="1682" w:type="dxa"/>
            <w:vAlign w:val="center"/>
          </w:tcPr>
          <w:p w14:paraId="58F661A8">
            <w:pPr>
              <w:spacing w:line="440" w:lineRule="exact"/>
              <w:jc w:val="center"/>
              <w:rPr>
                <w:rFonts w:ascii="宋体" w:hAnsi="宋体" w:cs="Courier New"/>
                <w:color w:val="auto"/>
                <w:spacing w:val="2"/>
                <w:szCs w:val="21"/>
              </w:rPr>
            </w:pPr>
            <w:r>
              <w:rPr>
                <w:rFonts w:hint="eastAsia" w:ascii="宋体" w:hAnsi="宋体" w:cs="Courier New"/>
                <w:bCs/>
                <w:color w:val="auto"/>
                <w:spacing w:val="2"/>
                <w:szCs w:val="21"/>
              </w:rPr>
              <w:t>现场勘查</w:t>
            </w:r>
          </w:p>
        </w:tc>
        <w:tc>
          <w:tcPr>
            <w:tcW w:w="6965" w:type="dxa"/>
            <w:vAlign w:val="center"/>
          </w:tcPr>
          <w:p w14:paraId="2C05CC4E">
            <w:pPr>
              <w:spacing w:line="420" w:lineRule="exact"/>
              <w:rPr>
                <w:rFonts w:ascii="宋体" w:hAnsi="宋体" w:cs="Courier New"/>
                <w:bCs/>
                <w:color w:val="auto"/>
                <w:spacing w:val="2"/>
                <w:szCs w:val="21"/>
              </w:rPr>
            </w:pPr>
            <w:r>
              <w:rPr>
                <w:rFonts w:hint="eastAsia" w:ascii="宋体" w:hAnsi="宋体" w:cs="Courier New"/>
                <w:bCs/>
                <w:color w:val="auto"/>
                <w:spacing w:val="2"/>
                <w:szCs w:val="21"/>
              </w:rPr>
              <w:t>采购人不组织现场踏勘，供应商自行现场勘查。</w:t>
            </w:r>
          </w:p>
        </w:tc>
      </w:tr>
      <w:tr w14:paraId="2AE6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088C2E77">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13</w:t>
            </w:r>
          </w:p>
        </w:tc>
        <w:tc>
          <w:tcPr>
            <w:tcW w:w="1682" w:type="dxa"/>
            <w:vAlign w:val="center"/>
          </w:tcPr>
          <w:p w14:paraId="0A228FB3">
            <w:pPr>
              <w:spacing w:line="440" w:lineRule="exact"/>
              <w:jc w:val="center"/>
              <w:rPr>
                <w:rFonts w:ascii="宋体" w:hAnsi="宋体" w:cs="Courier New"/>
                <w:color w:val="auto"/>
                <w:spacing w:val="2"/>
                <w:szCs w:val="21"/>
              </w:rPr>
            </w:pPr>
            <w:r>
              <w:rPr>
                <w:rFonts w:hint="eastAsia" w:ascii="宋体" w:hAnsi="宋体"/>
                <w:color w:val="auto"/>
                <w:szCs w:val="21"/>
              </w:rPr>
              <w:t>响应文件形式</w:t>
            </w:r>
          </w:p>
        </w:tc>
        <w:tc>
          <w:tcPr>
            <w:tcW w:w="6965" w:type="dxa"/>
            <w:vAlign w:val="center"/>
          </w:tcPr>
          <w:p w14:paraId="25A0D2FD">
            <w:pPr>
              <w:spacing w:line="440" w:lineRule="exact"/>
              <w:rPr>
                <w:rFonts w:ascii="宋体"/>
                <w:snapToGrid w:val="0"/>
                <w:color w:val="auto"/>
                <w:szCs w:val="21"/>
              </w:rPr>
            </w:pPr>
            <w:r>
              <w:rPr>
                <w:rFonts w:hint="eastAsia" w:ascii="宋体"/>
                <w:snapToGrid w:val="0"/>
                <w:color w:val="auto"/>
                <w:szCs w:val="21"/>
              </w:rPr>
              <w:t>供应商应准备电子</w:t>
            </w:r>
            <w:r>
              <w:rPr>
                <w:rFonts w:hint="eastAsia" w:ascii="宋体" w:hAnsi="宋体"/>
                <w:color w:val="auto"/>
                <w:szCs w:val="21"/>
              </w:rPr>
              <w:t>响应</w:t>
            </w:r>
            <w:r>
              <w:rPr>
                <w:rFonts w:hint="eastAsia" w:ascii="宋体"/>
                <w:snapToGrid w:val="0"/>
                <w:color w:val="auto"/>
                <w:szCs w:val="21"/>
              </w:rPr>
              <w:t>文件。电子</w:t>
            </w:r>
            <w:r>
              <w:rPr>
                <w:rFonts w:hint="eastAsia" w:ascii="宋体" w:hAnsi="宋体"/>
                <w:color w:val="auto"/>
                <w:szCs w:val="21"/>
              </w:rPr>
              <w:t>响应</w:t>
            </w:r>
            <w:r>
              <w:rPr>
                <w:rFonts w:hint="eastAsia" w:ascii="宋体"/>
                <w:snapToGrid w:val="0"/>
                <w:color w:val="auto"/>
                <w:szCs w:val="21"/>
              </w:rPr>
              <w:t>文件是指通过“政采云</w:t>
            </w:r>
            <w:r>
              <w:rPr>
                <w:color w:val="auto"/>
                <w:szCs w:val="21"/>
              </w:rPr>
              <w:t>电子投标</w:t>
            </w:r>
            <w:r>
              <w:rPr>
                <w:rFonts w:hint="eastAsia" w:ascii="宋体"/>
                <w:snapToGrid w:val="0"/>
                <w:color w:val="auto"/>
                <w:szCs w:val="21"/>
              </w:rPr>
              <w:t>客户端”完成</w:t>
            </w:r>
            <w:r>
              <w:rPr>
                <w:rFonts w:hint="eastAsia" w:ascii="宋体" w:hAnsi="宋体"/>
                <w:color w:val="auto"/>
                <w:szCs w:val="21"/>
              </w:rPr>
              <w:t>响应</w:t>
            </w:r>
            <w:r>
              <w:rPr>
                <w:rFonts w:hint="eastAsia" w:ascii="宋体"/>
                <w:snapToGrid w:val="0"/>
                <w:color w:val="auto"/>
                <w:szCs w:val="21"/>
              </w:rPr>
              <w:t>文件编制后生成并加密的数据电文形式的电子加密</w:t>
            </w:r>
            <w:r>
              <w:rPr>
                <w:rFonts w:hint="eastAsia" w:ascii="宋体" w:hAnsi="宋体"/>
                <w:color w:val="auto"/>
                <w:szCs w:val="21"/>
              </w:rPr>
              <w:t>响应</w:t>
            </w:r>
            <w:r>
              <w:rPr>
                <w:rFonts w:hint="eastAsia" w:ascii="宋体"/>
                <w:snapToGrid w:val="0"/>
                <w:color w:val="auto"/>
                <w:szCs w:val="21"/>
              </w:rPr>
              <w:t>文件。</w:t>
            </w:r>
          </w:p>
        </w:tc>
      </w:tr>
      <w:tr w14:paraId="76EF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77C95B95">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14</w:t>
            </w:r>
          </w:p>
        </w:tc>
        <w:tc>
          <w:tcPr>
            <w:tcW w:w="1682" w:type="dxa"/>
            <w:vAlign w:val="center"/>
          </w:tcPr>
          <w:p w14:paraId="26717235">
            <w:pPr>
              <w:spacing w:line="440" w:lineRule="exact"/>
              <w:jc w:val="center"/>
              <w:rPr>
                <w:rFonts w:ascii="宋体" w:hAnsi="宋体" w:cs="Courier New"/>
                <w:color w:val="auto"/>
                <w:spacing w:val="2"/>
                <w:szCs w:val="21"/>
              </w:rPr>
            </w:pPr>
            <w:r>
              <w:rPr>
                <w:rFonts w:hint="eastAsia" w:ascii="宋体" w:hAnsi="宋体"/>
                <w:color w:val="auto"/>
                <w:szCs w:val="21"/>
              </w:rPr>
              <w:t>响应</w:t>
            </w:r>
            <w:r>
              <w:rPr>
                <w:rFonts w:hint="eastAsia" w:ascii="宋体"/>
                <w:snapToGrid w:val="0"/>
                <w:color w:val="auto"/>
                <w:szCs w:val="21"/>
              </w:rPr>
              <w:t>文件的编制</w:t>
            </w:r>
          </w:p>
        </w:tc>
        <w:tc>
          <w:tcPr>
            <w:tcW w:w="6965" w:type="dxa"/>
            <w:vAlign w:val="center"/>
          </w:tcPr>
          <w:p w14:paraId="7EEA5C20">
            <w:pPr>
              <w:widowControl/>
              <w:spacing w:line="440" w:lineRule="exact"/>
              <w:jc w:val="left"/>
              <w:rPr>
                <w:rFonts w:ascii="宋体"/>
                <w:snapToGrid w:val="0"/>
                <w:color w:val="auto"/>
                <w:szCs w:val="21"/>
              </w:rPr>
            </w:pPr>
            <w:r>
              <w:rPr>
                <w:rFonts w:hint="eastAsia" w:ascii="宋体"/>
                <w:snapToGrid w:val="0"/>
                <w:color w:val="auto"/>
                <w:szCs w:val="21"/>
              </w:rPr>
              <w:t>供应商应先安装“政采云</w:t>
            </w:r>
            <w:r>
              <w:rPr>
                <w:color w:val="auto"/>
                <w:szCs w:val="21"/>
              </w:rPr>
              <w:t>电子投标</w:t>
            </w:r>
            <w:r>
              <w:rPr>
                <w:rFonts w:hint="eastAsia" w:ascii="宋体"/>
                <w:snapToGrid w:val="0"/>
                <w:color w:val="auto"/>
                <w:szCs w:val="21"/>
              </w:rPr>
              <w:t>客户端”，并按照本磋商文件和“政采云平台”的要求，通过“政采云</w:t>
            </w:r>
            <w:r>
              <w:rPr>
                <w:color w:val="auto"/>
                <w:szCs w:val="21"/>
              </w:rPr>
              <w:t>电子投标</w:t>
            </w:r>
            <w:r>
              <w:rPr>
                <w:rFonts w:hint="eastAsia" w:ascii="宋体"/>
                <w:snapToGrid w:val="0"/>
                <w:color w:val="auto"/>
                <w:szCs w:val="21"/>
              </w:rPr>
              <w:t>客户端”编制并加密</w:t>
            </w:r>
            <w:r>
              <w:rPr>
                <w:rFonts w:hint="eastAsia" w:ascii="宋体" w:hAnsi="宋体"/>
                <w:color w:val="auto"/>
                <w:szCs w:val="21"/>
              </w:rPr>
              <w:t>响应</w:t>
            </w:r>
            <w:r>
              <w:rPr>
                <w:rFonts w:hint="eastAsia" w:ascii="宋体"/>
                <w:snapToGrid w:val="0"/>
                <w:color w:val="auto"/>
                <w:szCs w:val="21"/>
              </w:rPr>
              <w:t>文件。</w:t>
            </w:r>
          </w:p>
        </w:tc>
      </w:tr>
      <w:tr w14:paraId="3BFA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79863686">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15</w:t>
            </w:r>
          </w:p>
        </w:tc>
        <w:tc>
          <w:tcPr>
            <w:tcW w:w="1682" w:type="dxa"/>
            <w:vAlign w:val="center"/>
          </w:tcPr>
          <w:p w14:paraId="0FD17D97">
            <w:pPr>
              <w:spacing w:line="440" w:lineRule="exact"/>
              <w:jc w:val="center"/>
              <w:rPr>
                <w:rFonts w:ascii="宋体" w:hAnsi="宋体" w:cs="Courier New"/>
                <w:color w:val="auto"/>
                <w:spacing w:val="2"/>
                <w:szCs w:val="21"/>
              </w:rPr>
            </w:pPr>
            <w:r>
              <w:rPr>
                <w:rFonts w:hint="eastAsia" w:ascii="宋体" w:hAnsi="宋体"/>
                <w:color w:val="auto"/>
                <w:szCs w:val="21"/>
              </w:rPr>
              <w:t>响应</w:t>
            </w:r>
            <w:r>
              <w:rPr>
                <w:rFonts w:hint="eastAsia" w:ascii="宋体"/>
                <w:snapToGrid w:val="0"/>
                <w:color w:val="auto"/>
                <w:szCs w:val="21"/>
              </w:rPr>
              <w:t>文件的盖章</w:t>
            </w:r>
          </w:p>
        </w:tc>
        <w:tc>
          <w:tcPr>
            <w:tcW w:w="6965" w:type="dxa"/>
            <w:vAlign w:val="center"/>
          </w:tcPr>
          <w:p w14:paraId="19342844">
            <w:pPr>
              <w:widowControl/>
              <w:spacing w:line="440" w:lineRule="exact"/>
              <w:jc w:val="left"/>
              <w:rPr>
                <w:rFonts w:ascii="宋体"/>
                <w:snapToGrid w:val="0"/>
                <w:color w:val="auto"/>
                <w:szCs w:val="21"/>
              </w:rPr>
            </w:pPr>
            <w:r>
              <w:rPr>
                <w:rFonts w:hint="eastAsia" w:ascii="宋体" w:hAnsi="宋体"/>
                <w:color w:val="auto"/>
                <w:szCs w:val="21"/>
              </w:rPr>
              <w:t>响应</w:t>
            </w:r>
            <w:r>
              <w:rPr>
                <w:rFonts w:hint="eastAsia" w:ascii="宋体"/>
                <w:snapToGrid w:val="0"/>
                <w:color w:val="auto"/>
                <w:szCs w:val="21"/>
              </w:rPr>
              <w:t>文件中所涉及的加盖公章均采用CA电子签章。</w:t>
            </w:r>
          </w:p>
        </w:tc>
      </w:tr>
      <w:tr w14:paraId="4140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7E55356D">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16</w:t>
            </w:r>
          </w:p>
        </w:tc>
        <w:tc>
          <w:tcPr>
            <w:tcW w:w="1682" w:type="dxa"/>
            <w:vAlign w:val="center"/>
          </w:tcPr>
          <w:p w14:paraId="0297F2CE">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响应文件</w:t>
            </w:r>
          </w:p>
          <w:p w14:paraId="6E0B314A">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份数</w:t>
            </w:r>
          </w:p>
        </w:tc>
        <w:tc>
          <w:tcPr>
            <w:tcW w:w="6965" w:type="dxa"/>
            <w:vAlign w:val="center"/>
          </w:tcPr>
          <w:p w14:paraId="21A19F8E">
            <w:pPr>
              <w:widowControl/>
              <w:spacing w:line="440" w:lineRule="exact"/>
              <w:jc w:val="left"/>
              <w:rPr>
                <w:rFonts w:ascii="宋体"/>
                <w:snapToGrid w:val="0"/>
                <w:color w:val="auto"/>
                <w:szCs w:val="21"/>
              </w:rPr>
            </w:pPr>
            <w:r>
              <w:rPr>
                <w:rFonts w:hint="eastAsia" w:ascii="宋体"/>
                <w:snapToGrid w:val="0"/>
                <w:color w:val="auto"/>
                <w:szCs w:val="21"/>
              </w:rPr>
              <w:t xml:space="preserve">供应商应准备电子加密响应文件、以介质存储的数据电文形式的电子备份响应文件份数： </w:t>
            </w:r>
          </w:p>
          <w:p w14:paraId="492E6760">
            <w:pPr>
              <w:widowControl/>
              <w:spacing w:line="440" w:lineRule="exact"/>
              <w:jc w:val="left"/>
              <w:rPr>
                <w:rFonts w:ascii="宋体"/>
                <w:snapToGrid w:val="0"/>
                <w:color w:val="auto"/>
                <w:szCs w:val="21"/>
              </w:rPr>
            </w:pPr>
            <w:r>
              <w:rPr>
                <w:rFonts w:hint="eastAsia" w:ascii="宋体"/>
                <w:snapToGrid w:val="0"/>
                <w:color w:val="auto"/>
                <w:szCs w:val="21"/>
              </w:rPr>
              <w:t>1.电子加密响应文件按政采云平台要求及本磋商文件要求制作、加密，并</w:t>
            </w:r>
            <w:r>
              <w:rPr>
                <w:rFonts w:ascii="宋体"/>
                <w:snapToGrid w:val="0"/>
                <w:color w:val="auto"/>
                <w:szCs w:val="21"/>
              </w:rPr>
              <w:t>在</w:t>
            </w:r>
            <w:r>
              <w:rPr>
                <w:rFonts w:hint="eastAsia" w:ascii="宋体"/>
                <w:snapToGrid w:val="0"/>
                <w:color w:val="auto"/>
                <w:szCs w:val="21"/>
              </w:rPr>
              <w:t>响应文件提交</w:t>
            </w:r>
            <w:r>
              <w:rPr>
                <w:rFonts w:ascii="宋体"/>
                <w:snapToGrid w:val="0"/>
                <w:color w:val="auto"/>
                <w:szCs w:val="21"/>
              </w:rPr>
              <w:t>截止时间前</w:t>
            </w:r>
            <w:r>
              <w:rPr>
                <w:rFonts w:hint="eastAsia" w:ascii="宋体"/>
                <w:snapToGrid w:val="0"/>
                <w:color w:val="auto"/>
                <w:szCs w:val="21"/>
              </w:rPr>
              <w:t>成功上传提交至“政采云平台”。“电子加密投标文件”成功上传提交后，供应商可自行打印响应文件接收回执。</w:t>
            </w:r>
          </w:p>
          <w:p w14:paraId="4144DC11">
            <w:pPr>
              <w:widowControl/>
              <w:spacing w:line="440" w:lineRule="exact"/>
              <w:jc w:val="left"/>
              <w:rPr>
                <w:rFonts w:ascii="宋体"/>
                <w:snapToGrid w:val="0"/>
                <w:color w:val="auto"/>
                <w:szCs w:val="21"/>
              </w:rPr>
            </w:pPr>
            <w:r>
              <w:rPr>
                <w:rFonts w:hint="eastAsia" w:ascii="宋体"/>
                <w:snapToGrid w:val="0"/>
                <w:color w:val="auto"/>
                <w:szCs w:val="21"/>
              </w:rPr>
              <w:t xml:space="preserve">2.以介质存储的数据电文形式的电子备份响应文件，按政采云平台《政府采购项目电子交易管理操作指南-供应商》中上传的电子响应文件格式，以U 盘的形式提供。数量为 1 份。 </w:t>
            </w:r>
          </w:p>
          <w:p w14:paraId="028C0C99">
            <w:pPr>
              <w:widowControl/>
              <w:spacing w:line="440" w:lineRule="exact"/>
              <w:jc w:val="left"/>
              <w:rPr>
                <w:rFonts w:ascii="宋体"/>
                <w:snapToGrid w:val="0"/>
                <w:color w:val="auto"/>
                <w:szCs w:val="21"/>
              </w:rPr>
            </w:pPr>
            <w:r>
              <w:rPr>
                <w:rFonts w:hint="eastAsia" w:ascii="宋体"/>
                <w:snapToGrid w:val="0"/>
                <w:color w:val="auto"/>
                <w:szCs w:val="21"/>
              </w:rPr>
              <w:t xml:space="preserve">3. 响应文件启用顺序和效力。响应文件的启用，按先后顺位分别为电子加密响应文件、以介质存储的数据电文形式的电子备份响应文件。顺位在先的响应文件已按时解密的，下一顺位响应文件自动失效。在下一顺位的响应文件启用时，前一顺位的响应文件自动失效。 </w:t>
            </w:r>
          </w:p>
          <w:p w14:paraId="7F49239C">
            <w:pPr>
              <w:widowControl/>
              <w:spacing w:line="440" w:lineRule="exact"/>
              <w:jc w:val="left"/>
              <w:rPr>
                <w:rFonts w:ascii="宋体"/>
                <w:snapToGrid w:val="0"/>
                <w:color w:val="auto"/>
                <w:szCs w:val="21"/>
              </w:rPr>
            </w:pPr>
            <w:r>
              <w:rPr>
                <w:rFonts w:hint="eastAsia" w:ascii="宋体"/>
                <w:snapToGrid w:val="0"/>
                <w:color w:val="auto"/>
                <w:szCs w:val="21"/>
              </w:rPr>
              <w:t>未</w:t>
            </w:r>
            <w:r>
              <w:rPr>
                <w:rFonts w:ascii="宋体"/>
                <w:snapToGrid w:val="0"/>
                <w:color w:val="auto"/>
                <w:szCs w:val="21"/>
              </w:rPr>
              <w:t>在</w:t>
            </w:r>
            <w:r>
              <w:rPr>
                <w:rFonts w:hint="eastAsia" w:ascii="宋体"/>
                <w:snapToGrid w:val="0"/>
                <w:color w:val="auto"/>
                <w:szCs w:val="21"/>
              </w:rPr>
              <w:t>响应文件提交</w:t>
            </w:r>
            <w:r>
              <w:rPr>
                <w:rFonts w:ascii="宋体"/>
                <w:snapToGrid w:val="0"/>
                <w:color w:val="auto"/>
                <w:szCs w:val="21"/>
              </w:rPr>
              <w:t>截止时间前</w:t>
            </w:r>
            <w:r>
              <w:rPr>
                <w:rFonts w:hint="eastAsia" w:ascii="宋体"/>
                <w:snapToGrid w:val="0"/>
                <w:color w:val="auto"/>
                <w:szCs w:val="21"/>
              </w:rPr>
              <w:t xml:space="preserve">传输提交电子加密响应文件的，响应无效。 </w:t>
            </w:r>
          </w:p>
          <w:p w14:paraId="7ED5E9EE">
            <w:pPr>
              <w:spacing w:line="420" w:lineRule="exact"/>
              <w:rPr>
                <w:rFonts w:ascii="宋体" w:hAnsi="宋体" w:cs="Courier New"/>
                <w:color w:val="auto"/>
                <w:spacing w:val="2"/>
                <w:szCs w:val="21"/>
              </w:rPr>
            </w:pPr>
            <w:r>
              <w:rPr>
                <w:rFonts w:hint="eastAsia" w:ascii="宋体"/>
                <w:snapToGrid w:val="0"/>
                <w:color w:val="auto"/>
                <w:szCs w:val="21"/>
              </w:rPr>
              <w:t>未按规定提供相应的备份响应文件，造成项目开评标活动无法进行下去的，响应无效。</w:t>
            </w:r>
          </w:p>
        </w:tc>
      </w:tr>
      <w:tr w14:paraId="043E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067D73A7">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17</w:t>
            </w:r>
          </w:p>
        </w:tc>
        <w:tc>
          <w:tcPr>
            <w:tcW w:w="1682" w:type="dxa"/>
            <w:vAlign w:val="center"/>
          </w:tcPr>
          <w:p w14:paraId="295D3E85">
            <w:pPr>
              <w:spacing w:line="440" w:lineRule="exact"/>
              <w:jc w:val="center"/>
              <w:rPr>
                <w:rFonts w:ascii="宋体" w:hAnsi="宋体" w:cs="宋体"/>
                <w:color w:val="auto"/>
                <w:spacing w:val="2"/>
                <w:szCs w:val="21"/>
              </w:rPr>
            </w:pPr>
            <w:r>
              <w:rPr>
                <w:rFonts w:hint="eastAsia" w:ascii="宋体"/>
                <w:snapToGrid w:val="0"/>
                <w:color w:val="auto"/>
                <w:szCs w:val="21"/>
              </w:rPr>
              <w:t>电子响应文件的解密</w:t>
            </w:r>
          </w:p>
        </w:tc>
        <w:tc>
          <w:tcPr>
            <w:tcW w:w="6965" w:type="dxa"/>
            <w:vAlign w:val="center"/>
          </w:tcPr>
          <w:p w14:paraId="7CCD2193">
            <w:pPr>
              <w:adjustRightInd w:val="0"/>
              <w:spacing w:line="420" w:lineRule="exact"/>
              <w:ind w:firstLine="420" w:firstLineChars="200"/>
              <w:rPr>
                <w:rFonts w:ascii="宋体" w:hAnsi="宋体" w:cs="宋体"/>
                <w:color w:val="auto"/>
                <w:spacing w:val="2"/>
                <w:szCs w:val="21"/>
              </w:rPr>
            </w:pPr>
            <w:r>
              <w:rPr>
                <w:rFonts w:hint="eastAsia" w:ascii="宋体"/>
                <w:snapToGrid w:val="0"/>
                <w:color w:val="auto"/>
                <w:szCs w:val="21"/>
              </w:rPr>
              <w:t>响应文件提交截止时间后 30 分钟内，供应商必须在此时间段内登录政采云平台，用“项目采购-开标评标”功能完成电子响应文件的解密。若供应商在规定时间内未按时解密的，供应商已递交了电子备份响应文件的，以电子备份响应文件为依据，未能按时解密且未提交电子备份响应文件的视为响应文件撤回。</w:t>
            </w:r>
          </w:p>
        </w:tc>
      </w:tr>
      <w:tr w14:paraId="64C3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1864F9D9">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18</w:t>
            </w:r>
          </w:p>
        </w:tc>
        <w:tc>
          <w:tcPr>
            <w:tcW w:w="1682" w:type="dxa"/>
            <w:vAlign w:val="center"/>
          </w:tcPr>
          <w:p w14:paraId="5362E99D">
            <w:pPr>
              <w:spacing w:line="440" w:lineRule="exact"/>
              <w:jc w:val="center"/>
              <w:rPr>
                <w:rFonts w:ascii="宋体" w:hAnsi="宋体" w:cs="宋体"/>
                <w:color w:val="auto"/>
                <w:spacing w:val="2"/>
                <w:szCs w:val="21"/>
              </w:rPr>
            </w:pPr>
            <w:r>
              <w:rPr>
                <w:rFonts w:hint="eastAsia" w:ascii="宋体" w:hAnsi="宋体" w:cs="宋体"/>
                <w:color w:val="auto"/>
                <w:spacing w:val="2"/>
                <w:szCs w:val="21"/>
              </w:rPr>
              <w:t>响应文件提交地点及截止时间</w:t>
            </w:r>
          </w:p>
        </w:tc>
        <w:tc>
          <w:tcPr>
            <w:tcW w:w="6965" w:type="dxa"/>
            <w:vAlign w:val="center"/>
          </w:tcPr>
          <w:p w14:paraId="7EDDB763">
            <w:pPr>
              <w:adjustRightInd w:val="0"/>
              <w:spacing w:line="420" w:lineRule="exact"/>
              <w:ind w:firstLine="428" w:firstLineChars="200"/>
              <w:rPr>
                <w:rFonts w:ascii="宋体" w:hAnsi="宋体" w:cs="Arial"/>
                <w:color w:val="auto"/>
                <w:szCs w:val="21"/>
                <w:u w:val="single"/>
              </w:rPr>
            </w:pPr>
            <w:r>
              <w:rPr>
                <w:rFonts w:hint="eastAsia" w:ascii="宋体" w:hAnsi="宋体" w:cs="宋体"/>
                <w:color w:val="auto"/>
                <w:spacing w:val="2"/>
                <w:szCs w:val="21"/>
              </w:rPr>
              <w:t>截止时间：</w:t>
            </w:r>
            <w:r>
              <w:rPr>
                <w:rFonts w:hint="eastAsia" w:ascii="宋体" w:hAnsi="宋体"/>
                <w:color w:val="auto"/>
                <w:szCs w:val="21"/>
                <w:u w:val="none"/>
              </w:rPr>
              <w:t>202</w:t>
            </w:r>
            <w:r>
              <w:rPr>
                <w:rFonts w:hint="eastAsia" w:ascii="宋体" w:hAnsi="宋体"/>
                <w:color w:val="auto"/>
                <w:szCs w:val="21"/>
                <w:u w:val="none"/>
                <w:lang w:val="en-US" w:eastAsia="zh-CN"/>
              </w:rPr>
              <w:t>5</w:t>
            </w:r>
            <w:r>
              <w:rPr>
                <w:rFonts w:hint="eastAsia" w:ascii="宋体" w:hAnsi="宋体"/>
                <w:color w:val="auto"/>
                <w:szCs w:val="21"/>
                <w:u w:val="none"/>
              </w:rPr>
              <w:t>年</w:t>
            </w:r>
            <w:r>
              <w:rPr>
                <w:rFonts w:hint="eastAsia" w:ascii="宋体" w:hAnsi="宋体"/>
                <w:color w:val="auto"/>
                <w:szCs w:val="21"/>
                <w:u w:val="none"/>
                <w:lang w:val="en-US" w:eastAsia="zh-CN"/>
              </w:rPr>
              <w:t>5</w:t>
            </w:r>
            <w:r>
              <w:rPr>
                <w:rFonts w:hint="eastAsia" w:ascii="宋体" w:hAnsi="宋体"/>
                <w:color w:val="auto"/>
                <w:szCs w:val="21"/>
                <w:u w:val="none"/>
              </w:rPr>
              <w:t>月</w:t>
            </w:r>
            <w:r>
              <w:rPr>
                <w:rFonts w:hint="eastAsia" w:ascii="宋体" w:hAnsi="宋体"/>
                <w:color w:val="auto"/>
                <w:szCs w:val="21"/>
                <w:u w:val="none"/>
                <w:lang w:val="en-US" w:eastAsia="zh-CN"/>
              </w:rPr>
              <w:t>19</w:t>
            </w:r>
            <w:r>
              <w:rPr>
                <w:rFonts w:hint="eastAsia" w:ascii="宋体" w:hAnsi="宋体"/>
                <w:color w:val="auto"/>
                <w:szCs w:val="21"/>
                <w:u w:val="none"/>
              </w:rPr>
              <w:t>日</w:t>
            </w:r>
            <w:r>
              <w:rPr>
                <w:rFonts w:hint="eastAsia" w:ascii="宋体" w:hAnsi="宋体"/>
                <w:color w:val="auto"/>
                <w:szCs w:val="21"/>
                <w:u w:val="none"/>
                <w:lang w:val="en-US" w:eastAsia="zh-CN"/>
              </w:rPr>
              <w:t>09</w:t>
            </w:r>
            <w:r>
              <w:rPr>
                <w:rFonts w:hint="eastAsia" w:ascii="宋体" w:hAnsi="宋体"/>
                <w:color w:val="auto"/>
                <w:szCs w:val="21"/>
                <w:u w:val="none"/>
              </w:rPr>
              <w:t>时</w:t>
            </w:r>
            <w:r>
              <w:rPr>
                <w:rFonts w:hint="eastAsia" w:ascii="宋体" w:hAnsi="宋体"/>
                <w:color w:val="auto"/>
                <w:szCs w:val="21"/>
                <w:u w:val="none"/>
                <w:lang w:val="en-US" w:eastAsia="zh-CN"/>
              </w:rPr>
              <w:t>0</w:t>
            </w:r>
            <w:r>
              <w:rPr>
                <w:rFonts w:hint="eastAsia" w:ascii="宋体" w:hAnsi="宋体"/>
                <w:color w:val="auto"/>
                <w:szCs w:val="21"/>
                <w:u w:val="none"/>
              </w:rPr>
              <w:t>0分（北京时间）。</w:t>
            </w:r>
          </w:p>
          <w:p w14:paraId="1D5819F7">
            <w:pPr>
              <w:spacing w:line="420" w:lineRule="exact"/>
              <w:ind w:firstLine="428" w:firstLineChars="200"/>
              <w:rPr>
                <w:rFonts w:ascii="宋体" w:hAnsi="宋体"/>
                <w:color w:val="auto"/>
                <w:kern w:val="0"/>
                <w:szCs w:val="21"/>
              </w:rPr>
            </w:pPr>
            <w:r>
              <w:rPr>
                <w:rFonts w:hint="eastAsia" w:ascii="宋体" w:hAnsi="宋体" w:cs="宋体"/>
                <w:color w:val="auto"/>
                <w:spacing w:val="2"/>
                <w:szCs w:val="21"/>
              </w:rPr>
              <w:t>地点</w:t>
            </w:r>
            <w:r>
              <w:rPr>
                <w:rFonts w:hint="eastAsia" w:ascii="宋体" w:hAnsi="宋体"/>
                <w:color w:val="auto"/>
                <w:kern w:val="0"/>
                <w:szCs w:val="21"/>
              </w:rPr>
              <w:t>：</w:t>
            </w:r>
            <w:r>
              <w:rPr>
                <w:rFonts w:hint="eastAsia" w:ascii="宋体" w:hAnsi="宋体" w:cs="Arial"/>
                <w:color w:val="auto"/>
                <w:szCs w:val="21"/>
              </w:rPr>
              <w:t>通过</w:t>
            </w:r>
            <w:r>
              <w:rPr>
                <w:rFonts w:hint="eastAsia" w:ascii="宋体" w:hAnsi="宋体"/>
                <w:color w:val="auto"/>
                <w:szCs w:val="21"/>
              </w:rPr>
              <w:t>广西政府采购云平台</w:t>
            </w:r>
            <w:r>
              <w:rPr>
                <w:rFonts w:hint="eastAsia" w:ascii="宋体" w:hAnsi="宋体"/>
                <w:color w:val="auto"/>
                <w:szCs w:val="21"/>
                <w:lang w:eastAsia="zh-CN"/>
              </w:rPr>
              <w:t>（</w:t>
            </w:r>
            <w:r>
              <w:rPr>
                <w:rFonts w:hint="eastAsia" w:ascii="宋体" w:hAnsi="宋体"/>
                <w:color w:val="auto"/>
                <w:szCs w:val="21"/>
              </w:rPr>
              <w:t>https://www.gcy.zfcg.gxzf.gov.cn/</w:t>
            </w:r>
            <w:r>
              <w:rPr>
                <w:rFonts w:hint="eastAsia" w:ascii="宋体" w:hAnsi="宋体"/>
                <w:color w:val="auto"/>
                <w:szCs w:val="21"/>
                <w:lang w:eastAsia="zh-CN"/>
              </w:rPr>
              <w:t>）</w:t>
            </w:r>
            <w:r>
              <w:rPr>
                <w:rFonts w:hint="eastAsia" w:ascii="宋体" w:hAnsi="宋体" w:cs="Arial"/>
                <w:color w:val="auto"/>
                <w:szCs w:val="21"/>
              </w:rPr>
              <w:t>实行在线响应（本项目采用在线开评标方式，供应商无须前往开标现场）。</w:t>
            </w:r>
          </w:p>
        </w:tc>
      </w:tr>
      <w:tr w14:paraId="5047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Align w:val="center"/>
          </w:tcPr>
          <w:p w14:paraId="74462B43">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19</w:t>
            </w:r>
          </w:p>
        </w:tc>
        <w:tc>
          <w:tcPr>
            <w:tcW w:w="1682" w:type="dxa"/>
            <w:vAlign w:val="center"/>
          </w:tcPr>
          <w:p w14:paraId="26D7ED3F">
            <w:pPr>
              <w:spacing w:line="440" w:lineRule="exact"/>
              <w:jc w:val="center"/>
              <w:rPr>
                <w:rFonts w:ascii="宋体" w:hAnsi="宋体" w:cs="宋体"/>
                <w:color w:val="auto"/>
                <w:spacing w:val="2"/>
                <w:szCs w:val="21"/>
              </w:rPr>
            </w:pPr>
            <w:r>
              <w:rPr>
                <w:rFonts w:hint="eastAsia" w:ascii="宋体" w:hAnsi="宋体" w:cs="Courier New"/>
                <w:color w:val="auto"/>
                <w:spacing w:val="2"/>
                <w:szCs w:val="21"/>
              </w:rPr>
              <w:t>磋商</w:t>
            </w:r>
            <w:r>
              <w:rPr>
                <w:rFonts w:hint="eastAsia" w:ascii="宋体" w:hAnsi="宋体" w:cs="宋体"/>
                <w:color w:val="auto"/>
                <w:szCs w:val="21"/>
              </w:rPr>
              <w:t>时间及</w:t>
            </w:r>
            <w:r>
              <w:rPr>
                <w:rFonts w:hint="eastAsia" w:ascii="宋体" w:hAnsi="宋体" w:cs="Courier New"/>
                <w:color w:val="auto"/>
                <w:spacing w:val="2"/>
                <w:szCs w:val="21"/>
              </w:rPr>
              <w:t>磋商</w:t>
            </w:r>
            <w:r>
              <w:rPr>
                <w:rFonts w:hint="eastAsia" w:ascii="宋体" w:hAnsi="宋体" w:cs="宋体"/>
                <w:color w:val="auto"/>
                <w:spacing w:val="2"/>
                <w:szCs w:val="21"/>
              </w:rPr>
              <w:t>地点</w:t>
            </w:r>
          </w:p>
        </w:tc>
        <w:tc>
          <w:tcPr>
            <w:tcW w:w="6965" w:type="dxa"/>
            <w:vAlign w:val="center"/>
          </w:tcPr>
          <w:p w14:paraId="25414F10">
            <w:pPr>
              <w:spacing w:line="420" w:lineRule="exact"/>
              <w:ind w:firstLine="420" w:firstLineChars="200"/>
              <w:rPr>
                <w:rFonts w:ascii="宋体" w:hAnsi="宋体" w:cs="Arial"/>
                <w:color w:val="auto"/>
                <w:szCs w:val="21"/>
              </w:rPr>
            </w:pPr>
            <w:r>
              <w:rPr>
                <w:rFonts w:hint="eastAsia" w:ascii="宋体" w:hAnsi="宋体" w:cs="Arial"/>
                <w:color w:val="auto"/>
                <w:szCs w:val="21"/>
              </w:rPr>
              <w:t>磋商时间：</w:t>
            </w:r>
            <w:r>
              <w:rPr>
                <w:rFonts w:hint="eastAsia" w:ascii="宋体" w:hAnsi="宋体"/>
                <w:color w:val="auto"/>
                <w:szCs w:val="21"/>
                <w:lang w:eastAsia="zh-CN"/>
              </w:rPr>
              <w:t>截标时间后</w:t>
            </w:r>
            <w:r>
              <w:rPr>
                <w:rFonts w:hint="eastAsia" w:ascii="宋体" w:hAnsi="宋体"/>
                <w:color w:val="auto"/>
                <w:szCs w:val="21"/>
                <w:u w:val="none"/>
              </w:rPr>
              <w:t>。</w:t>
            </w:r>
          </w:p>
          <w:p w14:paraId="2B0D0400">
            <w:pPr>
              <w:spacing w:line="420" w:lineRule="exact"/>
              <w:ind w:firstLine="420" w:firstLineChars="200"/>
              <w:rPr>
                <w:rFonts w:ascii="宋体" w:hAnsi="宋体"/>
                <w:color w:val="auto"/>
                <w:kern w:val="0"/>
                <w:szCs w:val="21"/>
              </w:rPr>
            </w:pPr>
            <w:r>
              <w:rPr>
                <w:rFonts w:hint="eastAsia" w:ascii="宋体" w:hAnsi="宋体" w:cs="Arial"/>
                <w:color w:val="auto"/>
                <w:szCs w:val="21"/>
              </w:rPr>
              <w:t>磋商地点：通过</w:t>
            </w:r>
            <w:r>
              <w:rPr>
                <w:rFonts w:hint="eastAsia" w:ascii="宋体" w:hAnsi="宋体"/>
                <w:color w:val="auto"/>
                <w:szCs w:val="21"/>
              </w:rPr>
              <w:t>广西政府采购云平台</w:t>
            </w:r>
            <w:r>
              <w:rPr>
                <w:rFonts w:hint="eastAsia" w:ascii="宋体" w:hAnsi="宋体"/>
                <w:color w:val="auto"/>
                <w:szCs w:val="21"/>
                <w:lang w:eastAsia="zh-CN"/>
              </w:rPr>
              <w:t>（</w:t>
            </w:r>
            <w:r>
              <w:rPr>
                <w:rFonts w:hint="eastAsia" w:ascii="宋体" w:hAnsi="宋体"/>
                <w:color w:val="auto"/>
                <w:szCs w:val="21"/>
              </w:rPr>
              <w:t>https://www.gcy.zfcg.gxzf.gov.cn/</w:t>
            </w:r>
            <w:r>
              <w:rPr>
                <w:rFonts w:hint="eastAsia" w:ascii="宋体" w:hAnsi="宋体"/>
                <w:color w:val="auto"/>
                <w:szCs w:val="21"/>
                <w:lang w:eastAsia="zh-CN"/>
              </w:rPr>
              <w:t>）</w:t>
            </w:r>
            <w:r>
              <w:rPr>
                <w:rFonts w:hint="eastAsia" w:ascii="宋体" w:hAnsi="宋体" w:cs="Arial"/>
                <w:color w:val="auto"/>
                <w:szCs w:val="21"/>
              </w:rPr>
              <w:t>实行在线响应（本项目采用在线开评标方式，供应商无须前往开标现场）。</w:t>
            </w:r>
          </w:p>
        </w:tc>
      </w:tr>
      <w:tr w14:paraId="0CF9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4575F180">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20</w:t>
            </w:r>
          </w:p>
        </w:tc>
        <w:tc>
          <w:tcPr>
            <w:tcW w:w="1682" w:type="dxa"/>
            <w:vAlign w:val="center"/>
          </w:tcPr>
          <w:p w14:paraId="30DED78C">
            <w:pPr>
              <w:spacing w:line="440" w:lineRule="exact"/>
              <w:jc w:val="center"/>
              <w:rPr>
                <w:rFonts w:ascii="宋体" w:hAnsi="宋体"/>
                <w:color w:val="auto"/>
                <w:szCs w:val="21"/>
              </w:rPr>
            </w:pPr>
            <w:r>
              <w:rPr>
                <w:rFonts w:hint="eastAsia" w:ascii="宋体" w:hAnsi="宋体"/>
                <w:color w:val="auto"/>
                <w:szCs w:val="21"/>
              </w:rPr>
              <w:t>资格审查</w:t>
            </w:r>
          </w:p>
          <w:p w14:paraId="601131E7">
            <w:pPr>
              <w:spacing w:line="440" w:lineRule="exact"/>
              <w:jc w:val="center"/>
              <w:rPr>
                <w:rFonts w:ascii="宋体" w:hAnsi="宋体"/>
                <w:color w:val="auto"/>
                <w:szCs w:val="21"/>
              </w:rPr>
            </w:pPr>
            <w:r>
              <w:rPr>
                <w:rFonts w:hint="eastAsia" w:ascii="宋体" w:hAnsi="宋体"/>
                <w:color w:val="auto"/>
                <w:szCs w:val="21"/>
              </w:rPr>
              <w:t>方式</w:t>
            </w:r>
          </w:p>
        </w:tc>
        <w:tc>
          <w:tcPr>
            <w:tcW w:w="6965" w:type="dxa"/>
            <w:vAlign w:val="center"/>
          </w:tcPr>
          <w:p w14:paraId="5834E58D">
            <w:pPr>
              <w:spacing w:line="420" w:lineRule="exact"/>
              <w:rPr>
                <w:rFonts w:ascii="宋体" w:hAnsi="宋体"/>
                <w:color w:val="auto"/>
                <w:szCs w:val="21"/>
              </w:rPr>
            </w:pPr>
            <w:r>
              <w:rPr>
                <w:rFonts w:hint="eastAsia" w:ascii="宋体" w:hAnsi="宋体"/>
                <w:color w:val="auto"/>
                <w:szCs w:val="21"/>
              </w:rPr>
              <w:t>资格后审</w:t>
            </w:r>
          </w:p>
        </w:tc>
      </w:tr>
      <w:tr w14:paraId="1C59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3359E574">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21</w:t>
            </w:r>
          </w:p>
        </w:tc>
        <w:tc>
          <w:tcPr>
            <w:tcW w:w="1682" w:type="dxa"/>
            <w:vAlign w:val="center"/>
          </w:tcPr>
          <w:p w14:paraId="5C620765">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评标办法</w:t>
            </w:r>
          </w:p>
        </w:tc>
        <w:tc>
          <w:tcPr>
            <w:tcW w:w="6965" w:type="dxa"/>
            <w:vAlign w:val="center"/>
          </w:tcPr>
          <w:p w14:paraId="1D1E6B01">
            <w:pPr>
              <w:spacing w:line="420" w:lineRule="exact"/>
              <w:ind w:left="1890" w:hanging="1890" w:hangingChars="900"/>
              <w:rPr>
                <w:rFonts w:ascii="宋体" w:hAnsi="宋体" w:cs="Courier New"/>
                <w:color w:val="auto"/>
                <w:spacing w:val="2"/>
                <w:szCs w:val="21"/>
              </w:rPr>
            </w:pPr>
            <w:r>
              <w:rPr>
                <w:rFonts w:hint="eastAsia" w:ascii="宋体" w:hAnsi="宋体"/>
                <w:color w:val="auto"/>
                <w:szCs w:val="21"/>
              </w:rPr>
              <w:t>采用综合评分</w:t>
            </w:r>
            <w:r>
              <w:rPr>
                <w:rFonts w:ascii="宋体" w:hAnsi="宋体"/>
                <w:color w:val="auto"/>
                <w:szCs w:val="21"/>
              </w:rPr>
              <w:t>法</w:t>
            </w:r>
            <w:r>
              <w:rPr>
                <w:rFonts w:hint="eastAsia" w:ascii="宋体" w:hAnsi="宋体"/>
                <w:color w:val="auto"/>
                <w:szCs w:val="21"/>
              </w:rPr>
              <w:t>。</w:t>
            </w:r>
          </w:p>
        </w:tc>
      </w:tr>
      <w:tr w14:paraId="0D8B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8" w:type="dxa"/>
            <w:vAlign w:val="center"/>
          </w:tcPr>
          <w:p w14:paraId="7BC5A7FA">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22</w:t>
            </w:r>
          </w:p>
        </w:tc>
        <w:tc>
          <w:tcPr>
            <w:tcW w:w="1682" w:type="dxa"/>
            <w:vAlign w:val="center"/>
          </w:tcPr>
          <w:p w14:paraId="3BF58100">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履约保证金</w:t>
            </w:r>
          </w:p>
        </w:tc>
        <w:tc>
          <w:tcPr>
            <w:tcW w:w="6965" w:type="dxa"/>
            <w:vAlign w:val="center"/>
          </w:tcPr>
          <w:p w14:paraId="3DC98B1B">
            <w:pPr>
              <w:spacing w:line="420" w:lineRule="exact"/>
              <w:rPr>
                <w:rFonts w:ascii="宋体" w:hAnsi="宋体" w:cs="Arial"/>
                <w:color w:val="auto"/>
                <w:szCs w:val="21"/>
              </w:rPr>
            </w:pPr>
            <w:r>
              <w:rPr>
                <w:rFonts w:hint="eastAsia" w:ascii="宋体" w:hAnsi="宋体" w:cs="Arial"/>
                <w:color w:val="auto"/>
                <w:szCs w:val="21"/>
              </w:rPr>
              <w:t>本项目不收取</w:t>
            </w:r>
            <w:r>
              <w:rPr>
                <w:rFonts w:hint="eastAsia" w:ascii="宋体" w:hAnsi="宋体" w:cs="Courier New"/>
                <w:color w:val="auto"/>
                <w:spacing w:val="2"/>
                <w:szCs w:val="21"/>
              </w:rPr>
              <w:t>履约保证金。</w:t>
            </w:r>
          </w:p>
        </w:tc>
      </w:tr>
      <w:tr w14:paraId="587B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18" w:type="dxa"/>
            <w:vMerge w:val="restart"/>
            <w:vAlign w:val="center"/>
          </w:tcPr>
          <w:p w14:paraId="67B72216">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23</w:t>
            </w:r>
          </w:p>
        </w:tc>
        <w:tc>
          <w:tcPr>
            <w:tcW w:w="1682" w:type="dxa"/>
            <w:vMerge w:val="restart"/>
            <w:vAlign w:val="center"/>
          </w:tcPr>
          <w:p w14:paraId="163D6AAE">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联系人</w:t>
            </w:r>
          </w:p>
        </w:tc>
        <w:tc>
          <w:tcPr>
            <w:tcW w:w="6965" w:type="dxa"/>
            <w:vAlign w:val="center"/>
          </w:tcPr>
          <w:p w14:paraId="5070FE81">
            <w:pPr>
              <w:spacing w:line="440" w:lineRule="exact"/>
              <w:rPr>
                <w:rFonts w:ascii="宋体" w:hAnsi="宋体"/>
                <w:color w:val="auto"/>
                <w:szCs w:val="21"/>
              </w:rPr>
            </w:pPr>
            <w:r>
              <w:rPr>
                <w:rFonts w:hint="eastAsia" w:ascii="宋体" w:hAnsi="宋体"/>
                <w:color w:val="auto"/>
                <w:szCs w:val="21"/>
              </w:rPr>
              <w:t>采购联系人：</w:t>
            </w:r>
            <w:r>
              <w:rPr>
                <w:rFonts w:hint="eastAsia" w:ascii="宋体" w:hAnsi="宋体"/>
                <w:color w:val="auto"/>
                <w:szCs w:val="21"/>
                <w:lang w:eastAsia="zh-CN"/>
              </w:rPr>
              <w:t>欧</w:t>
            </w:r>
            <w:r>
              <w:rPr>
                <w:rFonts w:hint="eastAsia" w:ascii="宋体" w:hAnsi="宋体"/>
                <w:color w:val="auto"/>
                <w:szCs w:val="21"/>
              </w:rPr>
              <w:t>主任  联系电话：0771-8815910</w:t>
            </w:r>
          </w:p>
        </w:tc>
      </w:tr>
      <w:tr w14:paraId="74AA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18" w:type="dxa"/>
            <w:vMerge w:val="continue"/>
            <w:vAlign w:val="center"/>
          </w:tcPr>
          <w:p w14:paraId="59AF5650">
            <w:pPr>
              <w:spacing w:line="440" w:lineRule="exact"/>
              <w:jc w:val="center"/>
              <w:rPr>
                <w:rFonts w:ascii="宋体" w:hAnsi="宋体" w:cs="Courier New"/>
                <w:color w:val="auto"/>
                <w:spacing w:val="2"/>
                <w:szCs w:val="21"/>
              </w:rPr>
            </w:pPr>
          </w:p>
        </w:tc>
        <w:tc>
          <w:tcPr>
            <w:tcW w:w="1682" w:type="dxa"/>
            <w:vMerge w:val="continue"/>
            <w:vAlign w:val="center"/>
          </w:tcPr>
          <w:p w14:paraId="45D31A20">
            <w:pPr>
              <w:spacing w:line="440" w:lineRule="exact"/>
              <w:jc w:val="center"/>
              <w:rPr>
                <w:rFonts w:ascii="宋体" w:hAnsi="宋体" w:cs="Courier New"/>
                <w:color w:val="auto"/>
                <w:spacing w:val="2"/>
                <w:szCs w:val="21"/>
              </w:rPr>
            </w:pPr>
          </w:p>
        </w:tc>
        <w:tc>
          <w:tcPr>
            <w:tcW w:w="6965" w:type="dxa"/>
            <w:vAlign w:val="center"/>
          </w:tcPr>
          <w:p w14:paraId="16619D62">
            <w:pPr>
              <w:autoSpaceDE w:val="0"/>
              <w:spacing w:line="420" w:lineRule="exact"/>
              <w:rPr>
                <w:rFonts w:ascii="宋体" w:hAnsi="宋体"/>
                <w:color w:val="auto"/>
                <w:szCs w:val="21"/>
              </w:rPr>
            </w:pPr>
            <w:r>
              <w:rPr>
                <w:rFonts w:hint="eastAsia" w:ascii="宋体" w:hAnsi="宋体"/>
                <w:color w:val="auto"/>
                <w:szCs w:val="21"/>
              </w:rPr>
              <w:t>代理机构联系人：</w:t>
            </w:r>
            <w:r>
              <w:rPr>
                <w:rFonts w:hint="eastAsia" w:ascii="宋体" w:hAnsi="宋体"/>
                <w:color w:val="auto"/>
                <w:szCs w:val="21"/>
                <w:lang w:eastAsia="zh-CN"/>
              </w:rPr>
              <w:t>张凯</w:t>
            </w:r>
            <w:r>
              <w:rPr>
                <w:rFonts w:hint="eastAsia" w:ascii="宋体" w:hAnsi="宋体"/>
                <w:color w:val="auto"/>
                <w:szCs w:val="21"/>
                <w:lang w:val="en-US" w:eastAsia="zh-CN"/>
              </w:rPr>
              <w:t xml:space="preserve">  15977674154</w:t>
            </w:r>
            <w:r>
              <w:rPr>
                <w:rFonts w:hint="eastAsia" w:ascii="宋体" w:hAnsi="宋体" w:cs="宋体"/>
                <w:color w:val="auto"/>
                <w:szCs w:val="21"/>
                <w:lang w:val="en-US" w:eastAsia="zh-CN"/>
              </w:rPr>
              <w:t> </w:t>
            </w:r>
          </w:p>
        </w:tc>
      </w:tr>
      <w:tr w14:paraId="2DC6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Merge w:val="continue"/>
            <w:vAlign w:val="center"/>
          </w:tcPr>
          <w:p w14:paraId="386A0B84">
            <w:pPr>
              <w:spacing w:line="440" w:lineRule="exact"/>
              <w:jc w:val="center"/>
              <w:rPr>
                <w:rFonts w:ascii="宋体" w:hAnsi="宋体" w:cs="Courier New"/>
                <w:color w:val="auto"/>
                <w:spacing w:val="2"/>
                <w:szCs w:val="21"/>
              </w:rPr>
            </w:pPr>
          </w:p>
        </w:tc>
        <w:tc>
          <w:tcPr>
            <w:tcW w:w="1682" w:type="dxa"/>
            <w:vMerge w:val="continue"/>
            <w:vAlign w:val="center"/>
          </w:tcPr>
          <w:p w14:paraId="7D61CEFC">
            <w:pPr>
              <w:spacing w:line="440" w:lineRule="exact"/>
              <w:jc w:val="center"/>
              <w:rPr>
                <w:rFonts w:ascii="宋体" w:hAnsi="宋体" w:cs="Courier New"/>
                <w:color w:val="auto"/>
                <w:spacing w:val="2"/>
                <w:szCs w:val="21"/>
              </w:rPr>
            </w:pPr>
          </w:p>
        </w:tc>
        <w:tc>
          <w:tcPr>
            <w:tcW w:w="6965" w:type="dxa"/>
            <w:vAlign w:val="center"/>
          </w:tcPr>
          <w:p w14:paraId="5CAC46FF">
            <w:pPr>
              <w:spacing w:line="420" w:lineRule="exact"/>
              <w:rPr>
                <w:rFonts w:ascii="宋体" w:hAnsi="宋体"/>
                <w:color w:val="auto"/>
                <w:szCs w:val="21"/>
              </w:rPr>
            </w:pPr>
            <w:r>
              <w:rPr>
                <w:rFonts w:hint="eastAsia" w:ascii="宋体" w:hAnsi="宋体"/>
                <w:color w:val="auto"/>
                <w:szCs w:val="21"/>
              </w:rPr>
              <w:t xml:space="preserve">行政监督单位：龙州县财政局政府采购监督管理股      </w:t>
            </w:r>
          </w:p>
          <w:p w14:paraId="0A060611">
            <w:pPr>
              <w:spacing w:line="420" w:lineRule="exact"/>
              <w:rPr>
                <w:rFonts w:ascii="宋体" w:hAnsi="宋体"/>
                <w:color w:val="auto"/>
                <w:szCs w:val="21"/>
              </w:rPr>
            </w:pPr>
            <w:r>
              <w:rPr>
                <w:rFonts w:hint="eastAsia" w:ascii="宋体" w:hAnsi="宋体"/>
                <w:color w:val="auto"/>
                <w:szCs w:val="21"/>
              </w:rPr>
              <w:t>联系电话：0771-8812665</w:t>
            </w:r>
          </w:p>
        </w:tc>
      </w:tr>
      <w:tr w14:paraId="0528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77E0BFE6">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24</w:t>
            </w:r>
          </w:p>
        </w:tc>
        <w:tc>
          <w:tcPr>
            <w:tcW w:w="1682" w:type="dxa"/>
            <w:vAlign w:val="center"/>
          </w:tcPr>
          <w:p w14:paraId="22A1B31D">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其他说明</w:t>
            </w:r>
          </w:p>
        </w:tc>
        <w:tc>
          <w:tcPr>
            <w:tcW w:w="6965" w:type="dxa"/>
            <w:vAlign w:val="center"/>
          </w:tcPr>
          <w:p w14:paraId="4D4E581E">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宋体"/>
                <w:snapToGrid w:val="0"/>
                <w:color w:val="auto"/>
                <w:szCs w:val="21"/>
              </w:rPr>
            </w:pPr>
            <w:r>
              <w:rPr>
                <w:rFonts w:hint="eastAsia" w:ascii="宋体"/>
                <w:snapToGrid w:val="0"/>
                <w:color w:val="auto"/>
                <w:szCs w:val="21"/>
              </w:rPr>
              <w:t xml:space="preserve">采购人或者采购代理机构在资格审查结束前，对供应商进行信用查询。 </w:t>
            </w:r>
          </w:p>
          <w:p w14:paraId="677BDB5F">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宋体"/>
                <w:snapToGrid w:val="0"/>
                <w:color w:val="auto"/>
                <w:szCs w:val="21"/>
              </w:rPr>
            </w:pPr>
            <w:r>
              <w:rPr>
                <w:rFonts w:hint="eastAsia" w:ascii="宋体"/>
                <w:snapToGrid w:val="0"/>
                <w:color w:val="auto"/>
                <w:szCs w:val="21"/>
              </w:rPr>
              <w:t xml:space="preserve">查询渠道：“信用中国”网站(www.creditchina.gov.cn) 、中国政府采购网(www.ccgp.gov.cn)。 </w:t>
            </w:r>
          </w:p>
          <w:p w14:paraId="397AB396">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宋体"/>
                <w:snapToGrid w:val="0"/>
                <w:color w:val="auto"/>
                <w:szCs w:val="21"/>
              </w:rPr>
            </w:pPr>
            <w:r>
              <w:rPr>
                <w:rFonts w:hint="eastAsia" w:ascii="宋体"/>
                <w:snapToGrid w:val="0"/>
                <w:color w:val="auto"/>
                <w:szCs w:val="21"/>
              </w:rPr>
              <w:t xml:space="preserve">信用查询截止时间点：资格审查结束前 查询记录和证据留存方式：在查询网站中直接打印查询记录，打印材料作为评审资料保存。 </w:t>
            </w:r>
          </w:p>
          <w:p w14:paraId="31F06872">
            <w:pPr>
              <w:autoSpaceDE w:val="0"/>
              <w:autoSpaceDN w:val="0"/>
              <w:adjustRightInd w:val="0"/>
              <w:spacing w:line="420" w:lineRule="exact"/>
              <w:ind w:left="105" w:leftChars="50" w:right="-84" w:firstLine="315" w:firstLineChars="150"/>
              <w:jc w:val="left"/>
              <w:rPr>
                <w:rFonts w:ascii="宋体" w:hAnsi="宋体"/>
                <w:color w:val="auto"/>
                <w:szCs w:val="21"/>
              </w:rPr>
            </w:pPr>
            <w:r>
              <w:rPr>
                <w:rFonts w:hint="eastAsia" w:ascii="宋体"/>
                <w:snapToGrid w:val="0"/>
                <w:color w:val="auto"/>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14:paraId="6948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29CE3E7D">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25</w:t>
            </w:r>
          </w:p>
        </w:tc>
        <w:tc>
          <w:tcPr>
            <w:tcW w:w="1682" w:type="dxa"/>
            <w:vAlign w:val="center"/>
          </w:tcPr>
          <w:p w14:paraId="24450276">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采购代理</w:t>
            </w:r>
          </w:p>
          <w:p w14:paraId="699DD076">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服务费支付</w:t>
            </w:r>
          </w:p>
        </w:tc>
        <w:tc>
          <w:tcPr>
            <w:tcW w:w="6965" w:type="dxa"/>
            <w:vAlign w:val="center"/>
          </w:tcPr>
          <w:p w14:paraId="535B618D">
            <w:pPr>
              <w:spacing w:line="420" w:lineRule="exact"/>
              <w:ind w:firstLine="420" w:firstLineChars="200"/>
              <w:rPr>
                <w:rFonts w:ascii="宋体" w:hAnsi="宋体" w:cs="宋体"/>
                <w:color w:val="auto"/>
                <w:szCs w:val="21"/>
              </w:rPr>
            </w:pPr>
            <w:r>
              <w:rPr>
                <w:rFonts w:hint="eastAsia" w:ascii="宋体" w:hAnsi="宋体" w:cs="宋体"/>
                <w:color w:val="auto"/>
                <w:szCs w:val="21"/>
              </w:rPr>
              <w:t>代理服务费由成交人支付，依据国家计委《招标代理服务收费管理暂行办法》（计价格[2002]1980号）及《国家发展改革委关于降低部分建设项目收费标准规范收费行为等有关问题的通知》（发改价格[2011]534号）规定（按工程类）计取。由成交人在领取成交通知书后五个工作日内，以现金或转帐方式一次性支付给采购代理机构。</w:t>
            </w:r>
          </w:p>
          <w:p w14:paraId="34CD2A28">
            <w:pPr>
              <w:pStyle w:val="24"/>
              <w:snapToGrid w:val="0"/>
              <w:spacing w:line="320" w:lineRule="exact"/>
              <w:rPr>
                <w:rFonts w:hAnsi="宋体"/>
                <w:color w:val="auto"/>
                <w:szCs w:val="21"/>
              </w:rPr>
            </w:pPr>
            <w:r>
              <w:rPr>
                <w:rFonts w:hint="eastAsia" w:hAnsi="宋体"/>
                <w:color w:val="auto"/>
                <w:szCs w:val="21"/>
              </w:rPr>
              <w:t>采购代理服务费收款账户名称：</w:t>
            </w:r>
          </w:p>
          <w:p w14:paraId="1288539F">
            <w:pPr>
              <w:spacing w:line="420" w:lineRule="exact"/>
              <w:ind w:firstLine="420" w:firstLineChars="200"/>
              <w:rPr>
                <w:rFonts w:hint="eastAsia" w:ascii="宋体" w:hAnsi="宋体" w:cs="宋体"/>
                <w:color w:val="auto"/>
                <w:szCs w:val="21"/>
                <w:lang w:eastAsia="zh-CN"/>
              </w:rPr>
            </w:pPr>
            <w:r>
              <w:rPr>
                <w:rFonts w:hint="eastAsia" w:ascii="宋体" w:hAnsi="宋体" w:cs="宋体"/>
                <w:color w:val="auto"/>
                <w:szCs w:val="21"/>
              </w:rPr>
              <w:t>开户名称：</w:t>
            </w:r>
            <w:r>
              <w:rPr>
                <w:rFonts w:hint="eastAsia" w:ascii="宋体" w:hAnsi="宋体" w:cs="宋体"/>
                <w:color w:val="auto"/>
                <w:szCs w:val="21"/>
                <w:lang w:eastAsia="zh-CN"/>
              </w:rPr>
              <w:t>广西鑫磐工程项目管理有限责任公司</w:t>
            </w:r>
          </w:p>
          <w:p w14:paraId="3DBA0071">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开户银行：中国建设银行股份有限公司南宁淡村路支行</w:t>
            </w:r>
          </w:p>
          <w:p w14:paraId="151F365F">
            <w:pPr>
              <w:spacing w:line="420" w:lineRule="exact"/>
              <w:ind w:firstLine="420" w:firstLineChars="200"/>
              <w:rPr>
                <w:rFonts w:ascii="宋体" w:hAnsi="宋体"/>
                <w:b/>
                <w:color w:val="auto"/>
                <w:szCs w:val="21"/>
              </w:rPr>
            </w:pPr>
            <w:r>
              <w:rPr>
                <w:rFonts w:hint="eastAsia" w:ascii="宋体" w:hAnsi="宋体" w:cs="宋体"/>
                <w:color w:val="auto"/>
                <w:szCs w:val="21"/>
              </w:rPr>
              <w:t xml:space="preserve">银行账号：45001604952050501755 </w:t>
            </w:r>
          </w:p>
        </w:tc>
      </w:tr>
      <w:tr w14:paraId="63CA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3D2BB50F">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26</w:t>
            </w:r>
          </w:p>
        </w:tc>
        <w:tc>
          <w:tcPr>
            <w:tcW w:w="1682" w:type="dxa"/>
            <w:vAlign w:val="center"/>
          </w:tcPr>
          <w:p w14:paraId="7767B418">
            <w:pPr>
              <w:autoSpaceDE w:val="0"/>
              <w:autoSpaceDN w:val="0"/>
              <w:adjustRightInd w:val="0"/>
              <w:spacing w:line="440" w:lineRule="exact"/>
              <w:jc w:val="center"/>
              <w:rPr>
                <w:rFonts w:ascii="宋体" w:hAnsi="宋体" w:cs="Courier New"/>
                <w:color w:val="auto"/>
                <w:spacing w:val="2"/>
                <w:szCs w:val="21"/>
              </w:rPr>
            </w:pPr>
            <w:r>
              <w:rPr>
                <w:rFonts w:hint="eastAsia" w:ascii="宋体" w:hAnsi="宋体" w:cs="Courier New"/>
                <w:color w:val="auto"/>
                <w:spacing w:val="2"/>
                <w:szCs w:val="21"/>
              </w:rPr>
              <w:t>政府采购信息发布媒体</w:t>
            </w:r>
          </w:p>
        </w:tc>
        <w:tc>
          <w:tcPr>
            <w:tcW w:w="6965" w:type="dxa"/>
            <w:vAlign w:val="center"/>
          </w:tcPr>
          <w:p w14:paraId="7321AF48">
            <w:pPr>
              <w:spacing w:line="420" w:lineRule="exact"/>
              <w:rPr>
                <w:rFonts w:ascii="宋体" w:hAnsi="宋体"/>
                <w:color w:val="auto"/>
                <w:szCs w:val="21"/>
              </w:rPr>
            </w:pPr>
            <w:r>
              <w:rPr>
                <w:rFonts w:hint="eastAsia" w:ascii="宋体" w:hAnsi="宋体" w:cs="宋体"/>
                <w:color w:val="auto"/>
                <w:kern w:val="0"/>
                <w:szCs w:val="21"/>
              </w:rPr>
              <w:t>中国政府采购网、广西壮族自治区政府采购网、</w:t>
            </w:r>
            <w:r>
              <w:rPr>
                <w:rFonts w:hint="eastAsia" w:ascii="宋体" w:hAnsi="宋体" w:cs="Arial"/>
                <w:color w:val="auto"/>
                <w:kern w:val="0"/>
                <w:szCs w:val="21"/>
              </w:rPr>
              <w:t>全国公共资源交易平台（广西.崇左）</w:t>
            </w:r>
            <w:r>
              <w:rPr>
                <w:rFonts w:hint="eastAsia" w:ascii="宋体" w:hAnsi="宋体" w:cs="宋体"/>
                <w:color w:val="auto"/>
                <w:kern w:val="0"/>
                <w:szCs w:val="21"/>
              </w:rPr>
              <w:t>。</w:t>
            </w:r>
          </w:p>
        </w:tc>
      </w:tr>
      <w:tr w14:paraId="23FE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557B95AA">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27</w:t>
            </w:r>
          </w:p>
        </w:tc>
        <w:tc>
          <w:tcPr>
            <w:tcW w:w="1682" w:type="dxa"/>
            <w:vAlign w:val="center"/>
          </w:tcPr>
          <w:p w14:paraId="11F3D745">
            <w:pPr>
              <w:autoSpaceDE w:val="0"/>
              <w:autoSpaceDN w:val="0"/>
              <w:adjustRightInd w:val="0"/>
              <w:spacing w:line="440" w:lineRule="exact"/>
              <w:jc w:val="center"/>
              <w:rPr>
                <w:rFonts w:ascii="宋体" w:hAnsi="宋体" w:cs="Courier New"/>
                <w:b/>
                <w:color w:val="auto"/>
                <w:spacing w:val="2"/>
                <w:szCs w:val="21"/>
              </w:rPr>
            </w:pPr>
            <w:r>
              <w:rPr>
                <w:rFonts w:hint="eastAsia" w:ascii="宋体" w:hAnsi="宋体" w:cs="Courier New"/>
                <w:b/>
                <w:color w:val="auto"/>
                <w:spacing w:val="2"/>
                <w:szCs w:val="21"/>
              </w:rPr>
              <w:t>预留采购份额</w:t>
            </w:r>
          </w:p>
        </w:tc>
        <w:tc>
          <w:tcPr>
            <w:tcW w:w="6965" w:type="dxa"/>
            <w:vAlign w:val="center"/>
          </w:tcPr>
          <w:p w14:paraId="2A17941B">
            <w:pPr>
              <w:spacing w:line="400" w:lineRule="exact"/>
              <w:rPr>
                <w:rFonts w:hint="eastAsia" w:cs="宋体"/>
                <w:b/>
                <w:bCs/>
                <w:color w:val="auto"/>
                <w:szCs w:val="21"/>
                <w:lang w:val="en-US" w:bidi="zh-CN"/>
              </w:rPr>
            </w:pPr>
            <w:r>
              <w:rPr>
                <w:rFonts w:hint="eastAsia" w:cs="宋体"/>
                <w:b/>
                <w:bCs/>
                <w:color w:val="auto"/>
                <w:szCs w:val="21"/>
                <w:lang w:val="en-US" w:bidi="zh-CN"/>
              </w:rPr>
              <w:t>本项目专门面向中小企业采购（供应商为中小微企业或监狱企业或残疾人福利企业）。</w:t>
            </w:r>
          </w:p>
          <w:p w14:paraId="7BEF087A">
            <w:pPr>
              <w:spacing w:line="400" w:lineRule="exact"/>
              <w:rPr>
                <w:rFonts w:ascii="宋体" w:hAnsi="宋体" w:cs="Courier New"/>
                <w:b/>
                <w:color w:val="auto"/>
                <w:spacing w:val="2"/>
                <w:szCs w:val="21"/>
              </w:rPr>
            </w:pPr>
            <w:r>
              <w:rPr>
                <w:rFonts w:hint="eastAsia" w:ascii="宋体" w:hAnsi="宋体" w:cs="Courier New"/>
                <w:b/>
                <w:color w:val="auto"/>
                <w:spacing w:val="2"/>
                <w:szCs w:val="21"/>
              </w:rPr>
              <w:t>中小企业划分标准所属行业：建筑业。</w:t>
            </w:r>
          </w:p>
        </w:tc>
      </w:tr>
      <w:tr w14:paraId="0AEF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375E7CC0">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28</w:t>
            </w:r>
          </w:p>
        </w:tc>
        <w:tc>
          <w:tcPr>
            <w:tcW w:w="1682" w:type="dxa"/>
            <w:vAlign w:val="center"/>
          </w:tcPr>
          <w:p w14:paraId="55C6E127">
            <w:pPr>
              <w:autoSpaceDE w:val="0"/>
              <w:autoSpaceDN w:val="0"/>
              <w:adjustRightInd w:val="0"/>
              <w:spacing w:line="440" w:lineRule="exact"/>
              <w:jc w:val="center"/>
              <w:rPr>
                <w:rFonts w:ascii="宋体" w:hAnsi="宋体" w:cs="Courier New"/>
                <w:color w:val="auto"/>
                <w:spacing w:val="2"/>
                <w:szCs w:val="21"/>
              </w:rPr>
            </w:pPr>
            <w:r>
              <w:rPr>
                <w:rFonts w:hint="eastAsia" w:ascii="宋体"/>
                <w:snapToGrid w:val="0"/>
                <w:color w:val="auto"/>
                <w:szCs w:val="21"/>
              </w:rPr>
              <w:t>解释</w:t>
            </w:r>
          </w:p>
        </w:tc>
        <w:tc>
          <w:tcPr>
            <w:tcW w:w="6965" w:type="dxa"/>
            <w:vAlign w:val="center"/>
          </w:tcPr>
          <w:p w14:paraId="3CE59B83">
            <w:pPr>
              <w:widowControl/>
              <w:spacing w:line="440" w:lineRule="exact"/>
              <w:jc w:val="left"/>
              <w:rPr>
                <w:rFonts w:ascii="宋体"/>
                <w:snapToGrid w:val="0"/>
                <w:color w:val="auto"/>
                <w:szCs w:val="21"/>
              </w:rPr>
            </w:pPr>
            <w:r>
              <w:rPr>
                <w:rFonts w:hint="eastAsia" w:ascii="宋体"/>
                <w:snapToGrid w:val="0"/>
                <w:color w:val="auto"/>
                <w:szCs w:val="21"/>
              </w:rPr>
              <w:t>构成本磋商文件的各个组成文件应互为解释，互为说明；除磋商文件中有特别规定外，仅适用于招标投标阶段的规定，按更正公告（澄清公告）、磋商文件目录编排内容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0977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3800ADA4">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29</w:t>
            </w:r>
          </w:p>
        </w:tc>
        <w:tc>
          <w:tcPr>
            <w:tcW w:w="1682" w:type="dxa"/>
            <w:vAlign w:val="center"/>
          </w:tcPr>
          <w:p w14:paraId="2F1F23D4">
            <w:pPr>
              <w:autoSpaceDE w:val="0"/>
              <w:autoSpaceDN w:val="0"/>
              <w:adjustRightInd w:val="0"/>
              <w:spacing w:line="440" w:lineRule="exact"/>
              <w:jc w:val="center"/>
              <w:rPr>
                <w:rFonts w:ascii="宋体" w:hAnsi="宋体" w:cs="Courier New"/>
                <w:color w:val="auto"/>
                <w:spacing w:val="2"/>
                <w:szCs w:val="21"/>
              </w:rPr>
            </w:pPr>
            <w:r>
              <w:rPr>
                <w:rFonts w:hint="eastAsia" w:ascii="宋体"/>
                <w:snapToGrid w:val="0"/>
                <w:color w:val="auto"/>
                <w:szCs w:val="21"/>
              </w:rPr>
              <w:t>其它事项说明</w:t>
            </w:r>
          </w:p>
        </w:tc>
        <w:tc>
          <w:tcPr>
            <w:tcW w:w="6965" w:type="dxa"/>
            <w:vAlign w:val="center"/>
          </w:tcPr>
          <w:p w14:paraId="2BB939F1">
            <w:pPr>
              <w:widowControl/>
              <w:spacing w:line="440" w:lineRule="exact"/>
              <w:jc w:val="left"/>
              <w:rPr>
                <w:rFonts w:ascii="宋体"/>
                <w:snapToGrid w:val="0"/>
                <w:color w:val="auto"/>
                <w:szCs w:val="21"/>
              </w:rPr>
            </w:pPr>
            <w:r>
              <w:rPr>
                <w:rFonts w:hint="eastAsia" w:ascii="宋体"/>
                <w:snapToGrid w:val="0"/>
                <w:color w:val="auto"/>
                <w:szCs w:val="21"/>
              </w:rPr>
              <w:t xml:space="preserve">1.本磋商文件中描述供应商的“公章”是指根据我国对公章的管理规定，用供应商法定主体行为名称制作的印章，除本磋商文件有特殊规定外，供应商的财务章、部门章、分公司章、工会章、合同章、投标专用章、业务专用章及银行的转账章、现金收讫章、现金付讫章等其他形式印章均不能代替公章。 </w:t>
            </w:r>
          </w:p>
          <w:p w14:paraId="78DC1964">
            <w:pPr>
              <w:widowControl/>
              <w:spacing w:line="440" w:lineRule="exact"/>
              <w:jc w:val="left"/>
              <w:rPr>
                <w:rFonts w:ascii="宋体"/>
                <w:snapToGrid w:val="0"/>
                <w:color w:val="auto"/>
                <w:szCs w:val="21"/>
              </w:rPr>
            </w:pPr>
            <w:r>
              <w:rPr>
                <w:rFonts w:hint="eastAsia" w:ascii="宋体"/>
                <w:snapToGrid w:val="0"/>
                <w:color w:val="auto"/>
                <w:szCs w:val="21"/>
              </w:rPr>
              <w:t xml:space="preserve">2.供应商为其他组织或者自然人时，本磋商文件规定的法定代表人指负责人或者自然人。本磋商文件所称负责人是指参加磋商的其他组织营业执照上的负责人，本磋商文件所称自然人指参与磋商的自然人本人。 </w:t>
            </w:r>
          </w:p>
          <w:p w14:paraId="5EC6BAAC">
            <w:pPr>
              <w:widowControl/>
              <w:spacing w:line="440" w:lineRule="exact"/>
              <w:jc w:val="left"/>
              <w:rPr>
                <w:rFonts w:ascii="宋体"/>
                <w:snapToGrid w:val="0"/>
                <w:color w:val="auto"/>
                <w:szCs w:val="21"/>
              </w:rPr>
            </w:pPr>
            <w:r>
              <w:rPr>
                <w:rFonts w:hint="eastAsia" w:ascii="宋体"/>
                <w:snapToGrid w:val="0"/>
                <w:color w:val="auto"/>
                <w:szCs w:val="21"/>
              </w:rPr>
              <w:t xml:space="preserve">3.本磋商文件中描述供应商的“签字”是指供应商的法定代表人或者委托代理人亲自在文件规定签字处亲笔写上个人的名字的行为，私章、签字章、印鉴、影印等其他形式均不能代替亲笔签字。 </w:t>
            </w:r>
          </w:p>
          <w:p w14:paraId="7BA8A900">
            <w:pPr>
              <w:widowControl/>
              <w:spacing w:line="440" w:lineRule="exact"/>
              <w:jc w:val="left"/>
              <w:rPr>
                <w:rFonts w:ascii="宋体"/>
                <w:snapToGrid w:val="0"/>
                <w:color w:val="auto"/>
                <w:szCs w:val="21"/>
              </w:rPr>
            </w:pPr>
            <w:r>
              <w:rPr>
                <w:rFonts w:hint="eastAsia" w:ascii="宋体"/>
                <w:snapToGrid w:val="0"/>
                <w:color w:val="auto"/>
                <w:szCs w:val="21"/>
              </w:rPr>
              <w:t>4.电子响应文件中须加盖供应商公章部分均采用 CA 签章，并根据政采云平台《政府采购项目电子交易管理操作指南-供应商》及本磋商文件规定的格式和顺序编制电子响应文件并进行关联定位，以便评标委员会在评审时，点击评分项可直接定位到该评分项内容。如对磋商文件的某项要求，供应商的电子响应文件未能关联定位提供相应的内容与其对应，则评标委员会在评审时如做出对供应商不利的评审由供应商自行承担。电子响应文件如内容不完整、编排混乱导致响应文件被误读、 漏读，或者在按磋商文件规定的部位查找不到相关内容的，由供应商自行承担。</w:t>
            </w:r>
          </w:p>
          <w:p w14:paraId="1ED5D63B">
            <w:pPr>
              <w:widowControl/>
              <w:spacing w:line="440" w:lineRule="exact"/>
              <w:jc w:val="left"/>
              <w:rPr>
                <w:rFonts w:ascii="宋体"/>
                <w:snapToGrid w:val="0"/>
                <w:color w:val="auto"/>
                <w:szCs w:val="21"/>
              </w:rPr>
            </w:pPr>
            <w:r>
              <w:rPr>
                <w:rFonts w:hint="eastAsia" w:ascii="宋体"/>
                <w:snapToGrid w:val="0"/>
                <w:color w:val="auto"/>
                <w:szCs w:val="21"/>
              </w:rPr>
              <w:t xml:space="preserve">5.CA 签章上目前没有法人（负责人）或授权代表签字信息，供应商在响应文件中涉及到签字的位置线下签字后扫描上传即可。响应文件中涉及到签字的位置未按要求签字的，提供的材料视为无效。 </w:t>
            </w:r>
          </w:p>
          <w:p w14:paraId="1A672192">
            <w:pPr>
              <w:widowControl/>
              <w:spacing w:line="440" w:lineRule="exact"/>
              <w:jc w:val="left"/>
              <w:rPr>
                <w:rFonts w:ascii="宋体"/>
                <w:snapToGrid w:val="0"/>
                <w:color w:val="auto"/>
                <w:szCs w:val="21"/>
              </w:rPr>
            </w:pPr>
            <w:r>
              <w:rPr>
                <w:rFonts w:hint="eastAsia" w:ascii="宋体"/>
                <w:snapToGrid w:val="0"/>
                <w:color w:val="auto"/>
                <w:szCs w:val="21"/>
              </w:rPr>
              <w:t xml:space="preserve">6.自然人参加磋商的，磋商文件规定盖公章处由自然人摁手指指印。 </w:t>
            </w:r>
          </w:p>
          <w:p w14:paraId="4647BCA0">
            <w:pPr>
              <w:spacing w:line="420" w:lineRule="exact"/>
              <w:rPr>
                <w:rFonts w:ascii="宋体" w:hAnsi="宋体" w:cs="宋体"/>
                <w:color w:val="auto"/>
                <w:kern w:val="0"/>
                <w:szCs w:val="21"/>
              </w:rPr>
            </w:pPr>
            <w:r>
              <w:rPr>
                <w:rFonts w:hint="eastAsia" w:ascii="宋体"/>
                <w:snapToGrid w:val="0"/>
                <w:color w:val="auto"/>
                <w:szCs w:val="21"/>
              </w:rPr>
              <w:t>7.本磋商文件所称的“以上”“以下”“以内”“届满”，包括本数；所称的“不满”“超过”“以外”，不包括本数。</w:t>
            </w:r>
          </w:p>
        </w:tc>
      </w:tr>
    </w:tbl>
    <w:p w14:paraId="0FA31157">
      <w:pPr>
        <w:jc w:val="center"/>
        <w:rPr>
          <w:rFonts w:ascii="宋体" w:hAnsi="宋体"/>
          <w:b/>
          <w:color w:val="auto"/>
          <w:sz w:val="36"/>
        </w:rPr>
      </w:pPr>
      <w:r>
        <w:rPr>
          <w:rFonts w:ascii="宋体" w:hAnsi="宋体"/>
          <w:b/>
          <w:color w:val="auto"/>
          <w:sz w:val="36"/>
        </w:rPr>
        <w:br w:type="page"/>
      </w:r>
      <w:r>
        <w:rPr>
          <w:rFonts w:hint="eastAsia" w:ascii="宋体" w:hAnsi="宋体"/>
          <w:b/>
          <w:color w:val="auto"/>
          <w:sz w:val="36"/>
        </w:rPr>
        <w:t>供应商须知</w:t>
      </w:r>
    </w:p>
    <w:p w14:paraId="48CC92E4">
      <w:pPr>
        <w:pStyle w:val="3"/>
        <w:spacing w:before="0" w:after="0" w:line="460" w:lineRule="exact"/>
        <w:rPr>
          <w:rFonts w:ascii="宋体" w:hAnsi="宋体" w:eastAsia="宋体"/>
          <w:color w:val="auto"/>
          <w:sz w:val="21"/>
          <w:szCs w:val="21"/>
        </w:rPr>
      </w:pPr>
      <w:bookmarkStart w:id="13" w:name="_Toc18682803"/>
      <w:bookmarkStart w:id="14" w:name="_Toc80818615"/>
      <w:r>
        <w:rPr>
          <w:rFonts w:ascii="宋体" w:hAnsi="宋体" w:eastAsia="宋体"/>
          <w:color w:val="auto"/>
          <w:sz w:val="21"/>
          <w:szCs w:val="21"/>
        </w:rPr>
        <w:t>l.项目说明</w:t>
      </w:r>
      <w:bookmarkEnd w:id="13"/>
      <w:bookmarkEnd w:id="14"/>
    </w:p>
    <w:p w14:paraId="2CF95C58">
      <w:pPr>
        <w:spacing w:line="460" w:lineRule="exact"/>
        <w:ind w:firstLine="420" w:firstLineChars="200"/>
        <w:rPr>
          <w:rFonts w:ascii="宋体" w:hAnsi="宋体"/>
          <w:color w:val="auto"/>
          <w:szCs w:val="21"/>
          <w:u w:val="single"/>
        </w:rPr>
      </w:pPr>
      <w:r>
        <w:rPr>
          <w:rFonts w:ascii="宋体" w:hAnsi="宋体"/>
          <w:color w:val="auto"/>
          <w:szCs w:val="21"/>
        </w:rPr>
        <w:t>1.1工程综合说明</w:t>
      </w:r>
      <w:r>
        <w:rPr>
          <w:rFonts w:hint="eastAsia" w:ascii="宋体" w:hAnsi="宋体"/>
          <w:color w:val="auto"/>
          <w:szCs w:val="21"/>
        </w:rPr>
        <w:t>见磋商</w:t>
      </w:r>
      <w:r>
        <w:rPr>
          <w:rFonts w:ascii="宋体" w:hAnsi="宋体"/>
          <w:color w:val="auto"/>
          <w:szCs w:val="21"/>
        </w:rPr>
        <w:t>须知“</w:t>
      </w:r>
      <w:r>
        <w:rPr>
          <w:rFonts w:hint="eastAsia" w:ascii="宋体" w:hAnsi="宋体"/>
          <w:bCs/>
          <w:color w:val="auto"/>
          <w:szCs w:val="21"/>
        </w:rPr>
        <w:t>供应商须知前附表</w:t>
      </w:r>
      <w:r>
        <w:rPr>
          <w:rFonts w:ascii="宋体" w:hAnsi="宋体"/>
          <w:color w:val="auto"/>
          <w:szCs w:val="21"/>
        </w:rPr>
        <w:t>”</w:t>
      </w:r>
      <w:r>
        <w:rPr>
          <w:rFonts w:hint="eastAsia" w:ascii="宋体" w:hAnsi="宋体"/>
          <w:color w:val="auto"/>
          <w:szCs w:val="21"/>
        </w:rPr>
        <w:t>。</w:t>
      </w:r>
    </w:p>
    <w:p w14:paraId="309B1263">
      <w:pPr>
        <w:spacing w:line="460" w:lineRule="exact"/>
        <w:ind w:firstLine="435"/>
        <w:rPr>
          <w:rFonts w:ascii="宋体" w:hAnsi="宋体"/>
          <w:color w:val="auto"/>
          <w:szCs w:val="21"/>
        </w:rPr>
      </w:pPr>
      <w:r>
        <w:rPr>
          <w:rFonts w:ascii="宋体" w:hAnsi="宋体"/>
          <w:color w:val="auto"/>
          <w:szCs w:val="21"/>
        </w:rPr>
        <w:t>1.2 上述</w:t>
      </w:r>
      <w:r>
        <w:rPr>
          <w:rFonts w:hint="eastAsia" w:ascii="宋体" w:hAnsi="宋体"/>
          <w:color w:val="auto"/>
          <w:szCs w:val="21"/>
        </w:rPr>
        <w:t>工程</w:t>
      </w:r>
      <w:r>
        <w:rPr>
          <w:rFonts w:ascii="宋体" w:hAnsi="宋体"/>
          <w:color w:val="auto"/>
          <w:szCs w:val="21"/>
        </w:rPr>
        <w:t>按照</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w:t>
      </w:r>
      <w:r>
        <w:rPr>
          <w:rFonts w:hint="eastAsia" w:ascii="宋体" w:hAnsi="宋体"/>
          <w:color w:val="auto"/>
          <w:szCs w:val="21"/>
        </w:rPr>
        <w:t>《政府采购竞争性磋商采购方式管理暂行办法》</w:t>
      </w:r>
      <w:r>
        <w:rPr>
          <w:rFonts w:hint="eastAsia" w:ascii="宋体" w:hAnsi="宋体" w:cs="Arial"/>
          <w:color w:val="auto"/>
          <w:szCs w:val="21"/>
        </w:rPr>
        <w:t>及</w:t>
      </w:r>
      <w:r>
        <w:rPr>
          <w:rFonts w:ascii="宋体" w:hAnsi="宋体"/>
          <w:color w:val="auto"/>
          <w:szCs w:val="21"/>
        </w:rPr>
        <w:t>有关法律、法规和规章，现通过</w:t>
      </w:r>
      <w:r>
        <w:rPr>
          <w:rFonts w:hint="eastAsia" w:ascii="宋体" w:hAnsi="宋体"/>
          <w:color w:val="auto"/>
          <w:szCs w:val="21"/>
        </w:rPr>
        <w:t>磋商</w:t>
      </w:r>
      <w:r>
        <w:rPr>
          <w:rFonts w:ascii="宋体" w:hAnsi="宋体"/>
          <w:color w:val="auto"/>
          <w:szCs w:val="21"/>
        </w:rPr>
        <w:t>来择优选定施工单位。</w:t>
      </w:r>
    </w:p>
    <w:p w14:paraId="16F2A0E7">
      <w:pPr>
        <w:spacing w:line="460" w:lineRule="exact"/>
        <w:ind w:firstLine="420" w:firstLineChars="200"/>
        <w:rPr>
          <w:rFonts w:ascii="宋体" w:hAnsi="宋体"/>
          <w:color w:val="auto"/>
          <w:szCs w:val="21"/>
        </w:rPr>
      </w:pPr>
      <w:r>
        <w:rPr>
          <w:rFonts w:hint="eastAsia" w:ascii="宋体" w:hAnsi="宋体"/>
          <w:color w:val="auto"/>
          <w:szCs w:val="21"/>
        </w:rPr>
        <w:t>1.3 供应商资格要求：符合磋商须知前附表规定。</w:t>
      </w:r>
    </w:p>
    <w:p w14:paraId="29DA549F">
      <w:pPr>
        <w:spacing w:line="460" w:lineRule="exact"/>
        <w:ind w:firstLine="428" w:firstLineChars="200"/>
        <w:rPr>
          <w:rFonts w:ascii="宋体" w:hAnsi="宋体" w:cs="Courier New"/>
          <w:color w:val="auto"/>
          <w:spacing w:val="2"/>
          <w:szCs w:val="21"/>
        </w:rPr>
      </w:pPr>
      <w:r>
        <w:rPr>
          <w:rFonts w:hint="eastAsia" w:ascii="宋体" w:hAnsi="宋体" w:cs="Courier New"/>
          <w:color w:val="auto"/>
          <w:spacing w:val="2"/>
          <w:szCs w:val="21"/>
        </w:rPr>
        <w:t>1.4 本项目不接受联合体进行磋商。</w:t>
      </w:r>
    </w:p>
    <w:p w14:paraId="597253BE">
      <w:pPr>
        <w:pStyle w:val="3"/>
        <w:spacing w:before="0" w:after="0" w:line="460" w:lineRule="exact"/>
        <w:rPr>
          <w:rFonts w:ascii="宋体" w:hAnsi="宋体" w:eastAsia="宋体"/>
          <w:color w:val="auto"/>
          <w:sz w:val="21"/>
          <w:szCs w:val="21"/>
        </w:rPr>
      </w:pPr>
      <w:bookmarkStart w:id="15" w:name="_Toc346264267"/>
      <w:bookmarkStart w:id="16" w:name="_Toc80818616"/>
      <w:bookmarkStart w:id="17" w:name="_Toc18682804"/>
      <w:r>
        <w:rPr>
          <w:rFonts w:ascii="宋体" w:hAnsi="宋体" w:eastAsia="宋体"/>
          <w:color w:val="auto"/>
          <w:sz w:val="21"/>
          <w:szCs w:val="21"/>
        </w:rPr>
        <w:t>2.资金情况</w:t>
      </w:r>
      <w:bookmarkEnd w:id="15"/>
      <w:bookmarkEnd w:id="16"/>
      <w:bookmarkEnd w:id="17"/>
    </w:p>
    <w:p w14:paraId="6201A35B">
      <w:pPr>
        <w:spacing w:line="460" w:lineRule="exact"/>
        <w:ind w:firstLine="417" w:firstLineChars="195"/>
        <w:rPr>
          <w:rFonts w:ascii="宋体" w:hAnsi="宋体" w:cs="Courier New"/>
          <w:b/>
          <w:bCs/>
          <w:color w:val="auto"/>
          <w:spacing w:val="2"/>
          <w:szCs w:val="21"/>
        </w:rPr>
      </w:pPr>
      <w:r>
        <w:rPr>
          <w:rFonts w:hint="eastAsia" w:ascii="宋体" w:hAnsi="宋体" w:cs="Courier New"/>
          <w:color w:val="auto"/>
          <w:spacing w:val="2"/>
          <w:szCs w:val="21"/>
        </w:rPr>
        <w:t>2.1资金来源：</w:t>
      </w:r>
      <w:r>
        <w:rPr>
          <w:rFonts w:hint="eastAsia" w:ascii="宋体" w:hAnsi="宋体" w:cs="Courier New"/>
          <w:b/>
          <w:bCs/>
          <w:color w:val="auto"/>
          <w:spacing w:val="2"/>
          <w:szCs w:val="21"/>
        </w:rPr>
        <w:t>财政配套资金。</w:t>
      </w:r>
    </w:p>
    <w:p w14:paraId="1836A3C4">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2.2资金到位及落实情况：已落实。</w:t>
      </w:r>
    </w:p>
    <w:p w14:paraId="693D6AD6">
      <w:pPr>
        <w:pStyle w:val="3"/>
        <w:spacing w:before="0" w:after="0" w:line="460" w:lineRule="exact"/>
        <w:rPr>
          <w:rFonts w:ascii="宋体" w:hAnsi="宋体" w:eastAsia="宋体"/>
          <w:bCs w:val="0"/>
          <w:color w:val="auto"/>
          <w:sz w:val="21"/>
          <w:szCs w:val="21"/>
        </w:rPr>
      </w:pPr>
      <w:bookmarkStart w:id="18" w:name="_Toc18682805"/>
      <w:bookmarkStart w:id="19" w:name="_Toc80818617"/>
      <w:bookmarkStart w:id="20" w:name="_Toc346264268"/>
      <w:r>
        <w:rPr>
          <w:rFonts w:ascii="宋体" w:hAnsi="宋体" w:eastAsia="宋体"/>
          <w:bCs w:val="0"/>
          <w:color w:val="auto"/>
          <w:sz w:val="21"/>
          <w:szCs w:val="21"/>
        </w:rPr>
        <w:t>3.磋商费用</w:t>
      </w:r>
      <w:bookmarkEnd w:id="18"/>
      <w:bookmarkEnd w:id="19"/>
      <w:bookmarkEnd w:id="20"/>
    </w:p>
    <w:p w14:paraId="056710C7">
      <w:pPr>
        <w:pStyle w:val="19"/>
        <w:spacing w:line="460" w:lineRule="exact"/>
        <w:ind w:firstLine="409" w:firstLineChars="195"/>
        <w:rPr>
          <w:rFonts w:hAnsi="宋体"/>
          <w:color w:val="auto"/>
          <w:spacing w:val="0"/>
          <w:sz w:val="21"/>
          <w:szCs w:val="21"/>
        </w:rPr>
      </w:pPr>
      <w:r>
        <w:rPr>
          <w:rFonts w:hint="eastAsia" w:hAnsi="宋体"/>
          <w:color w:val="auto"/>
          <w:spacing w:val="0"/>
          <w:sz w:val="21"/>
          <w:szCs w:val="21"/>
        </w:rPr>
        <w:t>供应商准备和参加磋商活动所发生的一切费用自理，不管磋商结果如何，采购人及采购代理机构对上述费用不负任何责任。</w:t>
      </w:r>
    </w:p>
    <w:p w14:paraId="169F596B">
      <w:pPr>
        <w:pStyle w:val="3"/>
        <w:spacing w:before="0" w:after="0" w:line="460" w:lineRule="exact"/>
        <w:rPr>
          <w:rFonts w:ascii="宋体" w:hAnsi="宋体" w:eastAsia="宋体"/>
          <w:bCs w:val="0"/>
          <w:color w:val="auto"/>
          <w:sz w:val="21"/>
          <w:szCs w:val="21"/>
        </w:rPr>
      </w:pPr>
      <w:bookmarkStart w:id="21" w:name="_Toc346264269"/>
      <w:bookmarkStart w:id="22" w:name="_Toc18682806"/>
      <w:bookmarkStart w:id="23" w:name="_Toc80818618"/>
      <w:r>
        <w:rPr>
          <w:rFonts w:ascii="宋体" w:hAnsi="宋体" w:eastAsia="宋体"/>
          <w:bCs w:val="0"/>
          <w:color w:val="auto"/>
          <w:sz w:val="21"/>
          <w:szCs w:val="21"/>
        </w:rPr>
        <w:t>4.竞争性磋商文件</w:t>
      </w:r>
      <w:r>
        <w:rPr>
          <w:rFonts w:hint="eastAsia" w:ascii="宋体" w:hAnsi="宋体" w:eastAsia="宋体"/>
          <w:bCs w:val="0"/>
          <w:color w:val="auto"/>
          <w:sz w:val="21"/>
          <w:szCs w:val="21"/>
        </w:rPr>
        <w:t>（下文简称磋商文件）</w:t>
      </w:r>
      <w:r>
        <w:rPr>
          <w:rFonts w:ascii="宋体" w:hAnsi="宋体" w:eastAsia="宋体"/>
          <w:bCs w:val="0"/>
          <w:color w:val="auto"/>
          <w:sz w:val="21"/>
          <w:szCs w:val="21"/>
        </w:rPr>
        <w:t>的组成</w:t>
      </w:r>
      <w:bookmarkEnd w:id="21"/>
      <w:bookmarkEnd w:id="22"/>
      <w:bookmarkEnd w:id="23"/>
    </w:p>
    <w:p w14:paraId="1FECB630">
      <w:pPr>
        <w:spacing w:line="460" w:lineRule="exact"/>
        <w:ind w:firstLine="420" w:firstLineChars="200"/>
        <w:rPr>
          <w:rFonts w:ascii="宋体" w:hAnsi="宋体"/>
          <w:color w:val="auto"/>
          <w:szCs w:val="21"/>
        </w:rPr>
      </w:pPr>
      <w:r>
        <w:rPr>
          <w:rFonts w:hint="eastAsia" w:ascii="宋体" w:hAnsi="宋体"/>
          <w:color w:val="auto"/>
          <w:szCs w:val="21"/>
        </w:rPr>
        <w:t>4.1 磋商文件包括下列内容：</w:t>
      </w:r>
    </w:p>
    <w:p w14:paraId="1CAA8A98">
      <w:pPr>
        <w:spacing w:line="460" w:lineRule="exact"/>
        <w:ind w:firstLine="420" w:firstLineChars="200"/>
        <w:rPr>
          <w:rFonts w:ascii="宋体" w:hAnsi="宋体"/>
          <w:color w:val="auto"/>
          <w:szCs w:val="21"/>
        </w:rPr>
      </w:pPr>
      <w:r>
        <w:rPr>
          <w:rFonts w:hint="eastAsia" w:ascii="宋体" w:hAnsi="宋体"/>
          <w:color w:val="auto"/>
          <w:szCs w:val="21"/>
        </w:rPr>
        <w:t>第一章 竞争性磋商公告</w:t>
      </w:r>
    </w:p>
    <w:p w14:paraId="4DB97BE8">
      <w:pPr>
        <w:spacing w:line="460" w:lineRule="exact"/>
        <w:ind w:firstLine="420" w:firstLineChars="200"/>
        <w:rPr>
          <w:rFonts w:ascii="宋体" w:hAnsi="宋体"/>
          <w:color w:val="auto"/>
          <w:szCs w:val="21"/>
        </w:rPr>
      </w:pPr>
      <w:r>
        <w:rPr>
          <w:rFonts w:hint="eastAsia" w:ascii="宋体" w:hAnsi="宋体"/>
          <w:color w:val="auto"/>
          <w:szCs w:val="21"/>
        </w:rPr>
        <w:t>第二章 供应商须知及前附表</w:t>
      </w:r>
    </w:p>
    <w:p w14:paraId="6483F90F">
      <w:pPr>
        <w:spacing w:line="460" w:lineRule="exact"/>
        <w:ind w:firstLine="420" w:firstLineChars="200"/>
        <w:rPr>
          <w:rFonts w:ascii="宋体" w:hAnsi="宋体"/>
          <w:color w:val="auto"/>
          <w:szCs w:val="21"/>
        </w:rPr>
      </w:pPr>
      <w:r>
        <w:rPr>
          <w:rFonts w:hint="eastAsia" w:ascii="宋体" w:hAnsi="宋体"/>
          <w:color w:val="auto"/>
          <w:szCs w:val="21"/>
        </w:rPr>
        <w:t>第三章 合同格式</w:t>
      </w:r>
    </w:p>
    <w:p w14:paraId="29CB87E0">
      <w:pPr>
        <w:spacing w:line="460" w:lineRule="exact"/>
        <w:ind w:firstLine="420" w:firstLineChars="200"/>
        <w:rPr>
          <w:rFonts w:ascii="宋体" w:hAnsi="宋体"/>
          <w:color w:val="auto"/>
          <w:szCs w:val="21"/>
        </w:rPr>
      </w:pPr>
      <w:r>
        <w:rPr>
          <w:rFonts w:hint="eastAsia" w:ascii="宋体" w:hAnsi="宋体"/>
          <w:color w:val="auto"/>
          <w:szCs w:val="21"/>
        </w:rPr>
        <w:t>第四章 图纸</w:t>
      </w:r>
    </w:p>
    <w:p w14:paraId="007A037A">
      <w:pPr>
        <w:spacing w:line="460" w:lineRule="exact"/>
        <w:ind w:firstLine="420" w:firstLineChars="200"/>
        <w:rPr>
          <w:rFonts w:ascii="宋体" w:hAnsi="宋体"/>
          <w:color w:val="auto"/>
          <w:szCs w:val="21"/>
        </w:rPr>
      </w:pPr>
      <w:r>
        <w:rPr>
          <w:rFonts w:hint="eastAsia" w:ascii="宋体" w:hAnsi="宋体"/>
          <w:color w:val="auto"/>
          <w:szCs w:val="21"/>
        </w:rPr>
        <w:t>第五章 技术规范</w:t>
      </w:r>
    </w:p>
    <w:p w14:paraId="32F9D8CD">
      <w:pPr>
        <w:spacing w:line="460" w:lineRule="exact"/>
        <w:ind w:firstLine="420" w:firstLineChars="200"/>
        <w:rPr>
          <w:rFonts w:ascii="宋体" w:hAnsi="宋体"/>
          <w:color w:val="auto"/>
          <w:szCs w:val="21"/>
        </w:rPr>
      </w:pPr>
      <w:r>
        <w:rPr>
          <w:rFonts w:hint="eastAsia" w:ascii="宋体" w:hAnsi="宋体"/>
          <w:color w:val="auto"/>
          <w:szCs w:val="21"/>
        </w:rPr>
        <w:t>第六章 工程量清单</w:t>
      </w:r>
    </w:p>
    <w:p w14:paraId="5ED9DC0B">
      <w:pPr>
        <w:spacing w:line="460" w:lineRule="exact"/>
        <w:ind w:firstLine="420" w:firstLineChars="200"/>
        <w:rPr>
          <w:rFonts w:ascii="宋体" w:hAnsi="宋体"/>
          <w:color w:val="auto"/>
          <w:szCs w:val="21"/>
        </w:rPr>
      </w:pPr>
      <w:r>
        <w:rPr>
          <w:rFonts w:hint="eastAsia" w:ascii="宋体" w:hAnsi="宋体"/>
          <w:color w:val="auto"/>
          <w:szCs w:val="21"/>
        </w:rPr>
        <w:t>第七章 响应文件格式</w:t>
      </w:r>
    </w:p>
    <w:p w14:paraId="4B948529">
      <w:pPr>
        <w:spacing w:line="460" w:lineRule="exact"/>
        <w:ind w:firstLine="420" w:firstLineChars="200"/>
        <w:rPr>
          <w:rFonts w:ascii="宋体" w:hAnsi="宋体"/>
          <w:color w:val="auto"/>
          <w:szCs w:val="21"/>
        </w:rPr>
      </w:pPr>
      <w:r>
        <w:rPr>
          <w:rFonts w:hint="eastAsia" w:ascii="宋体" w:hAnsi="宋体"/>
          <w:color w:val="auto"/>
          <w:szCs w:val="21"/>
        </w:rPr>
        <w:t>第八章 评标办法</w:t>
      </w:r>
    </w:p>
    <w:p w14:paraId="67CDA0D9">
      <w:pPr>
        <w:spacing w:line="460" w:lineRule="exact"/>
        <w:ind w:firstLine="420" w:firstLineChars="200"/>
        <w:rPr>
          <w:rFonts w:ascii="宋体" w:hAnsi="宋体"/>
          <w:color w:val="auto"/>
          <w:szCs w:val="21"/>
        </w:rPr>
      </w:pPr>
      <w:r>
        <w:rPr>
          <w:rFonts w:hint="eastAsia" w:ascii="宋体" w:hAnsi="宋体"/>
          <w:color w:val="auto"/>
          <w:szCs w:val="21"/>
        </w:rPr>
        <w:t>根据本章第5条、第6条对磋商文件所作的澄清、修改，构成磋商文件的组成部分。</w:t>
      </w:r>
    </w:p>
    <w:p w14:paraId="05FFAFEB">
      <w:pPr>
        <w:spacing w:line="460" w:lineRule="exact"/>
        <w:ind w:firstLine="428" w:firstLineChars="200"/>
        <w:rPr>
          <w:rFonts w:ascii="宋体" w:hAnsi="宋体" w:cs="Courier New"/>
          <w:color w:val="auto"/>
          <w:spacing w:val="2"/>
          <w:szCs w:val="21"/>
        </w:rPr>
      </w:pPr>
      <w:r>
        <w:rPr>
          <w:rFonts w:hint="eastAsia" w:ascii="宋体" w:hAnsi="宋体" w:cs="Courier New"/>
          <w:color w:val="auto"/>
          <w:spacing w:val="2"/>
          <w:szCs w:val="21"/>
        </w:rPr>
        <w:t>4.2供应商应认真审阅磋商文件中所有的磋商须知、合同格式、技术规范和图纸。如果供应商编制的响应文件不符合磋商文件的要求，或实质上不响应磋商文件要求，其响应文件将被采购人拒绝。</w:t>
      </w:r>
    </w:p>
    <w:p w14:paraId="4B1B2BAC">
      <w:pPr>
        <w:pStyle w:val="3"/>
        <w:spacing w:before="0" w:after="0" w:line="460" w:lineRule="exact"/>
        <w:rPr>
          <w:rFonts w:ascii="宋体" w:hAnsi="宋体" w:eastAsia="宋体"/>
          <w:color w:val="auto"/>
          <w:sz w:val="21"/>
          <w:szCs w:val="21"/>
        </w:rPr>
      </w:pPr>
      <w:bookmarkStart w:id="24" w:name="_Toc346264270"/>
      <w:bookmarkStart w:id="25" w:name="_Toc18682807"/>
      <w:bookmarkStart w:id="26" w:name="_Toc80818619"/>
      <w:r>
        <w:rPr>
          <w:rFonts w:ascii="宋体" w:hAnsi="宋体" w:eastAsia="宋体"/>
          <w:color w:val="auto"/>
          <w:sz w:val="21"/>
          <w:szCs w:val="21"/>
        </w:rPr>
        <w:t>5.磋商文件的</w:t>
      </w:r>
      <w:bookmarkEnd w:id="24"/>
      <w:bookmarkEnd w:id="25"/>
      <w:r>
        <w:rPr>
          <w:rFonts w:hint="eastAsia" w:ascii="宋体" w:hAnsi="宋体" w:cs="Courier New"/>
          <w:color w:val="auto"/>
          <w:spacing w:val="2"/>
          <w:sz w:val="21"/>
          <w:szCs w:val="21"/>
        </w:rPr>
        <w:t>澄清</w:t>
      </w:r>
      <w:bookmarkEnd w:id="26"/>
    </w:p>
    <w:p w14:paraId="3F72F688">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5.1供应商在收到</w:t>
      </w:r>
      <w:r>
        <w:rPr>
          <w:rFonts w:ascii="宋体" w:hAnsi="宋体" w:cs="Courier New"/>
          <w:color w:val="auto"/>
          <w:spacing w:val="2"/>
          <w:szCs w:val="21"/>
        </w:rPr>
        <w:t>采购</w:t>
      </w:r>
      <w:r>
        <w:rPr>
          <w:rFonts w:hint="eastAsia" w:ascii="宋体" w:hAnsi="宋体" w:cs="Courier New"/>
          <w:color w:val="auto"/>
          <w:spacing w:val="2"/>
          <w:szCs w:val="21"/>
        </w:rPr>
        <w:t>文件后，若有问题需要澄清，须以书面形式（包括书面文字、传真、电报等，下同）向采购代理机构提出，采购代理机构将以书面形式予以解答，答复将以书面形式通知所有获得采购文件的供应商。</w:t>
      </w:r>
    </w:p>
    <w:p w14:paraId="44555C53">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5.2</w:t>
      </w:r>
      <w:r>
        <w:rPr>
          <w:rFonts w:ascii="宋体" w:hAnsi="宋体" w:cs="Courier New"/>
          <w:color w:val="auto"/>
          <w:spacing w:val="2"/>
          <w:szCs w:val="21"/>
        </w:rPr>
        <w:t>提交首次响应文件截止之日前，采购人、采购代理机构或者磋商小组可以对已发出的磋商文件进行必要的澄清，澄清的内容作为磋商文件的组成部分。澄清的内容可能影响响应文件编制的，采购人、采购代理机构应当在提交首次响应文件截止时间至少5日前，以书面形式通知所有获取磋商文件的供应商</w:t>
      </w:r>
      <w:r>
        <w:rPr>
          <w:rFonts w:hint="eastAsia" w:ascii="宋体" w:hAnsi="宋体" w:cs="Courier New"/>
          <w:color w:val="auto"/>
          <w:spacing w:val="2"/>
          <w:szCs w:val="21"/>
        </w:rPr>
        <w:t>；</w:t>
      </w:r>
      <w:r>
        <w:rPr>
          <w:rFonts w:ascii="宋体" w:hAnsi="宋体" w:cs="Courier New"/>
          <w:color w:val="auto"/>
          <w:spacing w:val="2"/>
          <w:szCs w:val="21"/>
        </w:rPr>
        <w:t>不足5日的，采购人、采购代理机构应当顺延提交首次响应文件截止时间。</w:t>
      </w:r>
    </w:p>
    <w:p w14:paraId="6A1771C6">
      <w:pPr>
        <w:pStyle w:val="3"/>
        <w:spacing w:before="0" w:after="0" w:line="460" w:lineRule="exact"/>
        <w:rPr>
          <w:rFonts w:ascii="宋体" w:hAnsi="宋体" w:eastAsia="宋体"/>
          <w:color w:val="auto"/>
          <w:sz w:val="21"/>
          <w:szCs w:val="21"/>
        </w:rPr>
      </w:pPr>
      <w:bookmarkStart w:id="27" w:name="_Toc80818620"/>
      <w:bookmarkStart w:id="28" w:name="_Toc18682808"/>
      <w:bookmarkStart w:id="29" w:name="_Toc346264271"/>
      <w:r>
        <w:rPr>
          <w:rFonts w:ascii="宋体" w:hAnsi="宋体" w:eastAsia="宋体"/>
          <w:color w:val="auto"/>
          <w:sz w:val="21"/>
          <w:szCs w:val="21"/>
        </w:rPr>
        <w:t>6.磋商文件的修改</w:t>
      </w:r>
      <w:bookmarkEnd w:id="27"/>
      <w:bookmarkEnd w:id="28"/>
      <w:bookmarkEnd w:id="29"/>
    </w:p>
    <w:p w14:paraId="34BDF38E">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6</w:t>
      </w:r>
      <w:r>
        <w:rPr>
          <w:rFonts w:ascii="宋体" w:hAnsi="宋体" w:cs="Courier New"/>
          <w:color w:val="auto"/>
          <w:spacing w:val="2"/>
          <w:szCs w:val="21"/>
        </w:rPr>
        <w:t>.</w:t>
      </w:r>
      <w:r>
        <w:rPr>
          <w:rFonts w:hint="eastAsia" w:ascii="宋体" w:hAnsi="宋体" w:cs="Courier New"/>
          <w:color w:val="auto"/>
          <w:spacing w:val="2"/>
          <w:szCs w:val="21"/>
        </w:rPr>
        <w:t>1 在磋商截止日期前，采购代理机构可以补充通知的方式对磋商文件进行修改，这种修改可能是采购人作出的也可能是为了解答供应商要求澄清的问题。</w:t>
      </w:r>
    </w:p>
    <w:p w14:paraId="33FA1367">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6.2 为使供应商有充足的时间对磋商文件全部作出响应，并编出有质量的响应文件，采购人必须在响应文件递交截止日期5日前，将补充通知以书面形式通知</w:t>
      </w:r>
      <w:r>
        <w:rPr>
          <w:rFonts w:hint="eastAsia" w:hAnsi="宋体"/>
          <w:bCs/>
          <w:color w:val="auto"/>
          <w:szCs w:val="21"/>
        </w:rPr>
        <w:t>在财政部门指定的政府采购信息发布媒体网站上发布，</w:t>
      </w:r>
      <w:r>
        <w:rPr>
          <w:rFonts w:hint="eastAsia" w:ascii="宋体" w:hAnsi="宋体" w:cs="Courier New"/>
          <w:color w:val="auto"/>
          <w:spacing w:val="2"/>
          <w:szCs w:val="21"/>
        </w:rPr>
        <w:t>并以书面形式通知所有获得磋商文件的供应商，</w:t>
      </w:r>
      <w:r>
        <w:rPr>
          <w:rFonts w:ascii="宋体" w:hAnsi="宋体" w:cs="Courier New"/>
          <w:color w:val="auto"/>
          <w:spacing w:val="2"/>
          <w:szCs w:val="21"/>
        </w:rPr>
        <w:t>不足5日的，采购人、采购代理机构应当顺延提交首次响应文件截止时间。</w:t>
      </w:r>
      <w:r>
        <w:rPr>
          <w:rFonts w:hint="eastAsia" w:ascii="宋体" w:hAnsi="宋体" w:cs="Courier New"/>
          <w:color w:val="auto"/>
          <w:spacing w:val="2"/>
          <w:szCs w:val="21"/>
        </w:rPr>
        <w:t>补充通知作为采购文件的组成部分，对供应商起约束作用。</w:t>
      </w:r>
    </w:p>
    <w:p w14:paraId="7BAABD1A">
      <w:pPr>
        <w:pStyle w:val="3"/>
        <w:spacing w:before="0" w:after="0" w:line="460" w:lineRule="exact"/>
        <w:rPr>
          <w:rFonts w:ascii="宋体" w:hAnsi="宋体" w:eastAsia="宋体"/>
          <w:color w:val="auto"/>
          <w:sz w:val="21"/>
          <w:szCs w:val="21"/>
        </w:rPr>
      </w:pPr>
      <w:bookmarkStart w:id="30" w:name="_Toc239659099"/>
      <w:bookmarkStart w:id="31" w:name="_Toc174353362"/>
      <w:bookmarkStart w:id="32" w:name="_Toc346264272"/>
      <w:bookmarkStart w:id="33" w:name="_Toc80818621"/>
      <w:bookmarkStart w:id="34" w:name="_Toc18682809"/>
      <w:r>
        <w:rPr>
          <w:rFonts w:ascii="宋体" w:hAnsi="宋体" w:eastAsia="宋体"/>
          <w:color w:val="auto"/>
          <w:sz w:val="21"/>
          <w:szCs w:val="21"/>
        </w:rPr>
        <w:t>7.磋商报价</w:t>
      </w:r>
      <w:bookmarkEnd w:id="30"/>
      <w:bookmarkEnd w:id="31"/>
      <w:r>
        <w:rPr>
          <w:rFonts w:ascii="宋体" w:hAnsi="宋体" w:eastAsia="宋体"/>
          <w:color w:val="auto"/>
          <w:sz w:val="21"/>
          <w:szCs w:val="21"/>
        </w:rPr>
        <w:t>及</w:t>
      </w:r>
      <w:bookmarkEnd w:id="32"/>
      <w:r>
        <w:rPr>
          <w:rFonts w:hint="eastAsia" w:ascii="宋体" w:hAnsi="宋体" w:eastAsia="宋体"/>
          <w:color w:val="auto"/>
          <w:sz w:val="21"/>
          <w:szCs w:val="21"/>
        </w:rPr>
        <w:t>采购</w:t>
      </w:r>
      <w:bookmarkEnd w:id="33"/>
      <w:bookmarkEnd w:id="34"/>
      <w:r>
        <w:rPr>
          <w:rFonts w:hint="eastAsia" w:ascii="宋体" w:hAnsi="宋体" w:eastAsia="宋体"/>
          <w:color w:val="auto"/>
          <w:sz w:val="21"/>
          <w:szCs w:val="21"/>
        </w:rPr>
        <w:t>预算金额</w:t>
      </w:r>
    </w:p>
    <w:p w14:paraId="3628299D">
      <w:pPr>
        <w:adjustRightInd w:val="0"/>
        <w:spacing w:line="460" w:lineRule="exact"/>
        <w:ind w:firstLine="420" w:firstLineChars="200"/>
        <w:rPr>
          <w:rFonts w:ascii="宋体" w:hAnsi="宋体"/>
          <w:color w:val="auto"/>
          <w:szCs w:val="21"/>
        </w:rPr>
      </w:pPr>
      <w:r>
        <w:rPr>
          <w:rFonts w:hint="eastAsia" w:ascii="宋体" w:hAnsi="宋体"/>
          <w:color w:val="auto"/>
          <w:szCs w:val="21"/>
        </w:rPr>
        <w:t>7.1 供应商应按第六章“工程量清单”的要求填写相应表格。</w:t>
      </w:r>
    </w:p>
    <w:p w14:paraId="516C37BF">
      <w:pPr>
        <w:adjustRightInd w:val="0"/>
        <w:spacing w:line="460" w:lineRule="exact"/>
        <w:ind w:firstLine="420" w:firstLineChars="200"/>
        <w:rPr>
          <w:rFonts w:ascii="宋体" w:hAnsi="宋体"/>
          <w:color w:val="auto"/>
          <w:szCs w:val="21"/>
        </w:rPr>
      </w:pPr>
      <w:r>
        <w:rPr>
          <w:rFonts w:hint="eastAsia" w:ascii="宋体" w:hAnsi="宋体"/>
          <w:color w:val="auto"/>
          <w:szCs w:val="21"/>
        </w:rPr>
        <w:t>7.2 供应商在磋商截止时间前修改磋商函中的磋商总报价，应同时修改第六章“工程量清单”中的相应报价。此修改须符合本章第16款的有关要求。</w:t>
      </w:r>
    </w:p>
    <w:p w14:paraId="49C9669F">
      <w:pPr>
        <w:spacing w:line="420" w:lineRule="exact"/>
        <w:ind w:firstLine="420" w:firstLineChars="200"/>
        <w:jc w:val="left"/>
        <w:rPr>
          <w:rFonts w:ascii="宋体" w:hAnsi="宋体"/>
          <w:b/>
          <w:bCs/>
          <w:color w:val="auto"/>
          <w:szCs w:val="21"/>
        </w:rPr>
      </w:pPr>
      <w:bookmarkStart w:id="35" w:name="_Hlk87630946"/>
      <w:r>
        <w:rPr>
          <w:rFonts w:hint="eastAsia" w:ascii="宋体" w:hAnsi="宋体"/>
          <w:color w:val="auto"/>
          <w:szCs w:val="21"/>
        </w:rPr>
        <w:t xml:space="preserve">7.3 </w:t>
      </w:r>
      <w:r>
        <w:rPr>
          <w:rFonts w:hint="eastAsia" w:ascii="宋体" w:hAnsi="宋体"/>
          <w:b/>
          <w:bCs/>
          <w:color w:val="auto"/>
          <w:szCs w:val="21"/>
        </w:rPr>
        <w:t>本项目采购预算金额为：详见前附表内容。</w:t>
      </w:r>
    </w:p>
    <w:p w14:paraId="25382059">
      <w:pPr>
        <w:spacing w:line="420" w:lineRule="exact"/>
        <w:ind w:firstLine="420" w:firstLineChars="200"/>
        <w:jc w:val="left"/>
        <w:rPr>
          <w:rFonts w:ascii="宋体" w:hAnsi="宋体"/>
          <w:b/>
          <w:color w:val="auto"/>
          <w:szCs w:val="21"/>
        </w:rPr>
      </w:pPr>
      <w:r>
        <w:rPr>
          <w:rFonts w:hint="eastAsia" w:ascii="宋体" w:hAnsi="宋体"/>
          <w:color w:val="auto"/>
          <w:szCs w:val="21"/>
        </w:rPr>
        <w:t>本采购项目的有效磋商报价范围为：</w:t>
      </w:r>
      <w:r>
        <w:rPr>
          <w:rFonts w:hint="eastAsia" w:ascii="宋体" w:hAnsi="宋体" w:cs="Courier New"/>
          <w:b/>
          <w:color w:val="auto"/>
          <w:spacing w:val="2"/>
          <w:szCs w:val="21"/>
        </w:rPr>
        <w:t>供应商的最终磋商报价不能高于本项目的采购预算金额。</w:t>
      </w:r>
    </w:p>
    <w:bookmarkEnd w:id="35"/>
    <w:p w14:paraId="09DCED0E">
      <w:pPr>
        <w:spacing w:line="460" w:lineRule="exact"/>
        <w:ind w:firstLine="420" w:firstLineChars="200"/>
        <w:rPr>
          <w:rFonts w:ascii="宋体" w:hAnsi="宋体"/>
          <w:color w:val="auto"/>
          <w:szCs w:val="21"/>
        </w:rPr>
      </w:pPr>
      <w:r>
        <w:rPr>
          <w:rFonts w:hint="eastAsia" w:ascii="宋体" w:hAnsi="宋体"/>
          <w:color w:val="auto"/>
          <w:szCs w:val="21"/>
        </w:rPr>
        <w:t>7.4进行磋商报价，其优惠应直接体现在各项磋商报价的单价中，磋商函中供应商不得采用总价优惠、总价百分比优惠或以报价调整函的方式的报价必须与工程量清单汇总表一致，否则作无效标处理。</w:t>
      </w:r>
    </w:p>
    <w:p w14:paraId="6318B9BA">
      <w:pPr>
        <w:spacing w:line="460" w:lineRule="exact"/>
        <w:rPr>
          <w:rFonts w:ascii="宋体" w:hAnsi="宋体"/>
          <w:color w:val="auto"/>
          <w:szCs w:val="21"/>
        </w:rPr>
      </w:pPr>
      <w:r>
        <w:rPr>
          <w:rFonts w:ascii="宋体" w:hAnsi="宋体"/>
          <w:color w:val="auto"/>
          <w:szCs w:val="21"/>
        </w:rPr>
        <w:t xml:space="preserve">    7.</w:t>
      </w:r>
      <w:r>
        <w:rPr>
          <w:rFonts w:hint="eastAsia" w:ascii="宋体" w:hAnsi="宋体"/>
          <w:color w:val="auto"/>
          <w:szCs w:val="21"/>
        </w:rPr>
        <w:t>5</w:t>
      </w:r>
      <w:r>
        <w:rPr>
          <w:rFonts w:ascii="宋体" w:hAnsi="宋体"/>
          <w:color w:val="auto"/>
          <w:szCs w:val="21"/>
        </w:rPr>
        <w:t>磋商货币</w:t>
      </w:r>
    </w:p>
    <w:p w14:paraId="618DD911">
      <w:pPr>
        <w:spacing w:line="460" w:lineRule="exact"/>
        <w:ind w:firstLine="420" w:firstLineChars="200"/>
        <w:rPr>
          <w:rFonts w:ascii="宋体" w:hAnsi="宋体"/>
          <w:color w:val="auto"/>
          <w:szCs w:val="21"/>
        </w:rPr>
      </w:pPr>
      <w:r>
        <w:rPr>
          <w:rFonts w:hint="eastAsia" w:ascii="宋体" w:hAnsi="宋体"/>
          <w:color w:val="auto"/>
          <w:szCs w:val="21"/>
        </w:rPr>
        <w:t>响应文件</w:t>
      </w:r>
      <w:r>
        <w:rPr>
          <w:rFonts w:ascii="宋体" w:hAnsi="宋体"/>
          <w:color w:val="auto"/>
          <w:szCs w:val="21"/>
        </w:rPr>
        <w:t>报价中的单价和合价全部采用人民币表示。</w:t>
      </w:r>
    </w:p>
    <w:p w14:paraId="169C12E4">
      <w:pPr>
        <w:pStyle w:val="3"/>
        <w:spacing w:before="0" w:after="0" w:line="460" w:lineRule="exact"/>
        <w:rPr>
          <w:rFonts w:ascii="宋体" w:hAnsi="宋体" w:eastAsia="宋体"/>
          <w:color w:val="auto"/>
          <w:sz w:val="21"/>
          <w:szCs w:val="21"/>
        </w:rPr>
      </w:pPr>
      <w:bookmarkStart w:id="36" w:name="_Toc18682810"/>
      <w:bookmarkStart w:id="37" w:name="_Toc346264273"/>
      <w:bookmarkStart w:id="38" w:name="_Toc239659100"/>
      <w:bookmarkStart w:id="39" w:name="_Toc80818622"/>
      <w:r>
        <w:rPr>
          <w:rFonts w:ascii="宋体" w:hAnsi="宋体" w:eastAsia="宋体"/>
          <w:color w:val="auto"/>
          <w:sz w:val="21"/>
          <w:szCs w:val="21"/>
        </w:rPr>
        <w:t>8.</w:t>
      </w:r>
      <w:r>
        <w:rPr>
          <w:rFonts w:hint="eastAsia" w:ascii="宋体" w:hAnsi="宋体" w:eastAsia="宋体"/>
          <w:color w:val="auto"/>
          <w:sz w:val="21"/>
          <w:szCs w:val="21"/>
        </w:rPr>
        <w:t>响应文件</w:t>
      </w:r>
      <w:r>
        <w:rPr>
          <w:rFonts w:ascii="宋体" w:hAnsi="宋体" w:eastAsia="宋体"/>
          <w:color w:val="auto"/>
          <w:sz w:val="21"/>
          <w:szCs w:val="21"/>
        </w:rPr>
        <w:t>的语言</w:t>
      </w:r>
      <w:bookmarkEnd w:id="36"/>
      <w:bookmarkEnd w:id="37"/>
      <w:bookmarkEnd w:id="38"/>
      <w:bookmarkEnd w:id="39"/>
    </w:p>
    <w:p w14:paraId="7223D34E">
      <w:pPr>
        <w:spacing w:line="460" w:lineRule="exact"/>
        <w:ind w:firstLine="435"/>
        <w:rPr>
          <w:rFonts w:ascii="宋体" w:hAnsi="宋体"/>
          <w:color w:val="auto"/>
          <w:szCs w:val="21"/>
        </w:rPr>
      </w:pPr>
      <w:r>
        <w:rPr>
          <w:rFonts w:hint="eastAsia" w:ascii="宋体" w:hAnsi="宋体"/>
          <w:color w:val="auto"/>
          <w:szCs w:val="21"/>
        </w:rPr>
        <w:t>响应文件</w:t>
      </w:r>
      <w:r>
        <w:rPr>
          <w:rFonts w:ascii="宋体" w:hAnsi="宋体"/>
          <w:color w:val="auto"/>
          <w:szCs w:val="21"/>
        </w:rPr>
        <w:t>及</w:t>
      </w:r>
      <w:r>
        <w:rPr>
          <w:rFonts w:hint="eastAsia" w:ascii="宋体" w:hAnsi="宋体"/>
          <w:color w:val="auto"/>
          <w:szCs w:val="21"/>
        </w:rPr>
        <w:t>供应商</w:t>
      </w:r>
      <w:r>
        <w:rPr>
          <w:rFonts w:ascii="宋体" w:hAnsi="宋体"/>
          <w:color w:val="auto"/>
          <w:szCs w:val="21"/>
        </w:rPr>
        <w:t>与采购人之间与磋商有关的来往通知、函件和文件均应使用中文。</w:t>
      </w:r>
    </w:p>
    <w:p w14:paraId="5BD60625">
      <w:pPr>
        <w:pStyle w:val="3"/>
        <w:spacing w:before="0" w:after="0" w:line="460" w:lineRule="exact"/>
        <w:rPr>
          <w:rFonts w:ascii="宋体" w:hAnsi="宋体" w:eastAsia="宋体"/>
          <w:color w:val="auto"/>
          <w:sz w:val="21"/>
          <w:szCs w:val="21"/>
        </w:rPr>
      </w:pPr>
      <w:bookmarkStart w:id="40" w:name="_Toc80818623"/>
      <w:bookmarkStart w:id="41" w:name="_Toc239659101"/>
      <w:bookmarkStart w:id="42" w:name="_Toc346264274"/>
      <w:bookmarkStart w:id="43" w:name="_Toc18682811"/>
      <w:r>
        <w:rPr>
          <w:rFonts w:ascii="宋体" w:hAnsi="宋体" w:eastAsia="宋体"/>
          <w:color w:val="auto"/>
          <w:sz w:val="21"/>
          <w:szCs w:val="21"/>
        </w:rPr>
        <w:t>9.</w:t>
      </w:r>
      <w:r>
        <w:rPr>
          <w:rFonts w:hint="eastAsia" w:ascii="宋体" w:hAnsi="宋体" w:eastAsia="宋体"/>
          <w:color w:val="auto"/>
          <w:sz w:val="21"/>
          <w:szCs w:val="21"/>
        </w:rPr>
        <w:t>响应文件</w:t>
      </w:r>
      <w:r>
        <w:rPr>
          <w:rFonts w:ascii="宋体" w:hAnsi="宋体" w:eastAsia="宋体"/>
          <w:color w:val="auto"/>
          <w:sz w:val="21"/>
          <w:szCs w:val="21"/>
        </w:rPr>
        <w:t>的组成</w:t>
      </w:r>
      <w:bookmarkEnd w:id="40"/>
      <w:bookmarkEnd w:id="41"/>
      <w:bookmarkEnd w:id="42"/>
      <w:bookmarkEnd w:id="43"/>
    </w:p>
    <w:p w14:paraId="26E459C4">
      <w:pPr>
        <w:pStyle w:val="24"/>
        <w:adjustRightInd w:val="0"/>
        <w:snapToGrid w:val="0"/>
        <w:spacing w:line="500" w:lineRule="exact"/>
        <w:ind w:firstLine="411" w:firstLineChars="196"/>
        <w:jc w:val="left"/>
        <w:rPr>
          <w:rFonts w:hAnsi="宋体"/>
          <w:color w:val="auto"/>
          <w:szCs w:val="21"/>
        </w:rPr>
      </w:pPr>
      <w:bookmarkStart w:id="44" w:name="_Hlk86744397"/>
      <w:r>
        <w:rPr>
          <w:rFonts w:hAnsi="宋体"/>
          <w:color w:val="auto"/>
          <w:szCs w:val="21"/>
        </w:rPr>
        <w:t xml:space="preserve">9.1 </w:t>
      </w:r>
      <w:r>
        <w:rPr>
          <w:rFonts w:hint="eastAsia" w:hAnsi="宋体"/>
          <w:color w:val="auto"/>
          <w:szCs w:val="21"/>
        </w:rPr>
        <w:t>响应文件包括</w:t>
      </w:r>
      <w:r>
        <w:rPr>
          <w:rFonts w:hAnsi="宋体"/>
          <w:color w:val="auto"/>
          <w:szCs w:val="21"/>
        </w:rPr>
        <w:t>资格</w:t>
      </w:r>
      <w:r>
        <w:rPr>
          <w:rFonts w:hint="eastAsia" w:hAnsi="宋体"/>
          <w:color w:val="auto"/>
          <w:szCs w:val="21"/>
        </w:rPr>
        <w:t>文件</w:t>
      </w:r>
      <w:r>
        <w:rPr>
          <w:rFonts w:hAnsi="宋体"/>
          <w:color w:val="auto"/>
          <w:szCs w:val="21"/>
        </w:rPr>
        <w:t>、商务</w:t>
      </w:r>
      <w:r>
        <w:rPr>
          <w:rFonts w:hint="eastAsia" w:hAnsi="宋体"/>
          <w:color w:val="auto"/>
          <w:szCs w:val="21"/>
        </w:rPr>
        <w:t>技术文件、</w:t>
      </w:r>
      <w:r>
        <w:rPr>
          <w:rFonts w:hint="eastAsia"/>
          <w:color w:val="auto"/>
          <w:szCs w:val="21"/>
        </w:rPr>
        <w:t>报价文件</w:t>
      </w:r>
      <w:r>
        <w:rPr>
          <w:rFonts w:hint="eastAsia"/>
          <w:b/>
          <w:color w:val="auto"/>
          <w:szCs w:val="21"/>
        </w:rPr>
        <w:t>三部份</w:t>
      </w:r>
      <w:r>
        <w:rPr>
          <w:rFonts w:hint="eastAsia"/>
          <w:color w:val="auto"/>
          <w:szCs w:val="21"/>
        </w:rPr>
        <w:t>组成</w:t>
      </w:r>
      <w:r>
        <w:rPr>
          <w:rFonts w:hint="eastAsia" w:hAnsi="宋体"/>
          <w:color w:val="auto"/>
          <w:szCs w:val="21"/>
        </w:rPr>
        <w:t>并分别编制，以下材料组成在磋商文件第七章“响应文件格式”中未附格式的，由供应商自行拟定。</w:t>
      </w:r>
      <w:r>
        <w:rPr>
          <w:rFonts w:hint="eastAsia" w:hAnsi="宋体"/>
          <w:b/>
          <w:color w:val="auto"/>
          <w:kern w:val="0"/>
          <w:szCs w:val="21"/>
        </w:rPr>
        <w:t>响应文件中所有复印件均须加盖磋商单位公章，否则视为无效磋商响应文件。</w:t>
      </w:r>
    </w:p>
    <w:bookmarkEnd w:id="44"/>
    <w:p w14:paraId="6121143F">
      <w:pPr>
        <w:spacing w:line="460" w:lineRule="exact"/>
        <w:ind w:firstLine="422" w:firstLineChars="200"/>
        <w:rPr>
          <w:rFonts w:ascii="宋体" w:hAnsi="宋体"/>
          <w:b/>
          <w:color w:val="auto"/>
          <w:szCs w:val="21"/>
        </w:rPr>
      </w:pPr>
      <w:bookmarkStart w:id="45" w:name="_Hlk86744311"/>
      <w:bookmarkStart w:id="46" w:name="_Hlk87630980"/>
      <w:r>
        <w:rPr>
          <w:rFonts w:hint="eastAsia" w:ascii="宋体" w:hAnsi="宋体"/>
          <w:b/>
          <w:color w:val="auto"/>
          <w:szCs w:val="21"/>
        </w:rPr>
        <w:t>9</w:t>
      </w:r>
      <w:r>
        <w:rPr>
          <w:rFonts w:ascii="宋体" w:hAnsi="宋体"/>
          <w:b/>
          <w:color w:val="auto"/>
          <w:szCs w:val="21"/>
        </w:rPr>
        <w:t>.2资格</w:t>
      </w:r>
      <w:r>
        <w:rPr>
          <w:rFonts w:hint="eastAsia" w:ascii="宋体" w:hAnsi="宋体"/>
          <w:b/>
          <w:color w:val="auto"/>
          <w:szCs w:val="21"/>
        </w:rPr>
        <w:t>文件应</w:t>
      </w:r>
      <w:r>
        <w:rPr>
          <w:rFonts w:ascii="宋体" w:hAnsi="宋体"/>
          <w:b/>
          <w:color w:val="auto"/>
          <w:szCs w:val="21"/>
        </w:rPr>
        <w:t>包括下列内容：</w:t>
      </w:r>
    </w:p>
    <w:bookmarkEnd w:id="45"/>
    <w:p w14:paraId="234586F9">
      <w:pPr>
        <w:spacing w:line="460" w:lineRule="exact"/>
        <w:ind w:left="27" w:leftChars="13" w:firstLine="420" w:firstLineChars="200"/>
        <w:jc w:val="left"/>
        <w:rPr>
          <w:rFonts w:ascii="宋体" w:hAnsi="宋体" w:cs="宋体"/>
          <w:b/>
          <w:color w:val="auto"/>
          <w:kern w:val="0"/>
          <w:szCs w:val="21"/>
        </w:rPr>
      </w:pPr>
      <w:bookmarkStart w:id="47" w:name="_Hlk86744419"/>
      <w:r>
        <w:rPr>
          <w:rFonts w:hint="eastAsia" w:ascii="宋体" w:hAnsi="宋体"/>
          <w:color w:val="auto"/>
          <w:szCs w:val="21"/>
        </w:rPr>
        <w:t>（1）</w:t>
      </w:r>
      <w:r>
        <w:rPr>
          <w:rFonts w:hint="eastAsia" w:ascii="宋体" w:hAnsi="宋体" w:cs="Times New Roman"/>
          <w:color w:val="auto"/>
          <w:szCs w:val="21"/>
          <w:lang w:val="en-US" w:eastAsia="zh-CN"/>
        </w:rPr>
        <w:t>崇左市政府采购供应商信用承诺函；（格式详见第七章响应文件格式）</w:t>
      </w:r>
    </w:p>
    <w:p w14:paraId="0B02FC23">
      <w:pPr>
        <w:spacing w:line="460" w:lineRule="exact"/>
        <w:ind w:left="27" w:leftChars="13" w:firstLine="420" w:firstLineChars="200"/>
        <w:jc w:val="left"/>
        <w:rPr>
          <w:rFonts w:hint="eastAsia" w:ascii="宋体" w:hAnsi="宋体"/>
          <w:color w:val="auto"/>
          <w:szCs w:val="21"/>
        </w:rPr>
      </w:pPr>
      <w:r>
        <w:rPr>
          <w:rFonts w:hint="eastAsia" w:ascii="宋体" w:hAnsi="宋体"/>
          <w:color w:val="auto"/>
          <w:szCs w:val="21"/>
        </w:rPr>
        <w:t>（2）供应商有效的安全生产许可证复印件；</w:t>
      </w:r>
    </w:p>
    <w:p w14:paraId="47CCEA99">
      <w:pPr>
        <w:widowControl/>
        <w:spacing w:line="460" w:lineRule="exact"/>
        <w:ind w:left="1062" w:leftChars="200" w:hanging="642" w:hangingChars="300"/>
        <w:jc w:val="left"/>
        <w:rPr>
          <w:rFonts w:ascii="宋体" w:hAnsi="宋体" w:cs="Courier New"/>
          <w:color w:val="auto"/>
          <w:spacing w:val="2"/>
          <w:szCs w:val="21"/>
        </w:rPr>
      </w:pPr>
      <w:r>
        <w:rPr>
          <w:rFonts w:hint="eastAsia" w:ascii="宋体" w:hAnsi="宋体" w:cs="Courier New"/>
          <w:color w:val="auto"/>
          <w:spacing w:val="2"/>
          <w:szCs w:val="21"/>
        </w:rPr>
        <w:t>（3）</w:t>
      </w:r>
      <w:r>
        <w:rPr>
          <w:rFonts w:hint="eastAsia" w:ascii="宋体" w:hAnsi="宋体"/>
          <w:color w:val="auto"/>
          <w:szCs w:val="21"/>
        </w:rPr>
        <w:t>供应商</w:t>
      </w:r>
      <w:r>
        <w:rPr>
          <w:rFonts w:hint="eastAsia" w:ascii="宋体" w:hAnsi="宋体" w:cs="Courier New"/>
          <w:color w:val="auto"/>
          <w:spacing w:val="2"/>
          <w:szCs w:val="21"/>
        </w:rPr>
        <w:t>有效的</w:t>
      </w:r>
      <w:r>
        <w:rPr>
          <w:rFonts w:hint="eastAsia" w:ascii="宋体" w:hAnsi="宋体"/>
          <w:color w:val="auto"/>
          <w:szCs w:val="21"/>
        </w:rPr>
        <w:t>资质证书</w:t>
      </w:r>
      <w:r>
        <w:rPr>
          <w:rFonts w:hint="eastAsia" w:ascii="宋体" w:hAnsi="宋体" w:cs="Courier New"/>
          <w:color w:val="auto"/>
          <w:spacing w:val="2"/>
          <w:szCs w:val="21"/>
        </w:rPr>
        <w:t>副本复印件</w:t>
      </w:r>
      <w:r>
        <w:rPr>
          <w:rFonts w:hint="eastAsia" w:ascii="宋体" w:hAnsi="宋体" w:cs="Courier New"/>
          <w:color w:val="auto"/>
          <w:spacing w:val="2"/>
          <w:szCs w:val="21"/>
          <w:lang w:eastAsia="zh-CN"/>
        </w:rPr>
        <w:t>【要求资质为</w:t>
      </w:r>
      <w:r>
        <w:rPr>
          <w:rFonts w:hint="eastAsia" w:ascii="宋体" w:hAnsi="宋体" w:cs="Courier New"/>
          <w:b/>
          <w:bCs/>
          <w:color w:val="auto"/>
          <w:spacing w:val="2"/>
          <w:szCs w:val="21"/>
          <w:lang w:val="en-US" w:eastAsia="zh-CN"/>
        </w:rPr>
        <w:t>市政公用</w:t>
      </w:r>
      <w:r>
        <w:rPr>
          <w:rFonts w:hint="eastAsia"/>
          <w:b/>
          <w:bCs/>
          <w:color w:val="auto"/>
        </w:rPr>
        <w:t>工程施工总承包</w:t>
      </w:r>
      <w:r>
        <w:rPr>
          <w:rFonts w:hint="eastAsia"/>
          <w:b/>
          <w:bCs/>
          <w:color w:val="auto"/>
          <w:lang w:eastAsia="zh-CN"/>
        </w:rPr>
        <w:t>三级</w:t>
      </w:r>
      <w:r>
        <w:rPr>
          <w:rFonts w:hint="eastAsia" w:ascii="宋体" w:hAnsi="宋体" w:cs="宋体"/>
          <w:b/>
          <w:bCs/>
          <w:color w:val="auto"/>
        </w:rPr>
        <w:t>（含三级）</w:t>
      </w:r>
      <w:r>
        <w:rPr>
          <w:rFonts w:hint="eastAsia"/>
          <w:b/>
          <w:bCs/>
          <w:color w:val="auto"/>
          <w:lang w:eastAsia="zh-CN"/>
        </w:rPr>
        <w:t>及</w:t>
      </w:r>
      <w:r>
        <w:rPr>
          <w:rFonts w:hint="eastAsia" w:ascii="宋体" w:hAnsi="宋体" w:cs="宋体"/>
          <w:color w:val="auto"/>
        </w:rPr>
        <w:t>以上</w:t>
      </w:r>
      <w:r>
        <w:rPr>
          <w:rFonts w:hint="eastAsia" w:ascii="宋体" w:hAnsi="宋体" w:cs="Courier New"/>
          <w:color w:val="auto"/>
          <w:spacing w:val="2"/>
          <w:szCs w:val="21"/>
          <w:lang w:eastAsia="zh-CN"/>
        </w:rPr>
        <w:t>】</w:t>
      </w:r>
      <w:r>
        <w:rPr>
          <w:rFonts w:hint="eastAsia" w:ascii="宋体" w:hAnsi="宋体" w:cs="Courier New"/>
          <w:color w:val="auto"/>
          <w:spacing w:val="2"/>
          <w:szCs w:val="21"/>
        </w:rPr>
        <w:t>；</w:t>
      </w:r>
    </w:p>
    <w:p w14:paraId="2727C183">
      <w:pPr>
        <w:spacing w:line="460" w:lineRule="exact"/>
        <w:ind w:left="27" w:leftChars="13"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）供应商参与政府采购活动前三年在经营活动中没有重大违法记录的书面声明函；</w:t>
      </w:r>
    </w:p>
    <w:p w14:paraId="7D2AAC13">
      <w:pPr>
        <w:spacing w:line="460" w:lineRule="exact"/>
        <w:ind w:left="27" w:leftChars="13" w:firstLine="420" w:firstLineChars="200"/>
        <w:jc w:val="left"/>
        <w:rPr>
          <w:rFonts w:hint="eastAsia" w:ascii="宋体" w:hAnsi="宋体"/>
          <w:color w:val="auto"/>
          <w:szCs w:val="21"/>
        </w:rPr>
      </w:pPr>
      <w:bookmarkStart w:id="48" w:name="_Hlk86744247"/>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）拟投入本工程项目经理的身份证复印件、</w:t>
      </w:r>
      <w:r>
        <w:rPr>
          <w:rFonts w:hint="eastAsia" w:ascii="宋体" w:hAnsi="宋体"/>
          <w:color w:val="auto"/>
          <w:szCs w:val="21"/>
          <w:lang w:val="en-US" w:eastAsia="zh-CN"/>
        </w:rPr>
        <w:t>市政公用工程</w:t>
      </w:r>
      <w:r>
        <w:rPr>
          <w:rFonts w:hint="eastAsia" w:ascii="宋体" w:hAnsi="宋体"/>
          <w:color w:val="auto"/>
          <w:szCs w:val="21"/>
        </w:rPr>
        <w:t>专业二级（含以上）注册建造师执业</w:t>
      </w:r>
      <w:r>
        <w:rPr>
          <w:rFonts w:hint="eastAsia" w:ascii="宋体" w:hAnsi="宋体"/>
          <w:color w:val="auto"/>
          <w:szCs w:val="21"/>
          <w:lang w:eastAsia="zh-CN"/>
        </w:rPr>
        <w:t>证书复印件</w:t>
      </w:r>
      <w:r>
        <w:rPr>
          <w:rFonts w:hint="eastAsia" w:ascii="宋体" w:hAnsi="宋体"/>
          <w:color w:val="auto"/>
          <w:szCs w:val="21"/>
        </w:rPr>
        <w:t>、安全生产考核合格证书（B类）复印件</w:t>
      </w:r>
      <w:r>
        <w:rPr>
          <w:rFonts w:hint="eastAsia" w:ascii="宋体" w:hAnsi="宋体"/>
          <w:color w:val="auto"/>
          <w:szCs w:val="21"/>
          <w:lang w:eastAsia="zh-CN"/>
        </w:rPr>
        <w:t>、在供应商单位缴纳的养老保险凭证复印件（要求缴费时间为磋商截止时间前半年内连续三个月）、</w:t>
      </w:r>
      <w:r>
        <w:rPr>
          <w:rFonts w:hint="eastAsia" w:ascii="宋体" w:hAnsi="宋体"/>
          <w:b/>
          <w:bCs/>
          <w:color w:val="auto"/>
          <w:szCs w:val="21"/>
          <w:lang w:val="en-US" w:eastAsia="zh-CN"/>
        </w:rPr>
        <w:t>拟投入的项目经理无在建项目承诺书（格式自拟）</w:t>
      </w:r>
      <w:r>
        <w:rPr>
          <w:rFonts w:hint="eastAsia" w:ascii="宋体" w:hAnsi="宋体"/>
          <w:color w:val="auto"/>
          <w:szCs w:val="21"/>
        </w:rPr>
        <w:t>；</w:t>
      </w:r>
    </w:p>
    <w:p w14:paraId="1B1129A7">
      <w:pPr>
        <w:spacing w:line="460" w:lineRule="exact"/>
        <w:ind w:left="27" w:leftChars="13"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（6）供应商直接控股、管理关系信息表；</w:t>
      </w:r>
      <w:r>
        <w:rPr>
          <w:rFonts w:hint="eastAsia" w:ascii="宋体" w:hAnsi="宋体" w:cs="Times New Roman"/>
          <w:color w:val="auto"/>
          <w:szCs w:val="21"/>
          <w:lang w:val="en-US" w:eastAsia="zh-CN"/>
        </w:rPr>
        <w:t>（格式详见第七章响应文件格式）</w:t>
      </w:r>
    </w:p>
    <w:p w14:paraId="5A92E1A9">
      <w:pPr>
        <w:spacing w:line="460" w:lineRule="exact"/>
        <w:ind w:left="27" w:leftChars="13"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（7）本项目专门面向中小企业采购（供应商为中小微企业或监狱企业或残疾人福利企业 ），供应商须按照格式提供中小企业声明函。</w:t>
      </w:r>
      <w:r>
        <w:rPr>
          <w:rFonts w:hint="eastAsia" w:ascii="宋体" w:hAnsi="宋体" w:cs="Times New Roman"/>
          <w:color w:val="auto"/>
          <w:szCs w:val="21"/>
          <w:lang w:val="en-US" w:eastAsia="zh-CN"/>
        </w:rPr>
        <w:t>（格式详见第七章响应文件格式）</w:t>
      </w:r>
    </w:p>
    <w:bookmarkEnd w:id="48"/>
    <w:p w14:paraId="3272F3C7">
      <w:pPr>
        <w:pStyle w:val="24"/>
        <w:adjustRightInd w:val="0"/>
        <w:snapToGrid w:val="0"/>
        <w:spacing w:line="460" w:lineRule="exact"/>
        <w:ind w:firstLine="413" w:firstLineChars="196"/>
        <w:jc w:val="left"/>
        <w:rPr>
          <w:rFonts w:hAnsi="宋体"/>
          <w:b/>
          <w:color w:val="auto"/>
          <w:kern w:val="0"/>
          <w:szCs w:val="21"/>
        </w:rPr>
      </w:pPr>
      <w:r>
        <w:rPr>
          <w:rFonts w:hint="eastAsia" w:hAnsi="宋体"/>
          <w:b/>
          <w:snapToGrid w:val="0"/>
          <w:color w:val="auto"/>
          <w:kern w:val="0"/>
          <w:szCs w:val="21"/>
        </w:rPr>
        <w:t>注：1.</w:t>
      </w:r>
      <w:r>
        <w:rPr>
          <w:rFonts w:hint="eastAsia" w:hAnsi="宋体"/>
          <w:b/>
          <w:color w:val="auto"/>
          <w:kern w:val="0"/>
          <w:szCs w:val="21"/>
        </w:rPr>
        <w:t>以上材料须提供，否则视为无效磋商响应文件。</w:t>
      </w:r>
    </w:p>
    <w:p w14:paraId="3D52676D">
      <w:pPr>
        <w:tabs>
          <w:tab w:val="left" w:pos="3870"/>
          <w:tab w:val="left" w:pos="4085"/>
        </w:tabs>
        <w:snapToGrid w:val="0"/>
        <w:spacing w:line="460" w:lineRule="exact"/>
        <w:ind w:firstLine="422" w:firstLineChars="200"/>
        <w:jc w:val="left"/>
        <w:rPr>
          <w:rFonts w:ascii="宋体" w:hAnsi="宋体"/>
          <w:b/>
          <w:color w:val="auto"/>
          <w:kern w:val="0"/>
          <w:szCs w:val="21"/>
        </w:rPr>
      </w:pPr>
      <w:r>
        <w:rPr>
          <w:rFonts w:hint="eastAsia" w:ascii="宋体" w:hAnsi="宋体"/>
          <w:b/>
          <w:color w:val="auto"/>
          <w:kern w:val="0"/>
          <w:szCs w:val="21"/>
        </w:rPr>
        <w:t>2.供应商在“信用中国”网站、“中国政府采购网”的信用记录情况由采购代理查询提供，若查询结果不满足采购文件要求的响应文件将视为资格审查不合格。</w:t>
      </w:r>
    </w:p>
    <w:p w14:paraId="5FAF4D3E">
      <w:pPr>
        <w:spacing w:line="460" w:lineRule="exact"/>
        <w:ind w:firstLine="422" w:firstLineChars="200"/>
        <w:rPr>
          <w:rFonts w:ascii="宋体" w:hAnsi="宋体"/>
          <w:b/>
          <w:color w:val="auto"/>
          <w:szCs w:val="21"/>
        </w:rPr>
      </w:pPr>
      <w:r>
        <w:rPr>
          <w:rFonts w:hint="eastAsia" w:ascii="宋体" w:hAnsi="宋体"/>
          <w:b/>
          <w:color w:val="auto"/>
          <w:szCs w:val="21"/>
        </w:rPr>
        <w:t>9</w:t>
      </w:r>
      <w:r>
        <w:rPr>
          <w:rFonts w:ascii="宋体" w:hAnsi="宋体"/>
          <w:b/>
          <w:color w:val="auto"/>
          <w:szCs w:val="21"/>
        </w:rPr>
        <w:t>.3 商务</w:t>
      </w:r>
      <w:r>
        <w:rPr>
          <w:rFonts w:hint="eastAsia" w:ascii="宋体" w:hAnsi="宋体"/>
          <w:b/>
          <w:color w:val="auto"/>
          <w:szCs w:val="21"/>
        </w:rPr>
        <w:t>技术文件</w:t>
      </w:r>
    </w:p>
    <w:p w14:paraId="3C565849">
      <w:pPr>
        <w:spacing w:line="460" w:lineRule="exact"/>
        <w:ind w:firstLine="413" w:firstLineChars="196"/>
        <w:rPr>
          <w:rFonts w:ascii="宋体" w:hAnsi="宋体"/>
          <w:b/>
          <w:color w:val="auto"/>
          <w:szCs w:val="21"/>
        </w:rPr>
      </w:pPr>
      <w:r>
        <w:rPr>
          <w:rFonts w:hint="eastAsia" w:ascii="宋体" w:hAnsi="宋体"/>
          <w:b/>
          <w:color w:val="auto"/>
          <w:szCs w:val="21"/>
        </w:rPr>
        <w:t>9.3.1</w:t>
      </w:r>
      <w:r>
        <w:rPr>
          <w:rFonts w:ascii="宋体" w:hAnsi="宋体"/>
          <w:b/>
          <w:color w:val="auto"/>
          <w:szCs w:val="21"/>
        </w:rPr>
        <w:t>商务</w:t>
      </w:r>
      <w:r>
        <w:rPr>
          <w:rFonts w:hint="eastAsia" w:ascii="宋体" w:hAnsi="宋体"/>
          <w:b/>
          <w:color w:val="auto"/>
          <w:szCs w:val="21"/>
        </w:rPr>
        <w:t>文件应</w:t>
      </w:r>
      <w:r>
        <w:rPr>
          <w:rFonts w:ascii="宋体" w:hAnsi="宋体"/>
          <w:b/>
          <w:color w:val="auto"/>
          <w:szCs w:val="21"/>
        </w:rPr>
        <w:t>包括下列内容</w:t>
      </w:r>
      <w:r>
        <w:rPr>
          <w:rFonts w:hint="eastAsia" w:ascii="宋体" w:hAnsi="宋体"/>
          <w:b/>
          <w:color w:val="auto"/>
          <w:szCs w:val="21"/>
        </w:rPr>
        <w:t>：</w:t>
      </w:r>
    </w:p>
    <w:p w14:paraId="5FC65D56">
      <w:pPr>
        <w:spacing w:line="460" w:lineRule="exact"/>
        <w:ind w:firstLine="420" w:firstLineChars="200"/>
        <w:rPr>
          <w:rFonts w:hAnsi="宋体" w:cs="宋体"/>
          <w:color w:val="auto"/>
          <w:szCs w:val="21"/>
        </w:rPr>
      </w:pPr>
      <w:r>
        <w:rPr>
          <w:rFonts w:hint="eastAsia" w:hAnsi="宋体" w:cs="宋体"/>
          <w:color w:val="auto"/>
          <w:szCs w:val="21"/>
        </w:rPr>
        <w:t>（1）诚信声明；</w:t>
      </w:r>
    </w:p>
    <w:p w14:paraId="0720AE28">
      <w:pPr>
        <w:spacing w:line="460" w:lineRule="exact"/>
        <w:ind w:firstLine="420" w:firstLineChars="200"/>
        <w:rPr>
          <w:rFonts w:hAnsi="宋体" w:cs="宋体"/>
          <w:color w:val="auto"/>
          <w:szCs w:val="21"/>
        </w:rPr>
      </w:pPr>
      <w:r>
        <w:rPr>
          <w:rFonts w:hint="eastAsia" w:hAnsi="宋体" w:cs="宋体"/>
          <w:color w:val="auto"/>
          <w:szCs w:val="21"/>
        </w:rPr>
        <w:t>（2）法定代表人授权委托书和委托代理人身份证扫描件(授权委托代理时提供)；当法定代表人参加投标时，仅需提供法定代表人的身份证扫描件；</w:t>
      </w:r>
    </w:p>
    <w:p w14:paraId="2388A0B6">
      <w:pPr>
        <w:spacing w:line="460" w:lineRule="exact"/>
        <w:ind w:firstLine="420" w:firstLineChars="200"/>
        <w:rPr>
          <w:rFonts w:hAnsi="宋体" w:cs="宋体"/>
          <w:color w:val="auto"/>
          <w:szCs w:val="21"/>
        </w:rPr>
      </w:pPr>
      <w:r>
        <w:rPr>
          <w:rFonts w:hint="eastAsia" w:hAnsi="宋体" w:cs="宋体"/>
          <w:color w:val="auto"/>
          <w:szCs w:val="21"/>
        </w:rPr>
        <w:t>（3）足额缴纳农民工工资的承诺书；</w:t>
      </w:r>
    </w:p>
    <w:p w14:paraId="460EB86C">
      <w:pPr>
        <w:spacing w:line="460" w:lineRule="exact"/>
        <w:ind w:firstLine="420" w:firstLineChars="200"/>
        <w:rPr>
          <w:rFonts w:hAnsi="宋体" w:cs="宋体"/>
          <w:color w:val="auto"/>
          <w:szCs w:val="21"/>
        </w:rPr>
      </w:pPr>
      <w:r>
        <w:rPr>
          <w:rFonts w:hint="eastAsia" w:hAnsi="宋体" w:cs="宋体"/>
          <w:color w:val="auto"/>
          <w:szCs w:val="21"/>
        </w:rPr>
        <w:t>（4）安全防护、文明施工措施方案的承诺书；</w:t>
      </w:r>
    </w:p>
    <w:p w14:paraId="30A497F6">
      <w:pPr>
        <w:pStyle w:val="24"/>
        <w:spacing w:line="460" w:lineRule="exact"/>
        <w:ind w:firstLine="420" w:firstLineChars="200"/>
        <w:rPr>
          <w:rFonts w:hAnsi="宋体"/>
          <w:color w:val="auto"/>
          <w:szCs w:val="21"/>
        </w:rPr>
      </w:pPr>
      <w:r>
        <w:rPr>
          <w:rFonts w:hint="eastAsia" w:hAnsi="宋体" w:cs="宋体"/>
          <w:color w:val="auto"/>
          <w:szCs w:val="21"/>
        </w:rPr>
        <w:t>（</w:t>
      </w:r>
      <w:r>
        <w:rPr>
          <w:rFonts w:hint="eastAsia" w:hAnsi="宋体" w:cs="宋体"/>
          <w:color w:val="auto"/>
          <w:szCs w:val="21"/>
          <w:lang w:val="en-US" w:eastAsia="zh-CN"/>
        </w:rPr>
        <w:t>5</w:t>
      </w:r>
      <w:r>
        <w:rPr>
          <w:rFonts w:hint="eastAsia" w:hAnsi="宋体" w:cs="宋体"/>
          <w:color w:val="auto"/>
          <w:szCs w:val="21"/>
        </w:rPr>
        <w:t>）</w:t>
      </w:r>
      <w:r>
        <w:rPr>
          <w:rFonts w:hint="eastAsia" w:hAnsi="宋体"/>
          <w:color w:val="auto"/>
          <w:szCs w:val="21"/>
        </w:rPr>
        <w:t>供应商认为</w:t>
      </w:r>
      <w:r>
        <w:rPr>
          <w:rFonts w:hint="eastAsia" w:hAnsi="宋体" w:cs="宋体"/>
          <w:color w:val="auto"/>
          <w:szCs w:val="21"/>
        </w:rPr>
        <w:t>评标办法中需</w:t>
      </w:r>
      <w:r>
        <w:rPr>
          <w:rFonts w:hint="eastAsia" w:hAnsi="宋体"/>
          <w:color w:val="auto"/>
          <w:szCs w:val="21"/>
        </w:rPr>
        <w:t>提供的其他资料。</w:t>
      </w:r>
    </w:p>
    <w:p w14:paraId="1266F4BD">
      <w:pPr>
        <w:pStyle w:val="24"/>
        <w:adjustRightInd w:val="0"/>
        <w:snapToGrid w:val="0"/>
        <w:spacing w:line="460" w:lineRule="exact"/>
        <w:ind w:firstLine="413" w:firstLineChars="196"/>
        <w:jc w:val="left"/>
        <w:rPr>
          <w:rFonts w:hAnsi="宋体"/>
          <w:b/>
          <w:color w:val="auto"/>
          <w:kern w:val="0"/>
          <w:szCs w:val="21"/>
        </w:rPr>
      </w:pPr>
      <w:r>
        <w:rPr>
          <w:rFonts w:hint="eastAsia" w:hAnsi="宋体"/>
          <w:b/>
          <w:snapToGrid w:val="0"/>
          <w:color w:val="auto"/>
          <w:kern w:val="0"/>
          <w:szCs w:val="21"/>
        </w:rPr>
        <w:t>注：</w:t>
      </w:r>
      <w:r>
        <w:rPr>
          <w:rFonts w:hint="eastAsia" w:hAnsi="宋体"/>
          <w:b/>
          <w:color w:val="auto"/>
          <w:kern w:val="0"/>
          <w:szCs w:val="21"/>
        </w:rPr>
        <w:t>以上（1）～（4）材料须提供，否则视为无效磋商响应文件。</w:t>
      </w:r>
    </w:p>
    <w:p w14:paraId="4ED7534D">
      <w:pPr>
        <w:spacing w:line="460" w:lineRule="exact"/>
        <w:ind w:firstLine="413" w:firstLineChars="196"/>
        <w:rPr>
          <w:rFonts w:ascii="宋体" w:hAnsi="宋体"/>
          <w:b/>
          <w:color w:val="auto"/>
          <w:szCs w:val="21"/>
        </w:rPr>
      </w:pPr>
      <w:r>
        <w:rPr>
          <w:rFonts w:hint="eastAsia" w:ascii="宋体" w:hAnsi="宋体"/>
          <w:b/>
          <w:color w:val="auto"/>
          <w:szCs w:val="21"/>
        </w:rPr>
        <w:t>9.3.2技术文件应</w:t>
      </w:r>
      <w:r>
        <w:rPr>
          <w:rFonts w:ascii="宋体" w:hAnsi="宋体"/>
          <w:b/>
          <w:color w:val="auto"/>
          <w:szCs w:val="21"/>
        </w:rPr>
        <w:t>包括下列内容</w:t>
      </w:r>
      <w:r>
        <w:rPr>
          <w:rFonts w:hint="eastAsia" w:ascii="宋体" w:hAnsi="宋体"/>
          <w:b/>
          <w:color w:val="auto"/>
          <w:szCs w:val="21"/>
        </w:rPr>
        <w:t>：</w:t>
      </w:r>
    </w:p>
    <w:p w14:paraId="326921FA">
      <w:pPr>
        <w:spacing w:line="460" w:lineRule="exact"/>
        <w:ind w:firstLine="420" w:firstLineChars="200"/>
        <w:rPr>
          <w:rFonts w:ascii="宋体" w:hAnsi="宋体" w:cs="宋体"/>
          <w:color w:val="auto"/>
          <w:szCs w:val="21"/>
        </w:rPr>
      </w:pPr>
      <w:r>
        <w:rPr>
          <w:rFonts w:hint="eastAsia" w:ascii="宋体" w:hAnsi="宋体" w:cs="宋体"/>
          <w:color w:val="auto"/>
          <w:szCs w:val="21"/>
        </w:rPr>
        <w:t>（1）项目管理机构</w:t>
      </w:r>
      <w:r>
        <w:rPr>
          <w:rFonts w:hint="eastAsia" w:ascii="宋体" w:hAnsi="宋体" w:cs="Courier New"/>
          <w:color w:val="auto"/>
          <w:spacing w:val="2"/>
          <w:szCs w:val="21"/>
        </w:rPr>
        <w:t>；</w:t>
      </w:r>
    </w:p>
    <w:p w14:paraId="4CE317EE">
      <w:pPr>
        <w:spacing w:line="460" w:lineRule="exact"/>
        <w:ind w:firstLine="420" w:firstLineChars="200"/>
        <w:rPr>
          <w:rFonts w:ascii="宋体" w:hAnsi="宋体" w:cs="宋体"/>
          <w:color w:val="auto"/>
          <w:szCs w:val="21"/>
        </w:rPr>
      </w:pPr>
      <w:r>
        <w:rPr>
          <w:rFonts w:hint="eastAsia" w:ascii="宋体" w:hAnsi="宋体" w:cs="宋体"/>
          <w:color w:val="auto"/>
          <w:szCs w:val="21"/>
        </w:rPr>
        <w:t>①项目管理机构配备情况表；</w:t>
      </w:r>
    </w:p>
    <w:p w14:paraId="5AD739FF">
      <w:pPr>
        <w:spacing w:line="460" w:lineRule="exact"/>
        <w:ind w:firstLine="420" w:firstLineChars="200"/>
        <w:rPr>
          <w:rFonts w:ascii="宋体" w:hAnsi="宋体" w:cs="宋体"/>
          <w:color w:val="auto"/>
          <w:szCs w:val="21"/>
        </w:rPr>
      </w:pPr>
      <w:r>
        <w:rPr>
          <w:rFonts w:hint="eastAsia" w:ascii="宋体" w:hAnsi="宋体" w:cs="宋体"/>
          <w:color w:val="auto"/>
          <w:szCs w:val="21"/>
        </w:rPr>
        <w:t>②拟投入本工程项目经理的简历表；</w:t>
      </w:r>
    </w:p>
    <w:p w14:paraId="1A3F7710">
      <w:pPr>
        <w:spacing w:line="460" w:lineRule="exact"/>
        <w:ind w:firstLine="420" w:firstLineChars="200"/>
        <w:rPr>
          <w:rFonts w:ascii="宋体" w:hAnsi="宋体" w:cs="宋体"/>
          <w:color w:val="auto"/>
          <w:szCs w:val="21"/>
        </w:rPr>
      </w:pPr>
      <w:r>
        <w:rPr>
          <w:rFonts w:hint="eastAsia" w:ascii="宋体" w:hAnsi="宋体" w:cs="宋体"/>
          <w:color w:val="auto"/>
          <w:szCs w:val="21"/>
        </w:rPr>
        <w:t>③项目管理机构配备情况辅助说明资料。</w:t>
      </w:r>
    </w:p>
    <w:p w14:paraId="2D3FDB81">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（2）施工组织设计</w:t>
      </w:r>
      <w:r>
        <w:rPr>
          <w:rFonts w:hint="eastAsia" w:ascii="宋体" w:hAnsi="宋体" w:cs="Courier New"/>
          <w:color w:val="auto"/>
          <w:spacing w:val="2"/>
          <w:szCs w:val="21"/>
        </w:rPr>
        <w:t>；</w:t>
      </w:r>
    </w:p>
    <w:p w14:paraId="7775AA30">
      <w:pPr>
        <w:spacing w:line="460" w:lineRule="exact"/>
        <w:ind w:firstLine="420" w:firstLineChars="200"/>
        <w:rPr>
          <w:rFonts w:ascii="宋体" w:hAnsi="宋体" w:cs="宋体"/>
          <w:color w:val="auto"/>
          <w:szCs w:val="21"/>
        </w:rPr>
      </w:pPr>
      <w:r>
        <w:rPr>
          <w:rFonts w:hint="eastAsia" w:ascii="宋体" w:hAnsi="宋体" w:cs="宋体"/>
          <w:color w:val="auto"/>
          <w:szCs w:val="21"/>
        </w:rPr>
        <w:t>（3）供应商认为需要提供的有关资料。</w:t>
      </w:r>
    </w:p>
    <w:p w14:paraId="08399B6C">
      <w:pPr>
        <w:pStyle w:val="24"/>
        <w:adjustRightInd w:val="0"/>
        <w:snapToGrid w:val="0"/>
        <w:spacing w:line="460" w:lineRule="exact"/>
        <w:ind w:firstLine="413" w:firstLineChars="196"/>
        <w:jc w:val="left"/>
        <w:rPr>
          <w:rFonts w:hAnsi="宋体"/>
          <w:b/>
          <w:color w:val="auto"/>
          <w:kern w:val="0"/>
          <w:szCs w:val="21"/>
        </w:rPr>
      </w:pPr>
      <w:r>
        <w:rPr>
          <w:rFonts w:hint="eastAsia" w:hAnsi="宋体" w:cs="宋体"/>
          <w:b/>
          <w:color w:val="auto"/>
          <w:szCs w:val="21"/>
        </w:rPr>
        <w:t>注：以上（1）～（2）材料须提供</w:t>
      </w:r>
      <w:r>
        <w:rPr>
          <w:rFonts w:hint="eastAsia" w:hAnsi="宋体"/>
          <w:b/>
          <w:color w:val="auto"/>
          <w:kern w:val="0"/>
          <w:szCs w:val="21"/>
        </w:rPr>
        <w:t>，否则视为无效磋商响应文件。</w:t>
      </w:r>
    </w:p>
    <w:p w14:paraId="7C244930">
      <w:pPr>
        <w:pStyle w:val="24"/>
        <w:adjustRightInd w:val="0"/>
        <w:snapToGrid w:val="0"/>
        <w:spacing w:line="460" w:lineRule="exact"/>
        <w:ind w:firstLine="413" w:firstLineChars="196"/>
        <w:jc w:val="left"/>
        <w:rPr>
          <w:rFonts w:hAnsi="宋体"/>
          <w:b/>
          <w:color w:val="auto"/>
          <w:kern w:val="0"/>
          <w:szCs w:val="21"/>
        </w:rPr>
      </w:pPr>
      <w:r>
        <w:rPr>
          <w:rFonts w:hint="eastAsia" w:hAnsi="宋体"/>
          <w:b/>
          <w:color w:val="auto"/>
          <w:kern w:val="0"/>
          <w:szCs w:val="21"/>
        </w:rPr>
        <w:t>9.4报价文件</w:t>
      </w:r>
    </w:p>
    <w:p w14:paraId="0B505975">
      <w:pPr>
        <w:pStyle w:val="24"/>
        <w:adjustRightInd w:val="0"/>
        <w:snapToGrid w:val="0"/>
        <w:spacing w:line="460" w:lineRule="exact"/>
        <w:ind w:firstLine="420" w:firstLineChars="200"/>
        <w:jc w:val="left"/>
        <w:rPr>
          <w:rFonts w:hAnsi="宋体"/>
          <w:b/>
          <w:color w:val="auto"/>
          <w:kern w:val="0"/>
          <w:szCs w:val="21"/>
        </w:rPr>
      </w:pPr>
      <w:r>
        <w:rPr>
          <w:rFonts w:hint="eastAsia" w:hAnsi="宋体"/>
          <w:color w:val="auto"/>
          <w:szCs w:val="21"/>
        </w:rPr>
        <w:t>（1）磋商函；</w:t>
      </w:r>
    </w:p>
    <w:p w14:paraId="319E86E6">
      <w:pPr>
        <w:spacing w:line="460" w:lineRule="exact"/>
        <w:ind w:firstLine="420" w:firstLineChars="200"/>
        <w:jc w:val="left"/>
        <w:rPr>
          <w:rFonts w:ascii="宋体" w:hAnsi="宋体"/>
          <w:color w:val="auto"/>
          <w:szCs w:val="21"/>
        </w:rPr>
      </w:pPr>
      <w:r>
        <w:rPr>
          <w:rFonts w:hint="eastAsia" w:ascii="宋体" w:hAnsi="宋体"/>
          <w:color w:val="auto"/>
          <w:szCs w:val="21"/>
        </w:rPr>
        <w:t>（2）已标价的工程量清单（</w:t>
      </w:r>
      <w:r>
        <w:rPr>
          <w:rFonts w:hint="eastAsia" w:ascii="宋体" w:hAnsi="宋体"/>
          <w:color w:val="auto"/>
          <w:szCs w:val="21"/>
          <w:lang w:val="en-US" w:eastAsia="zh-CN"/>
        </w:rPr>
        <w:t>根据</w:t>
      </w:r>
      <w:r>
        <w:rPr>
          <w:rFonts w:hint="eastAsia" w:ascii="宋体" w:hAnsi="宋体"/>
          <w:color w:val="auto"/>
          <w:szCs w:val="21"/>
        </w:rPr>
        <w:t>采购人提供的工程量清单自行编制）；</w:t>
      </w:r>
    </w:p>
    <w:p w14:paraId="2230C3CC">
      <w:pPr>
        <w:pStyle w:val="24"/>
        <w:adjustRightInd w:val="0"/>
        <w:snapToGrid w:val="0"/>
        <w:spacing w:line="460" w:lineRule="exact"/>
        <w:ind w:firstLine="411" w:firstLineChars="196"/>
        <w:jc w:val="left"/>
        <w:rPr>
          <w:rFonts w:hint="eastAsia" w:ascii="宋体" w:hAnsi="宋体"/>
          <w:color w:val="auto"/>
          <w:szCs w:val="21"/>
        </w:rPr>
      </w:pPr>
      <w:r>
        <w:rPr>
          <w:rFonts w:hint="eastAsia" w:ascii="宋体" w:hAnsi="宋体"/>
          <w:color w:val="auto"/>
          <w:szCs w:val="21"/>
        </w:rPr>
        <w:t>（3）</w:t>
      </w:r>
      <w:bookmarkStart w:id="49" w:name="_Hlk9585414"/>
      <w:r>
        <w:rPr>
          <w:rFonts w:hint="eastAsia" w:ascii="宋体" w:hAnsi="宋体"/>
          <w:color w:val="auto"/>
          <w:szCs w:val="21"/>
        </w:rPr>
        <w:t>供应商针对报价需要说明的其他文件和说明</w:t>
      </w:r>
      <w:bookmarkEnd w:id="49"/>
      <w:r>
        <w:rPr>
          <w:rFonts w:hint="eastAsia" w:ascii="宋体" w:hAnsi="宋体"/>
          <w:color w:val="auto"/>
          <w:szCs w:val="21"/>
        </w:rPr>
        <w:t>。</w:t>
      </w:r>
    </w:p>
    <w:p w14:paraId="3C4443FD">
      <w:pPr>
        <w:pStyle w:val="24"/>
        <w:adjustRightInd w:val="0"/>
        <w:snapToGrid w:val="0"/>
        <w:spacing w:line="460" w:lineRule="exact"/>
        <w:ind w:firstLine="413" w:firstLineChars="196"/>
        <w:jc w:val="left"/>
        <w:rPr>
          <w:rFonts w:hAnsi="宋体" w:cs="宋体"/>
          <w:b/>
          <w:color w:val="auto"/>
          <w:szCs w:val="21"/>
        </w:rPr>
      </w:pPr>
      <w:r>
        <w:rPr>
          <w:rFonts w:hint="eastAsia" w:hAnsi="宋体" w:cs="宋体"/>
          <w:b/>
          <w:color w:val="auto"/>
          <w:szCs w:val="21"/>
        </w:rPr>
        <w:t>注：以上（1）～（2）材料须提供</w:t>
      </w:r>
      <w:r>
        <w:rPr>
          <w:rFonts w:hint="eastAsia" w:hAnsi="宋体"/>
          <w:b/>
          <w:color w:val="auto"/>
          <w:kern w:val="0"/>
          <w:szCs w:val="21"/>
        </w:rPr>
        <w:t>，否则视为无效磋商响应文件。</w:t>
      </w:r>
      <w:bookmarkEnd w:id="47"/>
    </w:p>
    <w:bookmarkEnd w:id="46"/>
    <w:p w14:paraId="6552980C">
      <w:pPr>
        <w:pStyle w:val="3"/>
        <w:spacing w:before="0" w:after="0" w:line="460" w:lineRule="exact"/>
        <w:rPr>
          <w:rFonts w:ascii="宋体" w:hAnsi="宋体" w:eastAsia="宋体"/>
          <w:color w:val="auto"/>
          <w:sz w:val="21"/>
          <w:szCs w:val="21"/>
        </w:rPr>
      </w:pPr>
      <w:bookmarkStart w:id="50" w:name="_Toc18682812"/>
      <w:bookmarkStart w:id="51" w:name="_Toc346264275"/>
      <w:bookmarkStart w:id="52" w:name="_Toc239659102"/>
      <w:bookmarkStart w:id="53" w:name="_Toc80818624"/>
      <w:r>
        <w:rPr>
          <w:rFonts w:ascii="宋体" w:hAnsi="宋体" w:eastAsia="宋体"/>
          <w:color w:val="auto"/>
          <w:sz w:val="21"/>
          <w:szCs w:val="21"/>
        </w:rPr>
        <w:t>10.磋商有效期</w:t>
      </w:r>
      <w:bookmarkEnd w:id="50"/>
      <w:bookmarkEnd w:id="51"/>
      <w:bookmarkEnd w:id="52"/>
      <w:bookmarkEnd w:id="53"/>
    </w:p>
    <w:p w14:paraId="10E92FC2">
      <w:pPr>
        <w:spacing w:line="460" w:lineRule="exact"/>
        <w:ind w:firstLine="420" w:firstLineChars="200"/>
        <w:rPr>
          <w:rFonts w:ascii="宋体" w:hAnsi="宋体"/>
          <w:color w:val="auto"/>
          <w:szCs w:val="21"/>
        </w:rPr>
      </w:pPr>
      <w:r>
        <w:rPr>
          <w:rFonts w:hint="eastAsia" w:ascii="宋体" w:hAnsi="宋体"/>
          <w:color w:val="auto"/>
          <w:szCs w:val="21"/>
        </w:rPr>
        <w:t>10.1 在</w:t>
      </w:r>
      <w:r>
        <w:rPr>
          <w:rFonts w:ascii="宋体" w:hAnsi="宋体"/>
          <w:color w:val="auto"/>
          <w:szCs w:val="21"/>
        </w:rPr>
        <w:t>前附表第</w:t>
      </w:r>
      <w:r>
        <w:rPr>
          <w:rFonts w:hint="eastAsia" w:ascii="宋体" w:hAnsi="宋体"/>
          <w:color w:val="auto"/>
          <w:szCs w:val="21"/>
        </w:rPr>
        <w:t>10</w:t>
      </w:r>
      <w:r>
        <w:rPr>
          <w:rFonts w:ascii="宋体" w:hAnsi="宋体"/>
          <w:color w:val="auto"/>
          <w:szCs w:val="21"/>
        </w:rPr>
        <w:t>项</w:t>
      </w:r>
      <w:r>
        <w:rPr>
          <w:rFonts w:hint="eastAsia" w:ascii="宋体" w:hAnsi="宋体"/>
          <w:color w:val="auto"/>
          <w:szCs w:val="21"/>
        </w:rPr>
        <w:t>规定的磋商有效期内，供应商不得要求撤销或修改其响应文件，有效期不足的响应文件将被拒绝。</w:t>
      </w:r>
    </w:p>
    <w:p w14:paraId="33255C41">
      <w:pPr>
        <w:spacing w:line="460" w:lineRule="exact"/>
        <w:ind w:firstLine="409" w:firstLineChars="195"/>
        <w:rPr>
          <w:rFonts w:ascii="宋体" w:hAnsi="宋体"/>
          <w:color w:val="auto"/>
          <w:szCs w:val="21"/>
        </w:rPr>
      </w:pPr>
      <w:r>
        <w:rPr>
          <w:rFonts w:hint="eastAsia" w:ascii="宋体" w:hAnsi="宋体"/>
          <w:color w:val="auto"/>
          <w:szCs w:val="21"/>
        </w:rPr>
        <w:t>10.2在原定磋商有效期满之前，如果出现特殊情况，</w:t>
      </w:r>
      <w:r>
        <w:rPr>
          <w:rFonts w:ascii="宋体" w:hAnsi="宋体"/>
          <w:color w:val="auto"/>
          <w:szCs w:val="21"/>
        </w:rPr>
        <w:t>经</w:t>
      </w:r>
      <w:r>
        <w:rPr>
          <w:rFonts w:hint="eastAsia" w:ascii="宋体" w:hAnsi="宋体"/>
          <w:color w:val="auto"/>
          <w:szCs w:val="21"/>
        </w:rPr>
        <w:t>政府采购监督管理部门</w:t>
      </w:r>
      <w:r>
        <w:rPr>
          <w:rFonts w:ascii="宋体" w:hAnsi="宋体"/>
          <w:color w:val="auto"/>
          <w:szCs w:val="21"/>
        </w:rPr>
        <w:t>核准，</w:t>
      </w:r>
      <w:r>
        <w:rPr>
          <w:rFonts w:hint="eastAsia" w:ascii="宋体" w:hAnsi="宋体"/>
          <w:color w:val="auto"/>
          <w:szCs w:val="21"/>
        </w:rPr>
        <w:t>采购人可以书面形式向供应商提出延长磋商有效期的要求，供应商须以书面形式予以答复。同意延长磋商有效期的供应商不允许修改其响应文件，在延长期内本须知第10条的规定仍然适用。</w:t>
      </w:r>
    </w:p>
    <w:p w14:paraId="7B1456AB">
      <w:pPr>
        <w:pStyle w:val="3"/>
        <w:spacing w:before="0" w:after="0" w:line="460" w:lineRule="exact"/>
        <w:rPr>
          <w:rFonts w:ascii="宋体" w:hAnsi="宋体" w:eastAsia="宋体"/>
          <w:color w:val="auto"/>
          <w:sz w:val="21"/>
          <w:szCs w:val="21"/>
        </w:rPr>
      </w:pPr>
      <w:bookmarkStart w:id="54" w:name="_Toc239659103"/>
      <w:bookmarkStart w:id="55" w:name="_Toc18682813"/>
      <w:bookmarkStart w:id="56" w:name="_Toc346264276"/>
      <w:bookmarkStart w:id="57" w:name="_Toc80818625"/>
      <w:r>
        <w:rPr>
          <w:rFonts w:ascii="宋体" w:hAnsi="宋体" w:eastAsia="宋体"/>
          <w:color w:val="auto"/>
          <w:sz w:val="21"/>
          <w:szCs w:val="21"/>
        </w:rPr>
        <w:t>11.</w:t>
      </w:r>
      <w:r>
        <w:rPr>
          <w:rFonts w:hint="eastAsia" w:ascii="宋体" w:hAnsi="宋体" w:eastAsia="宋体"/>
          <w:color w:val="auto"/>
          <w:sz w:val="21"/>
          <w:szCs w:val="21"/>
        </w:rPr>
        <w:t>磋商</w:t>
      </w:r>
      <w:r>
        <w:rPr>
          <w:rFonts w:ascii="宋体" w:hAnsi="宋体" w:eastAsia="宋体"/>
          <w:color w:val="auto"/>
          <w:sz w:val="21"/>
          <w:szCs w:val="21"/>
        </w:rPr>
        <w:t>保证金</w:t>
      </w:r>
      <w:bookmarkEnd w:id="54"/>
      <w:bookmarkEnd w:id="55"/>
      <w:bookmarkEnd w:id="56"/>
      <w:bookmarkEnd w:id="57"/>
    </w:p>
    <w:p w14:paraId="7F5BF69C">
      <w:pPr>
        <w:spacing w:line="460" w:lineRule="exact"/>
        <w:rPr>
          <w:rFonts w:ascii="宋体" w:hAnsi="宋体"/>
          <w:color w:val="auto"/>
          <w:szCs w:val="21"/>
        </w:rPr>
      </w:pPr>
      <w:r>
        <w:rPr>
          <w:rFonts w:hint="eastAsia" w:ascii="宋体" w:hAnsi="宋体"/>
          <w:color w:val="auto"/>
          <w:szCs w:val="21"/>
        </w:rPr>
        <w:t xml:space="preserve">    本项目不收取磋商保证金</w:t>
      </w:r>
    </w:p>
    <w:p w14:paraId="62E04389">
      <w:pPr>
        <w:tabs>
          <w:tab w:val="left" w:pos="458"/>
        </w:tabs>
        <w:spacing w:line="460" w:lineRule="exact"/>
        <w:rPr>
          <w:rFonts w:ascii="宋体" w:hAnsi="宋体"/>
          <w:b/>
          <w:color w:val="auto"/>
          <w:szCs w:val="21"/>
        </w:rPr>
      </w:pPr>
      <w:bookmarkStart w:id="58" w:name="_Toc239659104"/>
      <w:r>
        <w:rPr>
          <w:rFonts w:ascii="宋体" w:hAnsi="宋体"/>
          <w:b/>
          <w:color w:val="auto"/>
          <w:szCs w:val="21"/>
        </w:rPr>
        <w:t>12.磋商预备</w:t>
      </w:r>
      <w:bookmarkEnd w:id="58"/>
    </w:p>
    <w:p w14:paraId="2961FC44">
      <w:pPr>
        <w:spacing w:line="460" w:lineRule="exact"/>
        <w:rPr>
          <w:rFonts w:ascii="宋体" w:hAnsi="宋体"/>
          <w:color w:val="auto"/>
          <w:szCs w:val="21"/>
        </w:rPr>
      </w:pPr>
      <w:r>
        <w:rPr>
          <w:rFonts w:ascii="宋体" w:hAnsi="宋体"/>
          <w:color w:val="auto"/>
          <w:szCs w:val="21"/>
        </w:rPr>
        <w:t xml:space="preserve">    12.1 勘察现场</w:t>
      </w:r>
    </w:p>
    <w:p w14:paraId="78C1DEFD">
      <w:pPr>
        <w:spacing w:line="460" w:lineRule="exact"/>
        <w:ind w:firstLine="420" w:firstLineChars="200"/>
        <w:rPr>
          <w:rFonts w:ascii="宋体" w:hAnsi="宋体"/>
          <w:color w:val="auto"/>
          <w:szCs w:val="21"/>
        </w:rPr>
      </w:pPr>
      <w:r>
        <w:rPr>
          <w:rFonts w:ascii="宋体" w:hAnsi="宋体"/>
          <w:color w:val="auto"/>
          <w:szCs w:val="21"/>
        </w:rPr>
        <w:t>12.1.1</w:t>
      </w:r>
      <w:r>
        <w:rPr>
          <w:rFonts w:hint="eastAsia" w:ascii="宋体" w:hAnsi="宋体"/>
          <w:color w:val="auto"/>
          <w:szCs w:val="21"/>
        </w:rPr>
        <w:t>采购人不组织现场踏勘</w:t>
      </w:r>
    </w:p>
    <w:p w14:paraId="7CED2E01">
      <w:pPr>
        <w:spacing w:line="460" w:lineRule="exact"/>
        <w:ind w:firstLine="480"/>
        <w:rPr>
          <w:rFonts w:ascii="宋体" w:hAnsi="宋体"/>
          <w:color w:val="auto"/>
          <w:szCs w:val="21"/>
        </w:rPr>
      </w:pPr>
      <w:r>
        <w:rPr>
          <w:rFonts w:ascii="宋体" w:hAnsi="宋体"/>
          <w:color w:val="auto"/>
          <w:szCs w:val="21"/>
        </w:rPr>
        <w:t>12.2 磋商答疑</w:t>
      </w:r>
    </w:p>
    <w:p w14:paraId="33D0668B">
      <w:pPr>
        <w:spacing w:line="460" w:lineRule="exact"/>
        <w:ind w:firstLine="480"/>
        <w:rPr>
          <w:rFonts w:ascii="宋体" w:hAnsi="宋体"/>
          <w:color w:val="auto"/>
          <w:szCs w:val="21"/>
        </w:rPr>
      </w:pPr>
      <w:r>
        <w:rPr>
          <w:rFonts w:ascii="宋体" w:hAnsi="宋体"/>
          <w:color w:val="auto"/>
          <w:szCs w:val="21"/>
        </w:rPr>
        <w:t xml:space="preserve">12.2.1 </w:t>
      </w:r>
      <w:r>
        <w:rPr>
          <w:rFonts w:hint="eastAsia" w:ascii="宋体" w:hAnsi="宋体"/>
          <w:color w:val="auto"/>
          <w:szCs w:val="21"/>
        </w:rPr>
        <w:t>供应商</w:t>
      </w:r>
      <w:r>
        <w:rPr>
          <w:rFonts w:ascii="宋体" w:hAnsi="宋体"/>
          <w:color w:val="auto"/>
          <w:szCs w:val="21"/>
        </w:rPr>
        <w:t>提出的与磋商有关的任何问题须在磋商截止日期前，以书面形式送达采购人处。如果</w:t>
      </w:r>
      <w:r>
        <w:rPr>
          <w:rFonts w:hint="eastAsia" w:ascii="宋体" w:hAnsi="宋体"/>
          <w:color w:val="auto"/>
          <w:szCs w:val="21"/>
        </w:rPr>
        <w:t>供应商</w:t>
      </w:r>
      <w:r>
        <w:rPr>
          <w:rFonts w:ascii="宋体" w:hAnsi="宋体"/>
          <w:color w:val="auto"/>
          <w:szCs w:val="21"/>
        </w:rPr>
        <w:t>在规定的时间内提出的问题在</w:t>
      </w:r>
      <w:r>
        <w:rPr>
          <w:rFonts w:hint="eastAsia" w:ascii="宋体" w:hAnsi="宋体"/>
          <w:color w:val="auto"/>
          <w:szCs w:val="21"/>
        </w:rPr>
        <w:t>采购</w:t>
      </w:r>
      <w:r>
        <w:rPr>
          <w:rFonts w:ascii="宋体" w:hAnsi="宋体"/>
          <w:color w:val="auto"/>
          <w:szCs w:val="21"/>
        </w:rPr>
        <w:t>补遗文件中未得到书面解答的，应立即以书面形式报告</w:t>
      </w:r>
      <w:r>
        <w:rPr>
          <w:rFonts w:hint="eastAsia" w:ascii="宋体" w:hAnsi="宋体"/>
          <w:color w:val="auto"/>
          <w:szCs w:val="21"/>
        </w:rPr>
        <w:t>政府采购监督管理部门</w:t>
      </w:r>
      <w:r>
        <w:rPr>
          <w:rFonts w:ascii="宋体" w:hAnsi="宋体"/>
          <w:color w:val="auto"/>
          <w:szCs w:val="21"/>
        </w:rPr>
        <w:t>，否则将视为提出的问题不再需要答复。</w:t>
      </w:r>
    </w:p>
    <w:p w14:paraId="352DEF02">
      <w:pPr>
        <w:spacing w:line="460" w:lineRule="exact"/>
        <w:ind w:firstLine="435"/>
        <w:rPr>
          <w:rFonts w:ascii="宋体" w:hAnsi="宋体"/>
          <w:color w:val="auto"/>
          <w:szCs w:val="21"/>
        </w:rPr>
      </w:pPr>
      <w:r>
        <w:rPr>
          <w:rFonts w:ascii="宋体" w:hAnsi="宋体"/>
          <w:color w:val="auto"/>
          <w:szCs w:val="21"/>
        </w:rPr>
        <w:t>12.2.</w:t>
      </w:r>
      <w:r>
        <w:rPr>
          <w:rFonts w:hint="eastAsia" w:ascii="宋体" w:hAnsi="宋体"/>
          <w:color w:val="auto"/>
          <w:szCs w:val="21"/>
        </w:rPr>
        <w:t>2采购</w:t>
      </w:r>
      <w:r>
        <w:rPr>
          <w:rFonts w:ascii="宋体" w:hAnsi="宋体"/>
          <w:color w:val="auto"/>
          <w:szCs w:val="21"/>
        </w:rPr>
        <w:t>补遗文件包括所有问题和答复，补遗文件将迅速提供给所有获得磋商文件的</w:t>
      </w:r>
      <w:r>
        <w:rPr>
          <w:rFonts w:hint="eastAsia" w:ascii="宋体" w:hAnsi="宋体"/>
          <w:color w:val="auto"/>
          <w:szCs w:val="21"/>
        </w:rPr>
        <w:t>供应商</w:t>
      </w:r>
      <w:r>
        <w:rPr>
          <w:rFonts w:ascii="宋体" w:hAnsi="宋体"/>
          <w:color w:val="auto"/>
          <w:szCs w:val="21"/>
        </w:rPr>
        <w:t>。由于</w:t>
      </w:r>
      <w:r>
        <w:rPr>
          <w:rFonts w:hint="eastAsia" w:ascii="宋体" w:hAnsi="宋体"/>
          <w:color w:val="auto"/>
          <w:szCs w:val="21"/>
        </w:rPr>
        <w:t>供应商</w:t>
      </w:r>
      <w:r>
        <w:rPr>
          <w:rFonts w:ascii="宋体" w:hAnsi="宋体"/>
          <w:color w:val="auto"/>
          <w:szCs w:val="21"/>
        </w:rPr>
        <w:t>书面提出而产生的对本须知4.1款中所列磋商文件的修改，由采购人按照本须知第6条的规定，以补充通知的方式发出。</w:t>
      </w:r>
    </w:p>
    <w:p w14:paraId="6DA2745B">
      <w:pPr>
        <w:pStyle w:val="3"/>
        <w:spacing w:before="0" w:after="0" w:line="460" w:lineRule="exact"/>
        <w:rPr>
          <w:rFonts w:ascii="宋体" w:hAnsi="宋体" w:eastAsia="宋体"/>
          <w:color w:val="auto"/>
          <w:sz w:val="21"/>
          <w:szCs w:val="21"/>
        </w:rPr>
      </w:pPr>
      <w:bookmarkStart w:id="59" w:name="_Toc346264277"/>
      <w:bookmarkStart w:id="60" w:name="_Toc80818626"/>
      <w:bookmarkStart w:id="61" w:name="_Toc18682814"/>
      <w:bookmarkStart w:id="62" w:name="_Toc239659105"/>
      <w:r>
        <w:rPr>
          <w:rFonts w:ascii="宋体" w:hAnsi="宋体" w:eastAsia="宋体"/>
          <w:color w:val="auto"/>
          <w:sz w:val="21"/>
          <w:szCs w:val="21"/>
        </w:rPr>
        <w:t>13.</w:t>
      </w:r>
      <w:r>
        <w:rPr>
          <w:rFonts w:hint="eastAsia" w:ascii="宋体" w:hAnsi="宋体" w:eastAsia="宋体"/>
          <w:color w:val="auto"/>
          <w:sz w:val="21"/>
          <w:szCs w:val="21"/>
        </w:rPr>
        <w:t>响应文件</w:t>
      </w:r>
      <w:r>
        <w:rPr>
          <w:rFonts w:ascii="宋体" w:hAnsi="宋体" w:eastAsia="宋体"/>
          <w:color w:val="auto"/>
          <w:sz w:val="21"/>
          <w:szCs w:val="21"/>
        </w:rPr>
        <w:t>的份数和签署</w:t>
      </w:r>
      <w:bookmarkEnd w:id="59"/>
      <w:bookmarkEnd w:id="60"/>
      <w:bookmarkEnd w:id="61"/>
      <w:bookmarkEnd w:id="62"/>
    </w:p>
    <w:p w14:paraId="76327CFB">
      <w:pPr>
        <w:spacing w:line="460" w:lineRule="exact"/>
        <w:ind w:firstLine="457" w:firstLineChars="218"/>
        <w:rPr>
          <w:rFonts w:ascii="宋体" w:hAnsi="宋体"/>
          <w:color w:val="auto"/>
          <w:szCs w:val="21"/>
        </w:rPr>
      </w:pPr>
      <w:r>
        <w:rPr>
          <w:rFonts w:ascii="宋体" w:hAnsi="宋体"/>
          <w:color w:val="auto"/>
          <w:szCs w:val="21"/>
        </w:rPr>
        <w:t xml:space="preserve">13.1 </w:t>
      </w:r>
      <w:r>
        <w:rPr>
          <w:rFonts w:hint="eastAsia" w:ascii="宋体" w:hAnsi="宋体"/>
          <w:color w:val="auto"/>
          <w:szCs w:val="21"/>
        </w:rPr>
        <w:t>供应商</w:t>
      </w:r>
      <w:r>
        <w:rPr>
          <w:rFonts w:ascii="宋体" w:hAnsi="宋体"/>
          <w:color w:val="auto"/>
          <w:szCs w:val="21"/>
        </w:rPr>
        <w:t>按本须知“前附表第</w:t>
      </w:r>
      <w:r>
        <w:rPr>
          <w:rFonts w:hint="eastAsia" w:ascii="宋体" w:hAnsi="宋体"/>
          <w:color w:val="auto"/>
          <w:szCs w:val="21"/>
        </w:rPr>
        <w:t>16</w:t>
      </w:r>
      <w:r>
        <w:rPr>
          <w:rFonts w:ascii="宋体" w:hAnsi="宋体"/>
          <w:color w:val="auto"/>
          <w:szCs w:val="21"/>
        </w:rPr>
        <w:t>项”的规定，编制</w:t>
      </w:r>
      <w:r>
        <w:rPr>
          <w:rFonts w:hint="eastAsia" w:ascii="宋体" w:hAnsi="Calibri"/>
          <w:snapToGrid w:val="0"/>
          <w:color w:val="auto"/>
          <w:szCs w:val="21"/>
        </w:rPr>
        <w:t>电子加密响应文件及电子备份响应文件</w:t>
      </w:r>
      <w:r>
        <w:rPr>
          <w:rFonts w:ascii="宋体" w:hAnsi="宋体"/>
          <w:color w:val="auto"/>
          <w:szCs w:val="21"/>
        </w:rPr>
        <w:t>。</w:t>
      </w:r>
    </w:p>
    <w:p w14:paraId="0897B421">
      <w:pPr>
        <w:spacing w:line="460" w:lineRule="exact"/>
        <w:ind w:firstLine="409" w:firstLineChars="195"/>
        <w:rPr>
          <w:rFonts w:ascii="宋体" w:hAnsi="宋体"/>
          <w:color w:val="auto"/>
          <w:szCs w:val="21"/>
        </w:rPr>
      </w:pPr>
      <w:r>
        <w:rPr>
          <w:rFonts w:ascii="宋体" w:hAnsi="宋体"/>
          <w:color w:val="auto"/>
          <w:szCs w:val="21"/>
        </w:rPr>
        <w:t>13.2</w:t>
      </w:r>
      <w:r>
        <w:rPr>
          <w:rFonts w:hint="eastAsia" w:ascii="宋体" w:hAnsi="宋体"/>
          <w:color w:val="auto"/>
          <w:szCs w:val="21"/>
        </w:rPr>
        <w:t>供应商应按本磋商文件规定的格式和顺序编制响应文件并标注页码，响应文件内容不完整、编排混乱导致磋商文件被误读、漏读或者查找不到相关内容的，是供应商的责任。供应商的响应文件应按磋商文件提供格式的规定位置加盖供应商单位公章，法定代表人或授权委托代理人签署。</w:t>
      </w:r>
    </w:p>
    <w:p w14:paraId="3A8C0970">
      <w:pPr>
        <w:adjustRightInd w:val="0"/>
        <w:snapToGrid w:val="0"/>
        <w:spacing w:line="460" w:lineRule="exact"/>
        <w:ind w:firstLine="420"/>
        <w:jc w:val="left"/>
        <w:rPr>
          <w:rFonts w:ascii="宋体" w:hAnsi="宋体" w:cs="仿宋_GB2312"/>
          <w:b/>
          <w:color w:val="auto"/>
          <w:kern w:val="0"/>
          <w:szCs w:val="21"/>
          <w:lang w:val="zh-CN"/>
        </w:rPr>
      </w:pPr>
      <w:bookmarkStart w:id="63" w:name="_Hlk87631003"/>
      <w:r>
        <w:rPr>
          <w:rFonts w:hint="eastAsia" w:ascii="宋体"/>
          <w:b/>
          <w:snapToGrid w:val="0"/>
          <w:color w:val="auto"/>
          <w:szCs w:val="21"/>
        </w:rPr>
        <w:t>响应文件（包含电子备份响应文件），其中电子响应文件中所须加盖单位公章部分均采用 CA 签章。若磋商文件中有专门标注的某关联点，并要求供应商在电子投标系统中作出磋商响应的，如供应商未对关联点进行响应或者在响应文件其它内容进行描述，造成电子评审不能查询的责任</w:t>
      </w:r>
      <w:r>
        <w:rPr>
          <w:rFonts w:hint="eastAsia" w:ascii="宋体" w:hAnsi="宋体" w:cs="仿宋_GB2312"/>
          <w:b/>
          <w:color w:val="auto"/>
          <w:kern w:val="0"/>
          <w:szCs w:val="21"/>
          <w:lang w:val="zh-CN"/>
        </w:rPr>
        <w:t>由</w:t>
      </w:r>
      <w:r>
        <w:rPr>
          <w:rFonts w:hint="eastAsia" w:ascii="宋体"/>
          <w:b/>
          <w:snapToGrid w:val="0"/>
          <w:color w:val="auto"/>
          <w:szCs w:val="21"/>
        </w:rPr>
        <w:t>供应商</w:t>
      </w:r>
      <w:r>
        <w:rPr>
          <w:rFonts w:hint="eastAsia" w:ascii="宋体" w:hAnsi="宋体" w:cs="仿宋_GB2312"/>
          <w:b/>
          <w:color w:val="auto"/>
          <w:kern w:val="0"/>
          <w:szCs w:val="21"/>
          <w:lang w:val="zh-CN"/>
        </w:rPr>
        <w:t>自行承担。</w:t>
      </w:r>
    </w:p>
    <w:bookmarkEnd w:id="63"/>
    <w:p w14:paraId="65260CF6">
      <w:pPr>
        <w:spacing w:line="460" w:lineRule="exact"/>
        <w:ind w:firstLine="409" w:firstLineChars="195"/>
        <w:rPr>
          <w:rFonts w:ascii="宋体" w:hAnsi="宋体" w:cs="仿宋_GB2312"/>
          <w:color w:val="auto"/>
          <w:kern w:val="0"/>
          <w:szCs w:val="21"/>
          <w:lang w:val="zh-CN"/>
        </w:rPr>
      </w:pPr>
      <w:r>
        <w:rPr>
          <w:rFonts w:ascii="宋体" w:hAnsi="宋体"/>
          <w:color w:val="auto"/>
          <w:szCs w:val="21"/>
        </w:rPr>
        <w:t>13.3</w:t>
      </w:r>
      <w:r>
        <w:rPr>
          <w:rFonts w:hint="eastAsia" w:ascii="宋体" w:hAnsi="宋体" w:cs="仿宋_GB2312"/>
          <w:color w:val="auto"/>
          <w:kern w:val="0"/>
          <w:szCs w:val="21"/>
          <w:lang w:val="zh-CN"/>
        </w:rPr>
        <w:t>响应文件不得涂改，若有修改错漏处，须加盖单位公章或者法定代表人或授权委托人签</w:t>
      </w:r>
      <w:r>
        <w:rPr>
          <w:rFonts w:hint="eastAsia" w:ascii="宋体" w:hAnsi="宋体"/>
          <w:color w:val="auto"/>
          <w:szCs w:val="21"/>
        </w:rPr>
        <w:t>署</w:t>
      </w:r>
      <w:r>
        <w:rPr>
          <w:rFonts w:hint="eastAsia" w:ascii="宋体" w:hAnsi="宋体" w:cs="仿宋_GB2312"/>
          <w:color w:val="auto"/>
          <w:kern w:val="0"/>
          <w:szCs w:val="21"/>
          <w:lang w:val="zh-CN"/>
        </w:rPr>
        <w:t>。响应文件因扫描不清晰或乱码或表达不清所引起的后果由</w:t>
      </w:r>
      <w:r>
        <w:rPr>
          <w:rFonts w:hint="eastAsia" w:ascii="宋体" w:hAnsi="宋体"/>
          <w:color w:val="auto"/>
          <w:szCs w:val="21"/>
        </w:rPr>
        <w:t>供应商</w:t>
      </w:r>
      <w:r>
        <w:rPr>
          <w:rFonts w:hint="eastAsia" w:ascii="宋体" w:hAnsi="宋体" w:cs="仿宋_GB2312"/>
          <w:color w:val="auto"/>
          <w:kern w:val="0"/>
          <w:szCs w:val="21"/>
          <w:lang w:val="zh-CN"/>
        </w:rPr>
        <w:t>负责。</w:t>
      </w:r>
    </w:p>
    <w:p w14:paraId="12C689FB">
      <w:pPr>
        <w:adjustRightInd w:val="0"/>
        <w:snapToGrid w:val="0"/>
        <w:spacing w:line="460" w:lineRule="exact"/>
        <w:ind w:firstLine="420"/>
        <w:jc w:val="left"/>
        <w:rPr>
          <w:rFonts w:ascii="宋体" w:hAnsi="宋体" w:cs="仿宋_GB2312"/>
          <w:color w:val="auto"/>
          <w:kern w:val="0"/>
          <w:szCs w:val="21"/>
          <w:lang w:val="zh-CN"/>
        </w:rPr>
      </w:pPr>
      <w:bookmarkStart w:id="64" w:name="_Hlk87631030"/>
      <w:r>
        <w:rPr>
          <w:rFonts w:hint="eastAsia" w:ascii="宋体" w:hAnsi="宋体" w:cs="仿宋_GB2312"/>
          <w:color w:val="auto"/>
          <w:kern w:val="0"/>
          <w:szCs w:val="21"/>
          <w:lang w:val="zh-CN"/>
        </w:rPr>
        <w:t>13.4</w:t>
      </w:r>
      <w:r>
        <w:rPr>
          <w:rFonts w:hint="eastAsia" w:ascii="宋体" w:hAnsi="宋体"/>
          <w:color w:val="auto"/>
          <w:szCs w:val="21"/>
        </w:rPr>
        <w:t>供应商</w:t>
      </w:r>
      <w:r>
        <w:rPr>
          <w:rFonts w:hint="eastAsia" w:ascii="宋体" w:hAnsi="宋体" w:cs="仿宋_GB2312"/>
          <w:color w:val="auto"/>
          <w:kern w:val="0"/>
          <w:szCs w:val="21"/>
          <w:lang w:val="zh-CN"/>
        </w:rPr>
        <w:t>应将电子备份响应文件装入到一个响应文件袋内加以密封（要求文件袋无明显缝隙露出袋内文件），电子备份响应文件袋在每一封贴处密封签章（公章、密封章、法定代表人（负责人）、委托代理人签字等均可）。电子备份响应文件袋外层包装封面上应标记“供应商名称、供应商地址、项目名称、项目编号、所投分标及磋商截止时间前不得启封”字样。逾期送达或者未按照磋商文件要求密封的电子备份响应文件将被拒</w:t>
      </w:r>
      <w:r>
        <w:rPr>
          <w:rFonts w:hint="eastAsia" w:ascii="宋体" w:hAnsi="宋体" w:cs="Arial"/>
          <w:color w:val="auto"/>
          <w:kern w:val="0"/>
          <w:szCs w:val="21"/>
        </w:rPr>
        <w:t>收</w:t>
      </w:r>
      <w:r>
        <w:rPr>
          <w:rFonts w:hint="eastAsia" w:ascii="宋体" w:hAnsi="宋体" w:cs="仿宋_GB2312"/>
          <w:color w:val="auto"/>
          <w:kern w:val="0"/>
          <w:szCs w:val="21"/>
          <w:lang w:val="zh-CN"/>
        </w:rPr>
        <w:t>，由此造成电子备份响应文件被误投或提前拆封的风险由</w:t>
      </w:r>
      <w:r>
        <w:rPr>
          <w:rFonts w:hint="eastAsia" w:ascii="宋体" w:hAnsi="宋体"/>
          <w:color w:val="auto"/>
          <w:szCs w:val="21"/>
        </w:rPr>
        <w:t>供应商</w:t>
      </w:r>
      <w:r>
        <w:rPr>
          <w:rFonts w:hint="eastAsia" w:ascii="宋体" w:hAnsi="宋体" w:cs="仿宋_GB2312"/>
          <w:color w:val="auto"/>
          <w:kern w:val="0"/>
          <w:szCs w:val="21"/>
          <w:lang w:val="zh-CN"/>
        </w:rPr>
        <w:t>承担。</w:t>
      </w:r>
    </w:p>
    <w:bookmarkEnd w:id="64"/>
    <w:p w14:paraId="0F57D8A5">
      <w:pPr>
        <w:pStyle w:val="3"/>
        <w:spacing w:before="0" w:after="0" w:line="460" w:lineRule="exact"/>
        <w:rPr>
          <w:rFonts w:ascii="宋体" w:hAnsi="宋体" w:eastAsia="宋体"/>
          <w:color w:val="auto"/>
          <w:sz w:val="21"/>
          <w:szCs w:val="21"/>
        </w:rPr>
      </w:pPr>
      <w:bookmarkStart w:id="65" w:name="_Toc346264278"/>
      <w:bookmarkStart w:id="66" w:name="_Toc80818627"/>
      <w:bookmarkStart w:id="67" w:name="_Toc239659106"/>
      <w:bookmarkStart w:id="68" w:name="_Toc18682815"/>
      <w:r>
        <w:rPr>
          <w:rFonts w:ascii="宋体" w:hAnsi="宋体" w:eastAsia="宋体"/>
          <w:color w:val="auto"/>
          <w:sz w:val="21"/>
          <w:szCs w:val="21"/>
        </w:rPr>
        <w:t>14.</w:t>
      </w:r>
      <w:r>
        <w:rPr>
          <w:rFonts w:hint="eastAsia" w:ascii="宋体" w:hAnsi="宋体" w:eastAsia="宋体"/>
          <w:color w:val="auto"/>
          <w:sz w:val="21"/>
          <w:szCs w:val="21"/>
        </w:rPr>
        <w:t>响应文件</w:t>
      </w:r>
      <w:r>
        <w:rPr>
          <w:rFonts w:ascii="宋体" w:hAnsi="宋体" w:eastAsia="宋体"/>
          <w:color w:val="auto"/>
          <w:sz w:val="21"/>
          <w:szCs w:val="21"/>
        </w:rPr>
        <w:t>提交截止时间</w:t>
      </w:r>
      <w:bookmarkEnd w:id="65"/>
      <w:bookmarkEnd w:id="66"/>
      <w:bookmarkEnd w:id="67"/>
      <w:bookmarkEnd w:id="68"/>
    </w:p>
    <w:p w14:paraId="2D05C685">
      <w:pPr>
        <w:spacing w:line="460" w:lineRule="exact"/>
        <w:rPr>
          <w:rFonts w:ascii="宋体" w:hAnsi="宋体"/>
          <w:color w:val="auto"/>
          <w:szCs w:val="21"/>
        </w:rPr>
      </w:pPr>
      <w:r>
        <w:rPr>
          <w:rFonts w:ascii="宋体" w:hAnsi="宋体"/>
          <w:color w:val="auto"/>
          <w:szCs w:val="21"/>
        </w:rPr>
        <w:t xml:space="preserve">    14.1 </w:t>
      </w:r>
      <w:r>
        <w:rPr>
          <w:rFonts w:hint="eastAsia" w:ascii="宋体" w:hAnsi="宋体"/>
          <w:color w:val="auto"/>
          <w:szCs w:val="21"/>
        </w:rPr>
        <w:t>响应文件</w:t>
      </w:r>
      <w:r>
        <w:rPr>
          <w:rFonts w:ascii="宋体" w:hAnsi="宋体"/>
          <w:color w:val="auto"/>
          <w:szCs w:val="21"/>
        </w:rPr>
        <w:t>提交截止时间：</w:t>
      </w:r>
      <w:r>
        <w:rPr>
          <w:rFonts w:hint="eastAsia" w:ascii="宋体" w:hAnsi="宋体"/>
          <w:color w:val="auto"/>
          <w:szCs w:val="21"/>
        </w:rPr>
        <w:t>按</w:t>
      </w:r>
      <w:r>
        <w:rPr>
          <w:rFonts w:ascii="宋体" w:hAnsi="宋体"/>
          <w:color w:val="auto"/>
          <w:szCs w:val="21"/>
        </w:rPr>
        <w:t>本须知“前附表第</w:t>
      </w:r>
      <w:r>
        <w:rPr>
          <w:rFonts w:hint="eastAsia" w:ascii="宋体" w:hAnsi="宋体"/>
          <w:color w:val="auto"/>
          <w:szCs w:val="21"/>
        </w:rPr>
        <w:t>18</w:t>
      </w:r>
      <w:r>
        <w:rPr>
          <w:rFonts w:ascii="宋体" w:hAnsi="宋体"/>
          <w:color w:val="auto"/>
          <w:szCs w:val="21"/>
        </w:rPr>
        <w:t>项”的规定。</w:t>
      </w:r>
    </w:p>
    <w:p w14:paraId="40E736AC">
      <w:pPr>
        <w:spacing w:line="460" w:lineRule="exact"/>
        <w:ind w:firstLine="435"/>
        <w:rPr>
          <w:rFonts w:ascii="宋体" w:hAnsi="宋体"/>
          <w:color w:val="auto"/>
          <w:szCs w:val="21"/>
        </w:rPr>
      </w:pPr>
      <w:r>
        <w:rPr>
          <w:rFonts w:ascii="宋体" w:hAnsi="宋体"/>
          <w:color w:val="auto"/>
          <w:szCs w:val="21"/>
        </w:rPr>
        <w:t>14.2 采购人可按本须知第6条规定以补充通知的方式，酌情延长提交</w:t>
      </w:r>
      <w:r>
        <w:rPr>
          <w:rFonts w:hint="eastAsia" w:ascii="宋体" w:hAnsi="宋体"/>
          <w:color w:val="auto"/>
          <w:szCs w:val="21"/>
        </w:rPr>
        <w:t>响应文件</w:t>
      </w:r>
      <w:r>
        <w:rPr>
          <w:rFonts w:ascii="宋体" w:hAnsi="宋体"/>
          <w:color w:val="auto"/>
          <w:szCs w:val="21"/>
        </w:rPr>
        <w:t>的截止时间。在上述情况下，采购人与</w:t>
      </w:r>
      <w:r>
        <w:rPr>
          <w:rFonts w:hint="eastAsia" w:ascii="宋体" w:hAnsi="宋体"/>
          <w:color w:val="auto"/>
          <w:szCs w:val="21"/>
        </w:rPr>
        <w:t>供应商</w:t>
      </w:r>
      <w:r>
        <w:rPr>
          <w:rFonts w:ascii="宋体" w:hAnsi="宋体"/>
          <w:color w:val="auto"/>
          <w:szCs w:val="21"/>
        </w:rPr>
        <w:t>的全部权力、责任和义务，将适用于延长后新的</w:t>
      </w:r>
      <w:r>
        <w:rPr>
          <w:rFonts w:hint="eastAsia" w:ascii="宋体" w:hAnsi="宋体"/>
          <w:color w:val="auto"/>
          <w:szCs w:val="21"/>
        </w:rPr>
        <w:t>响应文件</w:t>
      </w:r>
      <w:r>
        <w:rPr>
          <w:rFonts w:ascii="宋体" w:hAnsi="宋体"/>
          <w:color w:val="auto"/>
          <w:szCs w:val="21"/>
        </w:rPr>
        <w:t>提交截止时间。</w:t>
      </w:r>
    </w:p>
    <w:p w14:paraId="6AA59BDE">
      <w:pPr>
        <w:pStyle w:val="3"/>
        <w:spacing w:before="0" w:after="0" w:line="460" w:lineRule="exact"/>
        <w:rPr>
          <w:rFonts w:ascii="宋体" w:hAnsi="宋体" w:eastAsia="宋体"/>
          <w:color w:val="auto"/>
          <w:sz w:val="21"/>
          <w:szCs w:val="21"/>
        </w:rPr>
      </w:pPr>
      <w:bookmarkStart w:id="69" w:name="_Toc239659107"/>
      <w:bookmarkStart w:id="70" w:name="_Toc346264279"/>
      <w:bookmarkStart w:id="71" w:name="_Toc80818628"/>
      <w:bookmarkStart w:id="72" w:name="_Toc18682816"/>
      <w:r>
        <w:rPr>
          <w:rFonts w:ascii="宋体" w:hAnsi="宋体" w:eastAsia="宋体"/>
          <w:color w:val="auto"/>
          <w:sz w:val="21"/>
          <w:szCs w:val="21"/>
        </w:rPr>
        <w:t>15.</w:t>
      </w:r>
      <w:r>
        <w:rPr>
          <w:rFonts w:hint="eastAsia" w:ascii="宋体" w:hAnsi="宋体" w:eastAsia="宋体"/>
          <w:color w:val="auto"/>
          <w:sz w:val="21"/>
          <w:szCs w:val="21"/>
        </w:rPr>
        <w:t>响应文件</w:t>
      </w:r>
      <w:r>
        <w:rPr>
          <w:rFonts w:ascii="宋体" w:hAnsi="宋体" w:eastAsia="宋体"/>
          <w:color w:val="auto"/>
          <w:sz w:val="21"/>
          <w:szCs w:val="21"/>
        </w:rPr>
        <w:t>的提交</w:t>
      </w:r>
      <w:bookmarkEnd w:id="69"/>
      <w:bookmarkEnd w:id="70"/>
      <w:bookmarkEnd w:id="71"/>
      <w:bookmarkEnd w:id="72"/>
    </w:p>
    <w:p w14:paraId="3EAA9CF4">
      <w:pPr>
        <w:spacing w:line="460" w:lineRule="exact"/>
        <w:ind w:firstLine="420" w:firstLineChars="200"/>
        <w:rPr>
          <w:rFonts w:ascii="宋体" w:hAnsi="宋体" w:cs="Arial"/>
          <w:color w:val="auto"/>
          <w:kern w:val="0"/>
          <w:szCs w:val="21"/>
        </w:rPr>
      </w:pPr>
      <w:r>
        <w:rPr>
          <w:rFonts w:hint="eastAsia" w:ascii="宋体" w:hAnsi="宋体" w:cs="Arial"/>
          <w:color w:val="auto"/>
          <w:kern w:val="0"/>
          <w:szCs w:val="21"/>
        </w:rPr>
        <w:t>15.1供应商应当在响应文件提交截止时间前将生成的“电子加密投标文件”上传提交至政采云平台。</w:t>
      </w:r>
      <w:r>
        <w:rPr>
          <w:rFonts w:ascii="宋体" w:hAnsi="宋体" w:cs="Arial"/>
          <w:color w:val="auto"/>
          <w:kern w:val="0"/>
          <w:szCs w:val="21"/>
        </w:rPr>
        <w:t>因未注册入库、未办理CA数字证书、CA证书故障、操作不当等原因造成无法</w:t>
      </w:r>
      <w:r>
        <w:rPr>
          <w:rFonts w:hint="eastAsia" w:ascii="宋体" w:hAnsi="宋体" w:cs="Arial"/>
          <w:color w:val="auto"/>
          <w:kern w:val="0"/>
          <w:szCs w:val="21"/>
        </w:rPr>
        <w:t>响应</w:t>
      </w:r>
      <w:r>
        <w:rPr>
          <w:rFonts w:ascii="宋体" w:hAnsi="宋体" w:cs="Arial"/>
          <w:color w:val="auto"/>
          <w:kern w:val="0"/>
          <w:szCs w:val="21"/>
        </w:rPr>
        <w:t>或</w:t>
      </w:r>
      <w:r>
        <w:rPr>
          <w:rFonts w:hint="eastAsia" w:ascii="宋体" w:hAnsi="宋体" w:cs="Arial"/>
          <w:color w:val="auto"/>
          <w:kern w:val="0"/>
          <w:szCs w:val="21"/>
        </w:rPr>
        <w:t>响应</w:t>
      </w:r>
      <w:r>
        <w:rPr>
          <w:rFonts w:ascii="宋体" w:hAnsi="宋体" w:cs="Arial"/>
          <w:color w:val="auto"/>
          <w:kern w:val="0"/>
          <w:szCs w:val="21"/>
        </w:rPr>
        <w:t>失败等后果由</w:t>
      </w:r>
      <w:r>
        <w:rPr>
          <w:rFonts w:hint="eastAsia" w:ascii="宋体" w:hAnsi="宋体" w:cs="Arial"/>
          <w:color w:val="auto"/>
          <w:kern w:val="0"/>
          <w:szCs w:val="21"/>
        </w:rPr>
        <w:t>供应商</w:t>
      </w:r>
      <w:r>
        <w:rPr>
          <w:rFonts w:ascii="宋体" w:hAnsi="宋体" w:cs="Arial"/>
          <w:color w:val="auto"/>
          <w:kern w:val="0"/>
          <w:szCs w:val="21"/>
        </w:rPr>
        <w:t>自行承担。</w:t>
      </w:r>
    </w:p>
    <w:p w14:paraId="653687FC">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15.2 供应商可以提供以介质（U 盘）存储的数据电文形成的电子备份响应文件。电子备份响应文件应当在响应文件提交截止时间请提交至崇左市城南新区石景林路东段政务服务中心综合楼五楼开标厅，由</w:t>
      </w:r>
      <w:r>
        <w:rPr>
          <w:rFonts w:hint="eastAsia" w:ascii="宋体" w:hAnsi="宋体" w:cs="宋体"/>
          <w:color w:val="auto"/>
          <w:szCs w:val="21"/>
          <w:lang w:eastAsia="zh-CN"/>
        </w:rPr>
        <w:t>代理公司</w:t>
      </w:r>
      <w:r>
        <w:rPr>
          <w:rFonts w:hint="eastAsia" w:ascii="宋体" w:hAnsi="宋体" w:cs="Arial"/>
          <w:color w:val="auto"/>
          <w:kern w:val="0"/>
          <w:szCs w:val="21"/>
        </w:rPr>
        <w:t>接受（不接受邮寄只接受现场提交），逾期送达或未按要求密封将被拒收。</w:t>
      </w:r>
    </w:p>
    <w:p w14:paraId="278B39ED">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本项目拒收到付邮件，通过邮寄方式送达的，请合理安排邮寄时间，因邮寄原因未能在规定时间内送达的后果由供应商自行承担。</w:t>
      </w:r>
    </w:p>
    <w:p w14:paraId="0F439D3D">
      <w:pPr>
        <w:pStyle w:val="3"/>
        <w:spacing w:before="0" w:after="0" w:line="460" w:lineRule="exact"/>
        <w:rPr>
          <w:rFonts w:ascii="宋体" w:hAnsi="宋体" w:eastAsia="宋体"/>
          <w:color w:val="auto"/>
          <w:sz w:val="21"/>
          <w:szCs w:val="21"/>
        </w:rPr>
      </w:pPr>
      <w:bookmarkStart w:id="73" w:name="_Toc346264280"/>
      <w:bookmarkStart w:id="74" w:name="_Toc80818629"/>
      <w:bookmarkStart w:id="75" w:name="_Toc239659108"/>
      <w:bookmarkStart w:id="76" w:name="_Toc18682817"/>
      <w:r>
        <w:rPr>
          <w:rFonts w:ascii="宋体" w:hAnsi="宋体" w:eastAsia="宋体"/>
          <w:color w:val="auto"/>
          <w:sz w:val="21"/>
          <w:szCs w:val="21"/>
        </w:rPr>
        <w:t>16.</w:t>
      </w:r>
      <w:r>
        <w:rPr>
          <w:rFonts w:hint="eastAsia" w:ascii="宋体" w:hAnsi="宋体" w:eastAsia="宋体"/>
          <w:color w:val="auto"/>
          <w:sz w:val="21"/>
          <w:szCs w:val="21"/>
        </w:rPr>
        <w:t>响应文件</w:t>
      </w:r>
      <w:r>
        <w:rPr>
          <w:rFonts w:ascii="宋体" w:hAnsi="宋体" w:eastAsia="宋体"/>
          <w:color w:val="auto"/>
          <w:sz w:val="21"/>
          <w:szCs w:val="21"/>
        </w:rPr>
        <w:t>的修改与撤回</w:t>
      </w:r>
      <w:bookmarkEnd w:id="73"/>
      <w:bookmarkEnd w:id="74"/>
      <w:bookmarkEnd w:id="75"/>
      <w:bookmarkEnd w:id="76"/>
    </w:p>
    <w:p w14:paraId="734165F9">
      <w:pPr>
        <w:spacing w:line="460" w:lineRule="exact"/>
        <w:rPr>
          <w:rFonts w:ascii="宋体" w:hAnsi="宋体" w:cs="Arial"/>
          <w:color w:val="auto"/>
          <w:kern w:val="0"/>
          <w:szCs w:val="21"/>
        </w:rPr>
      </w:pPr>
      <w:bookmarkStart w:id="77" w:name="_Toc18682818"/>
      <w:bookmarkStart w:id="78" w:name="_Toc239659109"/>
      <w:bookmarkStart w:id="79" w:name="_Toc346264281"/>
      <w:r>
        <w:rPr>
          <w:rFonts w:hint="eastAsia" w:ascii="宋体" w:hAnsi="宋体" w:cs="Arial"/>
          <w:color w:val="auto"/>
          <w:kern w:val="0"/>
          <w:szCs w:val="21"/>
        </w:rPr>
        <w:t>响应文件提交截止时间前可以补充、修改或者撤回电子响应文件。补充或者修改电子响应文件的，应当先行撤回原文件，补充、修改后重新传输提交，响应文件提交截止时间前未完成传输的，视为撤回响应文件。</w:t>
      </w:r>
    </w:p>
    <w:p w14:paraId="4705C363">
      <w:pPr>
        <w:spacing w:line="460" w:lineRule="exact"/>
        <w:rPr>
          <w:rFonts w:ascii="宋体" w:hAnsi="宋体"/>
          <w:b/>
          <w:bCs/>
          <w:color w:val="auto"/>
          <w:szCs w:val="21"/>
        </w:rPr>
      </w:pPr>
      <w:r>
        <w:rPr>
          <w:rFonts w:ascii="宋体" w:hAnsi="宋体"/>
          <w:b/>
          <w:bCs/>
          <w:color w:val="auto"/>
          <w:szCs w:val="21"/>
        </w:rPr>
        <w:t>17.</w:t>
      </w:r>
      <w:bookmarkEnd w:id="77"/>
      <w:bookmarkEnd w:id="78"/>
      <w:bookmarkEnd w:id="79"/>
      <w:r>
        <w:rPr>
          <w:rFonts w:hint="eastAsia" w:ascii="宋体" w:hAnsi="宋体"/>
          <w:b/>
          <w:bCs/>
          <w:color w:val="auto"/>
          <w:szCs w:val="21"/>
        </w:rPr>
        <w:t xml:space="preserve"> 响应文件</w:t>
      </w:r>
      <w:r>
        <w:rPr>
          <w:rFonts w:ascii="宋体" w:hAnsi="宋体"/>
          <w:b/>
          <w:bCs/>
          <w:color w:val="auto"/>
          <w:szCs w:val="21"/>
        </w:rPr>
        <w:t>的</w:t>
      </w:r>
      <w:r>
        <w:rPr>
          <w:rFonts w:hint="eastAsia" w:ascii="宋体" w:hAnsi="宋体"/>
          <w:b/>
          <w:bCs/>
          <w:color w:val="auto"/>
          <w:szCs w:val="21"/>
        </w:rPr>
        <w:t>解密</w:t>
      </w:r>
    </w:p>
    <w:p w14:paraId="13712A69">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17.1采购代理机构按磋商文件规定的时间、地点通过“政采云平台”组织磋商、开启响应文件，所有供应商均应当准时在线参加。供应商如不参加磋商会的，视同认可磋商结果，事后不得对采购相关人员、磋商过程和磋商结果提出异议，同时供应商因未在线参加磋商而导致响应文件无法按时解密等一切后果由供应商自己承担。本项目磋商过程实行全程录音、录像监控。</w:t>
      </w:r>
    </w:p>
    <w:p w14:paraId="1DBE324D">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17.2采购代理机构工作人员向各供应商发出电子加密响应文件【开始解密】通知，由供应商按响应文件规定的时间内自行进行响应文件解密。供应商在规定的时间内无法完成已递交的“电子加密投标文件”解密的，如已按规定递交了电子备份响应文件的，将由采购组织机构按“政府采购云平台”操作规范将备份响应文件上传至“政府采购云平台”，上传成功后，“电子加密投标文件”自动失效。如未提供备份电子响应文件，将不进行再次解密程序。无法在线解密视为供应商放弃磋商。在线解密时间为 30 分钟。</w:t>
      </w:r>
    </w:p>
    <w:p w14:paraId="7BD391FA">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17.3响应</w:t>
      </w:r>
      <w:r>
        <w:rPr>
          <w:rFonts w:ascii="宋体" w:hAnsi="宋体" w:cs="Courier New"/>
          <w:color w:val="auto"/>
          <w:szCs w:val="21"/>
        </w:rPr>
        <w:t>文件解密结束，</w:t>
      </w:r>
      <w:r>
        <w:rPr>
          <w:rFonts w:hint="eastAsia" w:ascii="宋体" w:hAnsi="宋体" w:cs="Courier New"/>
          <w:color w:val="auto"/>
          <w:szCs w:val="21"/>
        </w:rPr>
        <w:t>磋商活动组织人员在线开</w:t>
      </w:r>
      <w:r>
        <w:rPr>
          <w:rFonts w:ascii="宋体" w:hAnsi="宋体" w:cs="Courier New"/>
          <w:color w:val="auto"/>
          <w:szCs w:val="21"/>
        </w:rPr>
        <w:t>启</w:t>
      </w:r>
      <w:r>
        <w:rPr>
          <w:rFonts w:hint="eastAsia" w:ascii="宋体" w:hAnsi="宋体" w:cs="Courier New"/>
          <w:color w:val="auto"/>
          <w:szCs w:val="21"/>
        </w:rPr>
        <w:t>报价文件。供应商在线制作响应文件时填写的报价金额</w:t>
      </w:r>
      <w:r>
        <w:rPr>
          <w:rFonts w:ascii="宋体" w:hAnsi="宋体" w:cs="Courier New"/>
          <w:color w:val="auto"/>
          <w:szCs w:val="21"/>
        </w:rPr>
        <w:t>与解密后“电子加密投标文件”中《</w:t>
      </w:r>
      <w:r>
        <w:rPr>
          <w:rFonts w:hint="eastAsia" w:ascii="宋体" w:hAnsi="宋体" w:cs="Courier New"/>
          <w:color w:val="auto"/>
          <w:szCs w:val="21"/>
        </w:rPr>
        <w:t>磋商函</w:t>
      </w:r>
      <w:r>
        <w:rPr>
          <w:rFonts w:ascii="宋体" w:hAnsi="宋体" w:cs="Courier New"/>
          <w:color w:val="auto"/>
          <w:szCs w:val="21"/>
        </w:rPr>
        <w:t>》填写的金额不一致的，以解密后“电子加密投标文件”中《</w:t>
      </w:r>
      <w:r>
        <w:rPr>
          <w:rFonts w:hint="eastAsia" w:ascii="宋体" w:hAnsi="宋体" w:cs="Courier New"/>
          <w:color w:val="auto"/>
          <w:szCs w:val="21"/>
        </w:rPr>
        <w:t>磋商函</w:t>
      </w:r>
      <w:r>
        <w:rPr>
          <w:rFonts w:ascii="宋体" w:hAnsi="宋体" w:cs="Courier New"/>
          <w:color w:val="auto"/>
          <w:szCs w:val="21"/>
        </w:rPr>
        <w:t>》填写的金额为准，</w:t>
      </w:r>
      <w:r>
        <w:rPr>
          <w:rFonts w:hint="eastAsia" w:ascii="宋体" w:hAnsi="宋体" w:cs="Courier New"/>
          <w:color w:val="auto"/>
          <w:szCs w:val="21"/>
        </w:rPr>
        <w:t>供应商</w:t>
      </w:r>
      <w:r>
        <w:rPr>
          <w:rFonts w:ascii="宋体" w:hAnsi="宋体" w:cs="Courier New"/>
          <w:color w:val="auto"/>
          <w:szCs w:val="21"/>
        </w:rPr>
        <w:t>拒绝接受此调整的，按无效</w:t>
      </w:r>
      <w:r>
        <w:rPr>
          <w:rFonts w:hint="eastAsia" w:ascii="宋体" w:hAnsi="宋体" w:cs="Courier New"/>
          <w:color w:val="auto"/>
          <w:szCs w:val="21"/>
        </w:rPr>
        <w:t>响应</w:t>
      </w:r>
      <w:r>
        <w:rPr>
          <w:rFonts w:ascii="宋体" w:hAnsi="宋体" w:cs="Courier New"/>
          <w:color w:val="auto"/>
          <w:szCs w:val="21"/>
        </w:rPr>
        <w:t>处理。</w:t>
      </w:r>
    </w:p>
    <w:p w14:paraId="5EA26779">
      <w:pPr>
        <w:adjustRightInd w:val="0"/>
        <w:snapToGrid w:val="0"/>
        <w:spacing w:line="460" w:lineRule="exact"/>
        <w:ind w:firstLine="422" w:firstLineChars="200"/>
        <w:rPr>
          <w:rFonts w:ascii="宋体" w:hAnsi="宋体" w:cs="Arial"/>
          <w:color w:val="auto"/>
          <w:kern w:val="0"/>
          <w:szCs w:val="21"/>
        </w:rPr>
      </w:pPr>
      <w:r>
        <w:rPr>
          <w:rFonts w:ascii="宋体" w:hAnsi="宋体" w:cs="Courier New"/>
          <w:b/>
          <w:bCs/>
          <w:color w:val="auto"/>
          <w:szCs w:val="21"/>
        </w:rPr>
        <w:t>特别说明：如遇“政采云平台”电子化开标或评审程序调整的，按调整后程序执行。</w:t>
      </w:r>
    </w:p>
    <w:p w14:paraId="3CFE4A2B">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17.4在响应文件提交截止时间止提交响应文件的供应商不足 3 家时，不得开标，应当由供应商法定代表人或者委托代理人签字领回电子备份响应文件（电子备份响应文件采用邮寄方式提交的，以到付的方式寄回至原地址），除此之外采购人和采购代理机构对已提交的响应文件概不退回。</w:t>
      </w:r>
    </w:p>
    <w:p w14:paraId="646F048D">
      <w:pPr>
        <w:pStyle w:val="3"/>
        <w:spacing w:before="0" w:after="0" w:line="460" w:lineRule="exact"/>
        <w:rPr>
          <w:rFonts w:ascii="宋体" w:hAnsi="宋体" w:eastAsia="宋体"/>
          <w:color w:val="auto"/>
          <w:sz w:val="21"/>
          <w:szCs w:val="21"/>
        </w:rPr>
      </w:pPr>
      <w:bookmarkStart w:id="80" w:name="_Toc239659110"/>
      <w:bookmarkStart w:id="81" w:name="_Toc18682819"/>
      <w:bookmarkStart w:id="82" w:name="_Toc80818630"/>
      <w:bookmarkStart w:id="83" w:name="_Toc346264282"/>
      <w:r>
        <w:rPr>
          <w:rFonts w:ascii="宋体" w:hAnsi="宋体" w:eastAsia="宋体"/>
          <w:color w:val="auto"/>
          <w:sz w:val="21"/>
          <w:szCs w:val="21"/>
        </w:rPr>
        <w:t>18.评标内容的保密</w:t>
      </w:r>
      <w:bookmarkEnd w:id="80"/>
      <w:bookmarkEnd w:id="81"/>
      <w:bookmarkEnd w:id="82"/>
      <w:bookmarkEnd w:id="83"/>
    </w:p>
    <w:p w14:paraId="46B260CF">
      <w:pPr>
        <w:spacing w:line="460" w:lineRule="exact"/>
        <w:rPr>
          <w:rFonts w:ascii="宋体" w:hAnsi="宋体"/>
          <w:color w:val="auto"/>
          <w:szCs w:val="21"/>
        </w:rPr>
      </w:pPr>
      <w:r>
        <w:rPr>
          <w:rFonts w:ascii="宋体" w:hAnsi="宋体"/>
          <w:color w:val="auto"/>
          <w:szCs w:val="21"/>
        </w:rPr>
        <w:t xml:space="preserve">    18.1</w:t>
      </w:r>
      <w:r>
        <w:rPr>
          <w:rFonts w:hint="eastAsia" w:ascii="宋体" w:hAnsi="宋体"/>
          <w:color w:val="auto"/>
          <w:szCs w:val="21"/>
        </w:rPr>
        <w:t>采购人、采购代理机构应当按照政府采购法和政府采购竞争性磋商采购方式管理暂行办法的规定组织开展竞争性磋商，并采取必要措施，保证磋商在严格保密的情况下进行。任何单位和个人不得非法干预、影响磋商过程和结果。</w:t>
      </w:r>
    </w:p>
    <w:p w14:paraId="3476231B">
      <w:pPr>
        <w:spacing w:line="460" w:lineRule="exact"/>
        <w:ind w:firstLine="435"/>
        <w:rPr>
          <w:rFonts w:ascii="宋体" w:hAnsi="宋体"/>
          <w:color w:val="auto"/>
          <w:szCs w:val="21"/>
        </w:rPr>
      </w:pPr>
      <w:r>
        <w:rPr>
          <w:rFonts w:ascii="宋体" w:hAnsi="宋体"/>
          <w:color w:val="auto"/>
          <w:szCs w:val="21"/>
        </w:rPr>
        <w:t>18.2 在</w:t>
      </w:r>
      <w:r>
        <w:rPr>
          <w:rFonts w:hint="eastAsia" w:ascii="宋体" w:hAnsi="宋体"/>
          <w:color w:val="auto"/>
          <w:szCs w:val="21"/>
        </w:rPr>
        <w:t>响应文件</w:t>
      </w:r>
      <w:r>
        <w:rPr>
          <w:rFonts w:ascii="宋体" w:hAnsi="宋体"/>
          <w:color w:val="auto"/>
          <w:szCs w:val="21"/>
        </w:rPr>
        <w:t>的审查、澄清、评价和比较以及授予合同的过程中，</w:t>
      </w:r>
      <w:r>
        <w:rPr>
          <w:rFonts w:hint="eastAsia" w:ascii="宋体" w:hAnsi="宋体"/>
          <w:color w:val="auto"/>
          <w:szCs w:val="21"/>
        </w:rPr>
        <w:t>供应商</w:t>
      </w:r>
      <w:r>
        <w:rPr>
          <w:rFonts w:ascii="宋体" w:hAnsi="宋体"/>
          <w:color w:val="auto"/>
          <w:szCs w:val="21"/>
        </w:rPr>
        <w:t>对采购人和</w:t>
      </w:r>
      <w:r>
        <w:rPr>
          <w:rFonts w:hint="eastAsia" w:ascii="宋体" w:hAnsi="宋体"/>
          <w:bCs/>
          <w:color w:val="auto"/>
          <w:szCs w:val="21"/>
        </w:rPr>
        <w:t>磋商小组</w:t>
      </w:r>
      <w:r>
        <w:rPr>
          <w:rFonts w:ascii="宋体" w:hAnsi="宋体"/>
          <w:color w:val="auto"/>
          <w:szCs w:val="21"/>
        </w:rPr>
        <w:t>施加影响的任何行为，都将导致取消其磋商资格。</w:t>
      </w:r>
    </w:p>
    <w:p w14:paraId="4B0EB6F6">
      <w:pPr>
        <w:pStyle w:val="3"/>
        <w:spacing w:before="0" w:after="0" w:line="460" w:lineRule="exact"/>
        <w:rPr>
          <w:rFonts w:ascii="宋体" w:hAnsi="宋体" w:eastAsia="宋体"/>
          <w:color w:val="auto"/>
          <w:sz w:val="21"/>
          <w:szCs w:val="21"/>
        </w:rPr>
      </w:pPr>
      <w:bookmarkStart w:id="84" w:name="_Toc80818631"/>
      <w:bookmarkStart w:id="85" w:name="_Toc239659111"/>
      <w:bookmarkStart w:id="86" w:name="_Toc18682820"/>
      <w:bookmarkStart w:id="87" w:name="_Toc346264283"/>
      <w:r>
        <w:rPr>
          <w:rFonts w:ascii="宋体" w:hAnsi="宋体" w:eastAsia="宋体"/>
          <w:color w:val="auto"/>
          <w:sz w:val="21"/>
          <w:szCs w:val="21"/>
        </w:rPr>
        <w:t>19.</w:t>
      </w:r>
      <w:r>
        <w:rPr>
          <w:rFonts w:hint="eastAsia" w:ascii="宋体" w:hAnsi="宋体" w:eastAsia="宋体"/>
          <w:color w:val="auto"/>
          <w:sz w:val="21"/>
          <w:szCs w:val="21"/>
        </w:rPr>
        <w:t>响应文件</w:t>
      </w:r>
      <w:r>
        <w:rPr>
          <w:rFonts w:ascii="宋体" w:hAnsi="宋体" w:eastAsia="宋体"/>
          <w:color w:val="auto"/>
          <w:sz w:val="21"/>
          <w:szCs w:val="21"/>
        </w:rPr>
        <w:t>计算错误的修正</w:t>
      </w:r>
      <w:bookmarkEnd w:id="84"/>
      <w:bookmarkEnd w:id="85"/>
      <w:bookmarkEnd w:id="86"/>
      <w:bookmarkEnd w:id="87"/>
    </w:p>
    <w:p w14:paraId="61994BF9">
      <w:pPr>
        <w:spacing w:line="460" w:lineRule="exact"/>
        <w:ind w:left="-15" w:leftChars="-7" w:firstLine="388" w:firstLineChars="185"/>
        <w:rPr>
          <w:rFonts w:ascii="宋体" w:hAnsi="宋体"/>
          <w:color w:val="auto"/>
          <w:szCs w:val="21"/>
        </w:rPr>
      </w:pPr>
      <w:r>
        <w:rPr>
          <w:rFonts w:ascii="宋体" w:hAnsi="宋体"/>
          <w:color w:val="auto"/>
          <w:szCs w:val="21"/>
        </w:rPr>
        <w:t>19.1</w:t>
      </w:r>
      <w:r>
        <w:rPr>
          <w:rFonts w:hint="eastAsia" w:ascii="宋体" w:hAnsi="宋体"/>
          <w:bCs/>
          <w:color w:val="auto"/>
          <w:szCs w:val="21"/>
        </w:rPr>
        <w:t>磋商小组</w:t>
      </w:r>
      <w:r>
        <w:rPr>
          <w:rFonts w:ascii="宋体" w:hAnsi="宋体"/>
          <w:color w:val="auto"/>
          <w:szCs w:val="21"/>
        </w:rPr>
        <w:t>将对确定为实质上响应磋商文件要求的</w:t>
      </w:r>
      <w:r>
        <w:rPr>
          <w:rFonts w:hint="eastAsia" w:ascii="宋体" w:hAnsi="宋体"/>
          <w:color w:val="auto"/>
          <w:szCs w:val="21"/>
        </w:rPr>
        <w:t>响应文件</w:t>
      </w:r>
      <w:r>
        <w:rPr>
          <w:rFonts w:ascii="宋体" w:hAnsi="宋体"/>
          <w:color w:val="auto"/>
          <w:szCs w:val="21"/>
        </w:rPr>
        <w:t>进行校核，看其是否有计算或表达上的错误，修正错误的原则如下：</w:t>
      </w:r>
    </w:p>
    <w:p w14:paraId="7E9B6985">
      <w:pPr>
        <w:spacing w:line="460" w:lineRule="exact"/>
        <w:ind w:left="-15" w:leftChars="-7" w:firstLine="388" w:firstLineChars="185"/>
        <w:rPr>
          <w:rFonts w:ascii="宋体" w:hAnsi="宋体"/>
          <w:color w:val="auto"/>
          <w:szCs w:val="21"/>
        </w:rPr>
      </w:pPr>
      <w:r>
        <w:rPr>
          <w:rFonts w:ascii="宋体" w:hAnsi="宋体"/>
          <w:color w:val="auto"/>
          <w:szCs w:val="21"/>
        </w:rPr>
        <w:t>19.1.1如果数字表示的金额和用文字表示的金额不一致时，应以文字表示的金额为准；</w:t>
      </w:r>
    </w:p>
    <w:p w14:paraId="080EB427">
      <w:pPr>
        <w:spacing w:line="460" w:lineRule="exact"/>
        <w:ind w:left="-15" w:leftChars="-7" w:firstLine="388" w:firstLineChars="185"/>
        <w:rPr>
          <w:rFonts w:ascii="宋体" w:hAnsi="宋体"/>
          <w:color w:val="auto"/>
          <w:szCs w:val="21"/>
        </w:rPr>
      </w:pPr>
      <w:r>
        <w:rPr>
          <w:rFonts w:ascii="宋体" w:hAnsi="宋体"/>
          <w:color w:val="auto"/>
          <w:szCs w:val="21"/>
        </w:rPr>
        <w:t>19.1.2当单价与数量的乘积与合价不一致时，以单价为准，除非</w:t>
      </w:r>
      <w:r>
        <w:rPr>
          <w:rFonts w:hint="eastAsia" w:ascii="宋体" w:hAnsi="宋体"/>
          <w:bCs/>
          <w:color w:val="auto"/>
          <w:szCs w:val="21"/>
        </w:rPr>
        <w:t>磋商</w:t>
      </w:r>
      <w:r>
        <w:rPr>
          <w:rFonts w:hint="eastAsia" w:ascii="宋体" w:hAnsi="宋体"/>
          <w:color w:val="auto"/>
          <w:szCs w:val="21"/>
        </w:rPr>
        <w:t>小组</w:t>
      </w:r>
      <w:r>
        <w:rPr>
          <w:rFonts w:ascii="宋体" w:hAnsi="宋体"/>
          <w:color w:val="auto"/>
          <w:szCs w:val="21"/>
        </w:rPr>
        <w:t>认为单价有明显的小数点错误，此时应以标出的合价为准，并修改单价</w:t>
      </w:r>
      <w:r>
        <w:rPr>
          <w:rFonts w:hint="eastAsia" w:ascii="宋体" w:hAnsi="宋体"/>
          <w:color w:val="auto"/>
          <w:szCs w:val="21"/>
        </w:rPr>
        <w:t>；</w:t>
      </w:r>
    </w:p>
    <w:p w14:paraId="77E48D49">
      <w:pPr>
        <w:spacing w:line="460" w:lineRule="exact"/>
        <w:ind w:left="-15" w:leftChars="-7" w:firstLine="388" w:firstLineChars="185"/>
        <w:rPr>
          <w:rFonts w:ascii="宋体" w:hAnsi="宋体"/>
          <w:color w:val="auto"/>
          <w:szCs w:val="21"/>
        </w:rPr>
      </w:pPr>
      <w:r>
        <w:rPr>
          <w:rFonts w:hint="eastAsia" w:ascii="宋体" w:hAnsi="宋体"/>
          <w:color w:val="auto"/>
          <w:szCs w:val="21"/>
        </w:rPr>
        <w:t>19.1.3 当分项乘积累计得出的总额与标出的总额不一致时，以标出的分项乘积为准，并修改标出的总额；</w:t>
      </w:r>
    </w:p>
    <w:p w14:paraId="726EC517">
      <w:pPr>
        <w:spacing w:line="460" w:lineRule="exact"/>
        <w:ind w:left="-15" w:leftChars="-7" w:firstLine="388" w:firstLineChars="185"/>
        <w:rPr>
          <w:rFonts w:ascii="宋体" w:hAnsi="宋体"/>
          <w:color w:val="auto"/>
          <w:szCs w:val="21"/>
        </w:rPr>
      </w:pPr>
      <w:r>
        <w:rPr>
          <w:rFonts w:ascii="宋体" w:hAnsi="宋体"/>
          <w:color w:val="auto"/>
          <w:szCs w:val="21"/>
        </w:rPr>
        <w:t>19.2 按上述修正错误的原则及方法调整或修正</w:t>
      </w:r>
      <w:r>
        <w:rPr>
          <w:rFonts w:hint="eastAsia" w:ascii="宋体" w:hAnsi="宋体"/>
          <w:color w:val="auto"/>
          <w:szCs w:val="21"/>
        </w:rPr>
        <w:t>响应文件</w:t>
      </w:r>
      <w:r>
        <w:rPr>
          <w:rFonts w:ascii="宋体" w:hAnsi="宋体"/>
          <w:color w:val="auto"/>
          <w:szCs w:val="21"/>
        </w:rPr>
        <w:t>的磋商报价，</w:t>
      </w:r>
      <w:r>
        <w:rPr>
          <w:rFonts w:hint="eastAsia" w:ascii="宋体" w:hAnsi="宋体"/>
          <w:color w:val="auto"/>
          <w:szCs w:val="21"/>
        </w:rPr>
        <w:t>在供应商确认</w:t>
      </w:r>
      <w:r>
        <w:rPr>
          <w:rFonts w:ascii="宋体" w:hAnsi="宋体"/>
          <w:color w:val="auto"/>
          <w:szCs w:val="21"/>
        </w:rPr>
        <w:t>后，调整或修正后的磋商报价对</w:t>
      </w:r>
      <w:r>
        <w:rPr>
          <w:rFonts w:hint="eastAsia" w:ascii="宋体" w:hAnsi="宋体"/>
          <w:color w:val="auto"/>
          <w:szCs w:val="21"/>
        </w:rPr>
        <w:t>供应商</w:t>
      </w:r>
      <w:r>
        <w:rPr>
          <w:rFonts w:ascii="宋体" w:hAnsi="宋体"/>
          <w:color w:val="auto"/>
          <w:szCs w:val="21"/>
        </w:rPr>
        <w:t>起约束作用。</w:t>
      </w:r>
    </w:p>
    <w:p w14:paraId="2A659281">
      <w:pPr>
        <w:spacing w:line="460" w:lineRule="exact"/>
        <w:ind w:left="-15" w:leftChars="-7" w:firstLine="390" w:firstLineChars="185"/>
        <w:rPr>
          <w:rFonts w:ascii="宋体" w:hAnsi="宋体"/>
          <w:color w:val="auto"/>
          <w:szCs w:val="21"/>
        </w:rPr>
      </w:pPr>
      <w:r>
        <w:rPr>
          <w:rFonts w:hint="eastAsia" w:ascii="宋体" w:hAnsi="宋体"/>
          <w:b/>
          <w:color w:val="auto"/>
          <w:szCs w:val="21"/>
        </w:rPr>
        <w:t>按上述修正错误的原则及方法调整或修正响应文件的磋商报价，供应商须在线同意并签字确认，调整后的磋商报价对供应商具有约束作用。如果供应商不接受修正后的报价，则其响应文件将作为无效响应处理。</w:t>
      </w:r>
    </w:p>
    <w:p w14:paraId="26224130">
      <w:pPr>
        <w:pStyle w:val="3"/>
        <w:spacing w:before="0" w:after="0" w:line="460" w:lineRule="exact"/>
        <w:rPr>
          <w:rFonts w:ascii="宋体" w:hAnsi="宋体" w:eastAsia="宋体"/>
          <w:color w:val="auto"/>
          <w:sz w:val="21"/>
          <w:szCs w:val="21"/>
        </w:rPr>
      </w:pPr>
      <w:bookmarkStart w:id="88" w:name="_Toc239659112"/>
      <w:bookmarkStart w:id="89" w:name="_Toc346264284"/>
      <w:bookmarkStart w:id="90" w:name="_Toc80818632"/>
      <w:bookmarkStart w:id="91" w:name="_Toc18682821"/>
      <w:r>
        <w:rPr>
          <w:rFonts w:ascii="宋体" w:hAnsi="宋体" w:eastAsia="宋体"/>
          <w:color w:val="auto"/>
          <w:sz w:val="21"/>
          <w:szCs w:val="21"/>
        </w:rPr>
        <w:t>20.</w:t>
      </w:r>
      <w:r>
        <w:rPr>
          <w:rFonts w:hint="eastAsia" w:ascii="宋体" w:hAnsi="宋体" w:eastAsia="宋体"/>
          <w:color w:val="auto"/>
          <w:sz w:val="21"/>
          <w:szCs w:val="21"/>
        </w:rPr>
        <w:t>供应商</w:t>
      </w:r>
      <w:r>
        <w:rPr>
          <w:rFonts w:ascii="宋体" w:hAnsi="宋体" w:eastAsia="宋体"/>
          <w:color w:val="auto"/>
          <w:sz w:val="21"/>
          <w:szCs w:val="21"/>
        </w:rPr>
        <w:t>资格审查</w:t>
      </w:r>
      <w:bookmarkEnd w:id="88"/>
      <w:bookmarkEnd w:id="89"/>
      <w:bookmarkEnd w:id="90"/>
      <w:bookmarkEnd w:id="91"/>
    </w:p>
    <w:p w14:paraId="5E595356">
      <w:pPr>
        <w:spacing w:line="460" w:lineRule="exact"/>
        <w:ind w:firstLine="457" w:firstLineChars="218"/>
        <w:rPr>
          <w:rFonts w:ascii="宋体" w:hAnsi="宋体"/>
          <w:color w:val="auto"/>
          <w:szCs w:val="21"/>
        </w:rPr>
      </w:pPr>
      <w:r>
        <w:rPr>
          <w:rFonts w:hint="eastAsia" w:ascii="宋体" w:hAnsi="宋体"/>
          <w:color w:val="auto"/>
          <w:szCs w:val="21"/>
        </w:rPr>
        <w:t>资格后审，只有通过资格审查才能进入符合性审查。所要提供的材料见本须知9.2条内容，资格审查资料有任何一项缺项或不合格者其资格审查视为不通过。</w:t>
      </w:r>
    </w:p>
    <w:p w14:paraId="585E3C96">
      <w:pPr>
        <w:pStyle w:val="3"/>
        <w:spacing w:before="0" w:after="0" w:line="460" w:lineRule="exact"/>
        <w:rPr>
          <w:rFonts w:ascii="宋体" w:hAnsi="宋体" w:eastAsia="宋体"/>
          <w:color w:val="auto"/>
          <w:sz w:val="21"/>
          <w:szCs w:val="21"/>
        </w:rPr>
      </w:pPr>
      <w:bookmarkStart w:id="92" w:name="_Toc120331586"/>
      <w:bookmarkStart w:id="93" w:name="_Toc346264285"/>
      <w:bookmarkStart w:id="94" w:name="_Toc239659113"/>
      <w:bookmarkStart w:id="95" w:name="_Toc174353376"/>
      <w:bookmarkStart w:id="96" w:name="_Toc18682822"/>
      <w:bookmarkStart w:id="97" w:name="_Toc80818633"/>
      <w:r>
        <w:rPr>
          <w:rFonts w:ascii="宋体" w:hAnsi="宋体" w:eastAsia="宋体"/>
          <w:color w:val="auto"/>
          <w:sz w:val="21"/>
          <w:szCs w:val="21"/>
        </w:rPr>
        <w:t>21.</w:t>
      </w:r>
      <w:r>
        <w:rPr>
          <w:rFonts w:hint="eastAsia" w:ascii="宋体" w:hAnsi="宋体" w:eastAsia="宋体"/>
          <w:color w:val="auto"/>
          <w:sz w:val="21"/>
          <w:szCs w:val="21"/>
        </w:rPr>
        <w:t>响应文件</w:t>
      </w:r>
      <w:r>
        <w:rPr>
          <w:rFonts w:ascii="宋体" w:hAnsi="宋体" w:eastAsia="宋体"/>
          <w:color w:val="auto"/>
          <w:sz w:val="21"/>
          <w:szCs w:val="21"/>
        </w:rPr>
        <w:t>的</w:t>
      </w:r>
      <w:bookmarkEnd w:id="92"/>
      <w:bookmarkEnd w:id="93"/>
      <w:bookmarkEnd w:id="94"/>
      <w:bookmarkEnd w:id="95"/>
      <w:bookmarkEnd w:id="96"/>
      <w:r>
        <w:rPr>
          <w:rFonts w:hint="eastAsia" w:ascii="宋体" w:hAnsi="宋体" w:eastAsia="宋体"/>
          <w:color w:val="auto"/>
          <w:sz w:val="21"/>
          <w:szCs w:val="21"/>
        </w:rPr>
        <w:t>符合性鉴定</w:t>
      </w:r>
      <w:bookmarkEnd w:id="97"/>
    </w:p>
    <w:p w14:paraId="317EB1FA">
      <w:pPr>
        <w:spacing w:line="460" w:lineRule="exact"/>
        <w:ind w:firstLine="420" w:firstLineChars="200"/>
        <w:rPr>
          <w:rFonts w:ascii="宋体" w:hAnsi="宋体"/>
          <w:color w:val="auto"/>
          <w:szCs w:val="21"/>
        </w:rPr>
      </w:pPr>
      <w:r>
        <w:rPr>
          <w:rFonts w:hint="eastAsia" w:ascii="宋体" w:hAnsi="宋体"/>
          <w:color w:val="auto"/>
          <w:szCs w:val="21"/>
        </w:rPr>
        <w:t>21.1 对响应文件进行符合性鉴定。响应文件应实质上响应磋商文件的要求，应与磋商文件所有条款、条件和规定，无明显差异或保留。磋商小组对实质上不响应磋商文件要求的磋商予以拒绝，但磋商小组认定属于供应商疏忽、笔误所造成的差错，应当允许其在磋商结束之前在政采云系统上进行修改或者补正并加盖单位公章。在磋商小组会发出询标函规定的回复限期内不补正或经补正后仍不符合磋商文件要求的，应认定其响应无效。供应商修改、补正响应文件后，不影响磋商小组对其响应文件所作的评价和评分结果。</w:t>
      </w:r>
    </w:p>
    <w:p w14:paraId="4E6E0547">
      <w:pPr>
        <w:spacing w:line="460" w:lineRule="exact"/>
        <w:ind w:firstLine="411" w:firstLineChars="196"/>
        <w:rPr>
          <w:rFonts w:ascii="宋体" w:hAnsi="宋体"/>
          <w:color w:val="auto"/>
          <w:szCs w:val="21"/>
        </w:rPr>
      </w:pPr>
      <w:r>
        <w:rPr>
          <w:rFonts w:ascii="宋体" w:hAnsi="宋体"/>
          <w:color w:val="auto"/>
          <w:szCs w:val="21"/>
        </w:rPr>
        <w:t>21.</w:t>
      </w:r>
      <w:r>
        <w:rPr>
          <w:rFonts w:hint="eastAsia" w:ascii="宋体" w:hAnsi="宋体"/>
          <w:color w:val="auto"/>
          <w:szCs w:val="21"/>
        </w:rPr>
        <w:t>2 供应商或其响应文件有</w:t>
      </w:r>
      <w:r>
        <w:rPr>
          <w:rFonts w:ascii="宋体" w:hAnsi="宋体"/>
          <w:color w:val="auto"/>
          <w:szCs w:val="21"/>
        </w:rPr>
        <w:t>下列情况之一者</w:t>
      </w:r>
      <w:r>
        <w:rPr>
          <w:rFonts w:hint="eastAsia" w:ascii="宋体" w:hAnsi="宋体"/>
          <w:color w:val="auto"/>
          <w:szCs w:val="21"/>
        </w:rPr>
        <w:t>，其响应文件</w:t>
      </w:r>
      <w:r>
        <w:rPr>
          <w:rFonts w:ascii="宋体" w:hAnsi="宋体"/>
          <w:color w:val="auto"/>
          <w:szCs w:val="21"/>
        </w:rPr>
        <w:t>将视为无效</w:t>
      </w:r>
      <w:r>
        <w:rPr>
          <w:rFonts w:hint="eastAsia" w:ascii="宋体" w:hAnsi="宋体"/>
          <w:color w:val="auto"/>
          <w:szCs w:val="21"/>
        </w:rPr>
        <w:t>响应处理</w:t>
      </w:r>
      <w:r>
        <w:rPr>
          <w:rFonts w:ascii="宋体" w:hAnsi="宋体"/>
          <w:color w:val="auto"/>
          <w:szCs w:val="21"/>
        </w:rPr>
        <w:t>：</w:t>
      </w:r>
    </w:p>
    <w:p w14:paraId="12446CDD">
      <w:pPr>
        <w:spacing w:line="460" w:lineRule="exact"/>
        <w:ind w:firstLine="411" w:firstLineChars="196"/>
        <w:rPr>
          <w:rFonts w:ascii="宋体" w:hAnsi="宋体"/>
          <w:color w:val="auto"/>
          <w:szCs w:val="21"/>
        </w:rPr>
      </w:pPr>
      <w:r>
        <w:rPr>
          <w:rFonts w:ascii="宋体" w:hAnsi="宋体"/>
          <w:color w:val="auto"/>
          <w:szCs w:val="21"/>
        </w:rPr>
        <w:t>21.2.</w:t>
      </w:r>
      <w:r>
        <w:rPr>
          <w:rFonts w:hint="eastAsia" w:ascii="宋体" w:hAnsi="宋体"/>
          <w:color w:val="auto"/>
          <w:szCs w:val="21"/>
        </w:rPr>
        <w:t>1 未按</w:t>
      </w:r>
      <w:r>
        <w:rPr>
          <w:rFonts w:ascii="宋体" w:hAnsi="宋体"/>
          <w:color w:val="auto"/>
          <w:szCs w:val="21"/>
        </w:rPr>
        <w:t>本须知第9条规定的</w:t>
      </w:r>
      <w:r>
        <w:rPr>
          <w:rFonts w:hint="eastAsia" w:ascii="宋体" w:hAnsi="宋体"/>
          <w:color w:val="auto"/>
          <w:szCs w:val="21"/>
        </w:rPr>
        <w:t>响应文件必须提供的</w:t>
      </w:r>
      <w:r>
        <w:rPr>
          <w:rFonts w:ascii="宋体" w:hAnsi="宋体"/>
          <w:color w:val="auto"/>
          <w:szCs w:val="21"/>
        </w:rPr>
        <w:t>内容</w:t>
      </w:r>
      <w:r>
        <w:rPr>
          <w:rFonts w:hint="eastAsia" w:ascii="宋体" w:hAnsi="宋体"/>
          <w:color w:val="auto"/>
          <w:szCs w:val="21"/>
        </w:rPr>
        <w:t>组成，或</w:t>
      </w:r>
      <w:r>
        <w:rPr>
          <w:rFonts w:ascii="宋体" w:hAnsi="宋体"/>
          <w:color w:val="auto"/>
          <w:szCs w:val="21"/>
        </w:rPr>
        <w:t>未按本须知第13</w:t>
      </w:r>
      <w:r>
        <w:rPr>
          <w:rFonts w:hint="eastAsia" w:ascii="宋体" w:hAnsi="宋体"/>
          <w:color w:val="auto"/>
          <w:szCs w:val="21"/>
        </w:rPr>
        <w:t>条</w:t>
      </w:r>
      <w:r>
        <w:rPr>
          <w:rFonts w:ascii="宋体" w:hAnsi="宋体"/>
          <w:color w:val="auto"/>
          <w:szCs w:val="21"/>
        </w:rPr>
        <w:t>规定加盖</w:t>
      </w:r>
      <w:r>
        <w:rPr>
          <w:rFonts w:hint="eastAsia" w:ascii="宋体" w:hAnsi="宋体"/>
          <w:color w:val="auto"/>
          <w:szCs w:val="21"/>
        </w:rPr>
        <w:t>供应商单位公</w:t>
      </w:r>
      <w:r>
        <w:rPr>
          <w:rFonts w:ascii="宋体" w:hAnsi="宋体"/>
          <w:color w:val="auto"/>
          <w:szCs w:val="21"/>
        </w:rPr>
        <w:t>章</w:t>
      </w:r>
      <w:r>
        <w:rPr>
          <w:rFonts w:hint="eastAsia" w:ascii="宋体" w:hAnsi="宋体"/>
          <w:color w:val="auto"/>
          <w:szCs w:val="21"/>
        </w:rPr>
        <w:t>、</w:t>
      </w:r>
      <w:r>
        <w:rPr>
          <w:rFonts w:ascii="宋体" w:hAnsi="宋体"/>
          <w:color w:val="auto"/>
          <w:szCs w:val="21"/>
        </w:rPr>
        <w:t>未经法定代表人或其委托代理人签字的</w:t>
      </w:r>
      <w:r>
        <w:rPr>
          <w:rFonts w:hint="eastAsia" w:ascii="宋体" w:hAnsi="宋体"/>
          <w:color w:val="auto"/>
          <w:szCs w:val="21"/>
        </w:rPr>
        <w:t>；</w:t>
      </w:r>
    </w:p>
    <w:p w14:paraId="022F9126">
      <w:pPr>
        <w:spacing w:line="460" w:lineRule="exact"/>
        <w:ind w:firstLine="411" w:firstLineChars="196"/>
        <w:rPr>
          <w:rFonts w:ascii="宋体" w:hAnsi="宋体"/>
          <w:color w:val="auto"/>
          <w:szCs w:val="21"/>
        </w:rPr>
      </w:pPr>
      <w:r>
        <w:rPr>
          <w:rFonts w:hint="eastAsia" w:ascii="宋体" w:hAnsi="宋体"/>
          <w:color w:val="auto"/>
          <w:szCs w:val="21"/>
        </w:rPr>
        <w:t xml:space="preserve">21.2.2 </w:t>
      </w:r>
      <w:r>
        <w:rPr>
          <w:rFonts w:ascii="宋体" w:hAnsi="宋体"/>
          <w:color w:val="auto"/>
          <w:szCs w:val="21"/>
        </w:rPr>
        <w:t>由</w:t>
      </w:r>
      <w:r>
        <w:rPr>
          <w:rFonts w:hint="eastAsia" w:ascii="宋体" w:hAnsi="宋体"/>
          <w:color w:val="auto"/>
          <w:szCs w:val="21"/>
        </w:rPr>
        <w:t>授权</w:t>
      </w:r>
      <w:r>
        <w:rPr>
          <w:rFonts w:ascii="宋体" w:hAnsi="宋体"/>
          <w:color w:val="auto"/>
          <w:szCs w:val="21"/>
        </w:rPr>
        <w:t>委托代理人签字，但未随</w:t>
      </w:r>
      <w:r>
        <w:rPr>
          <w:rFonts w:hint="eastAsia" w:ascii="宋体" w:hAnsi="宋体"/>
          <w:color w:val="auto"/>
          <w:szCs w:val="21"/>
        </w:rPr>
        <w:t>响应文件</w:t>
      </w:r>
      <w:r>
        <w:rPr>
          <w:rFonts w:ascii="宋体" w:hAnsi="宋体"/>
          <w:color w:val="auto"/>
          <w:szCs w:val="21"/>
        </w:rPr>
        <w:t>一起提交有效的“授权委托书”原件的</w:t>
      </w:r>
      <w:r>
        <w:rPr>
          <w:rFonts w:hint="eastAsia" w:ascii="宋体" w:hAnsi="宋体"/>
          <w:color w:val="auto"/>
          <w:szCs w:val="21"/>
        </w:rPr>
        <w:t>，或者出具的身份证明与授权委托书中的信息不符</w:t>
      </w:r>
      <w:r>
        <w:rPr>
          <w:rFonts w:ascii="宋体" w:hAnsi="宋体"/>
          <w:color w:val="auto"/>
          <w:szCs w:val="21"/>
        </w:rPr>
        <w:t>；</w:t>
      </w:r>
    </w:p>
    <w:p w14:paraId="3EB97E9E">
      <w:pPr>
        <w:spacing w:line="460" w:lineRule="exact"/>
        <w:rPr>
          <w:rFonts w:ascii="宋体" w:hAnsi="宋体"/>
          <w:color w:val="auto"/>
          <w:szCs w:val="21"/>
        </w:rPr>
      </w:pPr>
      <w:r>
        <w:rPr>
          <w:rFonts w:hint="eastAsia" w:ascii="宋体" w:hAnsi="宋体"/>
          <w:color w:val="auto"/>
          <w:szCs w:val="21"/>
        </w:rPr>
        <w:t xml:space="preserve">  21.2.3响应文件的实质性内容未使用中文表述、使用计量单位不符合磋商文件要求；或未采用人民币报价或者未按照磋商文件标明的币种报价。</w:t>
      </w:r>
    </w:p>
    <w:p w14:paraId="01A02EDD">
      <w:pPr>
        <w:spacing w:line="460" w:lineRule="exact"/>
        <w:ind w:firstLine="420" w:firstLineChars="200"/>
        <w:rPr>
          <w:rFonts w:ascii="宋体" w:hAnsi="宋体"/>
          <w:color w:val="auto"/>
          <w:szCs w:val="21"/>
        </w:rPr>
      </w:pPr>
      <w:r>
        <w:rPr>
          <w:rFonts w:hint="eastAsia" w:ascii="宋体" w:hAnsi="宋体"/>
          <w:color w:val="auto"/>
          <w:szCs w:val="21"/>
        </w:rPr>
        <w:t>21.2.4供应商磋商报价高于本工程的采购上限控制价的；或者被磋商小组视为“低于成本”或者“明显不合理并有可能影响服务质量或不能诚信履约”的；</w:t>
      </w:r>
    </w:p>
    <w:p w14:paraId="17A8FE9C">
      <w:pPr>
        <w:spacing w:line="460" w:lineRule="exact"/>
        <w:ind w:firstLine="420" w:firstLineChars="200"/>
        <w:rPr>
          <w:rFonts w:ascii="宋体" w:hAnsi="宋体"/>
          <w:color w:val="auto"/>
          <w:szCs w:val="21"/>
        </w:rPr>
      </w:pPr>
      <w:r>
        <w:rPr>
          <w:rFonts w:hint="eastAsia" w:ascii="宋体" w:hAnsi="宋体"/>
          <w:color w:val="auto"/>
          <w:szCs w:val="21"/>
        </w:rPr>
        <w:t>21.2.5供应商未按照采购人提供的工程量清单格式编制，或修改了工程清单中的细目号、细目名称、单位、数量的；</w:t>
      </w:r>
    </w:p>
    <w:p w14:paraId="50E2F052">
      <w:pPr>
        <w:spacing w:line="460" w:lineRule="exact"/>
        <w:ind w:firstLine="420" w:firstLineChars="200"/>
        <w:rPr>
          <w:rFonts w:ascii="宋体" w:hAnsi="宋体"/>
          <w:color w:val="auto"/>
          <w:szCs w:val="21"/>
        </w:rPr>
      </w:pPr>
      <w:r>
        <w:rPr>
          <w:rFonts w:hint="eastAsia" w:ascii="宋体" w:hAnsi="宋体"/>
          <w:color w:val="auto"/>
          <w:szCs w:val="21"/>
        </w:rPr>
        <w:t>21.2.6修正后的报价，供应商不确认的；</w:t>
      </w:r>
    </w:p>
    <w:p w14:paraId="67DEF07F">
      <w:pPr>
        <w:spacing w:line="460" w:lineRule="exact"/>
        <w:ind w:firstLine="436"/>
        <w:rPr>
          <w:rFonts w:ascii="宋体" w:hAnsi="宋体"/>
          <w:color w:val="auto"/>
          <w:szCs w:val="21"/>
        </w:rPr>
      </w:pPr>
      <w:r>
        <w:rPr>
          <w:rFonts w:ascii="宋体" w:hAnsi="宋体"/>
          <w:color w:val="auto"/>
          <w:szCs w:val="21"/>
        </w:rPr>
        <w:t>21.2.</w:t>
      </w:r>
      <w:r>
        <w:rPr>
          <w:rFonts w:hint="eastAsia" w:ascii="宋体" w:hAnsi="宋体"/>
          <w:color w:val="auto"/>
          <w:szCs w:val="21"/>
        </w:rPr>
        <w:t>7响应文件</w:t>
      </w:r>
      <w:r>
        <w:rPr>
          <w:rFonts w:ascii="宋体" w:hAnsi="宋体"/>
          <w:color w:val="auto"/>
          <w:szCs w:val="21"/>
        </w:rPr>
        <w:t>内容</w:t>
      </w:r>
      <w:r>
        <w:rPr>
          <w:rFonts w:hint="eastAsia" w:ascii="宋体" w:hAnsi="宋体"/>
          <w:color w:val="auto"/>
          <w:szCs w:val="21"/>
        </w:rPr>
        <w:t>虚假的，或</w:t>
      </w:r>
      <w:r>
        <w:rPr>
          <w:rFonts w:ascii="宋体" w:hAnsi="宋体"/>
          <w:color w:val="auto"/>
          <w:szCs w:val="21"/>
        </w:rPr>
        <w:t>关键内容字迹模糊、</w:t>
      </w:r>
      <w:r>
        <w:rPr>
          <w:rFonts w:hint="eastAsia" w:ascii="宋体" w:hAnsi="宋体"/>
          <w:color w:val="auto"/>
          <w:szCs w:val="21"/>
        </w:rPr>
        <w:t>辨认</w:t>
      </w:r>
      <w:r>
        <w:rPr>
          <w:rFonts w:ascii="宋体" w:hAnsi="宋体"/>
          <w:color w:val="auto"/>
          <w:szCs w:val="21"/>
        </w:rPr>
        <w:t>不清</w:t>
      </w:r>
      <w:r>
        <w:rPr>
          <w:rFonts w:hint="eastAsia" w:ascii="宋体" w:hAnsi="宋体"/>
          <w:color w:val="auto"/>
          <w:szCs w:val="21"/>
        </w:rPr>
        <w:t>的</w:t>
      </w:r>
      <w:r>
        <w:rPr>
          <w:rFonts w:ascii="宋体" w:hAnsi="宋体"/>
          <w:color w:val="auto"/>
          <w:szCs w:val="21"/>
        </w:rPr>
        <w:t>；</w:t>
      </w:r>
    </w:p>
    <w:p w14:paraId="1FF64689">
      <w:pPr>
        <w:spacing w:line="460" w:lineRule="exact"/>
        <w:ind w:firstLine="420" w:firstLineChars="200"/>
        <w:rPr>
          <w:rFonts w:ascii="宋体" w:hAnsi="宋体"/>
          <w:color w:val="auto"/>
          <w:szCs w:val="21"/>
        </w:rPr>
      </w:pPr>
      <w:r>
        <w:rPr>
          <w:rFonts w:ascii="宋体" w:hAnsi="宋体"/>
          <w:color w:val="auto"/>
          <w:szCs w:val="21"/>
        </w:rPr>
        <w:t>21.2.</w:t>
      </w:r>
      <w:r>
        <w:rPr>
          <w:rFonts w:hint="eastAsia" w:ascii="宋体" w:hAnsi="宋体"/>
          <w:color w:val="auto"/>
          <w:szCs w:val="21"/>
        </w:rPr>
        <w:t>8响应文件</w:t>
      </w:r>
      <w:r>
        <w:rPr>
          <w:rFonts w:ascii="宋体" w:hAnsi="宋体"/>
          <w:color w:val="auto"/>
          <w:szCs w:val="21"/>
        </w:rPr>
        <w:t>实质上没有响应磋商文件的</w:t>
      </w:r>
      <w:r>
        <w:rPr>
          <w:rFonts w:hint="eastAsia" w:ascii="宋体" w:hAnsi="宋体"/>
          <w:color w:val="auto"/>
          <w:szCs w:val="21"/>
        </w:rPr>
        <w:t>其它</w:t>
      </w:r>
      <w:r>
        <w:rPr>
          <w:rFonts w:ascii="宋体" w:hAnsi="宋体"/>
          <w:color w:val="auto"/>
          <w:szCs w:val="21"/>
        </w:rPr>
        <w:t>要求</w:t>
      </w:r>
      <w:r>
        <w:rPr>
          <w:rFonts w:hint="eastAsia" w:ascii="宋体" w:hAnsi="宋体"/>
          <w:color w:val="auto"/>
          <w:szCs w:val="21"/>
        </w:rPr>
        <w:t>的</w:t>
      </w:r>
      <w:r>
        <w:rPr>
          <w:rFonts w:ascii="宋体" w:hAnsi="宋体"/>
          <w:color w:val="auto"/>
          <w:szCs w:val="21"/>
        </w:rPr>
        <w:t>；</w:t>
      </w:r>
    </w:p>
    <w:p w14:paraId="0510E124">
      <w:pPr>
        <w:spacing w:line="460" w:lineRule="exact"/>
        <w:ind w:firstLine="420" w:firstLineChars="200"/>
        <w:rPr>
          <w:rFonts w:ascii="宋体" w:hAnsi="宋体"/>
          <w:color w:val="auto"/>
          <w:szCs w:val="21"/>
        </w:rPr>
      </w:pPr>
      <w:r>
        <w:rPr>
          <w:rFonts w:hint="eastAsia" w:ascii="宋体" w:hAnsi="宋体"/>
          <w:color w:val="auto"/>
          <w:szCs w:val="21"/>
        </w:rPr>
        <w:t>21.2.9供应商采用总价优惠、总价百分比优惠或以报价调整函的方式进行磋商报价的；</w:t>
      </w:r>
    </w:p>
    <w:p w14:paraId="7CFCED24">
      <w:pPr>
        <w:spacing w:line="460" w:lineRule="exact"/>
        <w:ind w:firstLine="420"/>
        <w:rPr>
          <w:rFonts w:ascii="宋体" w:hAnsi="宋体"/>
          <w:color w:val="auto"/>
          <w:szCs w:val="21"/>
        </w:rPr>
      </w:pPr>
      <w:r>
        <w:rPr>
          <w:rFonts w:hint="eastAsia" w:ascii="宋体" w:hAnsi="宋体"/>
          <w:color w:val="auto"/>
          <w:szCs w:val="21"/>
        </w:rPr>
        <w:t>21.2.10供应商不具备独立法人资格或作为独立法人资格但就本工程提交一个以上的响应文件的；</w:t>
      </w:r>
    </w:p>
    <w:p w14:paraId="75EA2CB4">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21.2.11有下列情形之一的视为供应商相互串通磋商，响应文件将被视为无效:</w:t>
      </w:r>
    </w:p>
    <w:p w14:paraId="7ADDF23C">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（1）不同供应商的响应文件由同一单位或者个人编制；或不同供应商编制文件的IP地址一致的；</w:t>
      </w:r>
    </w:p>
    <w:p w14:paraId="6A4234D3">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（2）不同供应商委托同一单位或者个人办理磋商事宜；</w:t>
      </w:r>
    </w:p>
    <w:p w14:paraId="4F21A51A">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（3）不同供应商的响应文件载明的项目管理成员或者联系人员为同一人；</w:t>
      </w:r>
    </w:p>
    <w:p w14:paraId="138521C0">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（4）不同供应商的响应文件异常一致或磋商报价呈规律性差异；</w:t>
      </w:r>
    </w:p>
    <w:p w14:paraId="4699D8A5">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（5）不同供应商的响应文件资料相互混装；</w:t>
      </w:r>
    </w:p>
    <w:p w14:paraId="753FD310">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（6）不同供应商的磋商保证金从同一个单位或者个人账户转出。</w:t>
      </w:r>
    </w:p>
    <w:p w14:paraId="6A8239AF">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21.2.12单位负责人为同一人或者存在直接控股、管理关系的不同供应商，参加同一合同项下的政府采购活动；</w:t>
      </w:r>
    </w:p>
    <w:p w14:paraId="042A58D5">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21.2.13其他响应无效的情形：</w:t>
      </w:r>
    </w:p>
    <w:p w14:paraId="68724D4E">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（1）响应</w:t>
      </w:r>
      <w:r>
        <w:rPr>
          <w:rFonts w:ascii="宋体" w:hAnsi="宋体"/>
          <w:b/>
          <w:color w:val="auto"/>
          <w:szCs w:val="21"/>
        </w:rPr>
        <w:t>文件未按</w:t>
      </w:r>
      <w:r>
        <w:rPr>
          <w:rFonts w:hint="eastAsia" w:ascii="宋体" w:hAnsi="宋体"/>
          <w:b/>
          <w:color w:val="auto"/>
          <w:szCs w:val="21"/>
        </w:rPr>
        <w:t>磋商</w:t>
      </w:r>
      <w:r>
        <w:rPr>
          <w:rFonts w:ascii="宋体" w:hAnsi="宋体"/>
          <w:b/>
          <w:color w:val="auto"/>
          <w:szCs w:val="21"/>
        </w:rPr>
        <w:t>文件要求签署</w:t>
      </w:r>
      <w:r>
        <w:rPr>
          <w:rFonts w:hint="eastAsia" w:ascii="宋体" w:hAnsi="宋体"/>
          <w:b/>
          <w:color w:val="auto"/>
          <w:szCs w:val="21"/>
        </w:rPr>
        <w:t>或</w:t>
      </w:r>
      <w:r>
        <w:rPr>
          <w:rFonts w:ascii="宋体" w:hAnsi="宋体"/>
          <w:b/>
          <w:color w:val="auto"/>
          <w:szCs w:val="21"/>
        </w:rPr>
        <w:t>CA电子签章的；</w:t>
      </w:r>
    </w:p>
    <w:p w14:paraId="3507B122">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（2）供应商</w:t>
      </w:r>
      <w:r>
        <w:rPr>
          <w:rFonts w:ascii="宋体" w:hAnsi="宋体"/>
          <w:b/>
          <w:color w:val="auto"/>
          <w:szCs w:val="21"/>
        </w:rPr>
        <w:t>提交两份或两份以上内容不同的</w:t>
      </w:r>
      <w:r>
        <w:rPr>
          <w:rFonts w:hint="eastAsia" w:ascii="宋体" w:hAnsi="宋体"/>
          <w:b/>
          <w:color w:val="auto"/>
          <w:szCs w:val="21"/>
        </w:rPr>
        <w:t>响应</w:t>
      </w:r>
      <w:r>
        <w:rPr>
          <w:rFonts w:ascii="宋体" w:hAnsi="宋体"/>
          <w:b/>
          <w:color w:val="auto"/>
          <w:szCs w:val="21"/>
        </w:rPr>
        <w:t>文件；</w:t>
      </w:r>
    </w:p>
    <w:p w14:paraId="695FDEF9">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（3）供应商</w:t>
      </w:r>
      <w:r>
        <w:rPr>
          <w:rFonts w:ascii="宋体" w:hAnsi="宋体"/>
          <w:b/>
          <w:color w:val="auto"/>
          <w:szCs w:val="21"/>
        </w:rPr>
        <w:t>在线制作</w:t>
      </w:r>
      <w:r>
        <w:rPr>
          <w:rFonts w:hint="eastAsia" w:ascii="宋体" w:hAnsi="宋体"/>
          <w:b/>
          <w:color w:val="auto"/>
          <w:szCs w:val="21"/>
        </w:rPr>
        <w:t>响应</w:t>
      </w:r>
      <w:r>
        <w:rPr>
          <w:rFonts w:ascii="宋体" w:hAnsi="宋体"/>
          <w:b/>
          <w:color w:val="auto"/>
          <w:szCs w:val="21"/>
        </w:rPr>
        <w:t>文件时</w:t>
      </w:r>
      <w:r>
        <w:rPr>
          <w:rFonts w:hint="eastAsia" w:ascii="宋体" w:hAnsi="宋体"/>
          <w:b/>
          <w:color w:val="auto"/>
          <w:szCs w:val="21"/>
        </w:rPr>
        <w:t>填写的报价金额</w:t>
      </w:r>
      <w:r>
        <w:rPr>
          <w:rFonts w:ascii="宋体" w:hAnsi="宋体"/>
          <w:b/>
          <w:color w:val="auto"/>
          <w:szCs w:val="21"/>
        </w:rPr>
        <w:t>与解密后“电子加密投标文件”中《</w:t>
      </w:r>
      <w:r>
        <w:rPr>
          <w:rFonts w:hint="eastAsia" w:ascii="宋体" w:hAnsi="宋体"/>
          <w:b/>
          <w:color w:val="auto"/>
          <w:szCs w:val="21"/>
        </w:rPr>
        <w:t>磋商函</w:t>
      </w:r>
      <w:r>
        <w:rPr>
          <w:rFonts w:ascii="宋体" w:hAnsi="宋体"/>
          <w:b/>
          <w:color w:val="auto"/>
          <w:szCs w:val="21"/>
        </w:rPr>
        <w:t>》填写的金额不一致并拒绝按</w:t>
      </w:r>
      <w:r>
        <w:rPr>
          <w:rFonts w:hint="eastAsia" w:ascii="宋体" w:hAnsi="宋体"/>
          <w:b/>
          <w:color w:val="auto"/>
          <w:szCs w:val="21"/>
        </w:rPr>
        <w:t>磋商</w:t>
      </w:r>
      <w:r>
        <w:rPr>
          <w:rFonts w:ascii="宋体" w:hAnsi="宋体"/>
          <w:b/>
          <w:color w:val="auto"/>
          <w:szCs w:val="21"/>
        </w:rPr>
        <w:t>文件要求接受调整的；</w:t>
      </w:r>
    </w:p>
    <w:p w14:paraId="261D6075">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（4）</w:t>
      </w:r>
      <w:r>
        <w:rPr>
          <w:rFonts w:ascii="宋体" w:hAnsi="宋体"/>
          <w:b/>
          <w:color w:val="auto"/>
          <w:szCs w:val="21"/>
        </w:rPr>
        <w:t>法律、法规和</w:t>
      </w:r>
      <w:r>
        <w:rPr>
          <w:rFonts w:hint="eastAsia" w:ascii="宋体" w:hAnsi="宋体"/>
          <w:b/>
          <w:color w:val="auto"/>
          <w:szCs w:val="21"/>
        </w:rPr>
        <w:t>磋商</w:t>
      </w:r>
      <w:r>
        <w:rPr>
          <w:rFonts w:ascii="宋体" w:hAnsi="宋体"/>
          <w:b/>
          <w:color w:val="auto"/>
          <w:szCs w:val="21"/>
        </w:rPr>
        <w:t>文件规定的其他无效情形（或出现重大偏差）。</w:t>
      </w:r>
    </w:p>
    <w:p w14:paraId="01F4BD3D">
      <w:pPr>
        <w:spacing w:line="460" w:lineRule="exact"/>
        <w:ind w:firstLine="420" w:firstLineChars="200"/>
        <w:rPr>
          <w:rFonts w:ascii="宋体" w:hAnsi="宋体" w:cs="宋体"/>
          <w:color w:val="auto"/>
          <w:szCs w:val="21"/>
        </w:rPr>
      </w:pPr>
      <w:r>
        <w:rPr>
          <w:rFonts w:hint="eastAsia" w:ascii="宋体" w:hAnsi="宋体" w:cs="宋体"/>
          <w:color w:val="auto"/>
          <w:szCs w:val="21"/>
        </w:rPr>
        <w:t>21.3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A562A72">
      <w:pPr>
        <w:spacing w:line="460" w:lineRule="exact"/>
        <w:ind w:firstLine="420" w:firstLineChars="200"/>
        <w:rPr>
          <w:rFonts w:ascii="宋体" w:hAnsi="宋体"/>
          <w:color w:val="auto"/>
          <w:szCs w:val="21"/>
        </w:rPr>
      </w:pPr>
      <w:r>
        <w:rPr>
          <w:rFonts w:hint="eastAsia" w:ascii="宋体" w:hAnsi="宋体" w:cs="宋体"/>
          <w:color w:val="auto"/>
          <w:szCs w:val="21"/>
        </w:rPr>
        <w:t>21.4</w:t>
      </w:r>
      <w:r>
        <w:rPr>
          <w:rFonts w:hint="eastAsia" w:ascii="宋体" w:hAnsi="宋体"/>
          <w:color w:val="auto"/>
          <w:szCs w:val="21"/>
        </w:rPr>
        <w:t>通过符合性审查的合格供应商不足3家的，不得进入磋商环节，采购人或者采购代理机构应当重新开展采购活动。</w:t>
      </w:r>
    </w:p>
    <w:p w14:paraId="6D579DA3">
      <w:pPr>
        <w:pStyle w:val="4"/>
        <w:spacing w:before="0" w:after="0" w:line="460" w:lineRule="exact"/>
        <w:rPr>
          <w:rFonts w:ascii="宋体" w:hAnsi="宋体"/>
          <w:color w:val="auto"/>
          <w:sz w:val="21"/>
          <w:szCs w:val="21"/>
        </w:rPr>
      </w:pPr>
      <w:bookmarkStart w:id="98" w:name="_Toc18682823"/>
      <w:bookmarkStart w:id="99" w:name="_Toc80818634"/>
      <w:bookmarkStart w:id="100" w:name="_Toc346264287"/>
      <w:bookmarkStart w:id="101" w:name="_Toc239659115"/>
      <w:r>
        <w:rPr>
          <w:rFonts w:hint="eastAsia" w:ascii="宋体" w:hAnsi="宋体"/>
          <w:color w:val="auto"/>
          <w:sz w:val="21"/>
          <w:szCs w:val="21"/>
        </w:rPr>
        <w:t>22.磋商与评标</w:t>
      </w:r>
      <w:bookmarkEnd w:id="98"/>
      <w:bookmarkEnd w:id="99"/>
    </w:p>
    <w:p w14:paraId="75BD8B5A">
      <w:pPr>
        <w:spacing w:line="460" w:lineRule="exact"/>
        <w:ind w:firstLine="420" w:firstLineChars="200"/>
        <w:rPr>
          <w:rFonts w:ascii="宋体" w:hAnsi="宋体"/>
          <w:color w:val="auto"/>
          <w:szCs w:val="21"/>
        </w:rPr>
      </w:pPr>
      <w:r>
        <w:rPr>
          <w:rFonts w:hint="eastAsia" w:ascii="宋体" w:hAnsi="宋体"/>
          <w:color w:val="auto"/>
          <w:szCs w:val="21"/>
        </w:rPr>
        <w:t>22.1磋商</w:t>
      </w:r>
    </w:p>
    <w:p w14:paraId="1880BE42">
      <w:pPr>
        <w:spacing w:line="460" w:lineRule="exact"/>
        <w:ind w:firstLine="420" w:firstLineChars="200"/>
        <w:rPr>
          <w:rFonts w:ascii="宋体" w:hAnsi="宋体"/>
          <w:color w:val="auto"/>
          <w:szCs w:val="21"/>
        </w:rPr>
      </w:pPr>
      <w:r>
        <w:rPr>
          <w:rFonts w:hint="eastAsia" w:ascii="宋体" w:hAnsi="宋体"/>
          <w:color w:val="auto"/>
          <w:szCs w:val="21"/>
        </w:rPr>
        <w:t>22.1.1截标后为与供应商磋商的时间，具体时间由采购代理机构另行通知。</w:t>
      </w:r>
    </w:p>
    <w:p w14:paraId="5D7192D4">
      <w:pPr>
        <w:spacing w:line="460" w:lineRule="exact"/>
        <w:ind w:firstLine="420" w:firstLineChars="200"/>
        <w:rPr>
          <w:rFonts w:ascii="宋体" w:hAnsi="宋体"/>
          <w:color w:val="auto"/>
          <w:szCs w:val="21"/>
        </w:rPr>
      </w:pPr>
      <w:r>
        <w:rPr>
          <w:rFonts w:hint="eastAsia" w:ascii="宋体" w:hAnsi="宋体"/>
          <w:color w:val="auto"/>
          <w:szCs w:val="21"/>
        </w:rPr>
        <w:t>22.1.2</w:t>
      </w:r>
      <w:r>
        <w:rPr>
          <w:rFonts w:ascii="宋体" w:hAnsi="宋体"/>
          <w:color w:val="auto"/>
          <w:szCs w:val="21"/>
        </w:rPr>
        <w:t xml:space="preserve"> 磋商小组共3人以上单数依法组成，其中评审专家人数不得少于磋商小组成员总数的2/3</w:t>
      </w:r>
      <w:r>
        <w:rPr>
          <w:rFonts w:hint="eastAsia" w:ascii="宋体" w:hAnsi="宋体"/>
          <w:color w:val="auto"/>
          <w:szCs w:val="21"/>
        </w:rPr>
        <w:t>。在整个磋商过程中，磋商小组将负责对全部响应文件进行审查、磋商及评</w:t>
      </w:r>
      <w:r>
        <w:rPr>
          <w:rFonts w:ascii="宋体" w:hAnsi="宋体"/>
          <w:color w:val="auto"/>
          <w:szCs w:val="21"/>
        </w:rPr>
        <w:t>审</w:t>
      </w:r>
      <w:r>
        <w:rPr>
          <w:rFonts w:hint="eastAsia" w:ascii="宋体" w:hAnsi="宋体"/>
          <w:color w:val="auto"/>
          <w:szCs w:val="21"/>
        </w:rPr>
        <w:t>工作。</w:t>
      </w:r>
    </w:p>
    <w:p w14:paraId="2CA46DCE">
      <w:pPr>
        <w:spacing w:line="460" w:lineRule="exact"/>
        <w:ind w:firstLine="420" w:firstLineChars="200"/>
        <w:rPr>
          <w:rFonts w:ascii="宋体" w:hAnsi="宋体"/>
          <w:color w:val="auto"/>
          <w:szCs w:val="21"/>
        </w:rPr>
      </w:pPr>
      <w:r>
        <w:rPr>
          <w:rFonts w:hint="eastAsia" w:ascii="宋体" w:hAnsi="宋体"/>
          <w:color w:val="auto"/>
          <w:szCs w:val="21"/>
        </w:rPr>
        <w:t>22.1.3采购代理机构将在本须知规定组织磋商小组与各供应商分别进行磋商。供应商可由1～3人组成参谈组，磋商中供应商成员之间意见不一致时，以供应商的法定代表人（或其委托代理人）的意见为准。</w:t>
      </w:r>
    </w:p>
    <w:p w14:paraId="3FD4F312">
      <w:pPr>
        <w:spacing w:line="460" w:lineRule="exact"/>
        <w:ind w:firstLine="420" w:firstLineChars="200"/>
        <w:rPr>
          <w:rFonts w:ascii="宋体" w:hAnsi="宋体"/>
          <w:color w:val="auto"/>
          <w:szCs w:val="21"/>
        </w:rPr>
      </w:pPr>
      <w:r>
        <w:rPr>
          <w:rFonts w:hint="eastAsia" w:ascii="宋体" w:hAnsi="宋体"/>
          <w:color w:val="auto"/>
          <w:szCs w:val="21"/>
        </w:rPr>
        <w:t>22.1.4</w:t>
      </w:r>
      <w:r>
        <w:rPr>
          <w:rFonts w:ascii="宋体" w:hAnsi="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B0D2827">
      <w:pPr>
        <w:spacing w:line="460" w:lineRule="exact"/>
        <w:ind w:firstLine="420" w:firstLineChars="200"/>
        <w:rPr>
          <w:rFonts w:ascii="宋体" w:hAnsi="宋体"/>
          <w:color w:val="auto"/>
          <w:szCs w:val="21"/>
        </w:rPr>
      </w:pPr>
      <w:r>
        <w:rPr>
          <w:rFonts w:hint="eastAsia" w:ascii="宋体" w:hAnsi="宋体"/>
          <w:color w:val="auto"/>
          <w:szCs w:val="21"/>
        </w:rPr>
        <w:t>22.1.5由</w:t>
      </w:r>
      <w:r>
        <w:rPr>
          <w:rFonts w:ascii="宋体" w:hAnsi="宋体"/>
          <w:color w:val="auto"/>
          <w:szCs w:val="21"/>
        </w:rPr>
        <w:t>磋商小组</w:t>
      </w:r>
      <w:r>
        <w:rPr>
          <w:rFonts w:hint="eastAsia" w:ascii="宋体" w:hAnsi="宋体"/>
          <w:color w:val="auto"/>
          <w:szCs w:val="21"/>
        </w:rPr>
        <w:t>按照供应商须知前附表确定的顺序，集中与单一供应商分别进行磋商，给予所有参加磋商的供应商平等的磋商机会。由</w:t>
      </w:r>
      <w:r>
        <w:rPr>
          <w:rFonts w:ascii="宋体" w:hAnsi="宋体"/>
          <w:color w:val="auto"/>
          <w:szCs w:val="21"/>
        </w:rPr>
        <w:t>磋商小组</w:t>
      </w:r>
      <w:r>
        <w:rPr>
          <w:rFonts w:hint="eastAsia" w:ascii="宋体" w:hAnsi="宋体"/>
          <w:color w:val="auto"/>
          <w:szCs w:val="21"/>
        </w:rPr>
        <w:t>发起询标进行磋商，同时采购代理机构可通知各供应商，通知的联系方式以供应商在政采云平台“获取采购文件”填写联系人的手机号为准，各供应商应在线关注询标信息并保证提供的联系方保持通讯畅通，接到在线询标信息后应在20分钟内进行询标回复；磋商结束后，供应商按磋商小组要求的时间内递交磋商时要求其就商务和技术条件作出的包含补充、修改、承诺、最终报价等内容的应答文件在线提交，应答文件必须由供应商的法定代表人或委托代理人签名或盖公章，应答文件构成响应文件的一部分。</w:t>
      </w:r>
    </w:p>
    <w:p w14:paraId="1D3CF122">
      <w:pPr>
        <w:spacing w:line="460" w:lineRule="exact"/>
        <w:ind w:firstLine="420" w:firstLineChars="200"/>
        <w:rPr>
          <w:rFonts w:ascii="宋体" w:hAnsi="宋体"/>
          <w:color w:val="auto"/>
          <w:szCs w:val="21"/>
        </w:rPr>
      </w:pPr>
      <w:r>
        <w:rPr>
          <w:rFonts w:ascii="宋体" w:hAnsi="宋体"/>
          <w:color w:val="auto"/>
          <w:szCs w:val="21"/>
        </w:rPr>
        <w:t>磋商小组应当要求所有实质性响应的供应商在规定时间内提交最后报价，提交最后报价的供应商不得少于3家。</w:t>
      </w:r>
    </w:p>
    <w:p w14:paraId="24076A82">
      <w:pPr>
        <w:pStyle w:val="24"/>
        <w:snapToGrid w:val="0"/>
        <w:spacing w:line="460" w:lineRule="exact"/>
        <w:jc w:val="left"/>
        <w:rPr>
          <w:rFonts w:hAnsi="宋体"/>
          <w:color w:val="auto"/>
          <w:szCs w:val="21"/>
        </w:rPr>
      </w:pPr>
      <w:r>
        <w:rPr>
          <w:rFonts w:hint="eastAsia" w:hAnsi="宋体"/>
          <w:color w:val="auto"/>
          <w:szCs w:val="21"/>
        </w:rPr>
        <w:t xml:space="preserve">    22.1.6作最后报价时，</w:t>
      </w:r>
      <w:r>
        <w:rPr>
          <w:rFonts w:hint="eastAsia" w:hAnsi="宋体"/>
          <w:b/>
          <w:color w:val="auto"/>
          <w:szCs w:val="21"/>
        </w:rPr>
        <w:t>供应商的最终报价文件必须以采购代理机构提供的工程量清单的格式编制或填写</w:t>
      </w:r>
      <w:r>
        <w:rPr>
          <w:rFonts w:hint="eastAsia" w:hAnsi="宋体"/>
          <w:color w:val="auto"/>
          <w:szCs w:val="21"/>
        </w:rPr>
        <w:t>，供应商不得采用总价优惠、总价百分比优惠或以报价调整函的方式进行最终磋商报价，其优惠应直接体现在各项磋商报价的单价中。供应商须提前做好相关准备并按时递交最终报价文件（因供应商原因无法在磋商时联系的或供应商未在规定的时间内提供最终报价文件，则以供应商最近一次报价的有效磋商报价为准）。</w:t>
      </w:r>
    </w:p>
    <w:p w14:paraId="343E3E8D">
      <w:pPr>
        <w:pStyle w:val="24"/>
        <w:snapToGrid w:val="0"/>
        <w:spacing w:line="460" w:lineRule="exact"/>
        <w:jc w:val="left"/>
        <w:rPr>
          <w:rFonts w:hAnsi="宋体"/>
          <w:color w:val="auto"/>
          <w:szCs w:val="21"/>
        </w:rPr>
      </w:pPr>
      <w:r>
        <w:rPr>
          <w:rFonts w:hint="eastAsia" w:hAnsi="宋体"/>
          <w:color w:val="auto"/>
          <w:szCs w:val="21"/>
        </w:rPr>
        <w:t xml:space="preserve">    22.1.7</w:t>
      </w:r>
      <w:r>
        <w:rPr>
          <w:rFonts w:hAnsi="宋体"/>
          <w:color w:val="auto"/>
          <w:szCs w:val="21"/>
        </w:rPr>
        <w:t>已提交响应文件的供应商，在提交最</w:t>
      </w:r>
      <w:r>
        <w:rPr>
          <w:rFonts w:hint="eastAsia" w:hAnsi="宋体"/>
          <w:color w:val="auto"/>
          <w:szCs w:val="21"/>
        </w:rPr>
        <w:t>终</w:t>
      </w:r>
      <w:r>
        <w:rPr>
          <w:rFonts w:hAnsi="宋体"/>
          <w:color w:val="auto"/>
          <w:szCs w:val="21"/>
        </w:rPr>
        <w:t>报价之前，可以根据磋商情况退出磋商。经磋商确定最终采购需求和提交最</w:t>
      </w:r>
      <w:r>
        <w:rPr>
          <w:rFonts w:hint="eastAsia" w:hAnsi="宋体"/>
          <w:color w:val="auto"/>
          <w:szCs w:val="21"/>
        </w:rPr>
        <w:t>终</w:t>
      </w:r>
      <w:r>
        <w:rPr>
          <w:rFonts w:hAnsi="宋体"/>
          <w:color w:val="auto"/>
          <w:szCs w:val="21"/>
        </w:rPr>
        <w:t>报价的供应商后，由磋商小组采用综合评分法对提交最</w:t>
      </w:r>
      <w:r>
        <w:rPr>
          <w:rFonts w:hint="eastAsia" w:hAnsi="宋体"/>
          <w:color w:val="auto"/>
          <w:szCs w:val="21"/>
        </w:rPr>
        <w:t>终</w:t>
      </w:r>
      <w:r>
        <w:rPr>
          <w:rFonts w:hAnsi="宋体"/>
          <w:color w:val="auto"/>
          <w:szCs w:val="21"/>
        </w:rPr>
        <w:t>报价的供应商的响应文件和最</w:t>
      </w:r>
      <w:r>
        <w:rPr>
          <w:rFonts w:hint="eastAsia" w:hAnsi="宋体"/>
          <w:color w:val="auto"/>
          <w:szCs w:val="21"/>
        </w:rPr>
        <w:t>终</w:t>
      </w:r>
      <w:r>
        <w:rPr>
          <w:rFonts w:hAnsi="宋体"/>
          <w:color w:val="auto"/>
          <w:szCs w:val="21"/>
        </w:rPr>
        <w:t>报价进行综合评分。</w:t>
      </w:r>
    </w:p>
    <w:p w14:paraId="45CFFEC0">
      <w:pPr>
        <w:spacing w:line="460" w:lineRule="exact"/>
        <w:ind w:firstLine="420" w:firstLineChars="200"/>
        <w:rPr>
          <w:rFonts w:ascii="宋体" w:hAnsi="宋体"/>
          <w:color w:val="auto"/>
          <w:szCs w:val="21"/>
        </w:rPr>
      </w:pPr>
      <w:r>
        <w:rPr>
          <w:rFonts w:hint="eastAsia" w:ascii="宋体" w:hAnsi="宋体"/>
          <w:color w:val="auto"/>
          <w:szCs w:val="21"/>
        </w:rPr>
        <w:t>22.1.8</w:t>
      </w:r>
      <w:r>
        <w:rPr>
          <w:rFonts w:ascii="宋体" w:hAnsi="宋体"/>
          <w:color w:val="auto"/>
          <w:szCs w:val="21"/>
        </w:rPr>
        <w:t>磋商</w:t>
      </w:r>
      <w:r>
        <w:rPr>
          <w:rFonts w:hint="eastAsia" w:ascii="宋体" w:hAnsi="宋体"/>
          <w:color w:val="auto"/>
          <w:szCs w:val="21"/>
        </w:rPr>
        <w:t>结束后，</w:t>
      </w:r>
      <w:r>
        <w:rPr>
          <w:rFonts w:ascii="宋体" w:hAnsi="宋体"/>
          <w:color w:val="auto"/>
          <w:szCs w:val="21"/>
        </w:rPr>
        <w:t>磋商</w:t>
      </w:r>
      <w:r>
        <w:rPr>
          <w:rFonts w:hint="eastAsia" w:ascii="宋体" w:hAnsi="宋体"/>
          <w:color w:val="auto"/>
          <w:szCs w:val="21"/>
        </w:rPr>
        <w:t>小组不得再与供应商进行任何形式的商谈。</w:t>
      </w:r>
    </w:p>
    <w:p w14:paraId="6A911505">
      <w:pPr>
        <w:spacing w:line="460" w:lineRule="exact"/>
        <w:ind w:firstLine="420" w:firstLineChars="200"/>
        <w:rPr>
          <w:rFonts w:ascii="宋体" w:hAnsi="宋体"/>
          <w:color w:val="auto"/>
          <w:szCs w:val="21"/>
        </w:rPr>
      </w:pPr>
      <w:r>
        <w:rPr>
          <w:rFonts w:hint="eastAsia" w:ascii="宋体" w:hAnsi="宋体"/>
          <w:color w:val="auto"/>
          <w:szCs w:val="21"/>
        </w:rPr>
        <w:t>22.1.9</w:t>
      </w:r>
      <w:r>
        <w:rPr>
          <w:rFonts w:ascii="宋体" w:hAnsi="宋体"/>
          <w:color w:val="auto"/>
          <w:szCs w:val="21"/>
        </w:rPr>
        <w:t>磋商</w:t>
      </w:r>
      <w:r>
        <w:rPr>
          <w:rFonts w:hint="eastAsia" w:ascii="宋体" w:hAnsi="宋体"/>
          <w:color w:val="auto"/>
          <w:szCs w:val="21"/>
        </w:rPr>
        <w:t>的任何一方不得透露与</w:t>
      </w:r>
      <w:r>
        <w:rPr>
          <w:rFonts w:ascii="宋体" w:hAnsi="宋体"/>
          <w:color w:val="auto"/>
          <w:szCs w:val="21"/>
        </w:rPr>
        <w:t>磋商</w:t>
      </w:r>
      <w:r>
        <w:rPr>
          <w:rFonts w:hint="eastAsia" w:ascii="宋体" w:hAnsi="宋体"/>
          <w:color w:val="auto"/>
          <w:szCs w:val="21"/>
        </w:rPr>
        <w:t>有关的其他供应商的技术资料、价格和其他信息。</w:t>
      </w:r>
    </w:p>
    <w:p w14:paraId="4724B555">
      <w:pPr>
        <w:spacing w:line="460" w:lineRule="exact"/>
        <w:ind w:firstLine="420" w:firstLineChars="200"/>
        <w:rPr>
          <w:rFonts w:ascii="宋体" w:hAnsi="宋体"/>
          <w:color w:val="auto"/>
          <w:szCs w:val="21"/>
        </w:rPr>
      </w:pPr>
      <w:r>
        <w:rPr>
          <w:rFonts w:hint="eastAsia" w:ascii="宋体" w:hAnsi="宋体"/>
          <w:color w:val="auto"/>
          <w:szCs w:val="21"/>
        </w:rPr>
        <w:t>22.2 评审</w:t>
      </w:r>
    </w:p>
    <w:p w14:paraId="44D2252B">
      <w:pPr>
        <w:spacing w:line="460" w:lineRule="exact"/>
        <w:ind w:firstLine="420" w:firstLineChars="200"/>
        <w:rPr>
          <w:rFonts w:ascii="宋体" w:hAnsi="宋体"/>
          <w:color w:val="auto"/>
          <w:szCs w:val="21"/>
        </w:rPr>
      </w:pPr>
      <w:r>
        <w:rPr>
          <w:rFonts w:hint="eastAsia" w:ascii="宋体" w:hAnsi="宋体"/>
          <w:color w:val="auto"/>
          <w:szCs w:val="21"/>
        </w:rPr>
        <w:t>22.2.1本采购项目</w:t>
      </w:r>
      <w:r>
        <w:rPr>
          <w:rFonts w:hint="eastAsia" w:ascii="宋体" w:hAnsi="宋体"/>
          <w:color w:val="auto"/>
          <w:spacing w:val="2"/>
          <w:szCs w:val="21"/>
        </w:rPr>
        <w:t>对通过资格审查和符合性审查评审为合格的响应文件</w:t>
      </w:r>
      <w:r>
        <w:rPr>
          <w:rFonts w:hint="eastAsia" w:ascii="宋体" w:hAnsi="宋体"/>
          <w:color w:val="auto"/>
          <w:szCs w:val="21"/>
        </w:rPr>
        <w:t>采用</w:t>
      </w:r>
      <w:r>
        <w:rPr>
          <w:rFonts w:hint="eastAsia" w:ascii="宋体" w:hAnsi="宋体"/>
          <w:color w:val="auto"/>
          <w:spacing w:val="2"/>
          <w:szCs w:val="21"/>
        </w:rPr>
        <w:t>综合评分</w:t>
      </w:r>
      <w:r>
        <w:rPr>
          <w:rFonts w:ascii="宋体" w:hAnsi="宋体"/>
          <w:color w:val="auto"/>
          <w:spacing w:val="2"/>
          <w:szCs w:val="21"/>
        </w:rPr>
        <w:t>法</w:t>
      </w:r>
      <w:r>
        <w:rPr>
          <w:rFonts w:hint="eastAsia" w:ascii="宋体" w:hAnsi="宋体"/>
          <w:color w:val="auto"/>
          <w:szCs w:val="21"/>
        </w:rPr>
        <w:t>，评标依据为磋商文件和响应文件及</w:t>
      </w:r>
      <w:r>
        <w:rPr>
          <w:rFonts w:ascii="宋体" w:hAnsi="宋体"/>
          <w:color w:val="auto"/>
          <w:szCs w:val="21"/>
        </w:rPr>
        <w:t>磋商</w:t>
      </w:r>
      <w:r>
        <w:rPr>
          <w:rFonts w:hint="eastAsia" w:ascii="宋体" w:hAnsi="宋体"/>
          <w:color w:val="auto"/>
          <w:szCs w:val="21"/>
        </w:rPr>
        <w:t>应答文件。</w:t>
      </w:r>
    </w:p>
    <w:p w14:paraId="4F124597">
      <w:pPr>
        <w:spacing w:line="460" w:lineRule="exact"/>
        <w:ind w:firstLine="420" w:firstLineChars="200"/>
        <w:rPr>
          <w:rFonts w:ascii="宋体" w:hAnsi="宋体"/>
          <w:color w:val="auto"/>
          <w:szCs w:val="21"/>
        </w:rPr>
      </w:pPr>
      <w:r>
        <w:rPr>
          <w:rFonts w:hint="eastAsia" w:ascii="宋体" w:hAnsi="宋体"/>
          <w:color w:val="auto"/>
          <w:szCs w:val="21"/>
        </w:rPr>
        <w:t>22.2.2评标工作将采取封闭方式进行，</w:t>
      </w:r>
      <w:r>
        <w:rPr>
          <w:rFonts w:ascii="宋体" w:hAnsi="宋体"/>
          <w:color w:val="auto"/>
          <w:szCs w:val="21"/>
        </w:rPr>
        <w:t>磋商</w:t>
      </w:r>
      <w:r>
        <w:rPr>
          <w:rFonts w:hint="eastAsia" w:ascii="宋体" w:hAnsi="宋体"/>
          <w:color w:val="auto"/>
          <w:szCs w:val="21"/>
        </w:rPr>
        <w:t>小组成员和有关工作人员不得透露对响应文件的评审、比较和成交候选供应商的推荐情况以及与评标有关的其他情况。</w:t>
      </w:r>
    </w:p>
    <w:p w14:paraId="24DC3710">
      <w:pPr>
        <w:spacing w:line="460" w:lineRule="exact"/>
        <w:ind w:firstLine="420" w:firstLineChars="200"/>
        <w:rPr>
          <w:rFonts w:ascii="宋体" w:hAnsi="宋体"/>
          <w:color w:val="auto"/>
          <w:szCs w:val="21"/>
        </w:rPr>
      </w:pPr>
      <w:r>
        <w:rPr>
          <w:rFonts w:hint="eastAsia" w:ascii="宋体" w:hAnsi="宋体"/>
          <w:color w:val="auto"/>
          <w:szCs w:val="21"/>
        </w:rPr>
        <w:t>22.3供应商在评标过程中，所进行的力图影响评标结果公正性的活动，将可能导致其成交资格被取消。</w:t>
      </w:r>
    </w:p>
    <w:p w14:paraId="614A7843">
      <w:pPr>
        <w:spacing w:line="460" w:lineRule="exact"/>
        <w:ind w:firstLine="420" w:firstLineChars="200"/>
        <w:rPr>
          <w:rFonts w:ascii="宋体" w:hAnsi="宋体"/>
          <w:color w:val="auto"/>
          <w:szCs w:val="21"/>
        </w:rPr>
      </w:pPr>
      <w:r>
        <w:rPr>
          <w:rFonts w:hint="eastAsia" w:ascii="宋体" w:hAnsi="宋体"/>
          <w:color w:val="auto"/>
          <w:szCs w:val="21"/>
        </w:rPr>
        <w:t>22.4供应商磋商报价超出采购上限控制价则磋商无效。如果全部供应商的磋商报价均超出采购上限控制价，采购人不能支付的，由采购单位重新组织采购。</w:t>
      </w:r>
    </w:p>
    <w:p w14:paraId="52CD5D09">
      <w:pPr>
        <w:pStyle w:val="3"/>
        <w:spacing w:before="0" w:after="0" w:line="460" w:lineRule="exact"/>
        <w:rPr>
          <w:rFonts w:ascii="宋体" w:hAnsi="宋体" w:eastAsia="宋体"/>
          <w:color w:val="auto"/>
          <w:sz w:val="21"/>
          <w:szCs w:val="21"/>
        </w:rPr>
      </w:pPr>
      <w:bookmarkStart w:id="102" w:name="_Toc18682824"/>
      <w:bookmarkStart w:id="103" w:name="_Toc80818635"/>
      <w:r>
        <w:rPr>
          <w:rFonts w:hint="eastAsia" w:ascii="宋体" w:hAnsi="宋体" w:eastAsia="宋体"/>
          <w:color w:val="auto"/>
          <w:sz w:val="21"/>
          <w:szCs w:val="21"/>
        </w:rPr>
        <w:t>23.</w:t>
      </w:r>
      <w:bookmarkEnd w:id="100"/>
      <w:bookmarkEnd w:id="102"/>
      <w:r>
        <w:rPr>
          <w:rFonts w:hint="eastAsia" w:ascii="宋体" w:hAnsi="宋体" w:eastAsia="宋体"/>
          <w:color w:val="auto"/>
          <w:sz w:val="21"/>
          <w:szCs w:val="21"/>
        </w:rPr>
        <w:t xml:space="preserve"> 废标的情形</w:t>
      </w:r>
      <w:bookmarkEnd w:id="103"/>
    </w:p>
    <w:p w14:paraId="5DE473E1">
      <w:pPr>
        <w:pStyle w:val="24"/>
        <w:spacing w:line="460" w:lineRule="exact"/>
        <w:ind w:left="525"/>
        <w:rPr>
          <w:rFonts w:hAnsi="宋体"/>
          <w:color w:val="auto"/>
          <w:szCs w:val="21"/>
        </w:rPr>
      </w:pPr>
      <w:r>
        <w:rPr>
          <w:rFonts w:hint="eastAsia" w:hAnsi="宋体"/>
          <w:color w:val="auto"/>
          <w:szCs w:val="21"/>
        </w:rPr>
        <w:t>属于下列情形之一的，应予废标：</w:t>
      </w:r>
    </w:p>
    <w:p w14:paraId="5929EDBF">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（1）采购过程中符合要求的供应商或者报价未超过采购预算的供应商不足3家的；</w:t>
      </w:r>
    </w:p>
    <w:p w14:paraId="71FB7C8C">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 xml:space="preserve"> (2)出现影响采购公正的违法、违规行为的;</w:t>
      </w:r>
    </w:p>
    <w:p w14:paraId="4C05569D">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 xml:space="preserve"> (3)磋商文件内容违反国家有关强制性规定的;</w:t>
      </w:r>
    </w:p>
    <w:p w14:paraId="44D203F7">
      <w:pPr>
        <w:tabs>
          <w:tab w:val="left" w:pos="975"/>
        </w:tabs>
        <w:snapToGrid w:val="0"/>
        <w:spacing w:line="440" w:lineRule="exact"/>
        <w:ind w:firstLine="514" w:firstLineChars="245"/>
        <w:jc w:val="left"/>
        <w:rPr>
          <w:rFonts w:ascii="宋体" w:hAnsi="宋体"/>
          <w:color w:val="auto"/>
          <w:szCs w:val="21"/>
        </w:rPr>
      </w:pPr>
      <w:r>
        <w:rPr>
          <w:rFonts w:hint="eastAsia" w:ascii="宋体" w:hAnsi="宋体"/>
          <w:color w:val="auto"/>
          <w:szCs w:val="21"/>
        </w:rPr>
        <w:t>(4)因重大变故,采购任务取消的;</w:t>
      </w:r>
    </w:p>
    <w:p w14:paraId="659D8CBD">
      <w:pPr>
        <w:pStyle w:val="3"/>
        <w:spacing w:before="0" w:after="0" w:line="460" w:lineRule="exact"/>
        <w:rPr>
          <w:rFonts w:ascii="宋体" w:hAnsi="宋体" w:eastAsia="宋体"/>
          <w:color w:val="auto"/>
          <w:sz w:val="21"/>
          <w:szCs w:val="21"/>
        </w:rPr>
      </w:pPr>
      <w:bookmarkStart w:id="104" w:name="_Toc18682825"/>
      <w:bookmarkStart w:id="105" w:name="_Toc80818636"/>
      <w:bookmarkStart w:id="106" w:name="_Toc346264288"/>
      <w:r>
        <w:rPr>
          <w:rFonts w:ascii="宋体" w:hAnsi="宋体" w:eastAsia="宋体"/>
          <w:color w:val="auto"/>
          <w:sz w:val="21"/>
          <w:szCs w:val="21"/>
        </w:rPr>
        <w:t>2</w:t>
      </w:r>
      <w:r>
        <w:rPr>
          <w:rFonts w:hint="eastAsia" w:ascii="宋体" w:hAnsi="宋体" w:eastAsia="宋体"/>
          <w:color w:val="auto"/>
          <w:sz w:val="21"/>
          <w:szCs w:val="21"/>
        </w:rPr>
        <w:t>4</w:t>
      </w:r>
      <w:r>
        <w:rPr>
          <w:rFonts w:ascii="宋体" w:hAnsi="宋体" w:eastAsia="宋体"/>
          <w:color w:val="auto"/>
          <w:sz w:val="21"/>
          <w:szCs w:val="21"/>
        </w:rPr>
        <w:t>.</w:t>
      </w:r>
      <w:r>
        <w:rPr>
          <w:rFonts w:hint="eastAsia" w:ascii="宋体" w:hAnsi="宋体" w:eastAsia="宋体"/>
          <w:color w:val="auto"/>
          <w:sz w:val="21"/>
          <w:szCs w:val="21"/>
        </w:rPr>
        <w:t>成交</w:t>
      </w:r>
      <w:r>
        <w:rPr>
          <w:rFonts w:ascii="宋体" w:hAnsi="宋体" w:eastAsia="宋体"/>
          <w:color w:val="auto"/>
          <w:sz w:val="21"/>
          <w:szCs w:val="21"/>
        </w:rPr>
        <w:t>公告</w:t>
      </w:r>
      <w:bookmarkEnd w:id="101"/>
      <w:bookmarkEnd w:id="104"/>
      <w:bookmarkEnd w:id="105"/>
      <w:bookmarkEnd w:id="106"/>
    </w:p>
    <w:p w14:paraId="543BD60C">
      <w:pPr>
        <w:pStyle w:val="24"/>
        <w:spacing w:line="460" w:lineRule="exact"/>
        <w:ind w:left="53" w:leftChars="25" w:firstLine="371" w:firstLineChars="177"/>
        <w:rPr>
          <w:rFonts w:hAnsi="宋体" w:cs="宋体"/>
          <w:color w:val="auto"/>
          <w:szCs w:val="21"/>
        </w:rPr>
      </w:pPr>
      <w:bookmarkStart w:id="107" w:name="_Toc346264289"/>
      <w:bookmarkStart w:id="108" w:name="_Toc239659116"/>
      <w:r>
        <w:rPr>
          <w:rFonts w:hint="eastAsia" w:hAnsi="宋体" w:cs="宋体"/>
          <w:color w:val="auto"/>
          <w:szCs w:val="21"/>
        </w:rPr>
        <w:t>24.1采购代理机构将在评审结束后2个工作日内将评审报告送采购人，采购人收到采购代理机构提交的评审报告后，2个工作日内确定成交供应商。采购人确认后，成交结果将在发布竞争性磋商公告的网站上公布，同时向成交人发出成交通知书。</w:t>
      </w:r>
    </w:p>
    <w:p w14:paraId="5261F223">
      <w:pPr>
        <w:spacing w:line="460" w:lineRule="exact"/>
        <w:rPr>
          <w:rFonts w:ascii="宋体" w:hAnsi="宋体" w:cs="宋体"/>
          <w:color w:val="auto"/>
          <w:szCs w:val="21"/>
        </w:rPr>
      </w:pPr>
      <w:r>
        <w:rPr>
          <w:rFonts w:hint="eastAsia" w:ascii="宋体" w:hAnsi="宋体" w:cs="宋体"/>
          <w:color w:val="auto"/>
          <w:szCs w:val="21"/>
        </w:rPr>
        <w:t xml:space="preserve">    24.2 供应商如对成交公告有异议，可以在成交公告期限届满之日起7个工作日内以书面形式向采购人或采购代理机构提出质疑。采购人或采购代理机构将在收到供应商的书面形式质疑后7个工作日内做出答复，但答复的内容不得涉及商业密秘。</w:t>
      </w:r>
    </w:p>
    <w:p w14:paraId="30FB07AB">
      <w:pPr>
        <w:pStyle w:val="24"/>
        <w:spacing w:line="460" w:lineRule="exact"/>
        <w:ind w:left="53" w:leftChars="25" w:firstLine="371" w:firstLineChars="177"/>
        <w:rPr>
          <w:rFonts w:hAnsi="宋体" w:cs="宋体"/>
          <w:color w:val="auto"/>
          <w:szCs w:val="21"/>
        </w:rPr>
      </w:pPr>
      <w:r>
        <w:rPr>
          <w:rFonts w:hint="eastAsia" w:hAnsi="宋体" w:cs="宋体"/>
          <w:color w:val="auto"/>
          <w:szCs w:val="21"/>
        </w:rPr>
        <w:t>24.3 质疑供应商必须首先经过质疑程序，在对采购人或采购代理机构的答复不满意，或者采购人或采购代理机构未在规定的时间内做出答复的，可以在答复期满后15个工作日内书面向同级政府采购监督管理部门投诉。</w:t>
      </w:r>
    </w:p>
    <w:p w14:paraId="4C89BCD4">
      <w:pPr>
        <w:pStyle w:val="3"/>
        <w:spacing w:before="0" w:after="0" w:line="460" w:lineRule="exact"/>
        <w:rPr>
          <w:rFonts w:ascii="宋体" w:hAnsi="宋体" w:eastAsia="宋体"/>
          <w:color w:val="auto"/>
          <w:sz w:val="21"/>
          <w:szCs w:val="21"/>
        </w:rPr>
      </w:pPr>
      <w:bookmarkStart w:id="109" w:name="_Toc80818637"/>
      <w:bookmarkStart w:id="110" w:name="_Toc18682826"/>
      <w:r>
        <w:rPr>
          <w:rFonts w:ascii="宋体" w:hAnsi="宋体" w:eastAsia="宋体"/>
          <w:color w:val="auto"/>
          <w:sz w:val="21"/>
          <w:szCs w:val="21"/>
        </w:rPr>
        <w:t>2</w:t>
      </w:r>
      <w:r>
        <w:rPr>
          <w:rFonts w:hint="eastAsia" w:ascii="宋体" w:hAnsi="宋体" w:eastAsia="宋体"/>
          <w:color w:val="auto"/>
          <w:sz w:val="21"/>
          <w:szCs w:val="21"/>
        </w:rPr>
        <w:t>5</w:t>
      </w:r>
      <w:r>
        <w:rPr>
          <w:rFonts w:ascii="宋体" w:hAnsi="宋体" w:eastAsia="宋体"/>
          <w:color w:val="auto"/>
          <w:sz w:val="21"/>
          <w:szCs w:val="21"/>
        </w:rPr>
        <w:t>.</w:t>
      </w:r>
      <w:r>
        <w:rPr>
          <w:rFonts w:hint="eastAsia" w:ascii="宋体" w:hAnsi="宋体" w:eastAsia="宋体"/>
          <w:color w:val="auto"/>
          <w:sz w:val="21"/>
          <w:szCs w:val="21"/>
        </w:rPr>
        <w:t>成交</w:t>
      </w:r>
      <w:r>
        <w:rPr>
          <w:rFonts w:ascii="宋体" w:hAnsi="宋体" w:eastAsia="宋体"/>
          <w:color w:val="auto"/>
          <w:sz w:val="21"/>
          <w:szCs w:val="21"/>
        </w:rPr>
        <w:t>通知书</w:t>
      </w:r>
      <w:bookmarkEnd w:id="107"/>
      <w:bookmarkEnd w:id="108"/>
      <w:bookmarkEnd w:id="109"/>
      <w:bookmarkEnd w:id="110"/>
    </w:p>
    <w:p w14:paraId="6D7AE657">
      <w:pPr>
        <w:spacing w:line="460" w:lineRule="exact"/>
        <w:ind w:left="229" w:leftChars="109" w:firstLine="210" w:firstLineChars="1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.1 在发布</w:t>
      </w:r>
      <w:r>
        <w:rPr>
          <w:rFonts w:hint="eastAsia" w:ascii="宋体" w:hAnsi="宋体"/>
          <w:color w:val="auto"/>
          <w:szCs w:val="21"/>
        </w:rPr>
        <w:t>成交</w:t>
      </w:r>
      <w:r>
        <w:rPr>
          <w:rFonts w:ascii="宋体" w:hAnsi="宋体"/>
          <w:color w:val="auto"/>
          <w:szCs w:val="21"/>
        </w:rPr>
        <w:t>公告的同时，向</w:t>
      </w:r>
      <w:r>
        <w:rPr>
          <w:rFonts w:hint="eastAsia" w:ascii="宋体" w:hAnsi="宋体"/>
          <w:color w:val="auto"/>
          <w:szCs w:val="21"/>
        </w:rPr>
        <w:t>成交</w:t>
      </w:r>
      <w:r>
        <w:rPr>
          <w:rFonts w:ascii="宋体" w:hAnsi="宋体"/>
          <w:color w:val="auto"/>
          <w:szCs w:val="21"/>
        </w:rPr>
        <w:t>单位发出书面成交通知书。</w:t>
      </w:r>
    </w:p>
    <w:p w14:paraId="4EC5EF3E">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 xml:space="preserve">.2 </w:t>
      </w:r>
      <w:r>
        <w:rPr>
          <w:rFonts w:hint="eastAsia" w:ascii="宋体" w:hAnsi="宋体"/>
          <w:color w:val="auto"/>
          <w:szCs w:val="21"/>
        </w:rPr>
        <w:t>成交</w:t>
      </w:r>
      <w:r>
        <w:rPr>
          <w:rFonts w:ascii="宋体" w:hAnsi="宋体"/>
          <w:color w:val="auto"/>
          <w:szCs w:val="21"/>
        </w:rPr>
        <w:t>通知书注明成交金额、</w:t>
      </w:r>
      <w:r>
        <w:rPr>
          <w:rFonts w:hint="eastAsia" w:ascii="宋体" w:hAnsi="宋体"/>
          <w:color w:val="auto"/>
          <w:szCs w:val="21"/>
        </w:rPr>
        <w:t>工期</w:t>
      </w:r>
      <w:r>
        <w:rPr>
          <w:rFonts w:ascii="宋体" w:hAnsi="宋体"/>
          <w:color w:val="auto"/>
          <w:szCs w:val="21"/>
        </w:rPr>
        <w:t>、质量及工程保修期等。</w:t>
      </w:r>
    </w:p>
    <w:p w14:paraId="0E598A6C">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 xml:space="preserve">.3 </w:t>
      </w:r>
      <w:r>
        <w:rPr>
          <w:rFonts w:hint="eastAsia" w:ascii="宋体" w:hAnsi="宋体"/>
          <w:color w:val="auto"/>
          <w:szCs w:val="21"/>
        </w:rPr>
        <w:t>成交</w:t>
      </w:r>
      <w:r>
        <w:rPr>
          <w:rFonts w:ascii="宋体" w:hAnsi="宋体"/>
          <w:color w:val="auto"/>
          <w:szCs w:val="21"/>
        </w:rPr>
        <w:t>通知书为合同的组成部分。</w:t>
      </w:r>
    </w:p>
    <w:p w14:paraId="108BB656">
      <w:pPr>
        <w:pStyle w:val="3"/>
        <w:spacing w:before="0" w:after="0" w:line="460" w:lineRule="exact"/>
        <w:rPr>
          <w:rFonts w:ascii="宋体" w:hAnsi="宋体" w:eastAsia="宋体"/>
          <w:color w:val="auto"/>
          <w:sz w:val="21"/>
          <w:szCs w:val="21"/>
        </w:rPr>
      </w:pPr>
      <w:bookmarkStart w:id="111" w:name="_Toc18682827"/>
      <w:bookmarkStart w:id="112" w:name="_Toc80818638"/>
      <w:bookmarkStart w:id="113" w:name="_Toc239659117"/>
      <w:bookmarkStart w:id="114" w:name="_Toc346264290"/>
      <w:r>
        <w:rPr>
          <w:rFonts w:ascii="宋体" w:hAnsi="宋体" w:eastAsia="宋体"/>
          <w:color w:val="auto"/>
          <w:sz w:val="21"/>
          <w:szCs w:val="21"/>
        </w:rPr>
        <w:t>26.合同签订</w:t>
      </w:r>
      <w:bookmarkEnd w:id="111"/>
      <w:bookmarkEnd w:id="112"/>
      <w:bookmarkEnd w:id="113"/>
      <w:bookmarkEnd w:id="114"/>
    </w:p>
    <w:p w14:paraId="021CECE6">
      <w:pPr>
        <w:spacing w:line="460" w:lineRule="exact"/>
        <w:ind w:left="50" w:leftChars="24" w:firstLine="363" w:firstLineChars="173"/>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 xml:space="preserve">.1 </w:t>
      </w:r>
      <w:r>
        <w:rPr>
          <w:rFonts w:hint="eastAsia" w:ascii="宋体" w:hAnsi="宋体"/>
          <w:color w:val="auto"/>
          <w:szCs w:val="21"/>
        </w:rPr>
        <w:t>成交</w:t>
      </w:r>
      <w:r>
        <w:rPr>
          <w:rFonts w:ascii="宋体" w:hAnsi="宋体"/>
          <w:color w:val="auto"/>
          <w:szCs w:val="21"/>
        </w:rPr>
        <w:t>单位应按约定的时间，由法定代表人或授权代表与</w:t>
      </w:r>
      <w:r>
        <w:rPr>
          <w:rFonts w:hint="eastAsia" w:ascii="宋体" w:hAnsi="宋体"/>
          <w:color w:val="auto"/>
          <w:szCs w:val="21"/>
        </w:rPr>
        <w:t>采购人</w:t>
      </w:r>
      <w:r>
        <w:rPr>
          <w:rFonts w:ascii="宋体" w:hAnsi="宋体"/>
          <w:color w:val="auto"/>
          <w:szCs w:val="21"/>
        </w:rPr>
        <w:t>代表签订合同。</w:t>
      </w:r>
      <w:r>
        <w:rPr>
          <w:rFonts w:hint="eastAsia" w:ascii="宋体" w:hAnsi="宋体"/>
          <w:color w:val="auto"/>
          <w:szCs w:val="21"/>
        </w:rPr>
        <w:t>如成交人不按规定签订合同，则采购人可以与排名在成交人之后的成交候选人依次递补签订合同或重新组织采购。拒绝签订政府采购合同的成交供应商不得参加对该项目重新开展的采购活动。</w:t>
      </w:r>
    </w:p>
    <w:p w14:paraId="22D2C841">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w:t>
      </w:r>
      <w:r>
        <w:rPr>
          <w:rFonts w:hint="eastAsia" w:ascii="宋体" w:hAnsi="宋体"/>
          <w:color w:val="auto"/>
          <w:szCs w:val="21"/>
        </w:rPr>
        <w:t>2合同签订必须符合</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w:t>
      </w:r>
      <w:r>
        <w:rPr>
          <w:rFonts w:hint="eastAsia" w:ascii="宋体" w:hAnsi="宋体"/>
          <w:color w:val="auto"/>
          <w:szCs w:val="21"/>
        </w:rPr>
        <w:t>《政府采购竞争性磋商采购方式管理暂行办法》及《中华人民共和国民法典》的规定，否则由此造成的后果由采购人负责。</w:t>
      </w:r>
    </w:p>
    <w:p w14:paraId="469EC1F7">
      <w:pPr>
        <w:spacing w:line="460" w:lineRule="exact"/>
        <w:ind w:firstLine="420" w:firstLineChars="200"/>
        <w:rPr>
          <w:rFonts w:ascii="宋体" w:hAnsi="宋体"/>
          <w:color w:val="auto"/>
          <w:szCs w:val="21"/>
        </w:rPr>
      </w:pPr>
      <w:r>
        <w:rPr>
          <w:rFonts w:hint="eastAsia" w:ascii="宋体" w:hAnsi="宋体"/>
          <w:color w:val="auto"/>
          <w:szCs w:val="21"/>
        </w:rPr>
        <w:t>26.3财政部门根据已备案的政府采购合同办理合同款项的支付，对未正式备案的政府采购合同，将不予办理合同价款的支付。</w:t>
      </w:r>
    </w:p>
    <w:p w14:paraId="7CB754D1">
      <w:pPr>
        <w:spacing w:line="460" w:lineRule="exact"/>
        <w:ind w:firstLine="420" w:firstLineChars="200"/>
        <w:rPr>
          <w:rFonts w:ascii="宋体" w:hAnsi="宋体"/>
          <w:color w:val="auto"/>
          <w:szCs w:val="21"/>
        </w:rPr>
      </w:pPr>
      <w:r>
        <w:rPr>
          <w:rFonts w:hint="eastAsia" w:ascii="宋体" w:hAnsi="宋体"/>
          <w:color w:val="auto"/>
          <w:szCs w:val="21"/>
        </w:rPr>
        <w:t>26.4</w:t>
      </w:r>
      <w:r>
        <w:rPr>
          <w:rFonts w:ascii="宋体" w:hAnsi="宋体"/>
          <w:color w:val="auto"/>
          <w:szCs w:val="21"/>
        </w:rPr>
        <w:t>如果</w:t>
      </w:r>
      <w:r>
        <w:rPr>
          <w:rFonts w:hint="eastAsia" w:ascii="宋体" w:hAnsi="宋体"/>
          <w:color w:val="auto"/>
          <w:szCs w:val="21"/>
        </w:rPr>
        <w:t>供应商</w:t>
      </w:r>
      <w:r>
        <w:rPr>
          <w:rFonts w:ascii="宋体" w:hAnsi="宋体"/>
          <w:color w:val="auto"/>
          <w:szCs w:val="21"/>
        </w:rPr>
        <w:t>不按本须知第2</w:t>
      </w:r>
      <w:r>
        <w:rPr>
          <w:rFonts w:hint="eastAsia" w:ascii="宋体" w:hAnsi="宋体"/>
          <w:color w:val="auto"/>
          <w:szCs w:val="21"/>
        </w:rPr>
        <w:t>6</w:t>
      </w:r>
      <w:r>
        <w:rPr>
          <w:rFonts w:ascii="宋体" w:hAnsi="宋体"/>
          <w:color w:val="auto"/>
          <w:szCs w:val="21"/>
        </w:rPr>
        <w:t>.1条的规定执行，采购人将有充分的理由废除授标。</w:t>
      </w:r>
    </w:p>
    <w:p w14:paraId="60F020BC">
      <w:pPr>
        <w:pStyle w:val="3"/>
        <w:spacing w:before="0" w:after="0" w:line="460" w:lineRule="exact"/>
        <w:rPr>
          <w:rFonts w:ascii="宋体" w:hAnsi="宋体" w:eastAsia="宋体"/>
          <w:color w:val="auto"/>
          <w:sz w:val="21"/>
          <w:szCs w:val="21"/>
        </w:rPr>
      </w:pPr>
      <w:bookmarkStart w:id="115" w:name="_Toc239659118"/>
      <w:bookmarkStart w:id="116" w:name="_Toc346264291"/>
      <w:bookmarkStart w:id="117" w:name="_Toc18682828"/>
      <w:bookmarkStart w:id="118" w:name="_Toc80818639"/>
      <w:r>
        <w:rPr>
          <w:rFonts w:ascii="宋体" w:hAnsi="宋体" w:eastAsia="宋体"/>
          <w:color w:val="auto"/>
          <w:sz w:val="21"/>
          <w:szCs w:val="21"/>
        </w:rPr>
        <w:t>2</w:t>
      </w:r>
      <w:bookmarkEnd w:id="115"/>
      <w:r>
        <w:rPr>
          <w:rFonts w:hint="eastAsia" w:ascii="宋体" w:hAnsi="宋体" w:eastAsia="宋体"/>
          <w:color w:val="auto"/>
          <w:sz w:val="21"/>
          <w:szCs w:val="21"/>
        </w:rPr>
        <w:t>7</w:t>
      </w:r>
      <w:r>
        <w:rPr>
          <w:rFonts w:ascii="宋体" w:hAnsi="宋体" w:eastAsia="宋体"/>
          <w:color w:val="auto"/>
          <w:sz w:val="21"/>
          <w:szCs w:val="21"/>
        </w:rPr>
        <w:t>.履约保证金</w:t>
      </w:r>
      <w:bookmarkEnd w:id="116"/>
      <w:bookmarkEnd w:id="117"/>
      <w:bookmarkEnd w:id="118"/>
    </w:p>
    <w:p w14:paraId="6B9DF199">
      <w:pPr>
        <w:spacing w:line="460" w:lineRule="exact"/>
        <w:ind w:firstLine="420" w:firstLineChars="200"/>
        <w:jc w:val="left"/>
        <w:rPr>
          <w:rFonts w:ascii="宋体" w:hAnsi="宋体"/>
          <w:color w:val="auto"/>
          <w:szCs w:val="21"/>
        </w:rPr>
      </w:pPr>
      <w:bookmarkStart w:id="119" w:name="_Toc239659119"/>
      <w:r>
        <w:rPr>
          <w:rFonts w:hint="eastAsia" w:ascii="宋体" w:hAnsi="宋体"/>
          <w:color w:val="auto"/>
          <w:szCs w:val="21"/>
        </w:rPr>
        <w:t>27.1履约保证金按须知前附表的要求提交。如要求提交的，履约保证金如以</w:t>
      </w:r>
      <w:r>
        <w:rPr>
          <w:rFonts w:hint="eastAsia" w:ascii="宋体" w:hAnsi="宋体"/>
          <w:bCs/>
          <w:color w:val="auto"/>
          <w:szCs w:val="21"/>
        </w:rPr>
        <w:t>支票、汇票、本票、银行转帐、银行出具的保函或保险机构出具的保函、保险单、履约保证保险合同等非现金</w:t>
      </w:r>
      <w:r>
        <w:rPr>
          <w:rFonts w:hint="eastAsia" w:ascii="宋体" w:hAnsi="宋体"/>
          <w:color w:val="auto"/>
          <w:szCs w:val="21"/>
        </w:rPr>
        <w:t>方式提交，并在签订成交合同前一次性缴纳。如成交人未按规定缴纳履约保证金的，采购人有权取消其成交资格。</w:t>
      </w:r>
    </w:p>
    <w:p w14:paraId="57C4ECA4">
      <w:pPr>
        <w:spacing w:line="460" w:lineRule="exact"/>
        <w:ind w:firstLine="420" w:firstLineChars="200"/>
        <w:rPr>
          <w:rFonts w:ascii="宋体" w:hAnsi="宋体"/>
          <w:color w:val="auto"/>
          <w:szCs w:val="21"/>
        </w:rPr>
      </w:pPr>
      <w:r>
        <w:rPr>
          <w:rFonts w:hint="eastAsia" w:ascii="宋体" w:hAnsi="宋体"/>
          <w:color w:val="auto"/>
          <w:szCs w:val="21"/>
        </w:rPr>
        <w:t>27.2 成交人如不按本章第27.1条要求提交履约保证金的，采购人有充分理由取消其成交资格。</w:t>
      </w:r>
    </w:p>
    <w:p w14:paraId="240A7CC0">
      <w:pPr>
        <w:spacing w:line="460" w:lineRule="exact"/>
        <w:ind w:firstLine="420" w:firstLineChars="200"/>
        <w:rPr>
          <w:rFonts w:ascii="宋体" w:hAnsi="宋体" w:cs="Courier New"/>
          <w:color w:val="auto"/>
          <w:spacing w:val="2"/>
          <w:szCs w:val="21"/>
        </w:rPr>
      </w:pPr>
      <w:r>
        <w:rPr>
          <w:rFonts w:hint="eastAsia" w:ascii="宋体" w:hAnsi="宋体"/>
          <w:color w:val="auto"/>
          <w:szCs w:val="21"/>
        </w:rPr>
        <w:t>27.3 工程竣工验收合格后，成交人按合同履约的，由成交人向采购人提交履约保证金退还申请，经采购人确认审批后履约保证金如数退还（不计利息）。如成交人不按双方签订的合同履约，则对其全部履约保证金不予退还，履</w:t>
      </w:r>
      <w:r>
        <w:rPr>
          <w:rFonts w:hint="eastAsia" w:ascii="宋体" w:hAnsi="宋体" w:cs="Courier New"/>
          <w:color w:val="auto"/>
          <w:spacing w:val="2"/>
          <w:szCs w:val="21"/>
        </w:rPr>
        <w:t>约保证金不足以赔偿的，按实际损失赔偿。</w:t>
      </w:r>
    </w:p>
    <w:p w14:paraId="515C457D">
      <w:pPr>
        <w:spacing w:line="460" w:lineRule="exact"/>
        <w:ind w:firstLine="428" w:firstLineChars="200"/>
        <w:rPr>
          <w:rFonts w:ascii="宋体" w:hAnsi="宋体"/>
          <w:color w:val="auto"/>
          <w:szCs w:val="21"/>
        </w:rPr>
      </w:pPr>
      <w:r>
        <w:rPr>
          <w:rFonts w:hint="eastAsia" w:ascii="宋体" w:hAnsi="宋体" w:cs="Courier New"/>
          <w:color w:val="auto"/>
          <w:spacing w:val="2"/>
          <w:szCs w:val="21"/>
        </w:rPr>
        <w:t>27.4 在履约保证金到期退还前，若成交人的开户名称、开户行、账号有更改的，请以书面形式通知</w:t>
      </w:r>
      <w:r>
        <w:rPr>
          <w:rFonts w:hint="eastAsia" w:ascii="宋体" w:hAnsi="宋体"/>
          <w:color w:val="auto"/>
          <w:szCs w:val="21"/>
        </w:rPr>
        <w:t>采购人</w:t>
      </w:r>
      <w:r>
        <w:rPr>
          <w:rFonts w:hint="eastAsia" w:ascii="宋体" w:hAnsi="宋体" w:cs="Courier New"/>
          <w:color w:val="auto"/>
          <w:spacing w:val="2"/>
          <w:szCs w:val="21"/>
        </w:rPr>
        <w:t>，否则由此产生的后果由成交人自行负责。</w:t>
      </w:r>
    </w:p>
    <w:p w14:paraId="32DD4394">
      <w:pPr>
        <w:spacing w:line="460" w:lineRule="exact"/>
        <w:ind w:firstLine="420" w:firstLineChars="200"/>
        <w:rPr>
          <w:rFonts w:ascii="宋体" w:hAnsi="宋体"/>
          <w:color w:val="auto"/>
          <w:szCs w:val="21"/>
        </w:rPr>
      </w:pPr>
      <w:bookmarkStart w:id="120" w:name="_Toc346264292"/>
      <w:r>
        <w:rPr>
          <w:rFonts w:ascii="宋体" w:hAnsi="宋体"/>
          <w:color w:val="auto"/>
          <w:szCs w:val="21"/>
        </w:rPr>
        <w:t>2</w:t>
      </w:r>
      <w:r>
        <w:rPr>
          <w:rFonts w:hint="eastAsia" w:ascii="宋体" w:hAnsi="宋体"/>
          <w:color w:val="auto"/>
          <w:szCs w:val="21"/>
        </w:rPr>
        <w:t>8</w:t>
      </w:r>
      <w:r>
        <w:rPr>
          <w:rFonts w:ascii="宋体" w:hAnsi="宋体"/>
          <w:color w:val="auto"/>
          <w:szCs w:val="21"/>
        </w:rPr>
        <w:t>.解释权</w:t>
      </w:r>
      <w:bookmarkEnd w:id="119"/>
      <w:bookmarkEnd w:id="120"/>
    </w:p>
    <w:p w14:paraId="4859C7AC">
      <w:pPr>
        <w:spacing w:line="460" w:lineRule="exact"/>
        <w:ind w:firstLine="420" w:firstLineChars="200"/>
        <w:rPr>
          <w:rFonts w:ascii="宋体" w:hAnsi="宋体"/>
          <w:color w:val="auto"/>
          <w:szCs w:val="21"/>
        </w:rPr>
      </w:pPr>
      <w:r>
        <w:rPr>
          <w:rFonts w:hint="eastAsia" w:ascii="宋体" w:hAnsi="宋体"/>
          <w:color w:val="auto"/>
          <w:szCs w:val="21"/>
        </w:rPr>
        <w:t xml:space="preserve">本磋商文件是根据《中华人民共和国政府采购法》、《中华人民共和国政府采购法实施条例》、《政府采购竞争性磋商采购方式管理暂行办法》及相关法律法规编制，解释权属代理公司 </w:t>
      </w:r>
      <w:r>
        <w:rPr>
          <w:rFonts w:ascii="宋体" w:hAnsi="宋体"/>
          <w:color w:val="auto"/>
          <w:szCs w:val="21"/>
        </w:rPr>
        <w:t>。</w:t>
      </w:r>
    </w:p>
    <w:p w14:paraId="53000D1B">
      <w:pPr>
        <w:pStyle w:val="2"/>
        <w:spacing w:line="500" w:lineRule="exact"/>
        <w:jc w:val="center"/>
        <w:rPr>
          <w:rFonts w:ascii="宋体" w:hAnsi="宋体" w:cs="宋体"/>
          <w:color w:val="auto"/>
        </w:rPr>
      </w:pPr>
      <w:bookmarkStart w:id="121" w:name="_Toc13050"/>
      <w:bookmarkStart w:id="122" w:name="_Toc337567543"/>
      <w:bookmarkStart w:id="123" w:name="_Toc144974826"/>
      <w:bookmarkStart w:id="124" w:name="_Toc168476286"/>
      <w:bookmarkStart w:id="125" w:name="_Toc229305402"/>
      <w:bookmarkStart w:id="126" w:name="_Toc168475883"/>
      <w:r>
        <w:rPr>
          <w:rFonts w:ascii="宋体" w:hAnsi="宋体" w:cs="宋体"/>
          <w:color w:val="auto"/>
        </w:rPr>
        <w:br w:type="page"/>
      </w:r>
      <w:bookmarkStart w:id="127" w:name="_Toc80818640"/>
      <w:r>
        <w:rPr>
          <w:rFonts w:hint="eastAsia" w:ascii="宋体" w:hAnsi="宋体" w:cs="宋体"/>
          <w:color w:val="auto"/>
        </w:rPr>
        <w:t>第三章 合同条款及格式</w:t>
      </w:r>
      <w:bookmarkEnd w:id="121"/>
      <w:bookmarkEnd w:id="127"/>
    </w:p>
    <w:bookmarkEnd w:id="122"/>
    <w:bookmarkEnd w:id="123"/>
    <w:bookmarkEnd w:id="124"/>
    <w:bookmarkEnd w:id="125"/>
    <w:bookmarkEnd w:id="126"/>
    <w:p w14:paraId="3863B51C">
      <w:pPr>
        <w:rPr>
          <w:color w:val="auto"/>
        </w:rPr>
      </w:pPr>
      <w:bookmarkStart w:id="128" w:name="_Toc346264358"/>
    </w:p>
    <w:p w14:paraId="4DC4B030">
      <w:pPr>
        <w:rPr>
          <w:color w:val="auto"/>
        </w:rPr>
      </w:pPr>
    </w:p>
    <w:p w14:paraId="4AA4DF7A">
      <w:pPr>
        <w:widowControl/>
        <w:jc w:val="center"/>
        <w:rPr>
          <w:color w:val="auto"/>
        </w:rPr>
      </w:pPr>
      <w:r>
        <w:rPr>
          <w:rFonts w:hint="eastAsia" w:ascii="宋体" w:hAnsi="宋体" w:cs="宋体"/>
          <w:b/>
          <w:color w:val="auto"/>
          <w:kern w:val="0"/>
          <w:sz w:val="44"/>
          <w:szCs w:val="44"/>
        </w:rPr>
        <w:t>__________________工程施工合同</w:t>
      </w:r>
    </w:p>
    <w:p w14:paraId="1598A7F6">
      <w:pPr>
        <w:widowControl/>
        <w:jc w:val="left"/>
        <w:rPr>
          <w:rFonts w:ascii="宋体" w:hAnsi="宋体" w:cs="宋体"/>
          <w:color w:val="auto"/>
          <w:kern w:val="0"/>
          <w:sz w:val="30"/>
          <w:szCs w:val="30"/>
        </w:rPr>
      </w:pPr>
    </w:p>
    <w:p w14:paraId="1B8A6640">
      <w:pPr>
        <w:widowControl/>
        <w:jc w:val="left"/>
        <w:rPr>
          <w:rFonts w:ascii="宋体" w:hAnsi="宋体" w:cs="宋体"/>
          <w:color w:val="auto"/>
          <w:kern w:val="0"/>
          <w:sz w:val="30"/>
          <w:szCs w:val="30"/>
        </w:rPr>
      </w:pPr>
    </w:p>
    <w:p w14:paraId="09C3A347">
      <w:pPr>
        <w:widowControl/>
        <w:jc w:val="left"/>
        <w:rPr>
          <w:rFonts w:ascii="宋体" w:hAnsi="宋体" w:cs="宋体"/>
          <w:color w:val="auto"/>
          <w:kern w:val="0"/>
          <w:sz w:val="30"/>
          <w:szCs w:val="30"/>
        </w:rPr>
      </w:pPr>
    </w:p>
    <w:p w14:paraId="63F1F9E4">
      <w:pPr>
        <w:widowControl/>
        <w:jc w:val="left"/>
        <w:rPr>
          <w:rFonts w:ascii="宋体" w:hAnsi="宋体" w:cs="宋体"/>
          <w:color w:val="auto"/>
          <w:kern w:val="0"/>
          <w:sz w:val="30"/>
          <w:szCs w:val="30"/>
        </w:rPr>
      </w:pPr>
    </w:p>
    <w:p w14:paraId="2518753F">
      <w:pPr>
        <w:widowControl/>
        <w:jc w:val="left"/>
        <w:rPr>
          <w:rFonts w:ascii="宋体" w:hAnsi="宋体" w:cs="宋体"/>
          <w:color w:val="auto"/>
          <w:kern w:val="0"/>
          <w:sz w:val="30"/>
          <w:szCs w:val="30"/>
        </w:rPr>
      </w:pPr>
    </w:p>
    <w:p w14:paraId="65821075">
      <w:pPr>
        <w:widowControl/>
        <w:spacing w:line="720" w:lineRule="auto"/>
        <w:jc w:val="left"/>
        <w:rPr>
          <w:color w:val="auto"/>
        </w:rPr>
      </w:pPr>
      <w:r>
        <w:rPr>
          <w:rFonts w:hint="eastAsia" w:ascii="宋体" w:hAnsi="宋体" w:cs="宋体"/>
          <w:color w:val="auto"/>
          <w:kern w:val="0"/>
          <w:sz w:val="30"/>
          <w:szCs w:val="30"/>
        </w:rPr>
        <w:t>发包方：</w:t>
      </w:r>
      <w:r>
        <w:rPr>
          <w:rFonts w:hint="eastAsia" w:ascii="宋体" w:hAnsi="宋体" w:cs="宋体"/>
          <w:b/>
          <w:color w:val="auto"/>
          <w:kern w:val="0"/>
          <w:sz w:val="44"/>
          <w:szCs w:val="44"/>
        </w:rPr>
        <w:t>__________________</w:t>
      </w:r>
    </w:p>
    <w:p w14:paraId="5A10197C">
      <w:pPr>
        <w:widowControl/>
        <w:spacing w:line="720" w:lineRule="auto"/>
        <w:jc w:val="left"/>
        <w:rPr>
          <w:color w:val="auto"/>
        </w:rPr>
      </w:pPr>
      <w:r>
        <w:rPr>
          <w:rFonts w:hint="eastAsia" w:ascii="宋体" w:hAnsi="宋体" w:cs="宋体"/>
          <w:color w:val="auto"/>
          <w:kern w:val="0"/>
          <w:sz w:val="30"/>
          <w:szCs w:val="30"/>
        </w:rPr>
        <w:t>承包方：</w:t>
      </w:r>
      <w:r>
        <w:rPr>
          <w:rFonts w:hint="eastAsia" w:ascii="宋体" w:hAnsi="宋体" w:cs="宋体"/>
          <w:b/>
          <w:color w:val="auto"/>
          <w:kern w:val="0"/>
          <w:sz w:val="44"/>
          <w:szCs w:val="44"/>
        </w:rPr>
        <w:t>__________________</w:t>
      </w:r>
    </w:p>
    <w:p w14:paraId="7393B79D">
      <w:pPr>
        <w:widowControl/>
        <w:spacing w:line="720" w:lineRule="auto"/>
        <w:jc w:val="left"/>
        <w:rPr>
          <w:color w:val="auto"/>
        </w:rPr>
      </w:pPr>
      <w:r>
        <w:rPr>
          <w:rFonts w:hint="eastAsia" w:ascii="宋体" w:hAnsi="宋体" w:cs="宋体"/>
          <w:color w:val="auto"/>
          <w:kern w:val="0"/>
          <w:sz w:val="30"/>
          <w:szCs w:val="30"/>
        </w:rPr>
        <w:t>工程地点：</w:t>
      </w:r>
      <w:r>
        <w:rPr>
          <w:rFonts w:hint="eastAsia" w:ascii="宋体" w:hAnsi="宋体" w:cs="宋体"/>
          <w:b/>
          <w:color w:val="auto"/>
          <w:kern w:val="0"/>
          <w:sz w:val="44"/>
          <w:szCs w:val="44"/>
        </w:rPr>
        <w:t>__________________</w:t>
      </w:r>
    </w:p>
    <w:p w14:paraId="04E4C70E">
      <w:pPr>
        <w:widowControl/>
        <w:spacing w:line="720" w:lineRule="auto"/>
        <w:jc w:val="left"/>
        <w:rPr>
          <w:rFonts w:ascii="宋体" w:hAnsi="宋体" w:cs="宋体"/>
          <w:b/>
          <w:color w:val="auto"/>
          <w:kern w:val="0"/>
          <w:sz w:val="32"/>
          <w:szCs w:val="32"/>
        </w:rPr>
        <w:sectPr>
          <w:footerReference r:id="rId4" w:type="default"/>
          <w:pgSz w:w="11906" w:h="16838"/>
          <w:pgMar w:top="1304" w:right="722" w:bottom="1134" w:left="1304" w:header="851" w:footer="992" w:gutter="0"/>
          <w:pgNumType w:start="1"/>
          <w:cols w:space="720" w:num="1"/>
          <w:docGrid w:linePitch="312" w:charSpace="0"/>
        </w:sectPr>
      </w:pPr>
      <w:r>
        <w:rPr>
          <w:rFonts w:hint="eastAsia" w:ascii="宋体" w:hAnsi="宋体" w:cs="宋体"/>
          <w:color w:val="auto"/>
          <w:kern w:val="0"/>
          <w:sz w:val="30"/>
          <w:szCs w:val="30"/>
        </w:rPr>
        <w:t>签订日期：年月日</w:t>
      </w:r>
    </w:p>
    <w:p w14:paraId="2DC08D09">
      <w:pPr>
        <w:rPr>
          <w:color w:val="auto"/>
        </w:rPr>
      </w:pPr>
    </w:p>
    <w:p w14:paraId="45D829AB">
      <w:pPr>
        <w:pStyle w:val="2"/>
        <w:tabs>
          <w:tab w:val="left" w:pos="1283"/>
        </w:tabs>
        <w:ind w:right="17"/>
        <w:jc w:val="center"/>
        <w:rPr>
          <w:color w:val="auto"/>
          <w:sz w:val="25"/>
        </w:rPr>
      </w:pPr>
      <w:r>
        <w:rPr>
          <w:color w:val="auto"/>
        </w:rPr>
        <w:t>合同主要条款</w:t>
      </w:r>
    </w:p>
    <w:p w14:paraId="6051725E">
      <w:pPr>
        <w:pStyle w:val="2"/>
        <w:kinsoku w:val="0"/>
        <w:overflowPunct w:val="0"/>
        <w:spacing w:line="240" w:lineRule="atLeast"/>
        <w:jc w:val="center"/>
        <w:rPr>
          <w:color w:val="auto"/>
        </w:rPr>
      </w:pPr>
      <w:bookmarkStart w:id="129" w:name="第一部分_合同协议书"/>
      <w:bookmarkEnd w:id="129"/>
      <w:r>
        <w:rPr>
          <w:color w:val="auto"/>
        </w:rPr>
        <w:t>第一部分合同协议书</w:t>
      </w:r>
    </w:p>
    <w:p w14:paraId="2BA3C722">
      <w:pPr>
        <w:spacing w:line="420" w:lineRule="exact"/>
        <w:rPr>
          <w:color w:val="auto"/>
        </w:rPr>
      </w:pPr>
      <w:bookmarkStart w:id="130" w:name="_Toc184635071"/>
    </w:p>
    <w:bookmarkEnd w:id="130"/>
    <w:p w14:paraId="37BC9FFF">
      <w:pPr>
        <w:spacing w:line="360" w:lineRule="auto"/>
        <w:rPr>
          <w:color w:val="auto"/>
          <w:szCs w:val="21"/>
          <w:u w:val="single"/>
        </w:rPr>
      </w:pPr>
      <w:r>
        <w:rPr>
          <w:color w:val="auto"/>
          <w:szCs w:val="21"/>
        </w:rPr>
        <w:t>发包人（全称）：</w:t>
      </w:r>
      <w:r>
        <w:rPr>
          <w:color w:val="auto"/>
          <w:szCs w:val="21"/>
          <w:u w:val="single"/>
        </w:rPr>
        <w:t>龙州县</w:t>
      </w:r>
      <w:r>
        <w:rPr>
          <w:rFonts w:hint="eastAsia"/>
          <w:color w:val="auto"/>
          <w:szCs w:val="21"/>
          <w:u w:val="single"/>
        </w:rPr>
        <w:t>教育局</w:t>
      </w:r>
    </w:p>
    <w:p w14:paraId="51BA13BA">
      <w:pPr>
        <w:spacing w:line="360" w:lineRule="auto"/>
        <w:rPr>
          <w:color w:val="auto"/>
          <w:szCs w:val="21"/>
          <w:u w:val="single"/>
        </w:rPr>
      </w:pPr>
      <w:r>
        <w:rPr>
          <w:color w:val="auto"/>
          <w:szCs w:val="21"/>
        </w:rPr>
        <w:t>承包人（全称）：</w:t>
      </w:r>
      <w:r>
        <w:rPr>
          <w:color w:val="auto"/>
          <w:szCs w:val="21"/>
          <w:u w:val="single"/>
        </w:rPr>
        <w:t></w:t>
      </w:r>
    </w:p>
    <w:p w14:paraId="0BED717F">
      <w:pPr>
        <w:pStyle w:val="249"/>
        <w:spacing w:line="360" w:lineRule="auto"/>
        <w:ind w:firstLine="525" w:firstLineChars="250"/>
        <w:rPr>
          <w:color w:val="auto"/>
        </w:rPr>
      </w:pPr>
      <w:r>
        <w:rPr>
          <w:color w:val="auto"/>
        </w:rPr>
        <w:t>根据《中华人民共和国合同法》、《中华人民共和国建筑法》及有关法律规定，遵循平等、自愿、公平和诚实信用的原则，双方就</w:t>
      </w:r>
      <w:r>
        <w:rPr>
          <w:rFonts w:hint="eastAsia"/>
          <w:color w:val="auto"/>
          <w:u w:val="single"/>
        </w:rPr>
        <w:t>工程</w:t>
      </w:r>
      <w:r>
        <w:rPr>
          <w:color w:val="auto"/>
        </w:rPr>
        <w:t>施工及有关事项协商一致，共同达成如下协议：</w:t>
      </w:r>
      <w:bookmarkStart w:id="131" w:name="_Toc351203481"/>
    </w:p>
    <w:p w14:paraId="5D8E67DD">
      <w:pPr>
        <w:pStyle w:val="249"/>
        <w:spacing w:line="360" w:lineRule="auto"/>
        <w:ind w:firstLine="525" w:firstLineChars="250"/>
        <w:rPr>
          <w:color w:val="auto"/>
        </w:rPr>
      </w:pPr>
      <w:r>
        <w:rPr>
          <w:color w:val="auto"/>
        </w:rPr>
        <w:t>一、工程概况</w:t>
      </w:r>
      <w:bookmarkEnd w:id="131"/>
      <w:r>
        <w:rPr>
          <w:rFonts w:hint="eastAsia"/>
          <w:color w:val="auto"/>
          <w:u w:val="single"/>
        </w:rPr>
        <w:t xml:space="preserve">                       。</w:t>
      </w:r>
    </w:p>
    <w:p w14:paraId="0014D82C">
      <w:pPr>
        <w:pStyle w:val="249"/>
        <w:spacing w:line="360" w:lineRule="auto"/>
        <w:ind w:firstLine="525" w:firstLineChars="250"/>
        <w:rPr>
          <w:color w:val="auto"/>
        </w:rPr>
      </w:pPr>
      <w:r>
        <w:rPr>
          <w:color w:val="auto"/>
        </w:rPr>
        <w:t>1. 工程名称：。</w:t>
      </w:r>
    </w:p>
    <w:p w14:paraId="6E005F9B">
      <w:pPr>
        <w:pStyle w:val="249"/>
        <w:spacing w:line="360" w:lineRule="auto"/>
        <w:ind w:firstLine="525" w:firstLineChars="250"/>
        <w:rPr>
          <w:color w:val="auto"/>
        </w:rPr>
      </w:pPr>
      <w:r>
        <w:rPr>
          <w:color w:val="auto"/>
        </w:rPr>
        <w:t>2. 工程地点</w:t>
      </w:r>
      <w:r>
        <w:rPr>
          <w:color w:val="auto"/>
          <w:u w:val="single"/>
        </w:rPr>
        <w:t>：。</w:t>
      </w:r>
    </w:p>
    <w:p w14:paraId="499D8E35">
      <w:pPr>
        <w:spacing w:line="360" w:lineRule="auto"/>
        <w:ind w:firstLine="411" w:firstLineChars="196"/>
        <w:rPr>
          <w:bCs/>
          <w:color w:val="auto"/>
          <w:szCs w:val="21"/>
        </w:rPr>
      </w:pPr>
      <w:r>
        <w:rPr>
          <w:bCs/>
          <w:color w:val="auto"/>
          <w:szCs w:val="21"/>
        </w:rPr>
        <w:t>3. 工程立项批准文号：</w:t>
      </w:r>
      <w:r>
        <w:rPr>
          <w:color w:val="auto"/>
          <w:szCs w:val="21"/>
          <w:u w:val="single"/>
        </w:rPr>
        <w:t xml:space="preserve">              </w:t>
      </w:r>
      <w:r>
        <w:rPr>
          <w:bCs/>
          <w:color w:val="auto"/>
          <w:szCs w:val="21"/>
        </w:rPr>
        <w:t>。</w:t>
      </w:r>
    </w:p>
    <w:p w14:paraId="69C882DA">
      <w:pPr>
        <w:spacing w:line="360" w:lineRule="auto"/>
        <w:ind w:firstLine="411" w:firstLineChars="196"/>
        <w:rPr>
          <w:bCs/>
          <w:color w:val="auto"/>
          <w:szCs w:val="21"/>
        </w:rPr>
      </w:pPr>
      <w:r>
        <w:rPr>
          <w:bCs/>
          <w:color w:val="auto"/>
          <w:szCs w:val="21"/>
        </w:rPr>
        <w:t>4. 资金来源：</w:t>
      </w:r>
      <w:r>
        <w:rPr>
          <w:rFonts w:hint="eastAsia"/>
          <w:bCs/>
          <w:color w:val="auto"/>
          <w:szCs w:val="21"/>
        </w:rPr>
        <w:t xml:space="preserve"> 财政资金</w:t>
      </w:r>
      <w:r>
        <w:rPr>
          <w:bCs/>
          <w:color w:val="auto"/>
          <w:szCs w:val="21"/>
        </w:rPr>
        <w:t>。</w:t>
      </w:r>
    </w:p>
    <w:p w14:paraId="0B2B8179">
      <w:pPr>
        <w:wordWrap w:val="0"/>
        <w:spacing w:line="360" w:lineRule="auto"/>
        <w:ind w:firstLine="420" w:firstLineChars="200"/>
        <w:rPr>
          <w:bCs/>
          <w:color w:val="auto"/>
          <w:szCs w:val="21"/>
        </w:rPr>
      </w:pPr>
      <w:r>
        <w:rPr>
          <w:bCs/>
          <w:color w:val="auto"/>
          <w:szCs w:val="21"/>
        </w:rPr>
        <w:t>5. 工程内容</w:t>
      </w:r>
      <w:r>
        <w:rPr>
          <w:bCs/>
          <w:color w:val="auto"/>
          <w:szCs w:val="21"/>
          <w:u w:val="single"/>
        </w:rPr>
        <w:t>：</w:t>
      </w:r>
      <w:r>
        <w:rPr>
          <w:rFonts w:hint="eastAsia"/>
          <w:bCs/>
          <w:color w:val="auto"/>
          <w:szCs w:val="21"/>
          <w:u w:val="single"/>
        </w:rPr>
        <w:t xml:space="preserve"> 详见前附表内容</w:t>
      </w:r>
      <w:r>
        <w:rPr>
          <w:bCs/>
          <w:color w:val="auto"/>
          <w:szCs w:val="21"/>
        </w:rPr>
        <w:t>。</w:t>
      </w:r>
    </w:p>
    <w:p w14:paraId="41EA9E2F">
      <w:pPr>
        <w:spacing w:line="360" w:lineRule="auto"/>
        <w:ind w:firstLine="411" w:firstLineChars="196"/>
        <w:rPr>
          <w:bCs/>
          <w:color w:val="auto"/>
          <w:szCs w:val="21"/>
        </w:rPr>
      </w:pPr>
      <w:r>
        <w:rPr>
          <w:color w:val="auto"/>
          <w:szCs w:val="21"/>
        </w:rPr>
        <w:t>群体工程应附《承包人承揽工程项目一览表》（附件1）。</w:t>
      </w:r>
    </w:p>
    <w:p w14:paraId="3E0A4CA2">
      <w:pPr>
        <w:spacing w:line="360" w:lineRule="auto"/>
        <w:rPr>
          <w:bCs/>
          <w:color w:val="auto"/>
          <w:szCs w:val="21"/>
        </w:rPr>
      </w:pPr>
      <w:r>
        <w:rPr>
          <w:bCs/>
          <w:color w:val="auto"/>
          <w:szCs w:val="21"/>
        </w:rPr>
        <w:t>6. 工程承包范围</w:t>
      </w:r>
      <w:r>
        <w:rPr>
          <w:bCs/>
          <w:color w:val="auto"/>
          <w:szCs w:val="21"/>
          <w:u w:val="single"/>
        </w:rPr>
        <w:t>：</w:t>
      </w:r>
    </w:p>
    <w:p w14:paraId="0AB731F0">
      <w:pPr>
        <w:spacing w:line="360" w:lineRule="auto"/>
        <w:ind w:firstLine="407" w:firstLineChars="193"/>
        <w:rPr>
          <w:b/>
          <w:bCs/>
          <w:color w:val="auto"/>
          <w:szCs w:val="21"/>
        </w:rPr>
      </w:pPr>
      <w:bookmarkStart w:id="132" w:name="_Toc351203482"/>
      <w:r>
        <w:rPr>
          <w:b/>
          <w:bCs/>
          <w:color w:val="auto"/>
          <w:szCs w:val="21"/>
        </w:rPr>
        <w:t>二、合同工期</w:t>
      </w:r>
      <w:bookmarkEnd w:id="132"/>
    </w:p>
    <w:p w14:paraId="18FFD491">
      <w:pPr>
        <w:spacing w:line="360" w:lineRule="auto"/>
        <w:ind w:firstLine="459"/>
        <w:rPr>
          <w:color w:val="auto"/>
          <w:szCs w:val="21"/>
        </w:rPr>
      </w:pPr>
      <w:r>
        <w:rPr>
          <w:color w:val="auto"/>
          <w:szCs w:val="21"/>
        </w:rPr>
        <w:t>开工日期：</w:t>
      </w:r>
      <w:r>
        <w:rPr>
          <w:color w:val="auto"/>
        </w:rPr>
        <w:t>年月日</w:t>
      </w:r>
      <w:r>
        <w:rPr>
          <w:color w:val="auto"/>
          <w:szCs w:val="21"/>
        </w:rPr>
        <w:t>。（具体以发包人书面通知为准）</w:t>
      </w:r>
    </w:p>
    <w:p w14:paraId="69606FC3">
      <w:pPr>
        <w:spacing w:line="360" w:lineRule="auto"/>
        <w:ind w:firstLine="525" w:firstLineChars="250"/>
        <w:rPr>
          <w:color w:val="auto"/>
        </w:rPr>
      </w:pPr>
      <w:r>
        <w:rPr>
          <w:color w:val="auto"/>
          <w:szCs w:val="21"/>
        </w:rPr>
        <w:t>竣工日期：</w:t>
      </w:r>
      <w:r>
        <w:rPr>
          <w:color w:val="auto"/>
        </w:rPr>
        <w:t>年月日</w:t>
      </w:r>
      <w:r>
        <w:rPr>
          <w:color w:val="auto"/>
          <w:szCs w:val="21"/>
        </w:rPr>
        <w:t>。</w:t>
      </w:r>
    </w:p>
    <w:p w14:paraId="1317D068">
      <w:pPr>
        <w:spacing w:line="360" w:lineRule="auto"/>
        <w:ind w:firstLine="459"/>
        <w:rPr>
          <w:color w:val="auto"/>
          <w:szCs w:val="21"/>
        </w:rPr>
      </w:pPr>
      <w:r>
        <w:rPr>
          <w:color w:val="auto"/>
          <w:szCs w:val="21"/>
        </w:rPr>
        <w:t>工期总日历天数：</w:t>
      </w:r>
      <w:r>
        <w:rPr>
          <w:color w:val="auto"/>
          <w:szCs w:val="21"/>
          <w:u w:val="single"/>
        </w:rPr>
        <w:t></w:t>
      </w:r>
      <w:r>
        <w:rPr>
          <w:rFonts w:hint="eastAsia"/>
          <w:color w:val="auto"/>
          <w:szCs w:val="21"/>
          <w:u w:val="single"/>
        </w:rPr>
        <w:t>工期</w:t>
      </w:r>
      <w:r>
        <w:rPr>
          <w:rFonts w:hint="eastAsia"/>
          <w:color w:val="auto"/>
          <w:szCs w:val="21"/>
          <w:u w:val="single"/>
          <w:lang w:val="en-US" w:eastAsia="zh-CN"/>
        </w:rPr>
        <w:t>90</w:t>
      </w:r>
      <w:r>
        <w:rPr>
          <w:rFonts w:hint="eastAsia"/>
          <w:color w:val="auto"/>
          <w:szCs w:val="21"/>
          <w:u w:val="single"/>
        </w:rPr>
        <w:t>日历</w:t>
      </w:r>
      <w:r>
        <w:rPr>
          <w:color w:val="auto"/>
          <w:szCs w:val="21"/>
          <w:u w:val="single"/>
        </w:rPr>
        <w:t></w:t>
      </w:r>
      <w:r>
        <w:rPr>
          <w:color w:val="auto"/>
          <w:szCs w:val="21"/>
        </w:rPr>
        <w:t>天。工期总日历天数与根据前述计划开竣工日期计算的工期天数不一致的，以工期总日历天数为准。</w:t>
      </w:r>
    </w:p>
    <w:p w14:paraId="06EEE1BF">
      <w:pPr>
        <w:spacing w:line="360" w:lineRule="auto"/>
        <w:ind w:firstLine="459"/>
        <w:rPr>
          <w:b/>
          <w:bCs/>
          <w:color w:val="auto"/>
          <w:szCs w:val="21"/>
        </w:rPr>
      </w:pPr>
      <w:bookmarkStart w:id="133" w:name="_Toc351203483"/>
      <w:r>
        <w:rPr>
          <w:b/>
          <w:bCs/>
          <w:color w:val="auto"/>
          <w:szCs w:val="21"/>
        </w:rPr>
        <w:t>三、质量标准</w:t>
      </w:r>
      <w:bookmarkEnd w:id="133"/>
    </w:p>
    <w:p w14:paraId="50238969">
      <w:pPr>
        <w:spacing w:line="360" w:lineRule="auto"/>
        <w:ind w:firstLine="459"/>
        <w:rPr>
          <w:color w:val="auto"/>
          <w:szCs w:val="21"/>
        </w:rPr>
      </w:pPr>
      <w:r>
        <w:rPr>
          <w:color w:val="auto"/>
          <w:szCs w:val="21"/>
        </w:rPr>
        <w:t>工程质量符合</w:t>
      </w:r>
      <w:r>
        <w:rPr>
          <w:color w:val="auto"/>
          <w:szCs w:val="21"/>
          <w:u w:val="single"/>
        </w:rPr>
        <w:t></w:t>
      </w:r>
      <w:r>
        <w:rPr>
          <w:rFonts w:hint="eastAsia"/>
          <w:color w:val="auto"/>
          <w:szCs w:val="21"/>
          <w:u w:val="single"/>
        </w:rPr>
        <w:t>合格</w:t>
      </w:r>
      <w:r>
        <w:rPr>
          <w:color w:val="auto"/>
          <w:szCs w:val="21"/>
          <w:u w:val="single"/>
        </w:rPr>
        <w:t></w:t>
      </w:r>
      <w:r>
        <w:rPr>
          <w:color w:val="auto"/>
          <w:szCs w:val="21"/>
        </w:rPr>
        <w:t>标准。</w:t>
      </w:r>
    </w:p>
    <w:p w14:paraId="10383FE9">
      <w:pPr>
        <w:spacing w:line="360" w:lineRule="auto"/>
        <w:ind w:firstLine="459"/>
        <w:rPr>
          <w:b/>
          <w:bCs/>
          <w:color w:val="auto"/>
          <w:szCs w:val="21"/>
        </w:rPr>
      </w:pPr>
      <w:bookmarkStart w:id="134" w:name="_Toc351203484"/>
      <w:r>
        <w:rPr>
          <w:b/>
          <w:bCs/>
          <w:color w:val="auto"/>
          <w:szCs w:val="21"/>
        </w:rPr>
        <w:t>四、签约合同价与合同价格形式</w:t>
      </w:r>
      <w:bookmarkEnd w:id="134"/>
    </w:p>
    <w:p w14:paraId="1C8FD19F">
      <w:pPr>
        <w:spacing w:line="360" w:lineRule="auto"/>
        <w:ind w:firstLine="459"/>
        <w:rPr>
          <w:color w:val="auto"/>
          <w:szCs w:val="21"/>
        </w:rPr>
      </w:pPr>
      <w:r>
        <w:rPr>
          <w:color w:val="auto"/>
          <w:szCs w:val="21"/>
        </w:rPr>
        <w:t>1. 签约合同价为</w:t>
      </w:r>
      <w:r>
        <w:rPr>
          <w:rFonts w:hint="eastAsia"/>
          <w:color w:val="auto"/>
          <w:szCs w:val="21"/>
        </w:rPr>
        <w:t>总价格包干</w:t>
      </w:r>
      <w:r>
        <w:rPr>
          <w:color w:val="auto"/>
          <w:szCs w:val="21"/>
        </w:rPr>
        <w:t>：</w:t>
      </w:r>
    </w:p>
    <w:p w14:paraId="7E70EA05">
      <w:pPr>
        <w:spacing w:line="360" w:lineRule="auto"/>
        <w:ind w:firstLine="525" w:firstLineChars="250"/>
        <w:rPr>
          <w:color w:val="auto"/>
          <w:szCs w:val="21"/>
        </w:rPr>
      </w:pPr>
      <w:r>
        <w:rPr>
          <w:color w:val="auto"/>
          <w:szCs w:val="21"/>
        </w:rPr>
        <w:t>人民币（大写）（¥元）；</w:t>
      </w:r>
    </w:p>
    <w:p w14:paraId="132E260E">
      <w:pPr>
        <w:spacing w:line="360" w:lineRule="auto"/>
        <w:ind w:firstLine="420" w:firstLineChars="200"/>
        <w:rPr>
          <w:color w:val="auto"/>
          <w:szCs w:val="21"/>
        </w:rPr>
      </w:pPr>
      <w:r>
        <w:rPr>
          <w:color w:val="auto"/>
          <w:szCs w:val="21"/>
        </w:rPr>
        <w:t>2. 合同价格形式：</w:t>
      </w:r>
      <w:r>
        <w:rPr>
          <w:color w:val="auto"/>
          <w:szCs w:val="21"/>
          <w:u w:val="single"/>
        </w:rPr>
        <w:t xml:space="preserve">固定综合单价，包工包料 </w:t>
      </w:r>
      <w:r>
        <w:rPr>
          <w:color w:val="auto"/>
          <w:szCs w:val="21"/>
        </w:rPr>
        <w:t>。</w:t>
      </w:r>
    </w:p>
    <w:p w14:paraId="144CA2FD">
      <w:pPr>
        <w:spacing w:line="360" w:lineRule="auto"/>
        <w:ind w:firstLine="422" w:firstLineChars="200"/>
        <w:rPr>
          <w:b/>
          <w:bCs/>
          <w:color w:val="auto"/>
          <w:szCs w:val="21"/>
        </w:rPr>
      </w:pPr>
      <w:bookmarkStart w:id="135" w:name="_Toc351203485"/>
      <w:r>
        <w:rPr>
          <w:b/>
          <w:bCs/>
          <w:color w:val="auto"/>
          <w:szCs w:val="21"/>
        </w:rPr>
        <w:t>五、</w:t>
      </w:r>
      <w:bookmarkEnd w:id="135"/>
      <w:r>
        <w:rPr>
          <w:b/>
          <w:bCs/>
          <w:color w:val="auto"/>
          <w:szCs w:val="21"/>
        </w:rPr>
        <w:t>项目经理</w:t>
      </w:r>
    </w:p>
    <w:p w14:paraId="5B76CE27">
      <w:pPr>
        <w:spacing w:line="360" w:lineRule="auto"/>
        <w:ind w:firstLine="420" w:firstLineChars="200"/>
        <w:rPr>
          <w:color w:val="auto"/>
          <w:szCs w:val="21"/>
        </w:rPr>
      </w:pPr>
      <w:r>
        <w:rPr>
          <w:color w:val="auto"/>
          <w:szCs w:val="21"/>
        </w:rPr>
        <w:t>承包人项目经理：</w:t>
      </w:r>
      <w:r>
        <w:rPr>
          <w:color w:val="auto"/>
          <w:szCs w:val="21"/>
          <w:u w:val="single"/>
        </w:rPr>
        <w:t></w:t>
      </w:r>
      <w:r>
        <w:rPr>
          <w:color w:val="auto"/>
          <w:szCs w:val="21"/>
        </w:rPr>
        <w:t>。</w:t>
      </w:r>
    </w:p>
    <w:p w14:paraId="14688130">
      <w:pPr>
        <w:spacing w:line="360" w:lineRule="auto"/>
        <w:ind w:firstLine="422" w:firstLineChars="200"/>
        <w:rPr>
          <w:b/>
          <w:bCs/>
          <w:color w:val="auto"/>
          <w:szCs w:val="21"/>
        </w:rPr>
      </w:pPr>
      <w:bookmarkStart w:id="136" w:name="_Toc351203486"/>
      <w:r>
        <w:rPr>
          <w:b/>
          <w:bCs/>
          <w:color w:val="auto"/>
          <w:szCs w:val="21"/>
        </w:rPr>
        <w:t>六、合同文件构成</w:t>
      </w:r>
      <w:bookmarkEnd w:id="136"/>
    </w:p>
    <w:p w14:paraId="273934FC">
      <w:pPr>
        <w:spacing w:line="360" w:lineRule="auto"/>
        <w:ind w:firstLine="420" w:firstLineChars="200"/>
        <w:rPr>
          <w:bCs/>
          <w:color w:val="auto"/>
          <w:szCs w:val="21"/>
        </w:rPr>
      </w:pPr>
      <w:r>
        <w:rPr>
          <w:bCs/>
          <w:color w:val="auto"/>
          <w:szCs w:val="21"/>
        </w:rPr>
        <w:t>本协议书与下列文件一起构成合同文件：</w:t>
      </w:r>
    </w:p>
    <w:p w14:paraId="5A4FA121">
      <w:pPr>
        <w:adjustRightInd w:val="0"/>
        <w:spacing w:line="360" w:lineRule="auto"/>
        <w:ind w:firstLine="420" w:firstLineChars="200"/>
        <w:rPr>
          <w:color w:val="auto"/>
          <w:szCs w:val="21"/>
        </w:rPr>
      </w:pPr>
      <w:r>
        <w:rPr>
          <w:color w:val="auto"/>
          <w:szCs w:val="21"/>
        </w:rPr>
        <w:t>（1）中标通知书（如有）；</w:t>
      </w:r>
    </w:p>
    <w:p w14:paraId="212AE428">
      <w:pPr>
        <w:adjustRightInd w:val="0"/>
        <w:spacing w:line="360" w:lineRule="auto"/>
        <w:ind w:firstLine="420" w:firstLineChars="200"/>
        <w:rPr>
          <w:color w:val="auto"/>
          <w:szCs w:val="21"/>
        </w:rPr>
      </w:pPr>
      <w:r>
        <w:rPr>
          <w:color w:val="auto"/>
          <w:szCs w:val="21"/>
        </w:rPr>
        <w:t xml:space="preserve">（2）投标函及其附录（如有）； </w:t>
      </w:r>
    </w:p>
    <w:p w14:paraId="31B853B8">
      <w:pPr>
        <w:adjustRightInd w:val="0"/>
        <w:spacing w:line="360" w:lineRule="auto"/>
        <w:ind w:firstLine="420" w:firstLineChars="200"/>
        <w:rPr>
          <w:color w:val="auto"/>
          <w:szCs w:val="21"/>
        </w:rPr>
      </w:pPr>
      <w:r>
        <w:rPr>
          <w:color w:val="auto"/>
          <w:szCs w:val="21"/>
        </w:rPr>
        <w:t>（3）专用合同条款及其附件；</w:t>
      </w:r>
    </w:p>
    <w:p w14:paraId="6C7FD7FB">
      <w:pPr>
        <w:adjustRightInd w:val="0"/>
        <w:spacing w:line="360" w:lineRule="auto"/>
        <w:ind w:firstLine="420" w:firstLineChars="200"/>
        <w:rPr>
          <w:color w:val="auto"/>
          <w:szCs w:val="21"/>
        </w:rPr>
      </w:pPr>
      <w:r>
        <w:rPr>
          <w:color w:val="auto"/>
          <w:szCs w:val="21"/>
        </w:rPr>
        <w:t xml:space="preserve">（4）已标价工程量清单或预算书； </w:t>
      </w:r>
    </w:p>
    <w:p w14:paraId="352F481A">
      <w:pPr>
        <w:adjustRightInd w:val="0"/>
        <w:spacing w:line="360" w:lineRule="auto"/>
        <w:ind w:firstLine="420" w:firstLineChars="200"/>
        <w:rPr>
          <w:color w:val="auto"/>
          <w:szCs w:val="21"/>
        </w:rPr>
      </w:pPr>
      <w:r>
        <w:rPr>
          <w:color w:val="auto"/>
          <w:szCs w:val="21"/>
        </w:rPr>
        <w:t>在合同订立及履行过程中形成的与合同有关的文件均构成合同文件组成部分。</w:t>
      </w:r>
    </w:p>
    <w:p w14:paraId="10190DCB">
      <w:pPr>
        <w:adjustRightInd w:val="0"/>
        <w:spacing w:line="360" w:lineRule="auto"/>
        <w:ind w:firstLine="420" w:firstLineChars="200"/>
        <w:rPr>
          <w:color w:val="auto"/>
          <w:szCs w:val="21"/>
        </w:rPr>
      </w:pPr>
      <w:r>
        <w:rPr>
          <w:color w:val="auto"/>
          <w:szCs w:val="21"/>
        </w:rPr>
        <w:t>上述各项合同文件包括合同当事人就该项合同文件所作出的补充和修改，属于同一类内容的文件，应以最新签署的为准。专用合同条款及其附件须经合同当事人签字或盖章。</w:t>
      </w:r>
    </w:p>
    <w:p w14:paraId="2F098942">
      <w:pPr>
        <w:adjustRightInd w:val="0"/>
        <w:spacing w:line="360" w:lineRule="auto"/>
        <w:ind w:firstLine="422" w:firstLineChars="200"/>
        <w:rPr>
          <w:b/>
          <w:bCs/>
          <w:color w:val="auto"/>
          <w:szCs w:val="21"/>
        </w:rPr>
      </w:pPr>
      <w:bookmarkStart w:id="137" w:name="_Toc351203487"/>
      <w:r>
        <w:rPr>
          <w:b/>
          <w:bCs/>
          <w:color w:val="auto"/>
          <w:szCs w:val="21"/>
        </w:rPr>
        <w:t>七、承诺</w:t>
      </w:r>
      <w:bookmarkEnd w:id="137"/>
    </w:p>
    <w:p w14:paraId="36D4B672">
      <w:pPr>
        <w:spacing w:line="360" w:lineRule="auto"/>
        <w:ind w:firstLine="420" w:firstLineChars="200"/>
        <w:rPr>
          <w:bCs/>
          <w:color w:val="auto"/>
          <w:szCs w:val="21"/>
        </w:rPr>
      </w:pPr>
      <w:r>
        <w:rPr>
          <w:bCs/>
          <w:color w:val="auto"/>
          <w:szCs w:val="21"/>
        </w:rPr>
        <w:t>1. 发包人承诺按照法律规定履行项目审批手续、筹集工程建设资金并按照合同约定的期限和方式支付合同价款。</w:t>
      </w:r>
    </w:p>
    <w:p w14:paraId="3A366756">
      <w:pPr>
        <w:spacing w:line="360" w:lineRule="auto"/>
        <w:ind w:firstLine="420" w:firstLineChars="200"/>
        <w:rPr>
          <w:bCs/>
          <w:color w:val="auto"/>
          <w:szCs w:val="21"/>
        </w:rPr>
      </w:pPr>
      <w:r>
        <w:rPr>
          <w:bCs/>
          <w:color w:val="auto"/>
          <w:szCs w:val="21"/>
        </w:rPr>
        <w:t>2. 承包人承诺按照法律规定及合同约定组织完成工程施工，确保工程质量和安全，不进行转包及违法分包，并在缺陷责任期及保修期内承担相应的工程维修责任。</w:t>
      </w:r>
    </w:p>
    <w:p w14:paraId="35F9E4A8">
      <w:pPr>
        <w:spacing w:line="360" w:lineRule="auto"/>
        <w:ind w:firstLine="420" w:firstLineChars="200"/>
        <w:rPr>
          <w:bCs/>
          <w:color w:val="auto"/>
          <w:szCs w:val="21"/>
        </w:rPr>
      </w:pPr>
      <w:r>
        <w:rPr>
          <w:bCs/>
          <w:color w:val="auto"/>
          <w:szCs w:val="21"/>
        </w:rPr>
        <w:t>3. 发包人和承包人通过招投标形式签订合同的，双方理解并承诺不再就同一工程另行签订与合同实质性内容相背离的协议。</w:t>
      </w:r>
      <w:bookmarkStart w:id="138" w:name="_Toc351203488"/>
    </w:p>
    <w:p w14:paraId="67A4905B">
      <w:pPr>
        <w:spacing w:line="360" w:lineRule="auto"/>
        <w:ind w:firstLine="422" w:firstLineChars="200"/>
        <w:rPr>
          <w:b/>
          <w:bCs/>
          <w:color w:val="auto"/>
          <w:szCs w:val="21"/>
        </w:rPr>
      </w:pPr>
      <w:r>
        <w:rPr>
          <w:b/>
          <w:bCs/>
          <w:color w:val="auto"/>
          <w:szCs w:val="21"/>
        </w:rPr>
        <w:t>八、词语含义</w:t>
      </w:r>
      <w:bookmarkEnd w:id="138"/>
    </w:p>
    <w:p w14:paraId="3E8C0EA6">
      <w:pPr>
        <w:spacing w:line="360" w:lineRule="auto"/>
        <w:ind w:firstLine="420" w:firstLineChars="200"/>
        <w:rPr>
          <w:bCs/>
          <w:color w:val="auto"/>
          <w:szCs w:val="21"/>
        </w:rPr>
      </w:pPr>
      <w:r>
        <w:rPr>
          <w:bCs/>
          <w:color w:val="auto"/>
          <w:szCs w:val="21"/>
        </w:rPr>
        <w:t>本协议书中词语含义与第二部分通用合同条款中赋予的含义相同。</w:t>
      </w:r>
    </w:p>
    <w:p w14:paraId="68A5B63B">
      <w:pPr>
        <w:spacing w:line="360" w:lineRule="auto"/>
        <w:ind w:firstLine="422" w:firstLineChars="200"/>
        <w:rPr>
          <w:b/>
          <w:bCs/>
          <w:color w:val="auto"/>
          <w:szCs w:val="21"/>
        </w:rPr>
      </w:pPr>
      <w:bookmarkStart w:id="139" w:name="_Toc351203489"/>
      <w:r>
        <w:rPr>
          <w:b/>
          <w:bCs/>
          <w:color w:val="auto"/>
          <w:szCs w:val="21"/>
        </w:rPr>
        <w:t>九、签订时间</w:t>
      </w:r>
      <w:bookmarkEnd w:id="139"/>
    </w:p>
    <w:p w14:paraId="7D63BE25">
      <w:pPr>
        <w:spacing w:line="360" w:lineRule="auto"/>
        <w:ind w:firstLine="420" w:firstLineChars="200"/>
        <w:rPr>
          <w:bCs/>
          <w:color w:val="auto"/>
          <w:szCs w:val="21"/>
        </w:rPr>
      </w:pPr>
      <w:r>
        <w:rPr>
          <w:bCs/>
          <w:color w:val="auto"/>
          <w:szCs w:val="21"/>
        </w:rPr>
        <w:t>本合同于</w:t>
      </w:r>
      <w:r>
        <w:rPr>
          <w:bCs/>
          <w:color w:val="auto"/>
          <w:szCs w:val="21"/>
          <w:u w:val="single"/>
        </w:rPr>
        <w:t xml:space="preserve"> 20</w:t>
      </w:r>
      <w:r>
        <w:rPr>
          <w:rFonts w:hint="eastAsia"/>
          <w:bCs/>
          <w:color w:val="auto"/>
          <w:szCs w:val="21"/>
          <w:u w:val="single"/>
        </w:rPr>
        <w:t>2</w:t>
      </w:r>
      <w:r>
        <w:rPr>
          <w:rFonts w:hint="eastAsia"/>
          <w:bCs/>
          <w:color w:val="auto"/>
          <w:szCs w:val="21"/>
          <w:u w:val="single"/>
          <w:lang w:val="en-US" w:eastAsia="zh-CN"/>
        </w:rPr>
        <w:t>5</w:t>
      </w:r>
      <w:r>
        <w:rPr>
          <w:bCs/>
          <w:color w:val="auto"/>
          <w:szCs w:val="21"/>
        </w:rPr>
        <w:t>年月日签订。</w:t>
      </w:r>
    </w:p>
    <w:p w14:paraId="2D33CA36">
      <w:pPr>
        <w:spacing w:line="360" w:lineRule="auto"/>
        <w:ind w:firstLine="422" w:firstLineChars="200"/>
        <w:rPr>
          <w:b/>
          <w:bCs/>
          <w:color w:val="auto"/>
          <w:szCs w:val="21"/>
        </w:rPr>
      </w:pPr>
      <w:bookmarkStart w:id="140" w:name="_Toc351203490"/>
      <w:r>
        <w:rPr>
          <w:b/>
          <w:bCs/>
          <w:color w:val="auto"/>
          <w:szCs w:val="21"/>
        </w:rPr>
        <w:t>十、签订地点</w:t>
      </w:r>
      <w:bookmarkEnd w:id="140"/>
    </w:p>
    <w:p w14:paraId="0C75A7CD">
      <w:pPr>
        <w:spacing w:line="360" w:lineRule="auto"/>
        <w:ind w:firstLine="420" w:firstLineChars="200"/>
        <w:rPr>
          <w:bCs/>
          <w:color w:val="auto"/>
          <w:szCs w:val="21"/>
        </w:rPr>
      </w:pPr>
      <w:r>
        <w:rPr>
          <w:bCs/>
          <w:color w:val="auto"/>
          <w:szCs w:val="21"/>
        </w:rPr>
        <w:t>本合同在</w:t>
      </w:r>
      <w:r>
        <w:rPr>
          <w:rFonts w:hint="eastAsia"/>
          <w:color w:val="auto"/>
          <w:szCs w:val="21"/>
          <w:u w:val="single"/>
        </w:rPr>
        <w:t>龙州县教育局</w:t>
      </w:r>
      <w:r>
        <w:rPr>
          <w:bCs/>
          <w:color w:val="auto"/>
          <w:szCs w:val="21"/>
        </w:rPr>
        <w:t>签订。</w:t>
      </w:r>
    </w:p>
    <w:p w14:paraId="292A08BC">
      <w:pPr>
        <w:spacing w:line="360" w:lineRule="auto"/>
        <w:ind w:firstLine="422" w:firstLineChars="200"/>
        <w:rPr>
          <w:b/>
          <w:bCs/>
          <w:color w:val="auto"/>
          <w:szCs w:val="21"/>
        </w:rPr>
      </w:pPr>
      <w:bookmarkStart w:id="141" w:name="_Toc351203491"/>
      <w:r>
        <w:rPr>
          <w:b/>
          <w:bCs/>
          <w:color w:val="auto"/>
          <w:szCs w:val="21"/>
        </w:rPr>
        <w:t>十一、补充协议</w:t>
      </w:r>
      <w:bookmarkEnd w:id="141"/>
    </w:p>
    <w:p w14:paraId="45D16403">
      <w:pPr>
        <w:spacing w:line="360" w:lineRule="auto"/>
        <w:ind w:firstLine="420" w:firstLineChars="200"/>
        <w:rPr>
          <w:bCs/>
          <w:color w:val="auto"/>
          <w:szCs w:val="21"/>
        </w:rPr>
      </w:pPr>
      <w:r>
        <w:rPr>
          <w:bCs/>
          <w:color w:val="auto"/>
          <w:szCs w:val="21"/>
        </w:rPr>
        <w:t>合同未尽事宜，合同当事人另行签订补充协议，补充协议是合同的组成部分。</w:t>
      </w:r>
    </w:p>
    <w:p w14:paraId="6DF67517">
      <w:pPr>
        <w:spacing w:line="360" w:lineRule="auto"/>
        <w:ind w:firstLine="422" w:firstLineChars="200"/>
        <w:rPr>
          <w:b/>
          <w:bCs/>
          <w:color w:val="auto"/>
          <w:szCs w:val="21"/>
        </w:rPr>
      </w:pPr>
      <w:bookmarkStart w:id="142" w:name="_Toc351203492"/>
      <w:r>
        <w:rPr>
          <w:b/>
          <w:bCs/>
          <w:color w:val="auto"/>
          <w:szCs w:val="21"/>
        </w:rPr>
        <w:t>十二、合同生效</w:t>
      </w:r>
      <w:bookmarkEnd w:id="142"/>
    </w:p>
    <w:p w14:paraId="419CF28B">
      <w:pPr>
        <w:spacing w:line="360" w:lineRule="auto"/>
        <w:ind w:firstLine="420" w:firstLineChars="200"/>
        <w:rPr>
          <w:bCs/>
          <w:color w:val="auto"/>
          <w:szCs w:val="21"/>
        </w:rPr>
      </w:pPr>
      <w:r>
        <w:rPr>
          <w:bCs/>
          <w:color w:val="auto"/>
          <w:szCs w:val="21"/>
        </w:rPr>
        <w:t>本合同自</w:t>
      </w:r>
      <w:r>
        <w:rPr>
          <w:b/>
          <w:color w:val="auto"/>
          <w:kern w:val="1"/>
          <w:szCs w:val="21"/>
          <w:u w:val="single"/>
        </w:rPr>
        <w:t>双方法定代表人或授权委托人签字并加盖单位公章</w:t>
      </w:r>
      <w:r>
        <w:rPr>
          <w:bCs/>
          <w:color w:val="auto"/>
          <w:szCs w:val="21"/>
        </w:rPr>
        <w:t>生效。</w:t>
      </w:r>
    </w:p>
    <w:p w14:paraId="49C4646A">
      <w:pPr>
        <w:spacing w:line="360" w:lineRule="auto"/>
        <w:ind w:firstLine="422" w:firstLineChars="200"/>
        <w:rPr>
          <w:b/>
          <w:bCs/>
          <w:color w:val="auto"/>
          <w:szCs w:val="21"/>
        </w:rPr>
      </w:pPr>
      <w:bookmarkStart w:id="143" w:name="_Toc351203493"/>
      <w:r>
        <w:rPr>
          <w:b/>
          <w:bCs/>
          <w:color w:val="auto"/>
          <w:szCs w:val="21"/>
        </w:rPr>
        <w:t>十三、合同份数</w:t>
      </w:r>
      <w:bookmarkEnd w:id="143"/>
    </w:p>
    <w:p w14:paraId="329FF281">
      <w:pPr>
        <w:spacing w:line="360" w:lineRule="auto"/>
        <w:ind w:firstLine="420" w:firstLineChars="200"/>
        <w:rPr>
          <w:bCs/>
          <w:color w:val="auto"/>
          <w:szCs w:val="21"/>
        </w:rPr>
      </w:pPr>
      <w:r>
        <w:rPr>
          <w:bCs/>
          <w:color w:val="auto"/>
          <w:szCs w:val="21"/>
        </w:rPr>
        <w:t>本合同一式</w:t>
      </w:r>
      <w:r>
        <w:rPr>
          <w:rFonts w:hint="eastAsia"/>
          <w:bCs/>
          <w:color w:val="auto"/>
          <w:szCs w:val="21"/>
          <w:u w:val="single"/>
        </w:rPr>
        <w:t>伍</w:t>
      </w:r>
      <w:r>
        <w:rPr>
          <w:bCs/>
          <w:color w:val="auto"/>
          <w:szCs w:val="21"/>
        </w:rPr>
        <w:t>份，均具有同等法律效力，发包人执</w:t>
      </w:r>
      <w:r>
        <w:rPr>
          <w:rFonts w:hint="eastAsia"/>
          <w:bCs/>
          <w:color w:val="auto"/>
          <w:szCs w:val="21"/>
          <w:u w:val="single"/>
        </w:rPr>
        <w:t>俩</w:t>
      </w:r>
      <w:r>
        <w:rPr>
          <w:bCs/>
          <w:color w:val="auto"/>
          <w:szCs w:val="21"/>
        </w:rPr>
        <w:t>份，承包人执</w:t>
      </w:r>
      <w:r>
        <w:rPr>
          <w:rFonts w:hint="eastAsia"/>
          <w:bCs/>
          <w:color w:val="auto"/>
          <w:szCs w:val="21"/>
          <w:u w:val="single"/>
        </w:rPr>
        <w:t>俩</w:t>
      </w:r>
      <w:r>
        <w:rPr>
          <w:bCs/>
          <w:color w:val="auto"/>
          <w:szCs w:val="21"/>
        </w:rPr>
        <w:t>份</w:t>
      </w:r>
      <w:r>
        <w:rPr>
          <w:rFonts w:hint="eastAsia"/>
          <w:bCs/>
          <w:color w:val="auto"/>
          <w:szCs w:val="21"/>
        </w:rPr>
        <w:t>、代理机构壹份</w:t>
      </w:r>
      <w:r>
        <w:rPr>
          <w:bCs/>
          <w:color w:val="auto"/>
          <w:szCs w:val="21"/>
        </w:rPr>
        <w:t>。</w:t>
      </w:r>
    </w:p>
    <w:p w14:paraId="34E5EB17">
      <w:pPr>
        <w:pStyle w:val="4"/>
        <w:rPr>
          <w:color w:val="auto"/>
        </w:rPr>
      </w:pP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E47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16" w:type="dxa"/>
            <w:vAlign w:val="center"/>
          </w:tcPr>
          <w:p w14:paraId="211726B3">
            <w:pPr>
              <w:snapToGrid w:val="0"/>
              <w:spacing w:line="400" w:lineRule="exact"/>
              <w:rPr>
                <w:color w:val="auto"/>
                <w:szCs w:val="21"/>
              </w:rPr>
            </w:pPr>
            <w:r>
              <w:rPr>
                <w:color w:val="auto"/>
                <w:szCs w:val="21"/>
              </w:rPr>
              <w:t xml:space="preserve">甲方（章）           </w:t>
            </w:r>
          </w:p>
          <w:p w14:paraId="04432180">
            <w:pPr>
              <w:snapToGrid w:val="0"/>
              <w:spacing w:line="400" w:lineRule="exact"/>
              <w:rPr>
                <w:color w:val="auto"/>
                <w:szCs w:val="21"/>
              </w:rPr>
            </w:pPr>
          </w:p>
          <w:p w14:paraId="0746B415">
            <w:pPr>
              <w:snapToGrid w:val="0"/>
              <w:spacing w:line="400" w:lineRule="exact"/>
              <w:ind w:firstLine="945" w:firstLineChars="450"/>
              <w:jc w:val="right"/>
              <w:rPr>
                <w:color w:val="auto"/>
                <w:szCs w:val="21"/>
              </w:rPr>
            </w:pPr>
            <w:r>
              <w:rPr>
                <w:color w:val="auto"/>
                <w:szCs w:val="21"/>
              </w:rPr>
              <w:t>年  月  日</w:t>
            </w:r>
          </w:p>
        </w:tc>
        <w:tc>
          <w:tcPr>
            <w:tcW w:w="4517" w:type="dxa"/>
            <w:vAlign w:val="center"/>
          </w:tcPr>
          <w:p w14:paraId="5A95EB5A">
            <w:pPr>
              <w:snapToGrid w:val="0"/>
              <w:spacing w:line="400" w:lineRule="exact"/>
              <w:rPr>
                <w:color w:val="auto"/>
                <w:szCs w:val="21"/>
              </w:rPr>
            </w:pPr>
            <w:r>
              <w:rPr>
                <w:color w:val="auto"/>
                <w:szCs w:val="21"/>
              </w:rPr>
              <w:t xml:space="preserve">乙方（章）              </w:t>
            </w:r>
          </w:p>
          <w:p w14:paraId="5C790372">
            <w:pPr>
              <w:snapToGrid w:val="0"/>
              <w:spacing w:line="400" w:lineRule="exact"/>
              <w:rPr>
                <w:color w:val="auto"/>
                <w:szCs w:val="21"/>
              </w:rPr>
            </w:pPr>
          </w:p>
          <w:p w14:paraId="71E1502F">
            <w:pPr>
              <w:snapToGrid w:val="0"/>
              <w:spacing w:line="400" w:lineRule="exact"/>
              <w:jc w:val="right"/>
              <w:rPr>
                <w:color w:val="auto"/>
                <w:szCs w:val="21"/>
              </w:rPr>
            </w:pPr>
            <w:r>
              <w:rPr>
                <w:color w:val="auto"/>
                <w:szCs w:val="21"/>
              </w:rPr>
              <w:t>年  月  日</w:t>
            </w:r>
          </w:p>
        </w:tc>
      </w:tr>
      <w:tr w14:paraId="5817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0A9742F3">
            <w:pPr>
              <w:snapToGrid w:val="0"/>
              <w:spacing w:line="400" w:lineRule="exact"/>
              <w:rPr>
                <w:color w:val="auto"/>
                <w:szCs w:val="21"/>
              </w:rPr>
            </w:pPr>
            <w:r>
              <w:rPr>
                <w:color w:val="auto"/>
                <w:szCs w:val="21"/>
              </w:rPr>
              <w:t xml:space="preserve">单位地址： </w:t>
            </w:r>
          </w:p>
        </w:tc>
        <w:tc>
          <w:tcPr>
            <w:tcW w:w="4517" w:type="dxa"/>
            <w:vAlign w:val="center"/>
          </w:tcPr>
          <w:p w14:paraId="3FC607CE">
            <w:pPr>
              <w:snapToGrid w:val="0"/>
              <w:spacing w:line="400" w:lineRule="exact"/>
              <w:rPr>
                <w:color w:val="auto"/>
                <w:szCs w:val="21"/>
              </w:rPr>
            </w:pPr>
            <w:r>
              <w:rPr>
                <w:color w:val="auto"/>
                <w:szCs w:val="21"/>
              </w:rPr>
              <w:t>单位地址：</w:t>
            </w:r>
          </w:p>
        </w:tc>
      </w:tr>
      <w:tr w14:paraId="142B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16" w:type="dxa"/>
            <w:vAlign w:val="center"/>
          </w:tcPr>
          <w:p w14:paraId="7938B24F">
            <w:pPr>
              <w:snapToGrid w:val="0"/>
              <w:spacing w:line="400" w:lineRule="exact"/>
              <w:rPr>
                <w:color w:val="auto"/>
                <w:szCs w:val="21"/>
              </w:rPr>
            </w:pPr>
            <w:r>
              <w:rPr>
                <w:color w:val="auto"/>
                <w:szCs w:val="21"/>
              </w:rPr>
              <w:t>法定代表人：</w:t>
            </w:r>
          </w:p>
        </w:tc>
        <w:tc>
          <w:tcPr>
            <w:tcW w:w="4517" w:type="dxa"/>
            <w:vAlign w:val="center"/>
          </w:tcPr>
          <w:p w14:paraId="7340D02A">
            <w:pPr>
              <w:snapToGrid w:val="0"/>
              <w:spacing w:line="400" w:lineRule="exact"/>
              <w:rPr>
                <w:color w:val="auto"/>
                <w:szCs w:val="21"/>
              </w:rPr>
            </w:pPr>
            <w:r>
              <w:rPr>
                <w:color w:val="auto"/>
                <w:szCs w:val="21"/>
              </w:rPr>
              <w:t>法定代表人：</w:t>
            </w:r>
          </w:p>
        </w:tc>
      </w:tr>
      <w:tr w14:paraId="7AAD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20A78C68">
            <w:pPr>
              <w:snapToGrid w:val="0"/>
              <w:spacing w:line="400" w:lineRule="exact"/>
              <w:rPr>
                <w:color w:val="auto"/>
                <w:szCs w:val="21"/>
              </w:rPr>
            </w:pPr>
            <w:r>
              <w:rPr>
                <w:color w:val="auto"/>
                <w:szCs w:val="21"/>
              </w:rPr>
              <w:t>委托代理人：</w:t>
            </w:r>
          </w:p>
        </w:tc>
        <w:tc>
          <w:tcPr>
            <w:tcW w:w="4517" w:type="dxa"/>
            <w:vAlign w:val="center"/>
          </w:tcPr>
          <w:p w14:paraId="4F000E6C">
            <w:pPr>
              <w:snapToGrid w:val="0"/>
              <w:spacing w:line="400" w:lineRule="exact"/>
              <w:rPr>
                <w:color w:val="auto"/>
                <w:szCs w:val="21"/>
              </w:rPr>
            </w:pPr>
            <w:r>
              <w:rPr>
                <w:color w:val="auto"/>
                <w:szCs w:val="21"/>
              </w:rPr>
              <w:t>委托代理人</w:t>
            </w:r>
          </w:p>
        </w:tc>
      </w:tr>
      <w:tr w14:paraId="3394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516" w:type="dxa"/>
            <w:vAlign w:val="center"/>
          </w:tcPr>
          <w:p w14:paraId="5E7DADAE">
            <w:pPr>
              <w:snapToGrid w:val="0"/>
              <w:spacing w:line="400" w:lineRule="exact"/>
              <w:rPr>
                <w:color w:val="auto"/>
                <w:szCs w:val="21"/>
              </w:rPr>
            </w:pPr>
            <w:r>
              <w:rPr>
                <w:color w:val="auto"/>
                <w:szCs w:val="21"/>
              </w:rPr>
              <w:t xml:space="preserve">电话： </w:t>
            </w:r>
          </w:p>
        </w:tc>
        <w:tc>
          <w:tcPr>
            <w:tcW w:w="4517" w:type="dxa"/>
            <w:vAlign w:val="center"/>
          </w:tcPr>
          <w:p w14:paraId="32C96213">
            <w:pPr>
              <w:snapToGrid w:val="0"/>
              <w:spacing w:line="400" w:lineRule="exact"/>
              <w:rPr>
                <w:color w:val="auto"/>
                <w:szCs w:val="21"/>
              </w:rPr>
            </w:pPr>
            <w:r>
              <w:rPr>
                <w:color w:val="auto"/>
                <w:szCs w:val="21"/>
              </w:rPr>
              <w:t>电话：</w:t>
            </w:r>
          </w:p>
        </w:tc>
      </w:tr>
      <w:tr w14:paraId="306F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160FCDE2">
            <w:pPr>
              <w:snapToGrid w:val="0"/>
              <w:spacing w:line="400" w:lineRule="exact"/>
              <w:rPr>
                <w:color w:val="auto"/>
                <w:szCs w:val="21"/>
              </w:rPr>
            </w:pPr>
            <w:r>
              <w:rPr>
                <w:color w:val="auto"/>
                <w:szCs w:val="21"/>
              </w:rPr>
              <w:t>电子邮箱：</w:t>
            </w:r>
          </w:p>
        </w:tc>
        <w:tc>
          <w:tcPr>
            <w:tcW w:w="4517" w:type="dxa"/>
            <w:vAlign w:val="center"/>
          </w:tcPr>
          <w:p w14:paraId="61488317">
            <w:pPr>
              <w:snapToGrid w:val="0"/>
              <w:spacing w:line="400" w:lineRule="exact"/>
              <w:rPr>
                <w:color w:val="auto"/>
                <w:szCs w:val="21"/>
              </w:rPr>
            </w:pPr>
            <w:r>
              <w:rPr>
                <w:color w:val="auto"/>
                <w:szCs w:val="21"/>
              </w:rPr>
              <w:t>电子邮箱：</w:t>
            </w:r>
          </w:p>
        </w:tc>
      </w:tr>
      <w:tr w14:paraId="0760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4516" w:type="dxa"/>
            <w:vAlign w:val="center"/>
          </w:tcPr>
          <w:p w14:paraId="573AAF8C">
            <w:pPr>
              <w:snapToGrid w:val="0"/>
              <w:spacing w:line="400" w:lineRule="exact"/>
              <w:rPr>
                <w:color w:val="auto"/>
                <w:szCs w:val="21"/>
              </w:rPr>
            </w:pPr>
            <w:r>
              <w:rPr>
                <w:color w:val="auto"/>
                <w:szCs w:val="21"/>
              </w:rPr>
              <w:t xml:space="preserve">开户银行： </w:t>
            </w:r>
          </w:p>
        </w:tc>
        <w:tc>
          <w:tcPr>
            <w:tcW w:w="4517" w:type="dxa"/>
            <w:vAlign w:val="center"/>
          </w:tcPr>
          <w:p w14:paraId="4B0BA98B">
            <w:pPr>
              <w:snapToGrid w:val="0"/>
              <w:spacing w:line="400" w:lineRule="exact"/>
              <w:rPr>
                <w:color w:val="auto"/>
                <w:szCs w:val="21"/>
              </w:rPr>
            </w:pPr>
            <w:r>
              <w:rPr>
                <w:color w:val="auto"/>
                <w:szCs w:val="21"/>
              </w:rPr>
              <w:t>开户银行：</w:t>
            </w:r>
          </w:p>
        </w:tc>
      </w:tr>
      <w:tr w14:paraId="6366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516" w:type="dxa"/>
            <w:vAlign w:val="center"/>
          </w:tcPr>
          <w:p w14:paraId="11835E34">
            <w:pPr>
              <w:snapToGrid w:val="0"/>
              <w:spacing w:line="400" w:lineRule="exact"/>
              <w:rPr>
                <w:color w:val="auto"/>
                <w:szCs w:val="21"/>
              </w:rPr>
            </w:pPr>
            <w:r>
              <w:rPr>
                <w:color w:val="auto"/>
                <w:szCs w:val="21"/>
              </w:rPr>
              <w:t xml:space="preserve">税号： </w:t>
            </w:r>
          </w:p>
        </w:tc>
        <w:tc>
          <w:tcPr>
            <w:tcW w:w="4517" w:type="dxa"/>
            <w:vAlign w:val="center"/>
          </w:tcPr>
          <w:p w14:paraId="53A4AF9F">
            <w:pPr>
              <w:snapToGrid w:val="0"/>
              <w:spacing w:line="400" w:lineRule="exact"/>
              <w:rPr>
                <w:color w:val="auto"/>
                <w:szCs w:val="21"/>
              </w:rPr>
            </w:pPr>
            <w:r>
              <w:rPr>
                <w:color w:val="auto"/>
                <w:szCs w:val="21"/>
              </w:rPr>
              <w:t>税号：</w:t>
            </w:r>
          </w:p>
        </w:tc>
      </w:tr>
      <w:tr w14:paraId="32EB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0B4D1CDD">
            <w:pPr>
              <w:snapToGrid w:val="0"/>
              <w:spacing w:line="400" w:lineRule="exact"/>
              <w:rPr>
                <w:color w:val="auto"/>
                <w:szCs w:val="21"/>
              </w:rPr>
            </w:pPr>
            <w:r>
              <w:rPr>
                <w:color w:val="auto"/>
                <w:szCs w:val="21"/>
              </w:rPr>
              <w:t xml:space="preserve">账号： </w:t>
            </w:r>
          </w:p>
        </w:tc>
        <w:tc>
          <w:tcPr>
            <w:tcW w:w="4517" w:type="dxa"/>
            <w:vAlign w:val="center"/>
          </w:tcPr>
          <w:p w14:paraId="66593513">
            <w:pPr>
              <w:snapToGrid w:val="0"/>
              <w:spacing w:line="400" w:lineRule="exact"/>
              <w:rPr>
                <w:color w:val="auto"/>
                <w:szCs w:val="21"/>
              </w:rPr>
            </w:pPr>
            <w:r>
              <w:rPr>
                <w:color w:val="auto"/>
                <w:szCs w:val="21"/>
              </w:rPr>
              <w:t>账号：</w:t>
            </w:r>
          </w:p>
        </w:tc>
      </w:tr>
      <w:tr w14:paraId="2896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6972D6D1">
            <w:pPr>
              <w:snapToGrid w:val="0"/>
              <w:spacing w:line="400" w:lineRule="exact"/>
              <w:rPr>
                <w:color w:val="auto"/>
                <w:szCs w:val="21"/>
              </w:rPr>
            </w:pPr>
            <w:r>
              <w:rPr>
                <w:color w:val="auto"/>
                <w:szCs w:val="21"/>
              </w:rPr>
              <w:t xml:space="preserve">邮政编码： </w:t>
            </w:r>
          </w:p>
        </w:tc>
        <w:tc>
          <w:tcPr>
            <w:tcW w:w="4517" w:type="dxa"/>
            <w:vAlign w:val="center"/>
          </w:tcPr>
          <w:p w14:paraId="00ABFBAF">
            <w:pPr>
              <w:snapToGrid w:val="0"/>
              <w:spacing w:line="400" w:lineRule="exact"/>
              <w:rPr>
                <w:color w:val="auto"/>
                <w:szCs w:val="21"/>
              </w:rPr>
            </w:pPr>
            <w:r>
              <w:rPr>
                <w:color w:val="auto"/>
                <w:szCs w:val="21"/>
              </w:rPr>
              <w:t>邮政编码：</w:t>
            </w:r>
          </w:p>
        </w:tc>
      </w:tr>
    </w:tbl>
    <w:p w14:paraId="10F39558">
      <w:pPr>
        <w:rPr>
          <w:color w:val="auto"/>
          <w:szCs w:val="21"/>
          <w:u w:val="single"/>
        </w:rPr>
      </w:pPr>
    </w:p>
    <w:p w14:paraId="69D72F7F">
      <w:pPr>
        <w:rPr>
          <w:color w:val="auto"/>
        </w:rPr>
      </w:pPr>
      <w:r>
        <w:rPr>
          <w:color w:val="auto"/>
          <w:szCs w:val="21"/>
        </w:rPr>
        <w:br w:type="page"/>
      </w:r>
    </w:p>
    <w:p w14:paraId="184E4F24">
      <w:pPr>
        <w:pStyle w:val="3"/>
        <w:jc w:val="center"/>
        <w:rPr>
          <w:color w:val="auto"/>
        </w:rPr>
      </w:pPr>
      <w:bookmarkStart w:id="144" w:name="_Toc351203494"/>
      <w:bookmarkStart w:id="145" w:name="_Toc533611448"/>
      <w:r>
        <w:rPr>
          <w:rFonts w:hint="eastAsia"/>
          <w:color w:val="auto"/>
        </w:rPr>
        <w:t>第二部分 通用合同条款</w:t>
      </w:r>
      <w:bookmarkEnd w:id="144"/>
      <w:bookmarkEnd w:id="145"/>
      <w:bookmarkStart w:id="146" w:name="_Toc337558727"/>
    </w:p>
    <w:bookmarkEnd w:id="146"/>
    <w:p w14:paraId="1BAF83BD">
      <w:pPr>
        <w:spacing w:line="360" w:lineRule="auto"/>
        <w:ind w:firstLine="420" w:firstLineChars="200"/>
        <w:rPr>
          <w:rFonts w:ascii="仿宋_GB2312" w:eastAsia="仿宋_GB2312"/>
          <w:color w:val="auto"/>
          <w:szCs w:val="21"/>
        </w:rPr>
      </w:pPr>
    </w:p>
    <w:p w14:paraId="22C0AC4F">
      <w:pPr>
        <w:spacing w:line="360" w:lineRule="auto"/>
        <w:ind w:firstLine="482" w:firstLineChars="200"/>
        <w:rPr>
          <w:rFonts w:ascii="仿宋_GB2312" w:eastAsia="仿宋_GB2312"/>
          <w:b/>
          <w:color w:val="auto"/>
          <w:sz w:val="24"/>
        </w:rPr>
      </w:pPr>
      <w:r>
        <w:rPr>
          <w:rFonts w:ascii="仿宋_GB2312" w:eastAsia="仿宋_GB2312"/>
          <w:b/>
          <w:color w:val="auto"/>
          <w:sz w:val="24"/>
        </w:rPr>
        <w:t>采用《建设工程施工合同（示范文本）》（GF—20</w:t>
      </w:r>
      <w:r>
        <w:rPr>
          <w:rFonts w:hint="eastAsia" w:ascii="仿宋_GB2312" w:eastAsia="仿宋_GB2312"/>
          <w:b/>
          <w:color w:val="auto"/>
          <w:sz w:val="24"/>
          <w:lang w:val="en-US" w:eastAsia="zh-CN"/>
        </w:rPr>
        <w:t>17</w:t>
      </w:r>
      <w:r>
        <w:rPr>
          <w:rFonts w:ascii="仿宋_GB2312" w:eastAsia="仿宋_GB2312"/>
          <w:b/>
          <w:color w:val="auto"/>
          <w:sz w:val="24"/>
        </w:rPr>
        <w:t>—0201）。</w:t>
      </w:r>
    </w:p>
    <w:p w14:paraId="75C7FA73">
      <w:pPr>
        <w:rPr>
          <w:color w:val="auto"/>
        </w:rPr>
      </w:pPr>
    </w:p>
    <w:p w14:paraId="54C96A5B">
      <w:pPr>
        <w:rPr>
          <w:color w:val="auto"/>
        </w:rPr>
      </w:pPr>
    </w:p>
    <w:p w14:paraId="639ECF55">
      <w:pPr>
        <w:pStyle w:val="242"/>
        <w:spacing w:line="360" w:lineRule="auto"/>
        <w:jc w:val="center"/>
        <w:outlineLvl w:val="0"/>
        <w:rPr>
          <w:rFonts w:ascii="Times New Roman" w:hAnsi="宋体"/>
          <w:b/>
          <w:bCs/>
          <w:color w:val="auto"/>
          <w:kern w:val="44"/>
          <w:sz w:val="30"/>
          <w:szCs w:val="30"/>
        </w:rPr>
      </w:pPr>
      <w:bookmarkStart w:id="147" w:name="_Toc389065257"/>
      <w:bookmarkStart w:id="148" w:name="_Toc487632690"/>
      <w:bookmarkStart w:id="149" w:name="_Toc407135193"/>
      <w:bookmarkStart w:id="150" w:name="_Toc533611449"/>
      <w:r>
        <w:rPr>
          <w:rFonts w:hint="eastAsia" w:ascii="Times New Roman" w:hAnsi="宋体" w:cs="黑体"/>
          <w:b/>
          <w:bCs/>
          <w:color w:val="auto"/>
          <w:kern w:val="44"/>
          <w:sz w:val="30"/>
          <w:szCs w:val="30"/>
        </w:rPr>
        <w:t>第三部分专用合同条款</w:t>
      </w:r>
      <w:bookmarkEnd w:id="147"/>
      <w:bookmarkEnd w:id="148"/>
      <w:bookmarkEnd w:id="149"/>
      <w:bookmarkEnd w:id="150"/>
    </w:p>
    <w:p w14:paraId="1BC8216F">
      <w:pPr>
        <w:pStyle w:val="3"/>
        <w:rPr>
          <w:rFonts w:ascii="仿宋_GB2312" w:eastAsia="仿宋_GB2312"/>
          <w:color w:val="auto"/>
          <w:sz w:val="24"/>
          <w:szCs w:val="24"/>
        </w:rPr>
      </w:pPr>
      <w:bookmarkStart w:id="151" w:name="_Toc533611450"/>
      <w:bookmarkStart w:id="152" w:name="_Toc373227692"/>
      <w:bookmarkStart w:id="153" w:name="_Toc373478339"/>
      <w:bookmarkStart w:id="154" w:name="_Toc19141"/>
      <w:bookmarkStart w:id="155" w:name="_Toc389065258"/>
      <w:bookmarkStart w:id="156" w:name="_Toc395382494"/>
      <w:r>
        <w:rPr>
          <w:rFonts w:hint="eastAsia" w:ascii="仿宋_GB2312" w:eastAsia="仿宋_GB2312"/>
          <w:color w:val="auto"/>
          <w:sz w:val="24"/>
          <w:szCs w:val="24"/>
        </w:rPr>
        <w:t>1. 一般约定</w:t>
      </w:r>
    </w:p>
    <w:p w14:paraId="6F11D549">
      <w:pPr>
        <w:pStyle w:val="4"/>
        <w:rPr>
          <w:rFonts w:ascii="仿宋_GB2312" w:eastAsia="仿宋_GB2312"/>
          <w:color w:val="auto"/>
          <w:szCs w:val="24"/>
        </w:rPr>
      </w:pPr>
      <w:r>
        <w:rPr>
          <w:rFonts w:hint="eastAsia" w:ascii="仿宋_GB2312" w:eastAsia="仿宋_GB2312"/>
          <w:color w:val="auto"/>
          <w:szCs w:val="24"/>
        </w:rPr>
        <w:t>1.1 词语定义</w:t>
      </w:r>
    </w:p>
    <w:p w14:paraId="39DBC0FA">
      <w:pPr>
        <w:spacing w:line="360" w:lineRule="auto"/>
        <w:ind w:firstLine="480" w:firstLineChars="200"/>
        <w:rPr>
          <w:rFonts w:ascii="仿宋_GB2312" w:eastAsia="仿宋_GB2312"/>
          <w:color w:val="auto"/>
          <w:sz w:val="24"/>
        </w:rPr>
      </w:pPr>
      <w:r>
        <w:rPr>
          <w:rFonts w:ascii="仿宋_GB2312" w:eastAsia="仿宋_GB2312"/>
          <w:color w:val="auto"/>
          <w:sz w:val="24"/>
        </w:rPr>
        <w:t>1.1.1 合同</w:t>
      </w:r>
    </w:p>
    <w:p w14:paraId="2498A863">
      <w:pPr>
        <w:spacing w:line="360" w:lineRule="auto"/>
        <w:ind w:firstLine="480" w:firstLineChars="200"/>
        <w:rPr>
          <w:rFonts w:ascii="仿宋_GB2312" w:eastAsia="仿宋_GB2312"/>
          <w:color w:val="auto"/>
          <w:sz w:val="24"/>
        </w:rPr>
      </w:pPr>
      <w:r>
        <w:rPr>
          <w:rFonts w:ascii="仿宋_GB2312" w:eastAsia="仿宋_GB2312"/>
          <w:color w:val="auto"/>
          <w:sz w:val="24"/>
        </w:rPr>
        <w:t>1.1.1.10 其他合同文件包括：</w:t>
      </w:r>
      <w:r>
        <w:rPr>
          <w:rFonts w:ascii="仿宋_GB2312" w:eastAsia="仿宋_GB2312"/>
          <w:color w:val="auto"/>
          <w:sz w:val="24"/>
          <w:u w:val="single"/>
        </w:rPr>
        <w:t xml:space="preserve"> 施工组织设计、专项方案、图纸会审记录、会议纪要、工程联系单、签证单、双方有关工程的洽商、变更、补充协议等</w:t>
      </w:r>
      <w:r>
        <w:rPr>
          <w:rFonts w:ascii="仿宋_GB2312" w:eastAsia="仿宋_GB2312" w:cs="MingLiU_HKSCS"/>
          <w:color w:val="auto"/>
          <w:sz w:val="24"/>
          <w:u w:val="single"/>
        </w:rPr>
        <w:t>双方约定的与工程施工有关的具有合同约束力的文件或书面协议</w:t>
      </w:r>
      <w:r>
        <w:rPr>
          <w:rFonts w:ascii="仿宋_GB2312" w:eastAsia="仿宋_GB2312"/>
          <w:color w:val="auto"/>
          <w:sz w:val="24"/>
        </w:rPr>
        <w:t>。</w:t>
      </w:r>
    </w:p>
    <w:p w14:paraId="5A37CC02">
      <w:pPr>
        <w:spacing w:line="360" w:lineRule="auto"/>
        <w:ind w:firstLine="480" w:firstLineChars="200"/>
        <w:rPr>
          <w:rFonts w:ascii="仿宋_GB2312" w:eastAsia="仿宋_GB2312"/>
          <w:color w:val="auto"/>
          <w:sz w:val="24"/>
        </w:rPr>
      </w:pPr>
      <w:r>
        <w:rPr>
          <w:rFonts w:ascii="仿宋_GB2312" w:eastAsia="仿宋_GB2312"/>
          <w:color w:val="auto"/>
          <w:sz w:val="24"/>
        </w:rPr>
        <w:t>1.1.2 合同当事人及其他相关方</w:t>
      </w:r>
    </w:p>
    <w:p w14:paraId="76073653">
      <w:pPr>
        <w:spacing w:line="360" w:lineRule="auto"/>
        <w:ind w:firstLine="480" w:firstLineChars="200"/>
        <w:rPr>
          <w:rFonts w:ascii="仿宋_GB2312" w:eastAsia="仿宋_GB2312"/>
          <w:color w:val="auto"/>
          <w:sz w:val="24"/>
        </w:rPr>
      </w:pPr>
      <w:r>
        <w:rPr>
          <w:rFonts w:ascii="仿宋_GB2312" w:eastAsia="仿宋_GB2312"/>
          <w:color w:val="auto"/>
          <w:sz w:val="24"/>
        </w:rPr>
        <w:t>1.1.2.4 监理人：</w:t>
      </w:r>
    </w:p>
    <w:p w14:paraId="0A190012">
      <w:pPr>
        <w:spacing w:line="360" w:lineRule="auto"/>
        <w:ind w:firstLine="480" w:firstLineChars="200"/>
        <w:rPr>
          <w:rFonts w:ascii="仿宋_GB2312" w:eastAsia="仿宋_GB2312"/>
          <w:color w:val="auto"/>
          <w:sz w:val="24"/>
        </w:rPr>
      </w:pPr>
      <w:r>
        <w:rPr>
          <w:rFonts w:ascii="仿宋_GB2312" w:eastAsia="仿宋_GB2312"/>
          <w:color w:val="auto"/>
          <w:sz w:val="24"/>
        </w:rPr>
        <w:t>总监理工程师：</w:t>
      </w:r>
    </w:p>
    <w:p w14:paraId="75CB0D49">
      <w:pPr>
        <w:spacing w:line="360" w:lineRule="auto"/>
        <w:ind w:firstLine="480" w:firstLineChars="200"/>
        <w:rPr>
          <w:rFonts w:ascii="仿宋_GB2312" w:eastAsia="仿宋_GB2312"/>
          <w:color w:val="auto"/>
          <w:sz w:val="24"/>
        </w:rPr>
      </w:pPr>
      <w:r>
        <w:rPr>
          <w:rFonts w:ascii="仿宋_GB2312" w:eastAsia="仿宋_GB2312"/>
          <w:color w:val="auto"/>
          <w:sz w:val="24"/>
        </w:rPr>
        <w:t>姓    名：</w:t>
      </w:r>
      <w:r>
        <w:rPr>
          <w:rFonts w:ascii="仿宋_GB2312" w:eastAsia="仿宋_GB2312"/>
          <w:color w:val="auto"/>
          <w:sz w:val="24"/>
          <w:u w:val="single"/>
        </w:rPr>
        <w:t>　　　　　　　　　　</w:t>
      </w:r>
      <w:r>
        <w:rPr>
          <w:rFonts w:ascii="仿宋_GB2312" w:eastAsia="仿宋_GB2312"/>
          <w:color w:val="auto"/>
          <w:sz w:val="24"/>
        </w:rPr>
        <w:t>；</w:t>
      </w:r>
    </w:p>
    <w:p w14:paraId="067F0571">
      <w:pPr>
        <w:spacing w:line="360" w:lineRule="auto"/>
        <w:ind w:firstLine="480" w:firstLineChars="200"/>
        <w:rPr>
          <w:rFonts w:ascii="仿宋_GB2312" w:eastAsia="仿宋_GB2312"/>
          <w:color w:val="auto"/>
          <w:sz w:val="24"/>
        </w:rPr>
      </w:pPr>
      <w:r>
        <w:rPr>
          <w:rFonts w:ascii="仿宋_GB2312" w:eastAsia="仿宋_GB2312"/>
          <w:color w:val="auto"/>
          <w:sz w:val="24"/>
        </w:rPr>
        <w:t>职    务：</w:t>
      </w:r>
      <w:r>
        <w:rPr>
          <w:rFonts w:ascii="仿宋_GB2312" w:eastAsia="仿宋_GB2312"/>
          <w:color w:val="auto"/>
          <w:sz w:val="24"/>
          <w:u w:val="single"/>
        </w:rPr>
        <w:t>　　　　　　　　　　　</w:t>
      </w:r>
      <w:r>
        <w:rPr>
          <w:rFonts w:ascii="仿宋_GB2312" w:eastAsia="仿宋_GB2312"/>
          <w:color w:val="auto"/>
          <w:sz w:val="24"/>
        </w:rPr>
        <w:t>；</w:t>
      </w:r>
    </w:p>
    <w:p w14:paraId="0803DC43">
      <w:pPr>
        <w:spacing w:line="360" w:lineRule="auto"/>
        <w:ind w:firstLine="480" w:firstLineChars="200"/>
        <w:rPr>
          <w:rFonts w:ascii="仿宋_GB2312" w:eastAsia="仿宋_GB2312"/>
          <w:color w:val="auto"/>
          <w:sz w:val="24"/>
        </w:rPr>
      </w:pPr>
      <w:r>
        <w:rPr>
          <w:rFonts w:ascii="仿宋_GB2312" w:eastAsia="仿宋_GB2312"/>
          <w:color w:val="auto"/>
          <w:sz w:val="24"/>
        </w:rPr>
        <w:t>监理工程师执业资格证书号：</w:t>
      </w:r>
      <w:r>
        <w:rPr>
          <w:rFonts w:ascii="仿宋_GB2312" w:eastAsia="仿宋_GB2312"/>
          <w:color w:val="auto"/>
          <w:sz w:val="24"/>
          <w:u w:val="single"/>
        </w:rPr>
        <w:t>　</w:t>
      </w:r>
      <w:r>
        <w:rPr>
          <w:rFonts w:ascii="仿宋_GB2312" w:eastAsia="仿宋_GB2312"/>
          <w:color w:val="auto"/>
          <w:sz w:val="24"/>
        </w:rPr>
        <w:t>；</w:t>
      </w:r>
    </w:p>
    <w:p w14:paraId="69281B4E">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r>
        <w:rPr>
          <w:rFonts w:ascii="仿宋_GB2312" w:eastAsia="仿宋_GB2312"/>
          <w:color w:val="auto"/>
          <w:sz w:val="24"/>
          <w:u w:val="single"/>
        </w:rPr>
        <w:t>　　　　　　　　　</w:t>
      </w:r>
      <w:r>
        <w:rPr>
          <w:rFonts w:ascii="仿宋_GB2312" w:eastAsia="仿宋_GB2312"/>
          <w:color w:val="auto"/>
          <w:sz w:val="24"/>
        </w:rPr>
        <w:t>；</w:t>
      </w:r>
    </w:p>
    <w:p w14:paraId="6BEBC786">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r>
        <w:rPr>
          <w:rFonts w:ascii="仿宋_GB2312" w:eastAsia="仿宋_GB2312"/>
          <w:color w:val="auto"/>
          <w:sz w:val="24"/>
          <w:u w:val="single"/>
        </w:rPr>
        <w:t>　　　　　　　　　　　　　　　　</w:t>
      </w:r>
      <w:r>
        <w:rPr>
          <w:rFonts w:ascii="仿宋_GB2312" w:eastAsia="仿宋_GB2312"/>
          <w:color w:val="auto"/>
          <w:sz w:val="24"/>
        </w:rPr>
        <w:t>；</w:t>
      </w:r>
    </w:p>
    <w:p w14:paraId="6FB52B93">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p>
    <w:p w14:paraId="75713C2C">
      <w:pPr>
        <w:spacing w:line="360" w:lineRule="auto"/>
        <w:ind w:firstLine="480" w:firstLineChars="200"/>
        <w:rPr>
          <w:rFonts w:ascii="仿宋_GB2312" w:eastAsia="仿宋_GB2312"/>
          <w:color w:val="auto"/>
          <w:sz w:val="24"/>
        </w:rPr>
      </w:pPr>
      <w:r>
        <w:rPr>
          <w:rFonts w:ascii="仿宋_GB2312" w:eastAsia="仿宋_GB2312"/>
          <w:color w:val="auto"/>
          <w:sz w:val="24"/>
        </w:rPr>
        <w:t>1.1.3 工程和设备</w:t>
      </w:r>
    </w:p>
    <w:p w14:paraId="745EC8F5">
      <w:pPr>
        <w:spacing w:line="360" w:lineRule="auto"/>
        <w:ind w:firstLine="480" w:firstLineChars="200"/>
        <w:rPr>
          <w:rFonts w:ascii="仿宋_GB2312" w:eastAsia="仿宋_GB2312"/>
          <w:color w:val="auto"/>
          <w:sz w:val="24"/>
        </w:rPr>
      </w:pPr>
      <w:r>
        <w:rPr>
          <w:rFonts w:ascii="仿宋_GB2312" w:eastAsia="仿宋_GB2312"/>
          <w:color w:val="auto"/>
          <w:sz w:val="24"/>
        </w:rPr>
        <w:t xml:space="preserve">1.1.3.7 作为施工现场组成部分的其他场所包括： </w:t>
      </w:r>
      <w:r>
        <w:rPr>
          <w:rFonts w:ascii="仿宋_GB2312" w:eastAsia="仿宋_GB2312"/>
          <w:color w:val="auto"/>
          <w:sz w:val="24"/>
          <w:u w:val="single"/>
        </w:rPr>
        <w:t xml:space="preserve"> 按本合同《通用条款》</w:t>
      </w:r>
      <w:r>
        <w:rPr>
          <w:rFonts w:ascii="仿宋_GB2312" w:eastAsia="仿宋_GB2312"/>
          <w:color w:val="auto"/>
          <w:sz w:val="24"/>
        </w:rPr>
        <w:t xml:space="preserve"> 。</w:t>
      </w:r>
    </w:p>
    <w:p w14:paraId="4D52401B">
      <w:pPr>
        <w:spacing w:line="360" w:lineRule="auto"/>
        <w:ind w:firstLine="480" w:firstLineChars="200"/>
        <w:rPr>
          <w:rFonts w:ascii="仿宋_GB2312" w:eastAsia="仿宋_GB2312"/>
          <w:color w:val="auto"/>
          <w:sz w:val="24"/>
        </w:rPr>
      </w:pPr>
      <w:r>
        <w:rPr>
          <w:rFonts w:ascii="仿宋_GB2312" w:eastAsia="仿宋_GB2312"/>
          <w:color w:val="auto"/>
          <w:sz w:val="24"/>
        </w:rPr>
        <w:t>1.1.3.9 永久占地包括：</w:t>
      </w:r>
      <w:r>
        <w:rPr>
          <w:rFonts w:ascii="仿宋_GB2312" w:eastAsia="仿宋_GB2312"/>
          <w:color w:val="auto"/>
          <w:sz w:val="24"/>
          <w:u w:val="single"/>
        </w:rPr>
        <w:t>具体内容见双方确认的本工程规划红线图为准</w:t>
      </w:r>
      <w:r>
        <w:rPr>
          <w:rFonts w:ascii="仿宋_GB2312" w:eastAsia="仿宋_GB2312"/>
          <w:color w:val="auto"/>
          <w:sz w:val="24"/>
        </w:rPr>
        <w:t>。</w:t>
      </w:r>
    </w:p>
    <w:p w14:paraId="66970270">
      <w:pPr>
        <w:spacing w:line="360" w:lineRule="auto"/>
        <w:ind w:firstLine="480" w:firstLineChars="200"/>
        <w:rPr>
          <w:rFonts w:ascii="仿宋_GB2312" w:eastAsia="仿宋_GB2312"/>
          <w:color w:val="auto"/>
          <w:sz w:val="24"/>
        </w:rPr>
      </w:pPr>
      <w:r>
        <w:rPr>
          <w:rFonts w:ascii="仿宋_GB2312" w:eastAsia="仿宋_GB2312"/>
          <w:color w:val="auto"/>
          <w:sz w:val="24"/>
        </w:rPr>
        <w:t>1.1.3.10 临时占地包括：</w:t>
      </w:r>
      <w:r>
        <w:rPr>
          <w:rFonts w:ascii="仿宋_GB2312" w:eastAsia="仿宋_GB2312"/>
          <w:color w:val="auto"/>
          <w:sz w:val="24"/>
          <w:u w:val="single"/>
        </w:rPr>
        <w:t>发包人用地范围或发包人指定场地。</w:t>
      </w:r>
    </w:p>
    <w:p w14:paraId="2C5AB332">
      <w:pPr>
        <w:pStyle w:val="4"/>
        <w:rPr>
          <w:rFonts w:ascii="仿宋_GB2312" w:eastAsia="仿宋_GB2312"/>
          <w:color w:val="auto"/>
          <w:szCs w:val="24"/>
        </w:rPr>
      </w:pPr>
      <w:r>
        <w:rPr>
          <w:rFonts w:hint="eastAsia" w:ascii="仿宋_GB2312" w:eastAsia="仿宋_GB2312"/>
          <w:color w:val="auto"/>
          <w:szCs w:val="24"/>
        </w:rPr>
        <w:t>1.3 法律</w:t>
      </w:r>
    </w:p>
    <w:p w14:paraId="5FBE01DA">
      <w:pPr>
        <w:adjustRightInd w:val="0"/>
        <w:spacing w:line="360" w:lineRule="auto"/>
        <w:rPr>
          <w:rFonts w:ascii="仿宋_GB2312" w:eastAsia="仿宋_GB2312"/>
          <w:color w:val="auto"/>
          <w:sz w:val="24"/>
        </w:rPr>
      </w:pPr>
      <w:r>
        <w:rPr>
          <w:rFonts w:ascii="仿宋_GB2312" w:eastAsia="仿宋_GB2312"/>
          <w:color w:val="auto"/>
          <w:sz w:val="24"/>
        </w:rPr>
        <w:t>适用于合同的其他规范性文件：</w:t>
      </w:r>
      <w:r>
        <w:rPr>
          <w:rFonts w:ascii="仿宋_GB2312" w:eastAsia="仿宋_GB2312"/>
          <w:color w:val="auto"/>
          <w:sz w:val="24"/>
          <w:u w:val="single"/>
        </w:rPr>
        <w:t xml:space="preserve">   执行通用条款    </w:t>
      </w:r>
      <w:r>
        <w:rPr>
          <w:rFonts w:ascii="仿宋_GB2312" w:eastAsia="仿宋_GB2312"/>
          <w:color w:val="auto"/>
          <w:sz w:val="24"/>
        </w:rPr>
        <w:t>。</w:t>
      </w:r>
    </w:p>
    <w:p w14:paraId="49A73CDD">
      <w:pPr>
        <w:pStyle w:val="4"/>
        <w:rPr>
          <w:rFonts w:ascii="仿宋_GB2312" w:eastAsia="仿宋_GB2312"/>
          <w:color w:val="auto"/>
          <w:szCs w:val="24"/>
        </w:rPr>
      </w:pPr>
      <w:r>
        <w:rPr>
          <w:rFonts w:hint="eastAsia" w:ascii="仿宋_GB2312" w:eastAsia="仿宋_GB2312"/>
          <w:color w:val="auto"/>
          <w:szCs w:val="24"/>
        </w:rPr>
        <w:t>1.4 标准和规范</w:t>
      </w:r>
    </w:p>
    <w:p w14:paraId="2F260712">
      <w:pPr>
        <w:spacing w:line="360" w:lineRule="auto"/>
        <w:rPr>
          <w:rFonts w:ascii="仿宋_GB2312" w:eastAsia="仿宋_GB2312"/>
          <w:color w:val="auto"/>
          <w:sz w:val="24"/>
        </w:rPr>
      </w:pPr>
      <w:r>
        <w:rPr>
          <w:rFonts w:ascii="仿宋_GB2312" w:eastAsia="仿宋_GB2312"/>
          <w:color w:val="auto"/>
          <w:sz w:val="24"/>
        </w:rPr>
        <w:t>1.4.1 适用于工程的标准规范包括：</w:t>
      </w:r>
      <w:r>
        <w:rPr>
          <w:rFonts w:ascii="仿宋_GB2312" w:eastAsia="仿宋_GB2312"/>
          <w:color w:val="auto"/>
          <w:sz w:val="24"/>
          <w:u w:val="single"/>
        </w:rPr>
        <w:t xml:space="preserve">   国家和地方现行的施工规范及技术标准   </w:t>
      </w:r>
      <w:r>
        <w:rPr>
          <w:rFonts w:ascii="仿宋_GB2312" w:eastAsia="仿宋_GB2312"/>
          <w:color w:val="auto"/>
          <w:sz w:val="24"/>
        </w:rPr>
        <w:t>。</w:t>
      </w:r>
    </w:p>
    <w:p w14:paraId="23DF2D2F">
      <w:pPr>
        <w:spacing w:line="360" w:lineRule="auto"/>
        <w:rPr>
          <w:rFonts w:ascii="仿宋_GB2312" w:eastAsia="仿宋_GB2312"/>
          <w:color w:val="auto"/>
          <w:sz w:val="24"/>
        </w:rPr>
      </w:pPr>
      <w:r>
        <w:rPr>
          <w:rFonts w:ascii="仿宋_GB2312" w:eastAsia="仿宋_GB2312"/>
          <w:color w:val="auto"/>
          <w:sz w:val="24"/>
        </w:rPr>
        <w:t>1.4.2 发包人提供国外标准、规范的名称：</w:t>
      </w:r>
      <w:r>
        <w:rPr>
          <w:rFonts w:ascii="仿宋_GB2312" w:eastAsia="仿宋_GB2312"/>
          <w:color w:val="auto"/>
          <w:sz w:val="24"/>
          <w:u w:val="single"/>
        </w:rPr>
        <w:t xml:space="preserve">                     /            </w:t>
      </w:r>
      <w:r>
        <w:rPr>
          <w:rFonts w:ascii="仿宋_GB2312" w:eastAsia="仿宋_GB2312"/>
          <w:color w:val="auto"/>
          <w:sz w:val="24"/>
        </w:rPr>
        <w:t>；</w:t>
      </w:r>
    </w:p>
    <w:p w14:paraId="0722CFAF">
      <w:pPr>
        <w:spacing w:line="360" w:lineRule="auto"/>
        <w:ind w:firstLine="480" w:firstLineChars="200"/>
        <w:rPr>
          <w:rFonts w:ascii="仿宋_GB2312" w:eastAsia="仿宋_GB2312"/>
          <w:color w:val="auto"/>
          <w:sz w:val="24"/>
        </w:rPr>
      </w:pPr>
      <w:r>
        <w:rPr>
          <w:rFonts w:ascii="仿宋_GB2312" w:eastAsia="仿宋_GB2312"/>
          <w:color w:val="auto"/>
          <w:sz w:val="24"/>
        </w:rPr>
        <w:t>发包人提供国外标准、规范的份数：</w:t>
      </w:r>
      <w:r>
        <w:rPr>
          <w:rFonts w:ascii="仿宋_GB2312" w:eastAsia="仿宋_GB2312"/>
          <w:color w:val="auto"/>
          <w:sz w:val="24"/>
          <w:u w:val="single"/>
        </w:rPr>
        <w:t xml:space="preserve">           /           </w:t>
      </w:r>
      <w:r>
        <w:rPr>
          <w:rFonts w:ascii="仿宋_GB2312" w:eastAsia="仿宋_GB2312"/>
          <w:color w:val="auto"/>
          <w:sz w:val="24"/>
        </w:rPr>
        <w:t>；</w:t>
      </w:r>
    </w:p>
    <w:p w14:paraId="1F726990">
      <w:pPr>
        <w:spacing w:line="360" w:lineRule="auto"/>
        <w:ind w:firstLine="480" w:firstLineChars="200"/>
        <w:rPr>
          <w:rFonts w:ascii="仿宋_GB2312" w:eastAsia="仿宋_GB2312"/>
          <w:color w:val="auto"/>
          <w:sz w:val="24"/>
        </w:rPr>
      </w:pPr>
      <w:r>
        <w:rPr>
          <w:rFonts w:ascii="仿宋_GB2312" w:eastAsia="仿宋_GB2312"/>
          <w:color w:val="auto"/>
          <w:sz w:val="24"/>
        </w:rPr>
        <w:t>发包人提供国外标准、规范的名称：</w:t>
      </w:r>
      <w:r>
        <w:rPr>
          <w:rFonts w:ascii="仿宋_GB2312" w:eastAsia="仿宋_GB2312"/>
          <w:color w:val="auto"/>
          <w:sz w:val="24"/>
          <w:u w:val="single"/>
        </w:rPr>
        <w:t xml:space="preserve">           /           </w:t>
      </w:r>
      <w:r>
        <w:rPr>
          <w:rFonts w:ascii="仿宋_GB2312" w:eastAsia="仿宋_GB2312"/>
          <w:color w:val="auto"/>
          <w:sz w:val="24"/>
        </w:rPr>
        <w:t>。</w:t>
      </w:r>
    </w:p>
    <w:p w14:paraId="715358E8">
      <w:pPr>
        <w:spacing w:line="360" w:lineRule="auto"/>
        <w:ind w:firstLine="480" w:firstLineChars="200"/>
        <w:rPr>
          <w:rFonts w:ascii="仿宋_GB2312" w:eastAsia="仿宋_GB2312"/>
          <w:color w:val="auto"/>
          <w:sz w:val="24"/>
        </w:rPr>
      </w:pPr>
      <w:r>
        <w:rPr>
          <w:rFonts w:ascii="仿宋_GB2312" w:eastAsia="仿宋_GB2312"/>
          <w:color w:val="auto"/>
          <w:sz w:val="24"/>
        </w:rPr>
        <w:t>1.4.3 发包人对工程的技术标准和功能要求的特殊要求：</w:t>
      </w:r>
      <w:r>
        <w:rPr>
          <w:color w:val="auto"/>
          <w:szCs w:val="21"/>
          <w:u w:val="single"/>
        </w:rPr>
        <w:t>如有，双方另行协商</w:t>
      </w:r>
      <w:r>
        <w:rPr>
          <w:rFonts w:ascii="仿宋_GB2312" w:eastAsia="仿宋_GB2312"/>
          <w:color w:val="auto"/>
          <w:sz w:val="24"/>
        </w:rPr>
        <w:t>。</w:t>
      </w:r>
    </w:p>
    <w:p w14:paraId="7676C76E">
      <w:pPr>
        <w:pStyle w:val="4"/>
        <w:rPr>
          <w:rFonts w:ascii="仿宋_GB2312" w:eastAsia="仿宋_GB2312"/>
          <w:color w:val="auto"/>
          <w:szCs w:val="24"/>
        </w:rPr>
      </w:pPr>
      <w:r>
        <w:rPr>
          <w:rFonts w:hint="eastAsia" w:ascii="仿宋_GB2312" w:eastAsia="仿宋_GB2312"/>
          <w:color w:val="auto"/>
          <w:szCs w:val="24"/>
        </w:rPr>
        <w:t>1.5 合同文件的优先顺序</w:t>
      </w:r>
    </w:p>
    <w:p w14:paraId="5B287D2F">
      <w:pPr>
        <w:spacing w:line="360" w:lineRule="auto"/>
        <w:ind w:firstLine="480" w:firstLineChars="200"/>
        <w:rPr>
          <w:rFonts w:ascii="仿宋_GB2312" w:eastAsia="仿宋_GB2312"/>
          <w:color w:val="auto"/>
          <w:sz w:val="24"/>
        </w:rPr>
      </w:pPr>
      <w:r>
        <w:rPr>
          <w:rFonts w:ascii="仿宋_GB2312" w:eastAsia="仿宋_GB2312"/>
          <w:color w:val="auto"/>
          <w:sz w:val="24"/>
        </w:rPr>
        <w:t>合同文件组成及优先顺序为：</w:t>
      </w:r>
    </w:p>
    <w:p w14:paraId="13D287BD">
      <w:pPr>
        <w:spacing w:line="360" w:lineRule="auto"/>
        <w:ind w:firstLine="480" w:firstLineChars="200"/>
        <w:rPr>
          <w:rFonts w:ascii="仿宋_GB2312" w:eastAsia="仿宋_GB2312"/>
          <w:color w:val="auto"/>
          <w:sz w:val="24"/>
        </w:rPr>
      </w:pPr>
      <w:r>
        <w:rPr>
          <w:rFonts w:ascii="仿宋_GB2312" w:eastAsia="仿宋_GB2312"/>
          <w:color w:val="auto"/>
          <w:sz w:val="24"/>
        </w:rPr>
        <w:t>（1）中标通知书（如果有）；</w:t>
      </w:r>
    </w:p>
    <w:p w14:paraId="3A80D188">
      <w:pPr>
        <w:spacing w:line="360" w:lineRule="auto"/>
        <w:ind w:firstLine="480" w:firstLineChars="200"/>
        <w:rPr>
          <w:rFonts w:ascii="仿宋_GB2312" w:eastAsia="仿宋_GB2312"/>
          <w:color w:val="auto"/>
          <w:sz w:val="24"/>
        </w:rPr>
      </w:pPr>
      <w:r>
        <w:rPr>
          <w:rFonts w:ascii="仿宋_GB2312" w:eastAsia="仿宋_GB2312"/>
          <w:color w:val="auto"/>
          <w:sz w:val="24"/>
        </w:rPr>
        <w:t>（2）投标函及其附录（如果有）；</w:t>
      </w:r>
    </w:p>
    <w:p w14:paraId="7201B5EE">
      <w:pPr>
        <w:spacing w:line="360" w:lineRule="auto"/>
        <w:ind w:firstLine="480" w:firstLineChars="200"/>
        <w:rPr>
          <w:rFonts w:ascii="仿宋_GB2312" w:eastAsia="仿宋_GB2312"/>
          <w:color w:val="auto"/>
          <w:sz w:val="24"/>
        </w:rPr>
      </w:pPr>
      <w:r>
        <w:rPr>
          <w:rFonts w:ascii="仿宋_GB2312" w:eastAsia="仿宋_GB2312"/>
          <w:color w:val="auto"/>
          <w:sz w:val="24"/>
        </w:rPr>
        <w:t>（3）专用合同条款及其附件；</w:t>
      </w:r>
    </w:p>
    <w:p w14:paraId="04285232">
      <w:pPr>
        <w:spacing w:line="360" w:lineRule="auto"/>
        <w:ind w:firstLine="480" w:firstLineChars="200"/>
        <w:rPr>
          <w:rFonts w:ascii="仿宋_GB2312" w:eastAsia="仿宋_GB2312"/>
          <w:color w:val="auto"/>
          <w:sz w:val="24"/>
        </w:rPr>
      </w:pPr>
      <w:r>
        <w:rPr>
          <w:rFonts w:ascii="仿宋_GB2312" w:eastAsia="仿宋_GB2312"/>
          <w:color w:val="auto"/>
          <w:sz w:val="24"/>
        </w:rPr>
        <w:t>（4）通用合同条款；</w:t>
      </w:r>
    </w:p>
    <w:p w14:paraId="04B7DCDF">
      <w:pPr>
        <w:spacing w:line="360" w:lineRule="auto"/>
        <w:ind w:firstLine="480" w:firstLineChars="200"/>
        <w:rPr>
          <w:rFonts w:ascii="仿宋_GB2312" w:eastAsia="仿宋_GB2312"/>
          <w:color w:val="auto"/>
          <w:sz w:val="24"/>
        </w:rPr>
      </w:pPr>
      <w:r>
        <w:rPr>
          <w:rFonts w:ascii="仿宋_GB2312" w:eastAsia="仿宋_GB2312"/>
          <w:color w:val="auto"/>
          <w:sz w:val="24"/>
        </w:rPr>
        <w:t>（5）</w:t>
      </w:r>
      <w:r>
        <w:rPr>
          <w:rFonts w:ascii="仿宋_GB2312" w:eastAsia="仿宋_GB2312"/>
          <w:color w:val="auto"/>
          <w:sz w:val="24"/>
          <w:u w:val="single"/>
        </w:rPr>
        <w:t xml:space="preserve">    技术标准和要求     </w:t>
      </w:r>
      <w:r>
        <w:rPr>
          <w:rFonts w:ascii="仿宋_GB2312" w:eastAsia="仿宋_GB2312"/>
          <w:color w:val="auto"/>
          <w:sz w:val="24"/>
        </w:rPr>
        <w:t>；</w:t>
      </w:r>
    </w:p>
    <w:p w14:paraId="04B492B6">
      <w:pPr>
        <w:spacing w:line="360" w:lineRule="auto"/>
        <w:ind w:firstLine="480" w:firstLineChars="200"/>
        <w:rPr>
          <w:rFonts w:ascii="仿宋_GB2312" w:eastAsia="仿宋_GB2312"/>
          <w:color w:val="auto"/>
          <w:sz w:val="24"/>
        </w:rPr>
      </w:pPr>
      <w:r>
        <w:rPr>
          <w:rFonts w:ascii="仿宋_GB2312" w:eastAsia="仿宋_GB2312"/>
          <w:color w:val="auto"/>
          <w:sz w:val="24"/>
        </w:rPr>
        <w:t>（6）</w:t>
      </w:r>
      <w:r>
        <w:rPr>
          <w:rFonts w:ascii="仿宋_GB2312" w:eastAsia="仿宋_GB2312"/>
          <w:color w:val="auto"/>
          <w:sz w:val="24"/>
          <w:u w:val="single"/>
        </w:rPr>
        <w:t xml:space="preserve">    图纸  </w:t>
      </w:r>
      <w:r>
        <w:rPr>
          <w:rFonts w:ascii="仿宋_GB2312" w:eastAsia="仿宋_GB2312"/>
          <w:color w:val="auto"/>
          <w:sz w:val="24"/>
        </w:rPr>
        <w:t>；</w:t>
      </w:r>
    </w:p>
    <w:p w14:paraId="13946D94">
      <w:pPr>
        <w:spacing w:line="360" w:lineRule="auto"/>
        <w:ind w:firstLine="480" w:firstLineChars="200"/>
        <w:rPr>
          <w:rFonts w:ascii="仿宋_GB2312" w:eastAsia="仿宋_GB2312"/>
          <w:color w:val="auto"/>
          <w:sz w:val="24"/>
        </w:rPr>
      </w:pPr>
      <w:r>
        <w:rPr>
          <w:rFonts w:ascii="仿宋_GB2312" w:eastAsia="仿宋_GB2312"/>
          <w:color w:val="auto"/>
          <w:sz w:val="24"/>
        </w:rPr>
        <w:t>（7）</w:t>
      </w:r>
      <w:r>
        <w:rPr>
          <w:rFonts w:ascii="仿宋_GB2312" w:eastAsia="仿宋_GB2312"/>
          <w:color w:val="auto"/>
          <w:sz w:val="24"/>
          <w:u w:val="single"/>
        </w:rPr>
        <w:t xml:space="preserve">    已标价工程量清单或预算书    </w:t>
      </w:r>
      <w:r>
        <w:rPr>
          <w:rFonts w:ascii="仿宋_GB2312" w:eastAsia="仿宋_GB2312"/>
          <w:color w:val="auto"/>
          <w:sz w:val="24"/>
        </w:rPr>
        <w:t>；</w:t>
      </w:r>
    </w:p>
    <w:p w14:paraId="0E6C71E7">
      <w:pPr>
        <w:spacing w:line="360" w:lineRule="auto"/>
        <w:ind w:firstLine="480" w:firstLineChars="200"/>
        <w:rPr>
          <w:rFonts w:ascii="仿宋_GB2312" w:eastAsia="仿宋_GB2312"/>
          <w:color w:val="auto"/>
          <w:sz w:val="24"/>
        </w:rPr>
      </w:pPr>
      <w:r>
        <w:rPr>
          <w:rFonts w:ascii="仿宋_GB2312" w:eastAsia="仿宋_GB2312"/>
          <w:color w:val="auto"/>
          <w:sz w:val="24"/>
        </w:rPr>
        <w:t>（8）</w:t>
      </w:r>
      <w:r>
        <w:rPr>
          <w:rFonts w:ascii="仿宋_GB2312" w:eastAsia="仿宋_GB2312"/>
          <w:color w:val="auto"/>
          <w:sz w:val="24"/>
          <w:u w:val="single"/>
        </w:rPr>
        <w:t xml:space="preserve">    其他合同文件     </w:t>
      </w:r>
      <w:r>
        <w:rPr>
          <w:rFonts w:ascii="仿宋_GB2312" w:eastAsia="仿宋_GB2312"/>
          <w:color w:val="auto"/>
          <w:sz w:val="24"/>
        </w:rPr>
        <w:t>。</w:t>
      </w:r>
    </w:p>
    <w:p w14:paraId="510821FD">
      <w:pPr>
        <w:spacing w:line="360" w:lineRule="auto"/>
        <w:ind w:firstLine="480" w:firstLineChars="200"/>
        <w:rPr>
          <w:rFonts w:ascii="仿宋_GB2312" w:eastAsia="仿宋_GB2312"/>
          <w:color w:val="auto"/>
          <w:sz w:val="24"/>
        </w:rPr>
      </w:pPr>
      <w:r>
        <w:rPr>
          <w:rFonts w:ascii="仿宋_GB2312" w:eastAsia="仿宋_GB2312"/>
          <w:color w:val="auto"/>
          <w:sz w:val="24"/>
        </w:rPr>
        <w:t>（9）《建设工程工程量清单计价规范（GB5050-2013）》及其广西实施细则、《建设工程工程量清单计算规范（GB5854~50862-2013）》及其广西实施细则。</w:t>
      </w:r>
    </w:p>
    <w:p w14:paraId="17190424">
      <w:pPr>
        <w:pStyle w:val="4"/>
        <w:rPr>
          <w:rFonts w:ascii="仿宋_GB2312" w:eastAsia="仿宋_GB2312"/>
          <w:color w:val="auto"/>
          <w:szCs w:val="24"/>
        </w:rPr>
      </w:pPr>
      <w:r>
        <w:rPr>
          <w:rFonts w:hint="eastAsia" w:ascii="仿宋_GB2312" w:eastAsia="仿宋_GB2312"/>
          <w:color w:val="auto"/>
          <w:szCs w:val="24"/>
        </w:rPr>
        <w:t>1.6 图纸和承包人文件</w:t>
      </w:r>
      <w:r>
        <w:rPr>
          <w:rFonts w:hint="eastAsia" w:ascii="仿宋_GB2312" w:eastAsia="仿宋_GB2312"/>
          <w:color w:val="auto"/>
          <w:szCs w:val="24"/>
        </w:rPr>
        <w:tab/>
      </w:r>
    </w:p>
    <w:p w14:paraId="1D3958EF">
      <w:pPr>
        <w:spacing w:line="360" w:lineRule="auto"/>
        <w:ind w:firstLine="480" w:firstLineChars="200"/>
        <w:rPr>
          <w:rFonts w:ascii="仿宋_GB2312" w:eastAsia="仿宋_GB2312"/>
          <w:color w:val="auto"/>
          <w:sz w:val="24"/>
        </w:rPr>
      </w:pPr>
      <w:r>
        <w:rPr>
          <w:rFonts w:ascii="仿宋_GB2312" w:eastAsia="仿宋_GB2312"/>
          <w:color w:val="auto"/>
          <w:sz w:val="24"/>
        </w:rPr>
        <w:t>1.6.1 图纸的提供</w:t>
      </w:r>
    </w:p>
    <w:p w14:paraId="7CF03A7F">
      <w:pPr>
        <w:spacing w:line="360" w:lineRule="auto"/>
        <w:ind w:firstLine="480" w:firstLineChars="200"/>
        <w:rPr>
          <w:rFonts w:ascii="仿宋_GB2312" w:eastAsia="仿宋_GB2312"/>
          <w:color w:val="auto"/>
          <w:sz w:val="24"/>
        </w:rPr>
      </w:pPr>
      <w:r>
        <w:rPr>
          <w:rFonts w:ascii="仿宋_GB2312" w:eastAsia="仿宋_GB2312"/>
          <w:color w:val="auto"/>
          <w:sz w:val="24"/>
        </w:rPr>
        <w:t>发包人向承包人提供图纸的期限：</w:t>
      </w:r>
      <w:r>
        <w:rPr>
          <w:rFonts w:ascii="仿宋_GB2312" w:eastAsia="仿宋_GB2312"/>
          <w:bCs/>
          <w:color w:val="auto"/>
          <w:sz w:val="24"/>
          <w:u w:val="single"/>
        </w:rPr>
        <w:t>合同生效后7天内</w:t>
      </w:r>
      <w:r>
        <w:rPr>
          <w:rFonts w:ascii="仿宋_GB2312" w:eastAsia="仿宋_GB2312"/>
          <w:color w:val="auto"/>
          <w:sz w:val="24"/>
        </w:rPr>
        <w:t>；</w:t>
      </w:r>
    </w:p>
    <w:p w14:paraId="45723166">
      <w:pPr>
        <w:spacing w:line="360" w:lineRule="auto"/>
        <w:ind w:firstLine="480" w:firstLineChars="200"/>
        <w:rPr>
          <w:rFonts w:ascii="仿宋_GB2312" w:eastAsia="仿宋_GB2312"/>
          <w:color w:val="auto"/>
          <w:sz w:val="24"/>
        </w:rPr>
      </w:pPr>
      <w:r>
        <w:rPr>
          <w:rFonts w:ascii="仿宋_GB2312" w:eastAsia="仿宋_GB2312"/>
          <w:color w:val="auto"/>
          <w:sz w:val="24"/>
        </w:rPr>
        <w:t>发包人向承包人提供图纸的数量</w:t>
      </w:r>
      <w:r>
        <w:rPr>
          <w:rFonts w:ascii="仿宋_GB2312" w:eastAsia="仿宋_GB2312"/>
          <w:b/>
          <w:color w:val="auto"/>
          <w:sz w:val="24"/>
        </w:rPr>
        <w:t>：</w:t>
      </w:r>
      <w:r>
        <w:rPr>
          <w:rFonts w:ascii="仿宋_GB2312" w:eastAsia="仿宋_GB2312"/>
          <w:b/>
          <w:color w:val="auto"/>
          <w:sz w:val="24"/>
          <w:u w:val="single"/>
        </w:rPr>
        <w:t>贰套，</w:t>
      </w:r>
      <w:r>
        <w:rPr>
          <w:rFonts w:ascii="仿宋_GB2312" w:eastAsia="仿宋_GB2312"/>
          <w:color w:val="auto"/>
          <w:sz w:val="24"/>
          <w:u w:val="single"/>
        </w:rPr>
        <w:t>承包人需要增加图纸套数的，发包人应代为复制，复制费用由承包人承担</w:t>
      </w:r>
      <w:r>
        <w:rPr>
          <w:rFonts w:ascii="仿宋_GB2312" w:eastAsia="仿宋_GB2312"/>
          <w:color w:val="auto"/>
          <w:sz w:val="24"/>
        </w:rPr>
        <w:t>；</w:t>
      </w:r>
    </w:p>
    <w:p w14:paraId="30ABB2AB">
      <w:pPr>
        <w:spacing w:line="360" w:lineRule="auto"/>
        <w:ind w:firstLine="480" w:firstLineChars="200"/>
        <w:rPr>
          <w:rFonts w:ascii="仿宋_GB2312" w:eastAsia="仿宋_GB2312"/>
          <w:color w:val="auto"/>
          <w:sz w:val="24"/>
        </w:rPr>
      </w:pPr>
      <w:r>
        <w:rPr>
          <w:rFonts w:ascii="仿宋_GB2312" w:eastAsia="仿宋_GB2312"/>
          <w:color w:val="auto"/>
          <w:sz w:val="24"/>
        </w:rPr>
        <w:t>发包人向承包人提供图纸的内容：</w:t>
      </w:r>
      <w:r>
        <w:rPr>
          <w:rFonts w:ascii="仿宋_GB2312" w:eastAsia="仿宋_GB2312"/>
          <w:color w:val="auto"/>
          <w:sz w:val="24"/>
          <w:u w:val="single"/>
        </w:rPr>
        <w:t xml:space="preserve">    全套完整施工图     </w:t>
      </w:r>
      <w:r>
        <w:rPr>
          <w:rFonts w:ascii="仿宋_GB2312" w:eastAsia="仿宋_GB2312"/>
          <w:color w:val="auto"/>
          <w:sz w:val="24"/>
        </w:rPr>
        <w:t>。</w:t>
      </w:r>
    </w:p>
    <w:p w14:paraId="0D142FC1">
      <w:pPr>
        <w:spacing w:line="360" w:lineRule="auto"/>
        <w:ind w:firstLine="480" w:firstLineChars="200"/>
        <w:rPr>
          <w:rFonts w:ascii="仿宋_GB2312" w:eastAsia="仿宋_GB2312"/>
          <w:color w:val="auto"/>
          <w:sz w:val="24"/>
        </w:rPr>
      </w:pPr>
      <w:r>
        <w:rPr>
          <w:rFonts w:ascii="仿宋_GB2312" w:eastAsia="仿宋_GB2312"/>
          <w:color w:val="auto"/>
          <w:sz w:val="24"/>
        </w:rPr>
        <w:t>1.6.4 承包人文件</w:t>
      </w:r>
    </w:p>
    <w:p w14:paraId="67C29B5B">
      <w:pPr>
        <w:spacing w:line="360" w:lineRule="auto"/>
        <w:ind w:firstLine="480" w:firstLineChars="200"/>
        <w:rPr>
          <w:rFonts w:ascii="仿宋_GB2312" w:eastAsia="仿宋_GB2312"/>
          <w:color w:val="auto"/>
          <w:sz w:val="24"/>
          <w:u w:val="single"/>
        </w:rPr>
      </w:pPr>
      <w:r>
        <w:rPr>
          <w:rFonts w:ascii="仿宋_GB2312" w:eastAsia="仿宋_GB2312"/>
          <w:color w:val="auto"/>
          <w:sz w:val="24"/>
        </w:rPr>
        <w:t>需要由承包人提供的文件，包括：</w:t>
      </w:r>
      <w:r>
        <w:rPr>
          <w:rFonts w:ascii="仿宋_GB2312" w:eastAsia="仿宋_GB2312"/>
          <w:color w:val="auto"/>
          <w:sz w:val="24"/>
          <w:u w:val="single"/>
        </w:rPr>
        <w:t>提供项目部组成人员名单及身份证明、项目部用章授权书、项目经理亲笔签字及盖执业印章图样（施工过程中来往文件均需项目经理签字和盖章）</w:t>
      </w:r>
      <w:r>
        <w:rPr>
          <w:rFonts w:ascii="仿宋_GB2312" w:eastAsia="仿宋_GB2312"/>
          <w:color w:val="auto"/>
          <w:sz w:val="24"/>
        </w:rPr>
        <w:t>；</w:t>
      </w:r>
    </w:p>
    <w:p w14:paraId="27D98E0B">
      <w:pPr>
        <w:spacing w:line="360" w:lineRule="auto"/>
        <w:ind w:firstLine="480" w:firstLineChars="200"/>
        <w:rPr>
          <w:rFonts w:ascii="仿宋_GB2312" w:eastAsia="仿宋_GB2312"/>
          <w:color w:val="auto"/>
          <w:sz w:val="24"/>
        </w:rPr>
      </w:pPr>
      <w:r>
        <w:rPr>
          <w:rFonts w:ascii="仿宋_GB2312" w:eastAsia="仿宋_GB2312"/>
          <w:color w:val="auto"/>
          <w:sz w:val="24"/>
        </w:rPr>
        <w:t>承包人提供的文件的期限为：</w:t>
      </w:r>
      <w:r>
        <w:rPr>
          <w:rFonts w:ascii="仿宋_GB2312" w:eastAsia="仿宋_GB2312"/>
          <w:bCs/>
          <w:color w:val="auto"/>
          <w:sz w:val="24"/>
          <w:u w:val="single"/>
        </w:rPr>
        <w:t>合同生效后7天内</w:t>
      </w:r>
      <w:r>
        <w:rPr>
          <w:rFonts w:ascii="仿宋_GB2312" w:eastAsia="仿宋_GB2312"/>
          <w:color w:val="auto"/>
          <w:sz w:val="24"/>
        </w:rPr>
        <w:t>；</w:t>
      </w:r>
    </w:p>
    <w:p w14:paraId="4B120F68">
      <w:pPr>
        <w:spacing w:line="360" w:lineRule="auto"/>
        <w:ind w:firstLine="480" w:firstLineChars="200"/>
        <w:rPr>
          <w:rFonts w:ascii="仿宋_GB2312" w:eastAsia="仿宋_GB2312"/>
          <w:color w:val="auto"/>
          <w:sz w:val="24"/>
        </w:rPr>
      </w:pPr>
      <w:r>
        <w:rPr>
          <w:rFonts w:ascii="仿宋_GB2312" w:eastAsia="仿宋_GB2312"/>
          <w:color w:val="auto"/>
          <w:sz w:val="24"/>
        </w:rPr>
        <w:t>承包人提供的文件的数量为：</w:t>
      </w:r>
      <w:r>
        <w:rPr>
          <w:rFonts w:ascii="仿宋_GB2312" w:eastAsia="仿宋_GB2312"/>
          <w:color w:val="auto"/>
          <w:sz w:val="24"/>
          <w:u w:val="single"/>
        </w:rPr>
        <w:t xml:space="preserve">  　    　</w:t>
      </w:r>
      <w:r>
        <w:rPr>
          <w:rFonts w:hint="eastAsia" w:ascii="仿宋_GB2312" w:eastAsia="仿宋_GB2312"/>
          <w:b/>
          <w:color w:val="auto"/>
          <w:sz w:val="24"/>
          <w:u w:val="single"/>
        </w:rPr>
        <w:t>肆</w:t>
      </w:r>
      <w:r>
        <w:rPr>
          <w:rFonts w:ascii="仿宋_GB2312" w:eastAsia="仿宋_GB2312"/>
          <w:b/>
          <w:color w:val="auto"/>
          <w:sz w:val="24"/>
          <w:u w:val="single"/>
        </w:rPr>
        <w:t>套</w:t>
      </w:r>
      <w:r>
        <w:rPr>
          <w:rFonts w:ascii="仿宋_GB2312" w:eastAsia="仿宋_GB2312"/>
          <w:color w:val="auto"/>
          <w:sz w:val="24"/>
        </w:rPr>
        <w:t>；</w:t>
      </w:r>
    </w:p>
    <w:p w14:paraId="136A2AFB">
      <w:pPr>
        <w:spacing w:line="360" w:lineRule="auto"/>
        <w:ind w:firstLine="480" w:firstLineChars="200"/>
        <w:rPr>
          <w:rFonts w:ascii="仿宋_GB2312" w:eastAsia="仿宋_GB2312"/>
          <w:color w:val="auto"/>
          <w:sz w:val="24"/>
        </w:rPr>
      </w:pPr>
      <w:r>
        <w:rPr>
          <w:rFonts w:ascii="仿宋_GB2312" w:eastAsia="仿宋_GB2312"/>
          <w:color w:val="auto"/>
          <w:sz w:val="24"/>
        </w:rPr>
        <w:t>承包人提供的文件的形式为：</w:t>
      </w:r>
      <w:r>
        <w:rPr>
          <w:rFonts w:ascii="仿宋_GB2312" w:eastAsia="仿宋_GB2312"/>
          <w:color w:val="auto"/>
          <w:sz w:val="24"/>
          <w:u w:val="single"/>
        </w:rPr>
        <w:t xml:space="preserve">        文本和电子版                  </w:t>
      </w:r>
      <w:r>
        <w:rPr>
          <w:rFonts w:ascii="仿宋_GB2312" w:eastAsia="仿宋_GB2312"/>
          <w:color w:val="auto"/>
          <w:sz w:val="24"/>
        </w:rPr>
        <w:t>；</w:t>
      </w:r>
    </w:p>
    <w:p w14:paraId="3FAEE544">
      <w:pPr>
        <w:spacing w:line="360" w:lineRule="auto"/>
        <w:ind w:firstLine="480" w:firstLineChars="200"/>
        <w:rPr>
          <w:rFonts w:ascii="仿宋_GB2312" w:eastAsia="仿宋_GB2312"/>
          <w:color w:val="auto"/>
          <w:sz w:val="24"/>
        </w:rPr>
      </w:pPr>
      <w:r>
        <w:rPr>
          <w:rFonts w:ascii="仿宋_GB2312" w:eastAsia="仿宋_GB2312"/>
          <w:color w:val="auto"/>
          <w:sz w:val="24"/>
        </w:rPr>
        <w:t>发包人审批承包人文件的期限：</w:t>
      </w:r>
      <w:r>
        <w:rPr>
          <w:rFonts w:ascii="仿宋_GB2312" w:eastAsia="仿宋_GB2312"/>
          <w:color w:val="auto"/>
          <w:sz w:val="24"/>
          <w:u w:val="single"/>
        </w:rPr>
        <w:t xml:space="preserve">   收到之日起7日内　              </w:t>
      </w:r>
      <w:r>
        <w:rPr>
          <w:rFonts w:ascii="仿宋_GB2312" w:eastAsia="仿宋_GB2312"/>
          <w:color w:val="auto"/>
          <w:sz w:val="24"/>
        </w:rPr>
        <w:t>。</w:t>
      </w:r>
    </w:p>
    <w:p w14:paraId="2617FD2C">
      <w:pPr>
        <w:spacing w:line="360" w:lineRule="auto"/>
        <w:ind w:firstLine="480" w:firstLineChars="200"/>
        <w:rPr>
          <w:rFonts w:ascii="仿宋_GB2312" w:eastAsia="仿宋_GB2312"/>
          <w:color w:val="auto"/>
          <w:sz w:val="24"/>
        </w:rPr>
      </w:pPr>
      <w:r>
        <w:rPr>
          <w:rFonts w:ascii="仿宋_GB2312" w:eastAsia="仿宋_GB2312"/>
          <w:color w:val="auto"/>
          <w:sz w:val="24"/>
        </w:rPr>
        <w:t>1.6.5 现场图纸准备</w:t>
      </w:r>
    </w:p>
    <w:p w14:paraId="409AAB68">
      <w:pPr>
        <w:spacing w:line="360" w:lineRule="auto"/>
        <w:ind w:firstLine="480" w:firstLineChars="200"/>
        <w:rPr>
          <w:rFonts w:ascii="仿宋_GB2312" w:eastAsia="仿宋_GB2312"/>
          <w:color w:val="auto"/>
          <w:sz w:val="24"/>
        </w:rPr>
      </w:pPr>
      <w:r>
        <w:rPr>
          <w:rFonts w:ascii="仿宋_GB2312" w:eastAsia="仿宋_GB2312"/>
          <w:color w:val="auto"/>
          <w:sz w:val="24"/>
        </w:rPr>
        <w:t>关于现场图纸准备的约定：</w:t>
      </w:r>
      <w:r>
        <w:rPr>
          <w:color w:val="auto"/>
          <w:szCs w:val="21"/>
          <w:u w:val="single"/>
        </w:rPr>
        <w:t>按《通用条款》执行</w:t>
      </w:r>
      <w:r>
        <w:rPr>
          <w:rFonts w:ascii="仿宋_GB2312" w:eastAsia="仿宋_GB2312"/>
          <w:color w:val="auto"/>
          <w:sz w:val="24"/>
        </w:rPr>
        <w:t>。</w:t>
      </w:r>
    </w:p>
    <w:p w14:paraId="7A9F1846">
      <w:pPr>
        <w:pStyle w:val="4"/>
        <w:rPr>
          <w:rFonts w:ascii="仿宋_GB2312" w:eastAsia="仿宋_GB2312"/>
          <w:color w:val="auto"/>
          <w:szCs w:val="24"/>
        </w:rPr>
      </w:pPr>
      <w:r>
        <w:rPr>
          <w:rFonts w:hint="eastAsia" w:ascii="仿宋_GB2312" w:eastAsia="仿宋_GB2312"/>
          <w:color w:val="auto"/>
          <w:szCs w:val="24"/>
        </w:rPr>
        <w:t>1.7 联络</w:t>
      </w:r>
    </w:p>
    <w:p w14:paraId="065579BF">
      <w:pPr>
        <w:spacing w:line="360" w:lineRule="auto"/>
        <w:ind w:firstLine="480" w:firstLineChars="200"/>
        <w:rPr>
          <w:rFonts w:ascii="仿宋_GB2312" w:eastAsia="仿宋_GB2312"/>
          <w:color w:val="auto"/>
          <w:sz w:val="24"/>
        </w:rPr>
      </w:pPr>
      <w:r>
        <w:rPr>
          <w:rFonts w:ascii="仿宋_GB2312" w:eastAsia="仿宋_GB2312"/>
          <w:color w:val="auto"/>
          <w:sz w:val="24"/>
        </w:rPr>
        <w:t>1.7.1发包人和承包人应当在</w:t>
      </w:r>
      <w:r>
        <w:rPr>
          <w:rFonts w:ascii="仿宋_GB2312" w:eastAsia="仿宋_GB2312"/>
          <w:color w:val="auto"/>
          <w:sz w:val="24"/>
          <w:u w:val="single"/>
        </w:rPr>
        <w:t xml:space="preserve">   7   </w:t>
      </w:r>
      <w:r>
        <w:rPr>
          <w:rFonts w:ascii="仿宋_GB2312" w:eastAsia="仿宋_GB2312"/>
          <w:color w:val="auto"/>
          <w:sz w:val="24"/>
        </w:rPr>
        <w:t>天内将与合同有关的通知、批准、证明、证书、指示、指令、要求、请求、同意、意见、确定和决定等书面函件送达对方当事人。</w:t>
      </w:r>
    </w:p>
    <w:p w14:paraId="7A4E377C">
      <w:pPr>
        <w:spacing w:line="360" w:lineRule="auto"/>
        <w:ind w:firstLine="480" w:firstLineChars="200"/>
        <w:rPr>
          <w:rFonts w:ascii="仿宋_GB2312" w:eastAsia="仿宋_GB2312"/>
          <w:color w:val="auto"/>
          <w:sz w:val="24"/>
        </w:rPr>
      </w:pPr>
      <w:r>
        <w:rPr>
          <w:rFonts w:ascii="仿宋_GB2312" w:eastAsia="仿宋_GB2312"/>
          <w:color w:val="auto"/>
          <w:sz w:val="24"/>
        </w:rPr>
        <w:t>1.7.2 发包人接收文件的地点：</w:t>
      </w:r>
      <w:r>
        <w:rPr>
          <w:color w:val="auto"/>
          <w:szCs w:val="21"/>
          <w:u w:val="single"/>
        </w:rPr>
        <w:t>发包人单位办公所在地</w:t>
      </w:r>
      <w:r>
        <w:rPr>
          <w:rFonts w:ascii="仿宋_GB2312" w:eastAsia="仿宋_GB2312"/>
          <w:color w:val="auto"/>
          <w:sz w:val="24"/>
        </w:rPr>
        <w:t>；</w:t>
      </w:r>
    </w:p>
    <w:p w14:paraId="1BD84D70">
      <w:pPr>
        <w:spacing w:line="360" w:lineRule="auto"/>
        <w:ind w:firstLine="480" w:firstLineChars="200"/>
        <w:rPr>
          <w:rFonts w:ascii="仿宋_GB2312" w:eastAsia="仿宋_GB2312"/>
          <w:color w:val="auto"/>
          <w:sz w:val="24"/>
        </w:rPr>
      </w:pPr>
      <w:r>
        <w:rPr>
          <w:rFonts w:ascii="仿宋_GB2312" w:eastAsia="仿宋_GB2312"/>
          <w:color w:val="auto"/>
          <w:sz w:val="24"/>
        </w:rPr>
        <w:t>发包人指定的接收人为：</w:t>
      </w:r>
      <w:r>
        <w:rPr>
          <w:rFonts w:ascii="仿宋_GB2312" w:eastAsia="仿宋_GB2312"/>
          <w:color w:val="auto"/>
          <w:sz w:val="24"/>
          <w:u w:val="single"/>
        </w:rPr>
        <w:t>发包人派驻现场代表</w:t>
      </w:r>
      <w:r>
        <w:rPr>
          <w:rFonts w:ascii="仿宋_GB2312" w:eastAsia="仿宋_GB2312"/>
          <w:color w:val="auto"/>
          <w:sz w:val="24"/>
        </w:rPr>
        <w:t xml:space="preserve">  。</w:t>
      </w:r>
    </w:p>
    <w:p w14:paraId="40030491">
      <w:pPr>
        <w:spacing w:line="360" w:lineRule="auto"/>
        <w:ind w:firstLine="480" w:firstLineChars="200"/>
        <w:rPr>
          <w:rFonts w:ascii="仿宋_GB2312" w:eastAsia="仿宋_GB2312"/>
          <w:color w:val="auto"/>
          <w:sz w:val="24"/>
        </w:rPr>
      </w:pPr>
      <w:r>
        <w:rPr>
          <w:rFonts w:ascii="仿宋_GB2312" w:eastAsia="仿宋_GB2312"/>
          <w:color w:val="auto"/>
          <w:sz w:val="24"/>
        </w:rPr>
        <w:t xml:space="preserve">承包人接收文件的地点： </w:t>
      </w:r>
      <w:r>
        <w:rPr>
          <w:rFonts w:ascii="仿宋_GB2312" w:eastAsia="仿宋_GB2312"/>
          <w:color w:val="auto"/>
          <w:sz w:val="24"/>
          <w:u w:val="single"/>
        </w:rPr>
        <w:t xml:space="preserve">施工现场项目部 </w:t>
      </w:r>
      <w:r>
        <w:rPr>
          <w:rFonts w:ascii="仿宋_GB2312" w:eastAsia="仿宋_GB2312"/>
          <w:color w:val="auto"/>
          <w:sz w:val="24"/>
        </w:rPr>
        <w:t xml:space="preserve">  ；</w:t>
      </w:r>
    </w:p>
    <w:p w14:paraId="2FFBB050">
      <w:pPr>
        <w:spacing w:line="360" w:lineRule="auto"/>
        <w:ind w:firstLine="480" w:firstLineChars="200"/>
        <w:rPr>
          <w:rFonts w:ascii="仿宋_GB2312" w:eastAsia="仿宋_GB2312"/>
          <w:color w:val="auto"/>
          <w:sz w:val="24"/>
        </w:rPr>
      </w:pPr>
      <w:r>
        <w:rPr>
          <w:rFonts w:ascii="仿宋_GB2312" w:eastAsia="仿宋_GB2312"/>
          <w:color w:val="auto"/>
          <w:sz w:val="24"/>
        </w:rPr>
        <w:t>承包人指定的接收人为：</w:t>
      </w:r>
      <w:r>
        <w:rPr>
          <w:rFonts w:ascii="仿宋_GB2312" w:eastAsia="仿宋_GB2312"/>
          <w:color w:val="auto"/>
          <w:sz w:val="24"/>
          <w:u w:val="single"/>
        </w:rPr>
        <w:t xml:space="preserve">承包人现场管理人员  </w:t>
      </w:r>
      <w:r>
        <w:rPr>
          <w:rFonts w:ascii="仿宋_GB2312" w:eastAsia="仿宋_GB2312"/>
          <w:color w:val="auto"/>
          <w:sz w:val="24"/>
        </w:rPr>
        <w:t>。</w:t>
      </w:r>
    </w:p>
    <w:p w14:paraId="1E92B6CF">
      <w:pPr>
        <w:spacing w:line="360" w:lineRule="auto"/>
        <w:ind w:firstLine="480" w:firstLineChars="200"/>
        <w:rPr>
          <w:rFonts w:ascii="仿宋_GB2312" w:eastAsia="仿宋_GB2312"/>
          <w:color w:val="auto"/>
          <w:sz w:val="24"/>
        </w:rPr>
      </w:pPr>
      <w:r>
        <w:rPr>
          <w:rFonts w:ascii="仿宋_GB2312" w:eastAsia="仿宋_GB2312"/>
          <w:color w:val="auto"/>
          <w:sz w:val="24"/>
        </w:rPr>
        <w:t>监理人接收文件的地点：</w:t>
      </w:r>
      <w:r>
        <w:rPr>
          <w:rFonts w:ascii="仿宋_GB2312" w:eastAsia="仿宋_GB2312"/>
          <w:color w:val="auto"/>
          <w:sz w:val="24"/>
          <w:u w:val="single"/>
        </w:rPr>
        <w:t xml:space="preserve">施工现场项目监理部  </w:t>
      </w:r>
      <w:r>
        <w:rPr>
          <w:rFonts w:ascii="仿宋_GB2312" w:eastAsia="仿宋_GB2312"/>
          <w:color w:val="auto"/>
          <w:sz w:val="24"/>
        </w:rPr>
        <w:t>；</w:t>
      </w:r>
    </w:p>
    <w:p w14:paraId="46FAA919">
      <w:pPr>
        <w:spacing w:line="360" w:lineRule="auto"/>
        <w:ind w:firstLine="480" w:firstLineChars="200"/>
        <w:rPr>
          <w:rFonts w:ascii="仿宋_GB2312" w:eastAsia="仿宋_GB2312"/>
          <w:color w:val="auto"/>
          <w:sz w:val="24"/>
        </w:rPr>
      </w:pPr>
      <w:r>
        <w:rPr>
          <w:rFonts w:ascii="仿宋_GB2312" w:eastAsia="仿宋_GB2312"/>
          <w:color w:val="auto"/>
          <w:sz w:val="24"/>
        </w:rPr>
        <w:t>监理人指定的接收人为：</w:t>
      </w:r>
      <w:r>
        <w:rPr>
          <w:rFonts w:ascii="仿宋_GB2312" w:eastAsia="仿宋_GB2312"/>
          <w:color w:val="auto"/>
          <w:sz w:val="24"/>
          <w:u w:val="single"/>
        </w:rPr>
        <w:t>总监或总监代表   。</w:t>
      </w:r>
    </w:p>
    <w:p w14:paraId="54BB1F8E">
      <w:pPr>
        <w:spacing w:line="360" w:lineRule="auto"/>
        <w:ind w:firstLine="480" w:firstLineChars="200"/>
        <w:rPr>
          <w:rFonts w:ascii="仿宋_GB2312" w:eastAsia="仿宋_GB2312"/>
          <w:color w:val="auto"/>
          <w:sz w:val="24"/>
        </w:rPr>
      </w:pPr>
      <w:r>
        <w:rPr>
          <w:rFonts w:ascii="仿宋_GB2312" w:eastAsia="仿宋_GB2312"/>
          <w:color w:val="auto"/>
          <w:sz w:val="24"/>
        </w:rPr>
        <w:t>1.10 交通运输</w:t>
      </w:r>
    </w:p>
    <w:p w14:paraId="68A8FFAD">
      <w:pPr>
        <w:spacing w:line="360" w:lineRule="auto"/>
        <w:ind w:firstLine="480" w:firstLineChars="200"/>
        <w:rPr>
          <w:rFonts w:ascii="仿宋_GB2312" w:eastAsia="仿宋_GB2312"/>
          <w:color w:val="auto"/>
          <w:sz w:val="24"/>
        </w:rPr>
      </w:pPr>
      <w:r>
        <w:rPr>
          <w:rFonts w:ascii="仿宋_GB2312" w:eastAsia="仿宋_GB2312"/>
          <w:color w:val="auto"/>
          <w:sz w:val="24"/>
        </w:rPr>
        <w:t>1.10.1 出入现场的权利</w:t>
      </w:r>
    </w:p>
    <w:p w14:paraId="60A7370B">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关于出入现场的权利的约定：</w:t>
      </w:r>
      <w:r>
        <w:rPr>
          <w:color w:val="auto"/>
          <w:szCs w:val="21"/>
          <w:u w:val="single"/>
        </w:rPr>
        <w:t>开工前七天，发包人只需要负责办理完临时用地</w:t>
      </w:r>
      <w:r>
        <w:rPr>
          <w:bCs/>
          <w:color w:val="auto"/>
          <w:szCs w:val="21"/>
          <w:u w:val="single"/>
        </w:rPr>
        <w:t>申请批准手续即可</w:t>
      </w:r>
      <w:r>
        <w:rPr>
          <w:rFonts w:ascii="仿宋_GB2312" w:eastAsia="仿宋_GB2312"/>
          <w:color w:val="auto"/>
          <w:sz w:val="24"/>
        </w:rPr>
        <w:t>。</w:t>
      </w:r>
    </w:p>
    <w:p w14:paraId="11F314ED">
      <w:pPr>
        <w:spacing w:line="360" w:lineRule="auto"/>
        <w:ind w:firstLine="480" w:firstLineChars="200"/>
        <w:rPr>
          <w:rFonts w:ascii="仿宋_GB2312" w:eastAsia="仿宋_GB2312"/>
          <w:color w:val="auto"/>
          <w:sz w:val="24"/>
        </w:rPr>
      </w:pPr>
      <w:r>
        <w:rPr>
          <w:rFonts w:ascii="仿宋_GB2312" w:eastAsia="仿宋_GB2312"/>
          <w:color w:val="auto"/>
          <w:sz w:val="24"/>
        </w:rPr>
        <w:t>1.10.3 场内交通</w:t>
      </w:r>
    </w:p>
    <w:p w14:paraId="4A7D2106">
      <w:pPr>
        <w:spacing w:line="360" w:lineRule="auto"/>
        <w:ind w:firstLine="480" w:firstLineChars="200"/>
        <w:rPr>
          <w:rFonts w:ascii="仿宋_GB2312" w:eastAsia="仿宋_GB2312"/>
          <w:color w:val="auto"/>
          <w:sz w:val="24"/>
        </w:rPr>
      </w:pPr>
      <w:r>
        <w:rPr>
          <w:rFonts w:ascii="仿宋_GB2312" w:eastAsia="仿宋_GB2312"/>
          <w:color w:val="auto"/>
          <w:sz w:val="24"/>
        </w:rPr>
        <w:t>关于场外交通和场内交通的边界的约定：以双方确认的建筑红线为边界，公共道路的通道为现有道路施工条件，如果无现有的公用道路的，另外做好施工道路作为本次招标工程的施工道路。</w:t>
      </w:r>
    </w:p>
    <w:p w14:paraId="126903B4">
      <w:pPr>
        <w:spacing w:line="360" w:lineRule="auto"/>
        <w:ind w:firstLine="480" w:firstLineChars="200"/>
        <w:rPr>
          <w:rFonts w:ascii="仿宋_GB2312" w:eastAsia="仿宋_GB2312"/>
          <w:color w:val="auto"/>
          <w:sz w:val="24"/>
        </w:rPr>
      </w:pPr>
      <w:r>
        <w:rPr>
          <w:rFonts w:ascii="仿宋_GB2312" w:eastAsia="仿宋_GB2312"/>
          <w:color w:val="auto"/>
          <w:sz w:val="24"/>
        </w:rPr>
        <w:t>关于发包人向承包人免费提供满足工程施工需要的场内道路和交通设施的约定：开工前7天，公共道路的通道开通至施工场地外边缘即可，其余由承包人负责修建及保养等   。</w:t>
      </w:r>
    </w:p>
    <w:p w14:paraId="6F411DF8">
      <w:pPr>
        <w:spacing w:line="360" w:lineRule="auto"/>
        <w:ind w:firstLine="480" w:firstLineChars="200"/>
        <w:rPr>
          <w:rFonts w:ascii="仿宋_GB2312" w:eastAsia="仿宋_GB2312"/>
          <w:color w:val="auto"/>
          <w:sz w:val="24"/>
        </w:rPr>
      </w:pPr>
      <w:r>
        <w:rPr>
          <w:rFonts w:ascii="仿宋_GB2312" w:eastAsia="仿宋_GB2312"/>
          <w:color w:val="auto"/>
          <w:sz w:val="24"/>
        </w:rPr>
        <w:t>1.10.4 超大件和超重件的运输</w:t>
      </w:r>
    </w:p>
    <w:p w14:paraId="06690727">
      <w:pPr>
        <w:spacing w:line="360" w:lineRule="auto"/>
        <w:ind w:firstLine="480" w:firstLineChars="200"/>
        <w:rPr>
          <w:rFonts w:ascii="仿宋_GB2312" w:eastAsia="仿宋_GB2312"/>
          <w:color w:val="auto"/>
          <w:sz w:val="24"/>
          <w:u w:val="single"/>
        </w:rPr>
      </w:pPr>
      <w:r>
        <w:rPr>
          <w:rFonts w:ascii="仿宋_GB2312" w:eastAsia="仿宋_GB2312"/>
          <w:color w:val="auto"/>
          <w:sz w:val="24"/>
        </w:rPr>
        <w:t>运输超大件或超重件所需的道路和桥梁临时加固改造费用和其他有关费用由</w:t>
      </w:r>
      <w:r>
        <w:rPr>
          <w:rFonts w:ascii="仿宋_GB2312" w:eastAsia="仿宋_GB2312"/>
          <w:color w:val="auto"/>
          <w:sz w:val="24"/>
          <w:u w:val="single"/>
        </w:rPr>
        <w:t xml:space="preserve">   承包人   </w:t>
      </w:r>
      <w:r>
        <w:rPr>
          <w:rFonts w:ascii="仿宋_GB2312" w:eastAsia="仿宋_GB2312"/>
          <w:color w:val="auto"/>
          <w:sz w:val="24"/>
        </w:rPr>
        <w:t>承担。</w:t>
      </w:r>
    </w:p>
    <w:p w14:paraId="3302AC43">
      <w:pPr>
        <w:pStyle w:val="4"/>
        <w:rPr>
          <w:rFonts w:ascii="仿宋_GB2312" w:eastAsia="仿宋_GB2312"/>
          <w:color w:val="auto"/>
          <w:szCs w:val="24"/>
        </w:rPr>
      </w:pPr>
      <w:r>
        <w:rPr>
          <w:rFonts w:hint="eastAsia" w:ascii="仿宋_GB2312" w:eastAsia="仿宋_GB2312"/>
          <w:color w:val="auto"/>
          <w:szCs w:val="24"/>
        </w:rPr>
        <w:t>1.11 知识产权</w:t>
      </w:r>
    </w:p>
    <w:p w14:paraId="095A3AEA">
      <w:pPr>
        <w:spacing w:line="360" w:lineRule="auto"/>
        <w:ind w:firstLine="480" w:firstLineChars="200"/>
        <w:rPr>
          <w:rFonts w:ascii="仿宋_GB2312" w:eastAsia="仿宋_GB2312"/>
          <w:color w:val="auto"/>
          <w:sz w:val="24"/>
        </w:rPr>
      </w:pPr>
      <w:r>
        <w:rPr>
          <w:rFonts w:ascii="仿宋_GB2312" w:eastAsia="仿宋_GB2312"/>
          <w:color w:val="auto"/>
          <w:sz w:val="24"/>
        </w:rPr>
        <w:t>1.11.1 关于发包人提供给承包人的图纸、发包人为实施工程自行编制或委托编制的技术规范以及反映发包人关于合同要求或其他类似性质的文件的著作权的归属：</w:t>
      </w:r>
      <w:r>
        <w:rPr>
          <w:rFonts w:ascii="仿宋_GB2312" w:eastAsia="仿宋_GB2312"/>
          <w:color w:val="auto"/>
          <w:sz w:val="24"/>
          <w:u w:val="single"/>
        </w:rPr>
        <w:t>属于发包人</w:t>
      </w:r>
      <w:r>
        <w:rPr>
          <w:rFonts w:ascii="仿宋_GB2312" w:eastAsia="仿宋_GB2312"/>
          <w:color w:val="auto"/>
          <w:sz w:val="24"/>
        </w:rPr>
        <w:t>。</w:t>
      </w:r>
    </w:p>
    <w:p w14:paraId="164A88BC">
      <w:pPr>
        <w:spacing w:line="360" w:lineRule="auto"/>
        <w:ind w:firstLine="480" w:firstLineChars="200"/>
        <w:rPr>
          <w:rFonts w:ascii="仿宋_GB2312" w:eastAsia="仿宋_GB2312"/>
          <w:color w:val="auto"/>
          <w:sz w:val="24"/>
        </w:rPr>
      </w:pPr>
      <w:r>
        <w:rPr>
          <w:rFonts w:ascii="仿宋_GB2312" w:eastAsia="仿宋_GB2312"/>
          <w:color w:val="auto"/>
          <w:sz w:val="24"/>
        </w:rPr>
        <w:t>关于发包人提供的上述文件的使用限制的要求：</w:t>
      </w:r>
      <w:r>
        <w:rPr>
          <w:rFonts w:ascii="仿宋_GB2312" w:eastAsia="仿宋_GB2312"/>
          <w:color w:val="auto"/>
          <w:sz w:val="24"/>
          <w:u w:val="single"/>
        </w:rPr>
        <w:t>未经发包人同意，不得提供给任何第三方</w:t>
      </w:r>
      <w:r>
        <w:rPr>
          <w:rFonts w:ascii="仿宋_GB2312" w:eastAsia="仿宋_GB2312"/>
          <w:color w:val="auto"/>
          <w:sz w:val="24"/>
        </w:rPr>
        <w:t>。</w:t>
      </w:r>
    </w:p>
    <w:p w14:paraId="77BE8E55">
      <w:pPr>
        <w:spacing w:line="360" w:lineRule="auto"/>
        <w:ind w:firstLine="480" w:firstLineChars="200"/>
        <w:rPr>
          <w:rFonts w:ascii="仿宋_GB2312" w:eastAsia="仿宋_GB2312"/>
          <w:color w:val="auto"/>
          <w:sz w:val="24"/>
        </w:rPr>
      </w:pPr>
      <w:r>
        <w:rPr>
          <w:rFonts w:ascii="仿宋_GB2312" w:eastAsia="仿宋_GB2312"/>
          <w:color w:val="auto"/>
          <w:sz w:val="24"/>
        </w:rPr>
        <w:t>1.11.2 关于承包人为实施工程所编制文件的著作权的归属：</w:t>
      </w:r>
      <w:r>
        <w:rPr>
          <w:rFonts w:ascii="仿宋_GB2312" w:eastAsia="仿宋_GB2312"/>
          <w:color w:val="auto"/>
          <w:sz w:val="24"/>
          <w:u w:val="single"/>
        </w:rPr>
        <w:t xml:space="preserve">  属于发包人    </w:t>
      </w:r>
      <w:r>
        <w:rPr>
          <w:rFonts w:ascii="仿宋_GB2312" w:eastAsia="仿宋_GB2312"/>
          <w:color w:val="auto"/>
          <w:sz w:val="24"/>
        </w:rPr>
        <w:t>。</w:t>
      </w:r>
    </w:p>
    <w:p w14:paraId="6B312433">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关于承包人提供的上述文件的使用限制的要求：</w:t>
      </w:r>
      <w:r>
        <w:rPr>
          <w:rFonts w:ascii="仿宋_GB2312" w:eastAsia="仿宋_GB2312"/>
          <w:color w:val="auto"/>
          <w:sz w:val="24"/>
          <w:u w:val="single"/>
        </w:rPr>
        <w:t>未经发包人同意，不得提供给任何第三方</w:t>
      </w:r>
      <w:r>
        <w:rPr>
          <w:rFonts w:ascii="仿宋_GB2312" w:eastAsia="仿宋_GB2312"/>
          <w:color w:val="auto"/>
          <w:sz w:val="24"/>
        </w:rPr>
        <w:t>。</w:t>
      </w:r>
    </w:p>
    <w:p w14:paraId="31393B7F">
      <w:pPr>
        <w:spacing w:line="360" w:lineRule="auto"/>
        <w:ind w:firstLine="480" w:firstLineChars="200"/>
        <w:rPr>
          <w:rFonts w:ascii="仿宋_GB2312" w:eastAsia="仿宋_GB2312"/>
          <w:color w:val="auto"/>
          <w:sz w:val="24"/>
        </w:rPr>
      </w:pPr>
      <w:r>
        <w:rPr>
          <w:rFonts w:ascii="仿宋_GB2312" w:eastAsia="仿宋_GB2312"/>
          <w:color w:val="auto"/>
          <w:sz w:val="24"/>
        </w:rPr>
        <w:t>1.11.4 承包人在施工过程中所采用的专利、专有技术、技术秘密的使用费的承担方式：</w:t>
      </w:r>
      <w:r>
        <w:rPr>
          <w:rFonts w:ascii="仿宋_GB2312" w:eastAsia="仿宋_GB2312"/>
          <w:color w:val="auto"/>
          <w:sz w:val="24"/>
          <w:u w:val="single"/>
        </w:rPr>
        <w:t xml:space="preserve">                      由承包人承担  </w:t>
      </w:r>
      <w:r>
        <w:rPr>
          <w:rFonts w:ascii="仿宋_GB2312" w:eastAsia="仿宋_GB2312"/>
          <w:color w:val="auto"/>
          <w:sz w:val="24"/>
        </w:rPr>
        <w:t>。</w:t>
      </w:r>
    </w:p>
    <w:p w14:paraId="28D32495">
      <w:pPr>
        <w:pStyle w:val="4"/>
        <w:rPr>
          <w:rFonts w:ascii="仿宋_GB2312" w:eastAsia="仿宋_GB2312"/>
          <w:color w:val="auto"/>
          <w:szCs w:val="24"/>
        </w:rPr>
      </w:pPr>
      <w:r>
        <w:rPr>
          <w:rFonts w:hint="eastAsia" w:ascii="仿宋_GB2312" w:eastAsia="仿宋_GB2312"/>
          <w:color w:val="auto"/>
          <w:szCs w:val="24"/>
        </w:rPr>
        <w:t>1.13工程量清单错误的修正</w:t>
      </w:r>
    </w:p>
    <w:p w14:paraId="49EF58DF">
      <w:pPr>
        <w:pStyle w:val="178"/>
        <w:spacing w:line="360" w:lineRule="auto"/>
        <w:ind w:firstLine="420" w:firstLineChars="200"/>
        <w:rPr>
          <w:color w:val="auto"/>
        </w:rPr>
      </w:pPr>
      <w:r>
        <w:rPr>
          <w:rFonts w:hAnsi="宋体"/>
          <w:color w:val="auto"/>
        </w:rPr>
        <w:t>出现工程量清单工程量偏差时，是否调整合同价格：</w:t>
      </w:r>
      <w:r>
        <w:rPr>
          <w:rFonts w:hint="eastAsia" w:ascii="宋体" w:hAnsi="宋体"/>
          <w:color w:val="auto"/>
          <w:u w:val="single"/>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由于招标工程量清单项目多列或重复列项的，按照投标人投标综合单价确定单价，并调整合同价格。除以上情况之外出现工程量清单错误的，不调整合同价格 </w:t>
      </w:r>
      <w:r>
        <w:rPr>
          <w:rFonts w:hAnsi="宋体"/>
          <w:color w:val="auto"/>
          <w:kern w:val="0"/>
        </w:rPr>
        <w:t>。</w:t>
      </w:r>
    </w:p>
    <w:p w14:paraId="406591D2">
      <w:pPr>
        <w:pStyle w:val="178"/>
        <w:spacing w:line="360" w:lineRule="auto"/>
        <w:ind w:firstLine="420" w:firstLineChars="200"/>
        <w:rPr>
          <w:rFonts w:hAnsi="宋体"/>
          <w:color w:val="auto"/>
        </w:rPr>
      </w:pPr>
      <w:r>
        <w:rPr>
          <w:rFonts w:hAnsi="宋体"/>
          <w:color w:val="auto"/>
        </w:rPr>
        <w:t>允许调整合同价格的工程量偏差范围及其调整办法：</w:t>
      </w:r>
    </w:p>
    <w:p w14:paraId="483E05C1">
      <w:pPr>
        <w:pStyle w:val="178"/>
        <w:spacing w:line="360" w:lineRule="auto"/>
        <w:ind w:firstLine="420" w:firstLineChars="200"/>
        <w:rPr>
          <w:color w:val="auto"/>
          <w:u w:val="single"/>
        </w:rPr>
      </w:pPr>
      <w:r>
        <w:rPr>
          <w:rFonts w:hint="eastAsia" w:ascii="宋体" w:hAnsi="宋体"/>
          <w:color w:val="auto"/>
          <w:u w:val="single"/>
        </w:rPr>
        <w:t>工程量按实调整，综合单价不变</w:t>
      </w:r>
      <w:r>
        <w:rPr>
          <w:rFonts w:hAnsi="宋体"/>
          <w:color w:val="auto"/>
          <w:kern w:val="0"/>
        </w:rPr>
        <w:t>。</w:t>
      </w:r>
    </w:p>
    <w:p w14:paraId="62EDBE99">
      <w:pPr>
        <w:pStyle w:val="3"/>
        <w:rPr>
          <w:rFonts w:ascii="仿宋_GB2312" w:eastAsia="仿宋_GB2312"/>
          <w:color w:val="auto"/>
          <w:sz w:val="24"/>
          <w:szCs w:val="24"/>
        </w:rPr>
      </w:pPr>
    </w:p>
    <w:p w14:paraId="2988344B">
      <w:pPr>
        <w:rPr>
          <w:color w:val="auto"/>
        </w:rPr>
      </w:pPr>
    </w:p>
    <w:p w14:paraId="48466A5D">
      <w:pPr>
        <w:rPr>
          <w:color w:val="auto"/>
        </w:rPr>
      </w:pPr>
    </w:p>
    <w:p w14:paraId="15823EA2">
      <w:pPr>
        <w:pStyle w:val="3"/>
        <w:rPr>
          <w:rFonts w:ascii="仿宋_GB2312" w:eastAsia="仿宋_GB2312"/>
          <w:color w:val="auto"/>
          <w:sz w:val="24"/>
          <w:szCs w:val="24"/>
        </w:rPr>
      </w:pPr>
      <w:r>
        <w:rPr>
          <w:rFonts w:hint="eastAsia" w:ascii="仿宋_GB2312" w:eastAsia="仿宋_GB2312"/>
          <w:color w:val="auto"/>
          <w:sz w:val="24"/>
          <w:szCs w:val="24"/>
        </w:rPr>
        <w:t>2. 发包人</w:t>
      </w:r>
    </w:p>
    <w:p w14:paraId="451F3E0E">
      <w:pPr>
        <w:pStyle w:val="4"/>
        <w:rPr>
          <w:rFonts w:ascii="仿宋_GB2312" w:eastAsia="仿宋_GB2312"/>
          <w:color w:val="auto"/>
          <w:szCs w:val="24"/>
        </w:rPr>
      </w:pPr>
      <w:r>
        <w:rPr>
          <w:rFonts w:hint="eastAsia" w:ascii="仿宋_GB2312" w:eastAsia="仿宋_GB2312"/>
          <w:color w:val="auto"/>
          <w:szCs w:val="24"/>
        </w:rPr>
        <w:t>2.2 发包人代表</w:t>
      </w:r>
    </w:p>
    <w:p w14:paraId="3D2F1743">
      <w:pPr>
        <w:spacing w:line="360" w:lineRule="auto"/>
        <w:ind w:firstLine="480" w:firstLineChars="200"/>
        <w:rPr>
          <w:rFonts w:ascii="仿宋_GB2312" w:eastAsia="仿宋_GB2312"/>
          <w:color w:val="auto"/>
          <w:sz w:val="24"/>
        </w:rPr>
      </w:pPr>
      <w:r>
        <w:rPr>
          <w:rFonts w:ascii="仿宋_GB2312" w:eastAsia="仿宋_GB2312"/>
          <w:color w:val="auto"/>
          <w:sz w:val="24"/>
        </w:rPr>
        <w:t>发包人代表：</w:t>
      </w:r>
    </w:p>
    <w:p w14:paraId="1B55A04F">
      <w:pPr>
        <w:spacing w:line="360" w:lineRule="auto"/>
        <w:ind w:firstLine="480" w:firstLineChars="200"/>
        <w:rPr>
          <w:rFonts w:ascii="仿宋_GB2312" w:eastAsia="仿宋_GB2312"/>
          <w:color w:val="auto"/>
          <w:sz w:val="24"/>
        </w:rPr>
      </w:pPr>
      <w:r>
        <w:rPr>
          <w:rFonts w:ascii="仿宋_GB2312" w:eastAsia="仿宋_GB2312"/>
          <w:color w:val="auto"/>
          <w:sz w:val="24"/>
        </w:rPr>
        <w:t>姓    名：；</w:t>
      </w:r>
    </w:p>
    <w:p w14:paraId="7FF00068">
      <w:pPr>
        <w:spacing w:line="360" w:lineRule="auto"/>
        <w:ind w:firstLine="480" w:firstLineChars="200"/>
        <w:rPr>
          <w:rFonts w:ascii="仿宋_GB2312" w:eastAsia="仿宋_GB2312"/>
          <w:color w:val="auto"/>
          <w:sz w:val="24"/>
        </w:rPr>
      </w:pPr>
      <w:r>
        <w:rPr>
          <w:rFonts w:ascii="仿宋_GB2312" w:eastAsia="仿宋_GB2312"/>
          <w:color w:val="auto"/>
          <w:sz w:val="24"/>
        </w:rPr>
        <w:t>职    务：；</w:t>
      </w:r>
    </w:p>
    <w:p w14:paraId="062C3E41">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p>
    <w:p w14:paraId="1B104FF3">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p>
    <w:p w14:paraId="675FF868">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r>
        <w:rPr>
          <w:rFonts w:ascii="仿宋_GB2312" w:eastAsia="仿宋_GB2312"/>
          <w:color w:val="auto"/>
          <w:sz w:val="24"/>
          <w:u w:val="single"/>
        </w:rPr>
        <w:t xml:space="preserve"> 龙州</w:t>
      </w:r>
      <w:r>
        <w:rPr>
          <w:rFonts w:hint="eastAsia" w:ascii="仿宋_GB2312" w:eastAsia="仿宋_GB2312"/>
          <w:color w:val="auto"/>
          <w:sz w:val="24"/>
          <w:u w:val="single"/>
        </w:rPr>
        <w:t>县教育局</w:t>
      </w:r>
      <w:r>
        <w:rPr>
          <w:rFonts w:ascii="仿宋_GB2312" w:eastAsia="仿宋_GB2312"/>
          <w:color w:val="auto"/>
          <w:sz w:val="24"/>
        </w:rPr>
        <w:t>。</w:t>
      </w:r>
    </w:p>
    <w:p w14:paraId="3435E0F6">
      <w:pPr>
        <w:spacing w:line="360" w:lineRule="auto"/>
        <w:ind w:firstLine="480" w:firstLineChars="200"/>
        <w:rPr>
          <w:rFonts w:ascii="仿宋_GB2312" w:eastAsia="仿宋_GB2312"/>
          <w:color w:val="auto"/>
          <w:sz w:val="24"/>
          <w:u w:val="single"/>
        </w:rPr>
      </w:pPr>
      <w:r>
        <w:rPr>
          <w:rFonts w:ascii="仿宋_GB2312" w:eastAsia="仿宋_GB2312"/>
          <w:color w:val="auto"/>
          <w:sz w:val="24"/>
        </w:rPr>
        <w:t>发包人对发包人代表的授权范围如下：</w:t>
      </w:r>
      <w:r>
        <w:rPr>
          <w:rFonts w:ascii="仿宋_GB2312" w:eastAsia="仿宋_GB2312"/>
          <w:color w:val="auto"/>
          <w:sz w:val="24"/>
          <w:u w:val="single"/>
        </w:rPr>
        <w:t xml:space="preserve">    对工程建设进行全过程管理    </w:t>
      </w:r>
      <w:r>
        <w:rPr>
          <w:rFonts w:ascii="仿宋_GB2312" w:eastAsia="仿宋_GB2312"/>
          <w:color w:val="auto"/>
          <w:sz w:val="24"/>
        </w:rPr>
        <w:t>。</w:t>
      </w:r>
    </w:p>
    <w:p w14:paraId="1A534A41">
      <w:pPr>
        <w:pStyle w:val="4"/>
        <w:rPr>
          <w:rFonts w:ascii="仿宋_GB2312" w:eastAsia="仿宋_GB2312"/>
          <w:color w:val="auto"/>
          <w:szCs w:val="24"/>
        </w:rPr>
      </w:pPr>
      <w:r>
        <w:rPr>
          <w:rFonts w:hint="eastAsia" w:ascii="仿宋_GB2312" w:eastAsia="仿宋_GB2312"/>
          <w:color w:val="auto"/>
          <w:szCs w:val="24"/>
        </w:rPr>
        <w:t>2.4 施工现场、施工条件和基础资料的提供</w:t>
      </w:r>
    </w:p>
    <w:p w14:paraId="7D123BCF">
      <w:pPr>
        <w:spacing w:line="360" w:lineRule="auto"/>
        <w:ind w:firstLine="480" w:firstLineChars="200"/>
        <w:rPr>
          <w:rFonts w:ascii="仿宋_GB2312" w:eastAsia="仿宋_GB2312"/>
          <w:color w:val="auto"/>
          <w:sz w:val="24"/>
        </w:rPr>
      </w:pPr>
      <w:r>
        <w:rPr>
          <w:rFonts w:ascii="仿宋_GB2312" w:eastAsia="仿宋_GB2312"/>
          <w:color w:val="auto"/>
          <w:sz w:val="24"/>
        </w:rPr>
        <w:t>2.4.1 提供施工现场</w:t>
      </w:r>
    </w:p>
    <w:p w14:paraId="2293E3C7">
      <w:pPr>
        <w:spacing w:line="360" w:lineRule="auto"/>
        <w:ind w:firstLine="480" w:firstLineChars="200"/>
        <w:rPr>
          <w:rFonts w:ascii="仿宋_GB2312" w:eastAsia="仿宋_GB2312"/>
          <w:color w:val="auto"/>
          <w:sz w:val="24"/>
        </w:rPr>
      </w:pPr>
      <w:r>
        <w:rPr>
          <w:rFonts w:ascii="仿宋_GB2312" w:eastAsia="仿宋_GB2312"/>
          <w:color w:val="auto"/>
          <w:sz w:val="24"/>
        </w:rPr>
        <w:t>关于发包人移交施工现场的期限要求：</w:t>
      </w:r>
      <w:r>
        <w:rPr>
          <w:rFonts w:ascii="仿宋_GB2312" w:eastAsia="仿宋_GB2312"/>
          <w:color w:val="auto"/>
          <w:sz w:val="24"/>
          <w:u w:val="single"/>
        </w:rPr>
        <w:t xml:space="preserve">   　　承包人进场前7日        </w:t>
      </w:r>
      <w:r>
        <w:rPr>
          <w:rFonts w:ascii="仿宋_GB2312" w:eastAsia="仿宋_GB2312"/>
          <w:color w:val="auto"/>
          <w:sz w:val="24"/>
        </w:rPr>
        <w:t>。</w:t>
      </w:r>
    </w:p>
    <w:p w14:paraId="30FE2A54">
      <w:pPr>
        <w:spacing w:line="360" w:lineRule="auto"/>
        <w:ind w:firstLine="480" w:firstLineChars="200"/>
        <w:rPr>
          <w:rFonts w:ascii="仿宋_GB2312" w:eastAsia="仿宋_GB2312"/>
          <w:color w:val="auto"/>
          <w:sz w:val="24"/>
        </w:rPr>
      </w:pPr>
      <w:r>
        <w:rPr>
          <w:rFonts w:ascii="仿宋_GB2312" w:eastAsia="仿宋_GB2312"/>
          <w:color w:val="auto"/>
          <w:sz w:val="24"/>
        </w:rPr>
        <w:t>2.4.2 提供施工条件</w:t>
      </w:r>
    </w:p>
    <w:p w14:paraId="18FB9EBD">
      <w:pPr>
        <w:spacing w:line="360" w:lineRule="auto"/>
        <w:ind w:firstLine="480" w:firstLineChars="200"/>
        <w:rPr>
          <w:rFonts w:ascii="仿宋_GB2312" w:eastAsia="仿宋_GB2312"/>
          <w:color w:val="auto"/>
          <w:sz w:val="24"/>
        </w:rPr>
      </w:pPr>
      <w:r>
        <w:rPr>
          <w:rFonts w:ascii="仿宋_GB2312" w:eastAsia="仿宋_GB2312"/>
          <w:color w:val="auto"/>
          <w:sz w:val="24"/>
        </w:rPr>
        <w:t>关于发包人应负责提供施工所需要的条件，包括：</w:t>
      </w:r>
    </w:p>
    <w:p w14:paraId="31013C45">
      <w:pPr>
        <w:spacing w:line="360" w:lineRule="exact"/>
        <w:ind w:firstLine="480" w:firstLineChars="200"/>
        <w:rPr>
          <w:rFonts w:ascii="仿宋_GB2312" w:eastAsia="仿宋_GB2312"/>
          <w:color w:val="auto"/>
          <w:sz w:val="24"/>
        </w:rPr>
      </w:pPr>
      <w:r>
        <w:rPr>
          <w:rFonts w:ascii="仿宋_GB2312" w:eastAsia="仿宋_GB2312"/>
          <w:color w:val="auto"/>
          <w:sz w:val="24"/>
        </w:rPr>
        <w:t>（1）将施工所需的水、电、接至施工场地的时间、地点和供应要求：</w:t>
      </w:r>
      <w:r>
        <w:rPr>
          <w:rFonts w:ascii="仿宋_GB2312" w:eastAsia="仿宋_GB2312"/>
          <w:color w:val="auto"/>
          <w:sz w:val="24"/>
          <w:u w:val="single"/>
        </w:rPr>
        <w:t xml:space="preserve"> 发包人仅提供水电接口，费用承包人自理。   </w:t>
      </w:r>
    </w:p>
    <w:p w14:paraId="5C7CB208">
      <w:pPr>
        <w:spacing w:line="360" w:lineRule="exact"/>
        <w:ind w:firstLine="480" w:firstLineChars="200"/>
        <w:rPr>
          <w:rFonts w:ascii="仿宋_GB2312" w:eastAsia="仿宋_GB2312"/>
          <w:color w:val="auto"/>
          <w:sz w:val="24"/>
        </w:rPr>
      </w:pPr>
      <w:r>
        <w:rPr>
          <w:rFonts w:ascii="仿宋_GB2312" w:eastAsia="仿宋_GB2312"/>
          <w:color w:val="auto"/>
          <w:sz w:val="24"/>
        </w:rPr>
        <w:t>（2）施工场地与公共道路的通道开通时间和要求：</w:t>
      </w:r>
      <w:r>
        <w:rPr>
          <w:rFonts w:ascii="仿宋_GB2312" w:eastAsia="仿宋_GB2312"/>
          <w:color w:val="auto"/>
          <w:sz w:val="24"/>
          <w:u w:val="single"/>
        </w:rPr>
        <w:t xml:space="preserve">  施工场地与公共道路的通道由承包人自行解决，费用承包人自理。 </w:t>
      </w:r>
    </w:p>
    <w:p w14:paraId="268E70C7">
      <w:pPr>
        <w:spacing w:line="360" w:lineRule="exact"/>
        <w:ind w:firstLine="480" w:firstLineChars="200"/>
        <w:rPr>
          <w:rFonts w:ascii="仿宋_GB2312" w:eastAsia="仿宋_GB2312"/>
          <w:color w:val="auto"/>
          <w:sz w:val="24"/>
        </w:rPr>
      </w:pPr>
      <w:r>
        <w:rPr>
          <w:rFonts w:ascii="仿宋_GB2312" w:eastAsia="仿宋_GB2312"/>
          <w:color w:val="auto"/>
          <w:sz w:val="24"/>
        </w:rPr>
        <w:t>（3）工程地质和地下管线资料的提供时间：</w:t>
      </w:r>
      <w:r>
        <w:rPr>
          <w:rFonts w:ascii="仿宋_GB2312" w:eastAsia="仿宋_GB2312"/>
          <w:color w:val="auto"/>
          <w:sz w:val="24"/>
          <w:u w:val="single"/>
        </w:rPr>
        <w:t xml:space="preserve">  进场后三天内。已交底的场地内地下管线由承包人负责保护 。   </w:t>
      </w:r>
    </w:p>
    <w:p w14:paraId="653A56BD">
      <w:pPr>
        <w:spacing w:line="360" w:lineRule="exact"/>
        <w:ind w:firstLine="480" w:firstLineChars="200"/>
        <w:rPr>
          <w:rFonts w:ascii="仿宋_GB2312" w:eastAsia="仿宋_GB2312"/>
          <w:color w:val="auto"/>
          <w:sz w:val="24"/>
        </w:rPr>
      </w:pPr>
      <w:r>
        <w:rPr>
          <w:rFonts w:ascii="仿宋_GB2312" w:eastAsia="仿宋_GB2312"/>
          <w:color w:val="auto"/>
          <w:sz w:val="24"/>
        </w:rPr>
        <w:t>（4）由发包人办理的施工所需证件、批件的名称和完成时间：</w:t>
      </w:r>
      <w:r>
        <w:rPr>
          <w:rFonts w:ascii="仿宋_GB2312" w:eastAsia="仿宋_GB2312"/>
          <w:color w:val="auto"/>
          <w:sz w:val="24"/>
          <w:u w:val="single"/>
        </w:rPr>
        <w:t xml:space="preserve"> 有关批件由发包人按规定完成。   </w:t>
      </w:r>
    </w:p>
    <w:p w14:paraId="1E26B91B">
      <w:pPr>
        <w:spacing w:line="360" w:lineRule="exact"/>
        <w:ind w:firstLine="480" w:firstLineChars="200"/>
        <w:rPr>
          <w:rFonts w:ascii="仿宋_GB2312" w:eastAsia="仿宋_GB2312"/>
          <w:color w:val="auto"/>
          <w:sz w:val="24"/>
        </w:rPr>
      </w:pPr>
      <w:r>
        <w:rPr>
          <w:rFonts w:ascii="仿宋_GB2312" w:eastAsia="仿宋_GB2312"/>
          <w:color w:val="auto"/>
          <w:sz w:val="24"/>
        </w:rPr>
        <w:t>（5）水准点与座标控制点交验要求：</w:t>
      </w:r>
      <w:r>
        <w:rPr>
          <w:rFonts w:ascii="仿宋_GB2312" w:eastAsia="仿宋_GB2312"/>
          <w:color w:val="auto"/>
          <w:sz w:val="24"/>
          <w:u w:val="single"/>
        </w:rPr>
        <w:t xml:space="preserve"> 承包人进入工地后进行现场、书面交桩，承包人负责复核，承包人并对水准点和坐标控制点加以保护。 </w:t>
      </w:r>
    </w:p>
    <w:p w14:paraId="750DD35F">
      <w:pPr>
        <w:spacing w:line="360" w:lineRule="exact"/>
        <w:ind w:firstLine="480" w:firstLineChars="200"/>
        <w:rPr>
          <w:rFonts w:ascii="仿宋_GB2312" w:eastAsia="仿宋_GB2312"/>
          <w:color w:val="auto"/>
          <w:sz w:val="24"/>
        </w:rPr>
      </w:pPr>
      <w:r>
        <w:rPr>
          <w:rFonts w:ascii="仿宋_GB2312" w:eastAsia="仿宋_GB2312"/>
          <w:color w:val="auto"/>
          <w:sz w:val="24"/>
        </w:rPr>
        <w:t>（6）图纸会审和设计交底时间：</w:t>
      </w:r>
      <w:r>
        <w:rPr>
          <w:rFonts w:ascii="仿宋_GB2312" w:eastAsia="仿宋_GB2312"/>
          <w:color w:val="auto"/>
          <w:sz w:val="24"/>
          <w:u w:val="single"/>
        </w:rPr>
        <w:t xml:space="preserve"> 图纸发出7天内，发包人负责组织设计单位、监理工程师向承包人进行技术交底。  </w:t>
      </w:r>
    </w:p>
    <w:p w14:paraId="07843A40">
      <w:pPr>
        <w:spacing w:line="360" w:lineRule="exact"/>
        <w:ind w:firstLine="480" w:firstLineChars="200"/>
        <w:rPr>
          <w:rFonts w:ascii="仿宋_GB2312" w:eastAsia="仿宋_GB2312"/>
          <w:color w:val="auto"/>
          <w:sz w:val="24"/>
          <w:u w:val="single"/>
        </w:rPr>
      </w:pPr>
      <w:r>
        <w:rPr>
          <w:rFonts w:ascii="仿宋_GB2312" w:eastAsia="仿宋_GB2312"/>
          <w:color w:val="auto"/>
          <w:sz w:val="24"/>
        </w:rPr>
        <w:t>（7）协调处理施工场地周围地下管线和邻近建筑物、构筑物（含文物保护建筑）、古树名木的保护工作：</w:t>
      </w:r>
      <w:r>
        <w:rPr>
          <w:rFonts w:ascii="仿宋_GB2312" w:eastAsia="仿宋_GB2312"/>
          <w:color w:val="auto"/>
          <w:sz w:val="24"/>
          <w:u w:val="single"/>
        </w:rPr>
        <w:t xml:space="preserve">   由发包人负责按实际需要协调。 </w:t>
      </w:r>
    </w:p>
    <w:p w14:paraId="69E2AB28">
      <w:pPr>
        <w:spacing w:line="360" w:lineRule="exact"/>
        <w:ind w:firstLine="480" w:firstLineChars="200"/>
        <w:rPr>
          <w:rFonts w:ascii="仿宋_GB2312" w:eastAsia="仿宋_GB2312"/>
          <w:color w:val="auto"/>
          <w:sz w:val="24"/>
        </w:rPr>
      </w:pPr>
      <w:r>
        <w:rPr>
          <w:rFonts w:ascii="仿宋_GB2312" w:eastAsia="仿宋_GB2312"/>
          <w:color w:val="auto"/>
          <w:sz w:val="24"/>
        </w:rPr>
        <w:t>（8）双方约定发包人应做的其他工作：</w:t>
      </w:r>
      <w:r>
        <w:rPr>
          <w:rFonts w:ascii="仿宋_GB2312" w:eastAsia="仿宋_GB2312"/>
          <w:color w:val="auto"/>
          <w:sz w:val="24"/>
          <w:u w:val="single"/>
        </w:rPr>
        <w:t>在开工前向承包人提供壹份</w:t>
      </w:r>
      <w:r>
        <w:rPr>
          <w:rFonts w:hint="eastAsia" w:ascii="仿宋_GB2312" w:eastAsia="仿宋_GB2312"/>
          <w:color w:val="auto"/>
          <w:sz w:val="24"/>
          <w:u w:val="single"/>
        </w:rPr>
        <w:t>监理</w:t>
      </w:r>
      <w:r>
        <w:rPr>
          <w:rFonts w:ascii="仿宋_GB2312" w:eastAsia="仿宋_GB2312"/>
          <w:color w:val="auto"/>
          <w:sz w:val="24"/>
          <w:u w:val="single"/>
        </w:rPr>
        <w:t xml:space="preserve">合同。 </w:t>
      </w:r>
    </w:p>
    <w:p w14:paraId="1196B731">
      <w:pPr>
        <w:spacing w:line="360" w:lineRule="exact"/>
        <w:ind w:firstLine="480" w:firstLineChars="200"/>
        <w:rPr>
          <w:rFonts w:ascii="仿宋_GB2312" w:eastAsia="仿宋_GB2312"/>
          <w:color w:val="auto"/>
          <w:sz w:val="24"/>
        </w:rPr>
      </w:pPr>
      <w:r>
        <w:rPr>
          <w:rFonts w:ascii="仿宋_GB2312" w:eastAsia="仿宋_GB2312"/>
          <w:color w:val="auto"/>
          <w:sz w:val="24"/>
        </w:rPr>
        <w:t>（9）发包人委托承包人办理的工作：</w:t>
      </w:r>
      <w:r>
        <w:rPr>
          <w:rFonts w:ascii="仿宋_GB2312" w:eastAsia="仿宋_GB2312"/>
          <w:color w:val="auto"/>
          <w:sz w:val="24"/>
          <w:u w:val="single"/>
        </w:rPr>
        <w:t xml:space="preserve">    双方另行协商。    </w:t>
      </w:r>
    </w:p>
    <w:p w14:paraId="0F4F6212">
      <w:pPr>
        <w:rPr>
          <w:color w:val="auto"/>
        </w:rPr>
      </w:pPr>
    </w:p>
    <w:p w14:paraId="4C3E725E">
      <w:pPr>
        <w:pStyle w:val="3"/>
        <w:rPr>
          <w:rFonts w:ascii="仿宋_GB2312" w:eastAsia="仿宋_GB2312"/>
          <w:color w:val="auto"/>
          <w:sz w:val="24"/>
          <w:szCs w:val="24"/>
        </w:rPr>
      </w:pPr>
      <w:r>
        <w:rPr>
          <w:rFonts w:hint="eastAsia" w:ascii="仿宋_GB2312" w:eastAsia="仿宋_GB2312"/>
          <w:color w:val="auto"/>
          <w:sz w:val="24"/>
          <w:szCs w:val="24"/>
        </w:rPr>
        <w:t>3. 承包人</w:t>
      </w:r>
    </w:p>
    <w:p w14:paraId="4984BBEE">
      <w:pPr>
        <w:pStyle w:val="4"/>
        <w:rPr>
          <w:rFonts w:ascii="仿宋_GB2312" w:eastAsia="仿宋_GB2312"/>
          <w:color w:val="auto"/>
          <w:szCs w:val="24"/>
        </w:rPr>
      </w:pPr>
      <w:r>
        <w:rPr>
          <w:rFonts w:hint="eastAsia" w:ascii="仿宋_GB2312" w:eastAsia="仿宋_GB2312"/>
          <w:color w:val="auto"/>
          <w:szCs w:val="24"/>
        </w:rPr>
        <w:t>3.1 承包人的一般义务</w:t>
      </w:r>
    </w:p>
    <w:p w14:paraId="775C97A0">
      <w:pPr>
        <w:spacing w:line="360" w:lineRule="auto"/>
        <w:ind w:firstLine="480" w:firstLineChars="200"/>
        <w:rPr>
          <w:rFonts w:ascii="仿宋_GB2312" w:eastAsia="仿宋_GB2312"/>
          <w:color w:val="auto"/>
          <w:sz w:val="24"/>
        </w:rPr>
      </w:pPr>
      <w:r>
        <w:rPr>
          <w:rFonts w:ascii="仿宋_GB2312" w:eastAsia="仿宋_GB2312"/>
          <w:color w:val="auto"/>
          <w:sz w:val="24"/>
        </w:rPr>
        <w:t>3.1.1承包人提交的竣工资料的内容：</w:t>
      </w:r>
    </w:p>
    <w:p w14:paraId="60FF8624">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 xml:space="preserve">包括工程质量保证资料、验收备案资料、竣工图等完整的竣工档案资料         </w:t>
      </w:r>
      <w:r>
        <w:rPr>
          <w:rFonts w:ascii="仿宋_GB2312" w:eastAsia="仿宋_GB2312"/>
          <w:color w:val="auto"/>
          <w:sz w:val="24"/>
        </w:rPr>
        <w:t>。</w:t>
      </w:r>
    </w:p>
    <w:p w14:paraId="68E34AB6">
      <w:pPr>
        <w:spacing w:line="360" w:lineRule="auto"/>
        <w:ind w:firstLine="480" w:firstLineChars="200"/>
        <w:rPr>
          <w:rFonts w:ascii="仿宋_GB2312" w:eastAsia="仿宋_GB2312"/>
          <w:color w:val="auto"/>
          <w:sz w:val="24"/>
        </w:rPr>
      </w:pPr>
      <w:r>
        <w:rPr>
          <w:rFonts w:ascii="仿宋_GB2312" w:eastAsia="仿宋_GB2312"/>
          <w:color w:val="auto"/>
          <w:sz w:val="24"/>
        </w:rPr>
        <w:t>承包人需要提交的竣工资料套数：</w:t>
      </w:r>
      <w:r>
        <w:rPr>
          <w:rFonts w:ascii="仿宋_GB2312" w:eastAsia="仿宋_GB2312"/>
          <w:color w:val="auto"/>
          <w:sz w:val="24"/>
          <w:u w:val="single"/>
        </w:rPr>
        <w:t xml:space="preserve">伍套（施工、监理、建设、接收单位、档案馆各一套）   </w:t>
      </w:r>
      <w:r>
        <w:rPr>
          <w:rFonts w:ascii="仿宋_GB2312" w:eastAsia="仿宋_GB2312"/>
          <w:color w:val="auto"/>
          <w:sz w:val="24"/>
        </w:rPr>
        <w:t>。</w:t>
      </w:r>
    </w:p>
    <w:p w14:paraId="539AC304">
      <w:pPr>
        <w:spacing w:line="360" w:lineRule="auto"/>
        <w:ind w:left="424" w:leftChars="202"/>
        <w:rPr>
          <w:rFonts w:ascii="仿宋_GB2312" w:eastAsia="仿宋_GB2312"/>
          <w:color w:val="auto"/>
          <w:sz w:val="24"/>
        </w:rPr>
      </w:pPr>
      <w:r>
        <w:rPr>
          <w:rFonts w:ascii="仿宋_GB2312" w:eastAsia="仿宋_GB2312"/>
          <w:color w:val="auto"/>
          <w:sz w:val="24"/>
        </w:rPr>
        <w:t>承包人提交的竣工资料的费用承担：</w:t>
      </w:r>
      <w:r>
        <w:rPr>
          <w:rFonts w:ascii="仿宋_GB2312" w:eastAsia="仿宋_GB2312"/>
          <w:color w:val="auto"/>
          <w:sz w:val="24"/>
          <w:u w:val="single"/>
        </w:rPr>
        <w:t xml:space="preserve">     全部承担        </w:t>
      </w:r>
      <w:r>
        <w:rPr>
          <w:rFonts w:ascii="仿宋_GB2312" w:eastAsia="仿宋_GB2312"/>
          <w:color w:val="auto"/>
          <w:sz w:val="24"/>
        </w:rPr>
        <w:t>。</w:t>
      </w:r>
    </w:p>
    <w:p w14:paraId="6D5DA2AF">
      <w:pPr>
        <w:spacing w:line="360" w:lineRule="auto"/>
        <w:ind w:left="424" w:leftChars="202"/>
        <w:rPr>
          <w:rFonts w:ascii="仿宋_GB2312" w:eastAsia="仿宋_GB2312"/>
          <w:color w:val="auto"/>
          <w:sz w:val="24"/>
        </w:rPr>
      </w:pPr>
      <w:r>
        <w:rPr>
          <w:rFonts w:ascii="仿宋_GB2312" w:eastAsia="仿宋_GB2312"/>
          <w:color w:val="auto"/>
          <w:sz w:val="24"/>
        </w:rPr>
        <w:t>承包人提交的竣工资料移交时间：</w:t>
      </w:r>
      <w:r>
        <w:rPr>
          <w:rFonts w:ascii="仿宋_GB2312" w:eastAsia="仿宋_GB2312"/>
          <w:color w:val="auto"/>
          <w:sz w:val="24"/>
          <w:u w:val="single"/>
        </w:rPr>
        <w:t xml:space="preserve">  竣工验收合格后28天内  </w:t>
      </w:r>
      <w:r>
        <w:rPr>
          <w:rFonts w:ascii="仿宋_GB2312" w:eastAsia="仿宋_GB2312"/>
          <w:color w:val="auto"/>
          <w:sz w:val="24"/>
        </w:rPr>
        <w:t>。</w:t>
      </w:r>
    </w:p>
    <w:p w14:paraId="2C6077E7">
      <w:pPr>
        <w:spacing w:line="360" w:lineRule="auto"/>
        <w:ind w:firstLine="480" w:firstLineChars="200"/>
        <w:rPr>
          <w:rFonts w:ascii="仿宋_GB2312" w:eastAsia="仿宋_GB2312"/>
          <w:color w:val="auto"/>
          <w:sz w:val="24"/>
        </w:rPr>
      </w:pPr>
      <w:r>
        <w:rPr>
          <w:rFonts w:ascii="仿宋_GB2312" w:eastAsia="仿宋_GB2312"/>
          <w:color w:val="auto"/>
          <w:sz w:val="24"/>
        </w:rPr>
        <w:t>承包人提交的竣工资料形式要求：</w:t>
      </w:r>
      <w:r>
        <w:rPr>
          <w:rFonts w:ascii="仿宋_GB2312" w:eastAsia="仿宋_GB2312"/>
          <w:color w:val="auto"/>
          <w:sz w:val="24"/>
          <w:u w:val="single"/>
        </w:rPr>
        <w:t xml:space="preserve">           文本            </w:t>
      </w:r>
      <w:r>
        <w:rPr>
          <w:rFonts w:ascii="仿宋_GB2312" w:eastAsia="仿宋_GB2312"/>
          <w:color w:val="auto"/>
          <w:sz w:val="24"/>
        </w:rPr>
        <w:t>。</w:t>
      </w:r>
    </w:p>
    <w:p w14:paraId="24901695">
      <w:pPr>
        <w:spacing w:line="360" w:lineRule="auto"/>
        <w:ind w:firstLine="480" w:firstLineChars="200"/>
        <w:rPr>
          <w:rFonts w:ascii="仿宋_GB2312" w:eastAsia="仿宋_GB2312"/>
          <w:color w:val="auto"/>
          <w:sz w:val="24"/>
        </w:rPr>
      </w:pPr>
      <w:r>
        <w:rPr>
          <w:rFonts w:ascii="仿宋_GB2312" w:eastAsia="仿宋_GB2312"/>
          <w:color w:val="auto"/>
          <w:sz w:val="24"/>
        </w:rPr>
        <w:t>3.1.2承包人应履行的其他义务：</w:t>
      </w:r>
    </w:p>
    <w:p w14:paraId="6FCC25E9">
      <w:pPr>
        <w:spacing w:line="360" w:lineRule="auto"/>
        <w:ind w:firstLine="480" w:firstLineChars="200"/>
        <w:rPr>
          <w:rFonts w:ascii="仿宋_GB2312" w:eastAsia="仿宋_GB2312"/>
          <w:bCs/>
          <w:color w:val="auto"/>
          <w:sz w:val="24"/>
          <w:u w:val="single"/>
        </w:rPr>
      </w:pPr>
      <w:r>
        <w:rPr>
          <w:rFonts w:ascii="仿宋_GB2312" w:eastAsia="仿宋_GB2312"/>
          <w:bCs/>
          <w:color w:val="auto"/>
          <w:sz w:val="24"/>
        </w:rPr>
        <w:t>（1）施工场地周围地下管线和邻近建筑物、构筑物（含文物保护建筑）、古树名木的保护要求及费用承担：</w:t>
      </w:r>
      <w:r>
        <w:rPr>
          <w:rFonts w:ascii="仿宋_GB2312" w:eastAsia="仿宋_GB2312"/>
          <w:bCs/>
          <w:color w:val="auto"/>
          <w:sz w:val="24"/>
          <w:u w:val="single"/>
        </w:rPr>
        <w:t>承包人施工时应探明并负责保护且承包费用，施工时如损坏地下管线、邻近建筑物、构筑物，所发生费用由承包人承担。</w:t>
      </w:r>
    </w:p>
    <w:p w14:paraId="264ACD82">
      <w:pPr>
        <w:spacing w:line="360" w:lineRule="auto"/>
        <w:ind w:firstLine="480" w:firstLineChars="200"/>
        <w:rPr>
          <w:rFonts w:ascii="仿宋_GB2312" w:eastAsia="仿宋_GB2312"/>
          <w:bCs/>
          <w:color w:val="auto"/>
          <w:sz w:val="24"/>
        </w:rPr>
      </w:pPr>
      <w:r>
        <w:rPr>
          <w:rFonts w:ascii="仿宋_GB2312" w:eastAsia="仿宋_GB2312"/>
          <w:bCs/>
          <w:color w:val="auto"/>
          <w:sz w:val="24"/>
        </w:rPr>
        <w:t>（2）</w:t>
      </w:r>
      <w:r>
        <w:rPr>
          <w:rFonts w:ascii="仿宋_GB2312" w:eastAsia="仿宋_GB2312"/>
          <w:bCs/>
          <w:color w:val="auto"/>
          <w:sz w:val="24"/>
          <w:u w:val="single"/>
        </w:rPr>
        <w:t>取土场及弃土场由承包人自行解决，但不得违反相关管理规定，并承担相关费用。</w:t>
      </w:r>
    </w:p>
    <w:p w14:paraId="439591A6">
      <w:pPr>
        <w:spacing w:line="360" w:lineRule="auto"/>
        <w:ind w:firstLine="480" w:firstLineChars="200"/>
        <w:rPr>
          <w:rFonts w:ascii="仿宋_GB2312" w:eastAsia="仿宋_GB2312"/>
          <w:color w:val="auto"/>
          <w:sz w:val="24"/>
        </w:rPr>
      </w:pPr>
      <w:r>
        <w:rPr>
          <w:rFonts w:ascii="仿宋_GB2312" w:eastAsia="仿宋_GB2312"/>
          <w:color w:val="auto"/>
          <w:sz w:val="24"/>
        </w:rPr>
        <w:t>3.1.3承包人应按约定时间和要求，完成以下工作：</w:t>
      </w:r>
    </w:p>
    <w:p w14:paraId="75F91D60">
      <w:pPr>
        <w:pStyle w:val="250"/>
        <w:snapToGrid w:val="0"/>
        <w:spacing w:before="0" w:after="0" w:line="360" w:lineRule="auto"/>
        <w:ind w:left="0" w:right="30" w:firstLine="502"/>
        <w:rPr>
          <w:rFonts w:ascii="仿宋_GB2312" w:eastAsia="仿宋_GB2312"/>
          <w:color w:val="auto"/>
        </w:rPr>
      </w:pPr>
      <w:r>
        <w:rPr>
          <w:rFonts w:hint="eastAsia" w:ascii="仿宋_GB2312" w:eastAsia="仿宋_GB2312"/>
          <w:color w:val="auto"/>
        </w:rPr>
        <w:t>（1）需由设计资质等级和业务范围允许的承包人完成的设计文件提交时间：</w:t>
      </w:r>
      <w:r>
        <w:rPr>
          <w:rFonts w:hint="eastAsia" w:ascii="仿宋_GB2312" w:eastAsia="仿宋_GB2312"/>
          <w:color w:val="auto"/>
          <w:u w:val="single"/>
        </w:rPr>
        <w:t xml:space="preserve"> 无        </w:t>
      </w:r>
    </w:p>
    <w:p w14:paraId="7F180242">
      <w:pPr>
        <w:pStyle w:val="24"/>
        <w:adjustRightInd w:val="0"/>
        <w:snapToGrid w:val="0"/>
        <w:spacing w:line="360" w:lineRule="auto"/>
        <w:ind w:firstLine="502"/>
        <w:rPr>
          <w:rFonts w:ascii="仿宋_GB2312" w:eastAsia="仿宋_GB2312"/>
          <w:color w:val="auto"/>
          <w:sz w:val="24"/>
        </w:rPr>
      </w:pPr>
      <w:r>
        <w:rPr>
          <w:rFonts w:hint="eastAsia" w:ascii="仿宋_GB2312" w:eastAsia="仿宋_GB2312"/>
          <w:color w:val="auto"/>
          <w:sz w:val="24"/>
        </w:rPr>
        <w:t>（2）应提供计划、报表的名称及完成时间：</w:t>
      </w:r>
      <w:r>
        <w:rPr>
          <w:rFonts w:hint="eastAsia" w:ascii="仿宋_GB2312" w:eastAsia="仿宋_GB2312"/>
          <w:color w:val="auto"/>
          <w:sz w:val="24"/>
          <w:u w:val="single"/>
        </w:rPr>
        <w:t xml:space="preserve"> 合同签订后7天内向监理工程师和发包人提交符合合同工期要求的1、施工组织设计，2、工程进度计划3、管理人员名单、职称、职务、上岗证等（注：领取中标通知书前提交建设管理部门），4、安全文明施工措施，5、质量保证体系。每月25日提供当月完成工程量报表、次月计划完成工程量报表各两份。 </w:t>
      </w:r>
    </w:p>
    <w:p w14:paraId="73923C3C">
      <w:pPr>
        <w:pStyle w:val="24"/>
        <w:adjustRightInd w:val="0"/>
        <w:snapToGrid w:val="0"/>
        <w:spacing w:line="360" w:lineRule="auto"/>
        <w:ind w:firstLine="480"/>
        <w:rPr>
          <w:rFonts w:ascii="仿宋_GB2312" w:hAnsi="宋体" w:eastAsia="仿宋_GB2312"/>
          <w:color w:val="auto"/>
          <w:sz w:val="24"/>
          <w:u w:val="single"/>
        </w:rPr>
      </w:pPr>
      <w:r>
        <w:rPr>
          <w:rFonts w:hint="eastAsia" w:ascii="仿宋_GB2312" w:eastAsia="仿宋_GB2312"/>
          <w:color w:val="auto"/>
          <w:sz w:val="24"/>
        </w:rPr>
        <w:t>（3）承担施工安全保卫工作及非夜间施工照明的责任和要求：</w:t>
      </w:r>
      <w:r>
        <w:rPr>
          <w:rFonts w:hint="eastAsia" w:ascii="仿宋_GB2312" w:eastAsia="仿宋_GB2312"/>
          <w:color w:val="auto"/>
          <w:sz w:val="24"/>
          <w:u w:val="single"/>
        </w:rPr>
        <w:t xml:space="preserve">  提供和维修非夜间施工使用的照明、安全标识、围栏等设施，保证过往车辆、行人安全，并负责施工现场安全保卫，费用由承包人承担。</w:t>
      </w:r>
      <w:r>
        <w:rPr>
          <w:rFonts w:hint="eastAsia" w:ascii="仿宋_GB2312" w:hAnsi="宋体" w:eastAsia="仿宋_GB2312"/>
          <w:color w:val="auto"/>
          <w:sz w:val="24"/>
          <w:u w:val="single"/>
        </w:rPr>
        <w:t>按国家及地方对施工防护的有关规定及通用条款9.1（3）条内容。</w:t>
      </w:r>
    </w:p>
    <w:p w14:paraId="0751CA8F">
      <w:pPr>
        <w:pStyle w:val="24"/>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（4）向发包人提供的办公和生活房屋及设施的要求：</w:t>
      </w:r>
      <w:r>
        <w:rPr>
          <w:rFonts w:hint="eastAsia" w:ascii="仿宋_GB2312" w:eastAsia="仿宋_GB2312"/>
          <w:color w:val="auto"/>
          <w:sz w:val="24"/>
          <w:u w:val="single"/>
        </w:rPr>
        <w:t>由承包人提供1间施工现场办公室及生活宿舍 。</w:t>
      </w:r>
    </w:p>
    <w:p w14:paraId="3787F249">
      <w:pPr>
        <w:pStyle w:val="24"/>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（5）需承包人办理的有关施工场地交通、环卫和施工噪音管理等手续：</w:t>
      </w:r>
      <w:r>
        <w:rPr>
          <w:rFonts w:hint="eastAsia" w:ascii="仿宋_GB2312" w:eastAsia="仿宋_GB2312"/>
          <w:color w:val="auto"/>
          <w:sz w:val="24"/>
          <w:u w:val="single"/>
        </w:rPr>
        <w:t xml:space="preserve"> 1、通行证，2、环卫部门规定的施工场地卫生手续，3、城管部门手续，4、建设行政部门手续，5、施工噪音超标手续，6、项目临时工会手续。并承担相关费用。</w:t>
      </w:r>
    </w:p>
    <w:p w14:paraId="303ABC42">
      <w:pPr>
        <w:pStyle w:val="24"/>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（6）已完工程成品保护的特殊要求及费用承担：</w:t>
      </w:r>
      <w:r>
        <w:rPr>
          <w:rFonts w:hint="eastAsia" w:ascii="仿宋_GB2312" w:eastAsia="仿宋_GB2312"/>
          <w:color w:val="auto"/>
          <w:sz w:val="24"/>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p>
    <w:p w14:paraId="1C9D0FBE">
      <w:pPr>
        <w:pStyle w:val="24"/>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（7）施工场地周围地下管线和邻近建筑物、构筑物（含文物保护建筑）、古树名木的保护要求及费用承担：</w:t>
      </w:r>
      <w:r>
        <w:rPr>
          <w:rFonts w:hint="eastAsia" w:ascii="仿宋_GB2312" w:eastAsia="仿宋_GB2312"/>
          <w:color w:val="auto"/>
          <w:sz w:val="24"/>
          <w:u w:val="single"/>
        </w:rPr>
        <w:t>由承包人保护，费用按通用条款</w:t>
      </w:r>
      <w:r>
        <w:rPr>
          <w:rFonts w:hint="eastAsia" w:ascii="仿宋_GB2312" w:hAnsi="宋体" w:eastAsia="仿宋_GB2312"/>
          <w:color w:val="auto"/>
          <w:sz w:val="24"/>
          <w:u w:val="single"/>
        </w:rPr>
        <w:t>8.1.（8）</w:t>
      </w:r>
      <w:r>
        <w:rPr>
          <w:rFonts w:hint="eastAsia" w:ascii="仿宋_GB2312" w:eastAsia="仿宋_GB2312"/>
          <w:color w:val="auto"/>
          <w:sz w:val="24"/>
          <w:u w:val="single"/>
        </w:rPr>
        <w:t xml:space="preserve">执行。施工时如损坏地下管线、邻近建筑物、构筑物，所发生的费用由承包人承担。 </w:t>
      </w:r>
    </w:p>
    <w:p w14:paraId="2A9E08A6">
      <w:pPr>
        <w:pStyle w:val="24"/>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（8）施工场地清洁卫生的要求：</w:t>
      </w:r>
      <w:r>
        <w:rPr>
          <w:rFonts w:hint="eastAsia" w:ascii="仿宋_GB2312" w:eastAsia="仿宋_GB2312"/>
          <w:color w:val="auto"/>
          <w:sz w:val="24"/>
          <w:u w:val="single"/>
        </w:rPr>
        <w:t xml:space="preserve"> 在施工期间对环境主要影响是机械声和废水、废渣、尘埃，对此承包人应采取相应的防治措施和严格管理，严格控制污染物排放，污染物排放前必须处理，达到排污标准后再排放。控制标准：《地面环境质量标准》GB3838-88</w:t>
      </w:r>
      <w:r>
        <w:rPr>
          <w:rFonts w:hint="eastAsia" w:ascii="仿宋_GB2312" w:hAnsi="宋体" w:eastAsia="仿宋_GB2312"/>
          <w:color w:val="auto"/>
          <w:sz w:val="24"/>
          <w:u w:val="single"/>
        </w:rPr>
        <w:t>Ⅱ</w:t>
      </w:r>
      <w:r>
        <w:rPr>
          <w:rFonts w:hint="eastAsia" w:ascii="仿宋_GB2312" w:eastAsia="仿宋_GB2312"/>
          <w:color w:val="auto"/>
          <w:sz w:val="24"/>
          <w:u w:val="single"/>
        </w:rPr>
        <w:t xml:space="preserve">。施工完毕后，承包人应及时将被破坏的场地，遵照监理工程师的指示进行清理、修正，并根据实际情况将场地恢复到原有状态。     </w:t>
      </w:r>
    </w:p>
    <w:p w14:paraId="1669A17B">
      <w:pPr>
        <w:spacing w:line="360" w:lineRule="auto"/>
        <w:ind w:firstLine="480" w:firstLineChars="200"/>
        <w:rPr>
          <w:rFonts w:ascii="仿宋_GB2312" w:eastAsia="仿宋_GB2312"/>
          <w:color w:val="auto"/>
          <w:sz w:val="24"/>
          <w:u w:val="single"/>
        </w:rPr>
      </w:pPr>
      <w:r>
        <w:rPr>
          <w:rFonts w:ascii="仿宋_GB2312" w:eastAsia="仿宋_GB2312"/>
          <w:color w:val="auto"/>
          <w:sz w:val="24"/>
        </w:rPr>
        <w:t>（9）双方约定承包人应做的其他工作：</w:t>
      </w:r>
      <w:r>
        <w:rPr>
          <w:rFonts w:ascii="仿宋_GB2312" w:eastAsia="仿宋_GB2312"/>
          <w:color w:val="auto"/>
          <w:sz w:val="24"/>
          <w:u w:val="single"/>
        </w:rPr>
        <w:t xml:space="preserve"> 承包人在中标通知书发出之后三日内须提供相关证件（除中标通知书发放前已提交的除外），由发包人办理报建手续。否则发包人视为承包人自动放弃合同。 </w:t>
      </w:r>
    </w:p>
    <w:p w14:paraId="32E12376">
      <w:pPr>
        <w:spacing w:line="400" w:lineRule="exact"/>
        <w:ind w:firstLine="480" w:firstLineChars="200"/>
        <w:rPr>
          <w:rFonts w:ascii="仿宋_GB2312" w:eastAsia="仿宋_GB2312"/>
          <w:bCs/>
          <w:color w:val="auto"/>
          <w:sz w:val="24"/>
        </w:rPr>
      </w:pPr>
      <w:r>
        <w:rPr>
          <w:rFonts w:ascii="仿宋_GB2312" w:eastAsia="仿宋_GB2312"/>
          <w:bCs/>
          <w:color w:val="auto"/>
          <w:sz w:val="24"/>
        </w:rPr>
        <w:t>（10）</w:t>
      </w:r>
      <w:r>
        <w:rPr>
          <w:rFonts w:ascii="仿宋_GB2312" w:eastAsia="仿宋_GB2312"/>
          <w:bCs/>
          <w:color w:val="auto"/>
          <w:sz w:val="24"/>
          <w:u w:val="single"/>
        </w:rPr>
        <w:t>因施工问题涉及交通、公路等部门的，承包人有义务与发包人一起协调。</w:t>
      </w:r>
    </w:p>
    <w:p w14:paraId="50E820F6">
      <w:pPr>
        <w:spacing w:line="400" w:lineRule="exact"/>
        <w:ind w:firstLine="480" w:firstLineChars="200"/>
        <w:rPr>
          <w:rFonts w:ascii="仿宋_GB2312" w:eastAsia="仿宋_GB2312"/>
          <w:bCs/>
          <w:color w:val="auto"/>
          <w:sz w:val="24"/>
          <w:u w:val="single"/>
        </w:rPr>
      </w:pPr>
      <w:r>
        <w:rPr>
          <w:rFonts w:ascii="仿宋_GB2312" w:eastAsia="仿宋_GB2312"/>
          <w:bCs/>
          <w:color w:val="auto"/>
          <w:sz w:val="24"/>
        </w:rPr>
        <w:t>（11）</w:t>
      </w:r>
      <w:r>
        <w:rPr>
          <w:rFonts w:ascii="仿宋_GB2312" w:eastAsia="仿宋_GB2312"/>
          <w:bCs/>
          <w:color w:val="auto"/>
          <w:sz w:val="24"/>
          <w:u w:val="single"/>
        </w:rPr>
        <w:t>合同当事人对文明施工的要求：安全防护、文明施工设施须按有关标准及制度执行。</w:t>
      </w:r>
    </w:p>
    <w:p w14:paraId="0186D00E">
      <w:pPr>
        <w:pStyle w:val="4"/>
        <w:rPr>
          <w:rFonts w:ascii="仿宋_GB2312" w:eastAsia="仿宋_GB2312"/>
          <w:color w:val="auto"/>
          <w:szCs w:val="24"/>
        </w:rPr>
      </w:pPr>
      <w:r>
        <w:rPr>
          <w:rFonts w:hint="eastAsia" w:ascii="仿宋_GB2312" w:eastAsia="仿宋_GB2312"/>
          <w:color w:val="auto"/>
          <w:szCs w:val="24"/>
        </w:rPr>
        <w:t>3.2 项目经理</w:t>
      </w:r>
    </w:p>
    <w:p w14:paraId="0E3A92E7">
      <w:pPr>
        <w:spacing w:line="360" w:lineRule="auto"/>
        <w:ind w:firstLine="480" w:firstLineChars="200"/>
        <w:rPr>
          <w:rFonts w:ascii="仿宋_GB2312" w:eastAsia="仿宋_GB2312"/>
          <w:color w:val="auto"/>
          <w:sz w:val="24"/>
        </w:rPr>
      </w:pPr>
      <w:r>
        <w:rPr>
          <w:rFonts w:ascii="仿宋_GB2312" w:eastAsia="仿宋_GB2312"/>
          <w:color w:val="auto"/>
          <w:sz w:val="24"/>
        </w:rPr>
        <w:t>3.2.1 项目经理：</w:t>
      </w:r>
    </w:p>
    <w:p w14:paraId="44BE277B">
      <w:pPr>
        <w:spacing w:line="360" w:lineRule="auto"/>
        <w:ind w:firstLine="480" w:firstLineChars="200"/>
        <w:rPr>
          <w:rFonts w:ascii="仿宋_GB2312" w:eastAsia="仿宋_GB2312"/>
          <w:color w:val="auto"/>
          <w:sz w:val="24"/>
        </w:rPr>
      </w:pPr>
      <w:r>
        <w:rPr>
          <w:rFonts w:ascii="仿宋_GB2312" w:eastAsia="仿宋_GB2312"/>
          <w:color w:val="auto"/>
          <w:sz w:val="24"/>
        </w:rPr>
        <w:t>姓    名：</w:t>
      </w:r>
      <w:r>
        <w:rPr>
          <w:rFonts w:ascii="仿宋_GB2312" w:eastAsia="仿宋_GB2312"/>
          <w:color w:val="auto"/>
          <w:sz w:val="24"/>
          <w:u w:val="single"/>
        </w:rPr>
        <w:t xml:space="preserve"> 　　</w:t>
      </w:r>
      <w:r>
        <w:rPr>
          <w:rFonts w:ascii="仿宋_GB2312" w:eastAsia="仿宋_GB2312"/>
          <w:color w:val="auto"/>
          <w:sz w:val="24"/>
        </w:rPr>
        <w:t>；</w:t>
      </w:r>
    </w:p>
    <w:p w14:paraId="093FBDAE">
      <w:pPr>
        <w:spacing w:line="360" w:lineRule="auto"/>
        <w:ind w:firstLine="480" w:firstLineChars="200"/>
        <w:rPr>
          <w:rFonts w:ascii="仿宋_GB2312" w:eastAsia="仿宋_GB2312"/>
          <w:color w:val="auto"/>
          <w:sz w:val="24"/>
        </w:rPr>
      </w:pPr>
      <w:r>
        <w:rPr>
          <w:rFonts w:ascii="仿宋_GB2312" w:eastAsia="仿宋_GB2312"/>
          <w:color w:val="auto"/>
          <w:sz w:val="24"/>
        </w:rPr>
        <w:t>身份证号：</w:t>
      </w:r>
      <w:r>
        <w:rPr>
          <w:rFonts w:ascii="仿宋_GB2312" w:eastAsia="仿宋_GB2312"/>
          <w:color w:val="auto"/>
          <w:sz w:val="24"/>
          <w:u w:val="single"/>
        </w:rPr>
        <w:t>　</w:t>
      </w:r>
      <w:r>
        <w:rPr>
          <w:rFonts w:ascii="仿宋_GB2312" w:eastAsia="仿宋_GB2312"/>
          <w:color w:val="auto"/>
          <w:sz w:val="24"/>
        </w:rPr>
        <w:t>；</w:t>
      </w:r>
    </w:p>
    <w:p w14:paraId="3EB5A9ED">
      <w:pPr>
        <w:spacing w:line="360" w:lineRule="auto"/>
        <w:ind w:firstLine="480" w:firstLineChars="200"/>
        <w:rPr>
          <w:rFonts w:ascii="仿宋_GB2312" w:eastAsia="仿宋_GB2312"/>
          <w:color w:val="auto"/>
          <w:sz w:val="24"/>
        </w:rPr>
      </w:pPr>
      <w:r>
        <w:rPr>
          <w:rFonts w:ascii="仿宋_GB2312" w:eastAsia="仿宋_GB2312"/>
          <w:color w:val="auto"/>
          <w:sz w:val="24"/>
        </w:rPr>
        <w:t>建造师执业资格等级：</w:t>
      </w:r>
      <w:r>
        <w:rPr>
          <w:rFonts w:ascii="仿宋_GB2312" w:eastAsia="仿宋_GB2312"/>
          <w:color w:val="auto"/>
          <w:sz w:val="24"/>
          <w:u w:val="single"/>
        </w:rPr>
        <w:t>　　　　</w:t>
      </w:r>
      <w:r>
        <w:rPr>
          <w:rFonts w:ascii="仿宋_GB2312" w:eastAsia="仿宋_GB2312"/>
          <w:color w:val="auto"/>
          <w:sz w:val="24"/>
        </w:rPr>
        <w:t>；</w:t>
      </w:r>
    </w:p>
    <w:p w14:paraId="32F37B58">
      <w:pPr>
        <w:spacing w:line="360" w:lineRule="auto"/>
        <w:ind w:firstLine="480" w:firstLineChars="200"/>
        <w:rPr>
          <w:rFonts w:ascii="仿宋_GB2312" w:eastAsia="仿宋_GB2312"/>
          <w:color w:val="auto"/>
          <w:sz w:val="24"/>
        </w:rPr>
      </w:pPr>
      <w:r>
        <w:rPr>
          <w:rFonts w:ascii="仿宋_GB2312" w:eastAsia="仿宋_GB2312"/>
          <w:color w:val="auto"/>
          <w:sz w:val="24"/>
        </w:rPr>
        <w:t>建造师注册证书号：；</w:t>
      </w:r>
    </w:p>
    <w:p w14:paraId="25BDE111">
      <w:pPr>
        <w:spacing w:line="360" w:lineRule="auto"/>
        <w:ind w:firstLine="480" w:firstLineChars="200"/>
        <w:rPr>
          <w:rFonts w:ascii="仿宋_GB2312" w:eastAsia="仿宋_GB2312"/>
          <w:color w:val="auto"/>
          <w:sz w:val="24"/>
        </w:rPr>
      </w:pPr>
      <w:r>
        <w:rPr>
          <w:rFonts w:ascii="仿宋_GB2312" w:eastAsia="仿宋_GB2312"/>
          <w:color w:val="auto"/>
          <w:sz w:val="24"/>
        </w:rPr>
        <w:t>建造师执业印章号：</w:t>
      </w:r>
      <w:r>
        <w:rPr>
          <w:rFonts w:ascii="仿宋_GB2312" w:eastAsia="仿宋_GB2312"/>
          <w:color w:val="auto"/>
          <w:sz w:val="24"/>
          <w:u w:val="single"/>
        </w:rPr>
        <w:t>　　</w:t>
      </w:r>
      <w:r>
        <w:rPr>
          <w:rFonts w:ascii="仿宋_GB2312" w:eastAsia="仿宋_GB2312"/>
          <w:color w:val="auto"/>
          <w:sz w:val="24"/>
        </w:rPr>
        <w:t>；</w:t>
      </w:r>
    </w:p>
    <w:p w14:paraId="049432BC">
      <w:pPr>
        <w:spacing w:line="360" w:lineRule="auto"/>
        <w:ind w:firstLine="480" w:firstLineChars="200"/>
        <w:rPr>
          <w:rFonts w:ascii="仿宋_GB2312" w:eastAsia="仿宋_GB2312"/>
          <w:color w:val="auto"/>
          <w:sz w:val="24"/>
        </w:rPr>
      </w:pPr>
      <w:r>
        <w:rPr>
          <w:rFonts w:ascii="仿宋_GB2312" w:eastAsia="仿宋_GB2312"/>
          <w:color w:val="auto"/>
          <w:sz w:val="24"/>
        </w:rPr>
        <w:t>安全生产考核合格证书号：</w:t>
      </w:r>
      <w:r>
        <w:rPr>
          <w:rFonts w:ascii="仿宋_GB2312" w:eastAsia="仿宋_GB2312"/>
          <w:color w:val="auto"/>
          <w:sz w:val="24"/>
          <w:u w:val="single"/>
        </w:rPr>
        <w:t>　</w:t>
      </w:r>
      <w:r>
        <w:rPr>
          <w:rFonts w:ascii="仿宋_GB2312" w:eastAsia="仿宋_GB2312"/>
          <w:color w:val="auto"/>
          <w:sz w:val="24"/>
        </w:rPr>
        <w:t>；</w:t>
      </w:r>
    </w:p>
    <w:p w14:paraId="5F20264F">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r>
        <w:rPr>
          <w:rFonts w:ascii="仿宋_GB2312" w:eastAsia="仿宋_GB2312"/>
          <w:color w:val="auto"/>
          <w:sz w:val="24"/>
          <w:u w:val="single"/>
        </w:rPr>
        <w:t>　　　　　　　　　　  　　　    　　</w:t>
      </w:r>
      <w:r>
        <w:rPr>
          <w:rFonts w:ascii="仿宋_GB2312" w:eastAsia="仿宋_GB2312"/>
          <w:color w:val="auto"/>
          <w:sz w:val="24"/>
        </w:rPr>
        <w:t>；</w:t>
      </w:r>
    </w:p>
    <w:p w14:paraId="47D29B25">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r>
        <w:rPr>
          <w:rFonts w:ascii="仿宋_GB2312" w:eastAsia="仿宋_GB2312"/>
          <w:color w:val="auto"/>
          <w:sz w:val="24"/>
          <w:u w:val="single"/>
        </w:rPr>
        <w:t>　　　　　　　　  　　　　　　</w:t>
      </w:r>
      <w:r>
        <w:rPr>
          <w:rFonts w:ascii="仿宋_GB2312" w:eastAsia="仿宋_GB2312"/>
          <w:color w:val="auto"/>
          <w:sz w:val="24"/>
        </w:rPr>
        <w:t>；</w:t>
      </w:r>
    </w:p>
    <w:p w14:paraId="7312348A">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r>
        <w:rPr>
          <w:rFonts w:ascii="仿宋_GB2312" w:eastAsia="仿宋_GB2312"/>
          <w:color w:val="auto"/>
          <w:sz w:val="24"/>
          <w:u w:val="single"/>
        </w:rPr>
        <w:t>　　　　　　　　　　　</w:t>
      </w:r>
      <w:r>
        <w:rPr>
          <w:rFonts w:ascii="仿宋_GB2312" w:eastAsia="仿宋_GB2312"/>
          <w:color w:val="auto"/>
          <w:sz w:val="24"/>
        </w:rPr>
        <w:t>；</w:t>
      </w:r>
    </w:p>
    <w:p w14:paraId="68C782BD">
      <w:pPr>
        <w:spacing w:line="360" w:lineRule="auto"/>
        <w:ind w:firstLine="480" w:firstLineChars="200"/>
        <w:rPr>
          <w:rFonts w:ascii="仿宋_GB2312" w:eastAsia="仿宋_GB2312"/>
          <w:color w:val="auto"/>
          <w:sz w:val="24"/>
        </w:rPr>
      </w:pPr>
      <w:r>
        <w:rPr>
          <w:rFonts w:ascii="仿宋_GB2312" w:eastAsia="仿宋_GB2312"/>
          <w:color w:val="auto"/>
          <w:sz w:val="24"/>
        </w:rPr>
        <w:t xml:space="preserve">承包人对项目经理的授权范围如下：  </w:t>
      </w:r>
      <w:r>
        <w:rPr>
          <w:rFonts w:ascii="仿宋_GB2312" w:eastAsia="仿宋_GB2312"/>
          <w:color w:val="auto"/>
          <w:sz w:val="24"/>
          <w:u w:val="single"/>
        </w:rPr>
        <w:t xml:space="preserve">　项目经理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的行为　　 </w:t>
      </w:r>
      <w:r>
        <w:rPr>
          <w:rFonts w:ascii="仿宋_GB2312" w:eastAsia="仿宋_GB2312"/>
          <w:color w:val="auto"/>
          <w:sz w:val="24"/>
        </w:rPr>
        <w:t>。</w:t>
      </w:r>
    </w:p>
    <w:p w14:paraId="540327CF">
      <w:pPr>
        <w:spacing w:line="360" w:lineRule="auto"/>
        <w:ind w:firstLine="480" w:firstLineChars="200"/>
        <w:rPr>
          <w:rFonts w:ascii="仿宋_GB2312" w:eastAsia="仿宋_GB2312"/>
          <w:color w:val="auto"/>
          <w:sz w:val="24"/>
        </w:rPr>
      </w:pPr>
      <w:r>
        <w:rPr>
          <w:rFonts w:ascii="仿宋_GB2312" w:eastAsia="仿宋_GB2312"/>
          <w:color w:val="auto"/>
          <w:sz w:val="24"/>
        </w:rPr>
        <w:t>关于项目经理每月在施工现场的时间要求：</w:t>
      </w:r>
      <w:r>
        <w:rPr>
          <w:rFonts w:ascii="仿宋_GB2312" w:eastAsia="仿宋_GB2312"/>
          <w:color w:val="auto"/>
          <w:sz w:val="24"/>
          <w:u w:val="single"/>
        </w:rPr>
        <w:t xml:space="preserve">   　双方另行确定          　</w:t>
      </w:r>
      <w:r>
        <w:rPr>
          <w:rFonts w:ascii="仿宋_GB2312" w:eastAsia="仿宋_GB2312"/>
          <w:color w:val="auto"/>
          <w:sz w:val="24"/>
        </w:rPr>
        <w:t>。</w:t>
      </w:r>
    </w:p>
    <w:p w14:paraId="0F5628F1">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承包人未提交劳动合同，以及没有为项目经理缴纳社会保险证明的违约责任：</w:t>
      </w:r>
      <w:r>
        <w:rPr>
          <w:rFonts w:ascii="仿宋_GB2312" w:eastAsia="仿宋_GB2312"/>
          <w:color w:val="auto"/>
          <w:sz w:val="24"/>
          <w:u w:val="single"/>
        </w:rPr>
        <w:t xml:space="preserve">项目经理无权履行职责，发包人有权要求更换项目经理，由此增加的费用和（或）延误的工期由承包人承担，并按3.2.3条款处罚   </w:t>
      </w:r>
      <w:r>
        <w:rPr>
          <w:rFonts w:ascii="仿宋_GB2312" w:eastAsia="仿宋_GB2312"/>
          <w:color w:val="auto"/>
          <w:sz w:val="24"/>
        </w:rPr>
        <w:t>。</w:t>
      </w:r>
    </w:p>
    <w:p w14:paraId="72593E44">
      <w:pPr>
        <w:spacing w:line="360" w:lineRule="auto"/>
        <w:ind w:firstLine="480" w:firstLineChars="200"/>
        <w:rPr>
          <w:rFonts w:ascii="黑体" w:hAnsi="黑体" w:eastAsia="黑体"/>
          <w:color w:val="auto"/>
          <w:sz w:val="24"/>
          <w:u w:val="single"/>
        </w:rPr>
      </w:pPr>
      <w:r>
        <w:rPr>
          <w:rFonts w:ascii="黑体" w:hAnsi="黑体" w:eastAsia="黑体"/>
          <w:color w:val="auto"/>
          <w:sz w:val="24"/>
          <w:u w:val="single"/>
        </w:rPr>
        <w:t>项目经理和安全员未经批准，擅自离开施工现场的违约责任：项目经理和安全员每月在岗带班时间不得少于22个工作日，并做好考勤记录，随时接受发包人的不定期检查。如发现项目经理和安全员违约或不在岗，发包人有权处违约金 3000元/日（人民币） ，从当月（季）进度款中扣除 。</w:t>
      </w:r>
      <w:r>
        <w:rPr>
          <w:rFonts w:ascii="黑体" w:hAnsi="黑体" w:eastAsia="黑体"/>
          <w:color w:val="auto"/>
          <w:sz w:val="24"/>
        </w:rPr>
        <w:t>。</w:t>
      </w:r>
    </w:p>
    <w:p w14:paraId="5ADA5096">
      <w:pPr>
        <w:spacing w:line="360" w:lineRule="auto"/>
        <w:ind w:firstLine="480" w:firstLineChars="200"/>
        <w:rPr>
          <w:rFonts w:ascii="仿宋_GB2312" w:eastAsia="仿宋_GB2312"/>
          <w:color w:val="auto"/>
          <w:sz w:val="24"/>
        </w:rPr>
      </w:pPr>
      <w:r>
        <w:rPr>
          <w:rFonts w:ascii="仿宋_GB2312" w:eastAsia="仿宋_GB2312"/>
          <w:color w:val="auto"/>
          <w:sz w:val="24"/>
        </w:rPr>
        <w:t>3.2.3 承包人擅自更换项目经理的违约责任：</w:t>
      </w:r>
      <w:r>
        <w:rPr>
          <w:rFonts w:ascii="仿宋_GB2312" w:eastAsia="仿宋_GB2312"/>
          <w:color w:val="auto"/>
          <w:sz w:val="24"/>
          <w:u w:val="single"/>
        </w:rPr>
        <w:t>承包人项目经理必须与承包人投标时所承诺的人员一致，并在  （开工日期）  前到任。在监理人向承包人颁发（竣工证明材料名称）前，项目经理不得同时兼任其他任何项目的项目经理（符合桂建管</w:t>
      </w:r>
      <w:r>
        <w:rPr>
          <w:rFonts w:ascii="仿宋_GB2312"/>
          <w:color w:val="auto"/>
          <w:sz w:val="24"/>
          <w:u w:val="single"/>
        </w:rPr>
        <w:t>﹝</w:t>
      </w:r>
      <w:r>
        <w:rPr>
          <w:rFonts w:ascii="仿宋_GB2312" w:eastAsia="仿宋_GB2312"/>
          <w:color w:val="auto"/>
          <w:sz w:val="24"/>
          <w:u w:val="single"/>
        </w:rPr>
        <w:t>2013</w:t>
      </w:r>
      <w:r>
        <w:rPr>
          <w:rFonts w:ascii="仿宋_GB2312"/>
          <w:color w:val="auto"/>
          <w:sz w:val="24"/>
          <w:u w:val="single"/>
        </w:rPr>
        <w:t>﹞</w:t>
      </w:r>
      <w:r>
        <w:rPr>
          <w:rFonts w:ascii="仿宋_GB2312" w:eastAsia="仿宋_GB2312"/>
          <w:color w:val="auto"/>
          <w:sz w:val="24"/>
          <w:u w:val="single"/>
        </w:rPr>
        <w:t>17号和桂建管</w:t>
      </w:r>
      <w:r>
        <w:rPr>
          <w:rFonts w:ascii="仿宋_GB2312"/>
          <w:color w:val="auto"/>
          <w:sz w:val="24"/>
          <w:u w:val="single"/>
        </w:rPr>
        <w:t>﹝</w:t>
      </w:r>
      <w:r>
        <w:rPr>
          <w:rFonts w:ascii="仿宋_GB2312" w:eastAsia="仿宋_GB2312"/>
          <w:color w:val="auto"/>
          <w:sz w:val="24"/>
          <w:u w:val="single"/>
        </w:rPr>
        <w:t>2014</w:t>
      </w:r>
      <w:r>
        <w:rPr>
          <w:rFonts w:ascii="仿宋_GB2312"/>
          <w:color w:val="auto"/>
          <w:sz w:val="24"/>
          <w:u w:val="single"/>
        </w:rPr>
        <w:t>﹞</w:t>
      </w:r>
      <w:r>
        <w:rPr>
          <w:rFonts w:ascii="仿宋_GB2312" w:eastAsia="仿宋_GB2312"/>
          <w:color w:val="auto"/>
          <w:sz w:val="24"/>
          <w:u w:val="single"/>
        </w:rPr>
        <w:t>25号文除外）。未经发包人书面同意，承包人擅自更换项目经理的视为违约，违约金处 10万元/人•次（人民币）</w:t>
      </w:r>
      <w:r>
        <w:rPr>
          <w:rFonts w:ascii="仿宋_GB2312" w:eastAsia="仿宋_GB2312"/>
          <w:color w:val="auto"/>
          <w:sz w:val="24"/>
        </w:rPr>
        <w:t>。</w:t>
      </w:r>
    </w:p>
    <w:p w14:paraId="68A5DC43">
      <w:pPr>
        <w:spacing w:line="360" w:lineRule="auto"/>
        <w:ind w:firstLine="480" w:firstLineChars="200"/>
        <w:rPr>
          <w:rFonts w:ascii="仿宋_GB2312" w:eastAsia="仿宋_GB2312"/>
          <w:color w:val="auto"/>
          <w:sz w:val="24"/>
        </w:rPr>
      </w:pPr>
      <w:r>
        <w:rPr>
          <w:rFonts w:ascii="仿宋_GB2312" w:eastAsia="仿宋_GB2312"/>
          <w:color w:val="auto"/>
          <w:sz w:val="24"/>
        </w:rPr>
        <w:t>3.2.4 承包人无正当理由拒绝更换项目经理的违约责任：</w:t>
      </w:r>
      <w:r>
        <w:rPr>
          <w:rFonts w:ascii="仿宋_GB2312" w:eastAsia="仿宋_GB2312"/>
          <w:color w:val="auto"/>
          <w:sz w:val="24"/>
          <w:u w:val="single"/>
        </w:rPr>
        <w:t>因承包人项目经理不称职，发包人要求调换而未及时调换的，视为承包人违约，必须向发包人交纳处罚金 10万元/人•次（人民币）</w:t>
      </w:r>
      <w:r>
        <w:rPr>
          <w:rFonts w:ascii="仿宋_GB2312" w:eastAsia="仿宋_GB2312"/>
          <w:color w:val="auto"/>
          <w:sz w:val="24"/>
        </w:rPr>
        <w:t>。</w:t>
      </w:r>
    </w:p>
    <w:p w14:paraId="256E5A13">
      <w:pPr>
        <w:pStyle w:val="4"/>
        <w:rPr>
          <w:rFonts w:ascii="仿宋_GB2312" w:eastAsia="仿宋_GB2312"/>
          <w:color w:val="auto"/>
          <w:szCs w:val="24"/>
        </w:rPr>
      </w:pPr>
      <w:r>
        <w:rPr>
          <w:rFonts w:hint="eastAsia" w:ascii="仿宋_GB2312" w:eastAsia="仿宋_GB2312"/>
          <w:color w:val="auto"/>
          <w:szCs w:val="24"/>
        </w:rPr>
        <w:t>3.3 承包人人员</w:t>
      </w:r>
    </w:p>
    <w:p w14:paraId="0D10267E">
      <w:pPr>
        <w:spacing w:line="360" w:lineRule="auto"/>
        <w:ind w:firstLine="480" w:firstLineChars="200"/>
        <w:rPr>
          <w:rFonts w:ascii="仿宋_GB2312" w:eastAsia="仿宋_GB2312"/>
          <w:color w:val="auto"/>
          <w:sz w:val="24"/>
        </w:rPr>
      </w:pPr>
      <w:r>
        <w:rPr>
          <w:rFonts w:ascii="仿宋_GB2312" w:eastAsia="仿宋_GB2312"/>
          <w:color w:val="auto"/>
          <w:sz w:val="24"/>
        </w:rPr>
        <w:t>3.3.1 承包人提交项目管理机构及施工现场管理人员安排报告（格式见合同附件3）的期限：</w:t>
      </w:r>
      <w:r>
        <w:rPr>
          <w:rFonts w:ascii="仿宋_GB2312" w:eastAsia="仿宋_GB2312"/>
          <w:color w:val="auto"/>
          <w:sz w:val="24"/>
          <w:u w:val="single"/>
        </w:rPr>
        <w:t xml:space="preserve">   在中标通知书发出之后三日 </w:t>
      </w:r>
      <w:r>
        <w:rPr>
          <w:rFonts w:ascii="仿宋_GB2312" w:eastAsia="仿宋_GB2312"/>
          <w:color w:val="auto"/>
          <w:sz w:val="24"/>
        </w:rPr>
        <w:t>。</w:t>
      </w:r>
    </w:p>
    <w:p w14:paraId="230E19DF">
      <w:pPr>
        <w:spacing w:line="360" w:lineRule="auto"/>
        <w:ind w:firstLine="480" w:firstLineChars="200"/>
        <w:rPr>
          <w:rFonts w:ascii="仿宋_GB2312" w:eastAsia="仿宋_GB2312"/>
          <w:color w:val="auto"/>
          <w:sz w:val="24"/>
        </w:rPr>
      </w:pPr>
      <w:r>
        <w:rPr>
          <w:rFonts w:ascii="仿宋_GB2312" w:eastAsia="仿宋_GB2312"/>
          <w:color w:val="auto"/>
          <w:sz w:val="24"/>
        </w:rPr>
        <w:t>3.3.3 承包人无正当理由拒绝撤换主要施工管理人员的违约责任：</w:t>
      </w:r>
      <w:r>
        <w:rPr>
          <w:rFonts w:ascii="仿宋_GB2312" w:eastAsia="仿宋_GB2312"/>
          <w:color w:val="auto"/>
          <w:sz w:val="24"/>
          <w:u w:val="single"/>
        </w:rPr>
        <w:t>因承包人主要施工管理人员不称职，发包人要求调换而无正当理由拒绝撤换或未及时调换的，视为承包人违约，必须向发包人交纳处罚金，处罚标准：技术负责人 8万 元/人•次（人民币）；专业工程师 5万元/人•次（人民币）</w:t>
      </w:r>
      <w:r>
        <w:rPr>
          <w:rFonts w:ascii="仿宋_GB2312" w:eastAsia="仿宋_GB2312"/>
          <w:color w:val="auto"/>
          <w:sz w:val="24"/>
        </w:rPr>
        <w:t>。</w:t>
      </w:r>
    </w:p>
    <w:p w14:paraId="422CEBB4">
      <w:pPr>
        <w:spacing w:line="360" w:lineRule="auto"/>
        <w:ind w:firstLine="480" w:firstLineChars="200"/>
        <w:rPr>
          <w:rFonts w:ascii="仿宋_GB2312" w:eastAsia="仿宋_GB2312"/>
          <w:color w:val="auto"/>
          <w:sz w:val="24"/>
          <w:u w:val="single"/>
        </w:rPr>
      </w:pPr>
      <w:r>
        <w:rPr>
          <w:rFonts w:ascii="仿宋_GB2312" w:eastAsia="仿宋_GB2312"/>
          <w:color w:val="auto"/>
          <w:sz w:val="24"/>
        </w:rPr>
        <w:t>3.3.4 承包人主要施工管理人员离开施工现场的批准要求：</w:t>
      </w:r>
      <w:r>
        <w:rPr>
          <w:rFonts w:ascii="仿宋_GB2312" w:eastAsia="仿宋_GB2312"/>
          <w:color w:val="auto"/>
          <w:sz w:val="24"/>
          <w:u w:val="single"/>
        </w:rPr>
        <w:t xml:space="preserve">   经业主代表批准   </w:t>
      </w:r>
      <w:r>
        <w:rPr>
          <w:rFonts w:ascii="仿宋_GB2312" w:eastAsia="仿宋_GB2312"/>
          <w:color w:val="auto"/>
          <w:sz w:val="24"/>
        </w:rPr>
        <w:t>。</w:t>
      </w:r>
    </w:p>
    <w:p w14:paraId="73901FA2">
      <w:pPr>
        <w:spacing w:line="360" w:lineRule="auto"/>
        <w:ind w:firstLine="480" w:firstLineChars="200"/>
        <w:rPr>
          <w:rFonts w:ascii="仿宋_GB2312" w:eastAsia="仿宋_GB2312"/>
          <w:color w:val="auto"/>
          <w:sz w:val="24"/>
        </w:rPr>
      </w:pPr>
      <w:r>
        <w:rPr>
          <w:rFonts w:ascii="仿宋_GB2312" w:eastAsia="仿宋_GB2312"/>
          <w:color w:val="auto"/>
          <w:sz w:val="24"/>
        </w:rPr>
        <w:t>3.3.5 承包人擅自更换主要施工管理人员的违约责任：</w:t>
      </w:r>
      <w:r>
        <w:rPr>
          <w:rFonts w:ascii="仿宋_GB2312" w:eastAsia="仿宋_GB2312"/>
          <w:color w:val="auto"/>
          <w:sz w:val="24"/>
          <w:u w:val="single"/>
        </w:rPr>
        <w:t>项目技术负责人、专职安全员及其承诺的其它在场管理人员未经发包人书面同意不准擅自更换，擅自更换项目技术负责人处 8万元/人•次（人民币）违约金；擅自更换专职安全员处 5万元/人•次（人民币）违约金；擅自更换其它在场管理人员处 3万元/人•次（人民币）违约金</w:t>
      </w:r>
      <w:r>
        <w:rPr>
          <w:rFonts w:ascii="仿宋_GB2312" w:eastAsia="仿宋_GB2312"/>
          <w:color w:val="auto"/>
          <w:sz w:val="24"/>
        </w:rPr>
        <w:t>。</w:t>
      </w:r>
    </w:p>
    <w:p w14:paraId="744362D3">
      <w:pPr>
        <w:spacing w:line="360" w:lineRule="auto"/>
        <w:ind w:firstLine="480" w:firstLineChars="200"/>
        <w:rPr>
          <w:rFonts w:ascii="仿宋_GB2312" w:eastAsia="仿宋_GB2312"/>
          <w:color w:val="auto"/>
          <w:sz w:val="24"/>
        </w:rPr>
      </w:pPr>
      <w:r>
        <w:rPr>
          <w:rFonts w:ascii="仿宋_GB2312" w:eastAsia="仿宋_GB2312"/>
          <w:color w:val="auto"/>
          <w:sz w:val="24"/>
        </w:rPr>
        <w:t>承包人主要施工管理人员擅自离开施工现场的违约责任：</w:t>
      </w:r>
      <w:r>
        <w:rPr>
          <w:rFonts w:ascii="仿宋_GB2312" w:eastAsia="仿宋_GB2312"/>
          <w:color w:val="auto"/>
          <w:sz w:val="24"/>
          <w:u w:val="single"/>
        </w:rPr>
        <w:t>未经发包人同意，项目技术负责人擅自离岗的，视为承包人违约，发包人有权处违约金 2000元/人•次（人民币）；未经发包人同意，专职安全员擅自离岗的，视为承包人违约，发包人有权处违约金 1000元/人•次（人民币）；其它在场管理人员擅自离岗的，视为承包人违约，发包人有权处违约金 800元/人•次（人民币）</w:t>
      </w:r>
      <w:r>
        <w:rPr>
          <w:rFonts w:ascii="仿宋_GB2312" w:eastAsia="仿宋_GB2312"/>
          <w:color w:val="auto"/>
          <w:sz w:val="24"/>
        </w:rPr>
        <w:t>。</w:t>
      </w:r>
    </w:p>
    <w:p w14:paraId="01E7A236">
      <w:pPr>
        <w:pStyle w:val="4"/>
        <w:rPr>
          <w:rFonts w:ascii="仿宋_GB2312" w:eastAsia="仿宋_GB2312"/>
          <w:color w:val="auto"/>
          <w:szCs w:val="24"/>
        </w:rPr>
      </w:pPr>
      <w:r>
        <w:rPr>
          <w:rFonts w:hint="eastAsia" w:ascii="仿宋_GB2312" w:eastAsia="仿宋_GB2312"/>
          <w:color w:val="auto"/>
          <w:szCs w:val="24"/>
        </w:rPr>
        <w:t>3.5 分包</w:t>
      </w:r>
    </w:p>
    <w:p w14:paraId="3E5A06D2">
      <w:pPr>
        <w:spacing w:line="360" w:lineRule="auto"/>
        <w:ind w:firstLine="480" w:firstLineChars="200"/>
        <w:rPr>
          <w:rFonts w:ascii="仿宋_GB2312" w:eastAsia="仿宋_GB2312"/>
          <w:color w:val="auto"/>
          <w:sz w:val="24"/>
        </w:rPr>
      </w:pPr>
      <w:r>
        <w:rPr>
          <w:rFonts w:ascii="仿宋_GB2312" w:eastAsia="仿宋_GB2312"/>
          <w:color w:val="auto"/>
          <w:sz w:val="24"/>
        </w:rPr>
        <w:t>本项目不允许分包</w:t>
      </w:r>
    </w:p>
    <w:p w14:paraId="45851603">
      <w:pPr>
        <w:pStyle w:val="4"/>
        <w:rPr>
          <w:rFonts w:ascii="仿宋_GB2312" w:eastAsia="仿宋_GB2312"/>
          <w:color w:val="auto"/>
          <w:szCs w:val="24"/>
        </w:rPr>
      </w:pPr>
      <w:r>
        <w:rPr>
          <w:rFonts w:hint="eastAsia" w:ascii="仿宋_GB2312" w:eastAsia="仿宋_GB2312"/>
          <w:color w:val="auto"/>
          <w:szCs w:val="24"/>
        </w:rPr>
        <w:t>3.6 工程照管与成品、半成品保护</w:t>
      </w:r>
    </w:p>
    <w:p w14:paraId="443B262F">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承包人负责照管工程及工程相关的材料、工程设备的起始时间：</w:t>
      </w:r>
      <w:r>
        <w:rPr>
          <w:rFonts w:ascii="仿宋_GB2312" w:eastAsia="仿宋_GB2312"/>
          <w:color w:val="auto"/>
          <w:sz w:val="24"/>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r>
        <w:rPr>
          <w:rFonts w:ascii="仿宋_GB2312" w:eastAsia="仿宋_GB2312"/>
          <w:color w:val="auto"/>
          <w:sz w:val="24"/>
        </w:rPr>
        <w:t>。</w:t>
      </w:r>
    </w:p>
    <w:p w14:paraId="335F9B52">
      <w:pPr>
        <w:pStyle w:val="251"/>
        <w:spacing w:before="139"/>
        <w:rPr>
          <w:rFonts w:hint="eastAsia" w:ascii="仿宋_GB2312" w:hAnsi="Times New Roman" w:eastAsia="仿宋_GB2312" w:cs="Times New Roman"/>
          <w:b/>
          <w:bCs/>
          <w:color w:val="auto"/>
          <w:kern w:val="2"/>
          <w:sz w:val="32"/>
          <w:szCs w:val="24"/>
          <w:lang w:val="en-US" w:eastAsia="zh-CN" w:bidi="ar-SA"/>
        </w:rPr>
      </w:pPr>
      <w:r>
        <w:rPr>
          <w:rFonts w:hint="eastAsia" w:ascii="仿宋_GB2312" w:hAnsi="Times New Roman" w:eastAsia="仿宋_GB2312" w:cs="Times New Roman"/>
          <w:b/>
          <w:bCs/>
          <w:color w:val="auto"/>
          <w:kern w:val="2"/>
          <w:sz w:val="32"/>
          <w:szCs w:val="24"/>
          <w:lang w:val="en-US" w:eastAsia="zh-CN" w:bidi="ar-SA"/>
        </w:rPr>
        <w:t>3.7承包人提供履约担保的形式、金额及期限的：</w:t>
      </w:r>
    </w:p>
    <w:p w14:paraId="136E5CA5">
      <w:pPr>
        <w:pStyle w:val="251"/>
        <w:spacing w:before="139"/>
        <w:rPr>
          <w:rFonts w:ascii="黑体" w:hAnsi="黑体" w:eastAsia="黑体"/>
          <w:color w:val="auto"/>
          <w:sz w:val="24"/>
        </w:rPr>
      </w:pPr>
      <w:r>
        <w:rPr>
          <w:rFonts w:hint="eastAsia" w:ascii="黑体" w:hAnsi="黑体" w:eastAsia="黑体"/>
          <w:color w:val="auto"/>
          <w:sz w:val="24"/>
          <w:u w:val="single"/>
          <w:lang w:eastAsia="zh-CN"/>
        </w:rPr>
        <w:t>不收取</w:t>
      </w:r>
      <w:r>
        <w:rPr>
          <w:rFonts w:ascii="黑体" w:hAnsi="黑体" w:eastAsia="黑体"/>
          <w:color w:val="auto"/>
          <w:sz w:val="24"/>
          <w:u w:val="single"/>
        </w:rPr>
        <w:t>履约保证金</w:t>
      </w:r>
      <w:r>
        <w:rPr>
          <w:rFonts w:hint="eastAsia" w:ascii="黑体" w:hAnsi="黑体" w:eastAsia="黑体"/>
          <w:color w:val="auto"/>
          <w:sz w:val="24"/>
          <w:u w:val="single"/>
        </w:rPr>
        <w:t>；（注：免收中型、小型、微型企业履约保证金，同时不收取没有法律依据的质量保证金）</w:t>
      </w:r>
      <w:r>
        <w:rPr>
          <w:rFonts w:ascii="黑体" w:hAnsi="黑体" w:eastAsia="黑体"/>
          <w:color w:val="auto"/>
          <w:sz w:val="24"/>
          <w:u w:val="single"/>
        </w:rPr>
        <w:t>履约担保的有效期应当自本合同生效之日起至发包人签认并由监理人向承包人出具 《建设工程质量竣工验收意见书》之日止。如果承包人无法获得一份不带具体截止日期的担保，履约担保中应当有“变更工程竣工日期的，保证期间按照变更后的竣工日期做相应调整”或类似约定的条款。</w:t>
      </w:r>
    </w:p>
    <w:p w14:paraId="0C78FB44">
      <w:pPr>
        <w:spacing w:line="360" w:lineRule="auto"/>
        <w:ind w:firstLine="480" w:firstLineChars="200"/>
        <w:rPr>
          <w:rFonts w:ascii="黑体" w:hAnsi="黑体" w:eastAsia="黑体"/>
          <w:color w:val="auto"/>
          <w:sz w:val="24"/>
          <w:u w:val="single"/>
        </w:rPr>
      </w:pPr>
      <w:r>
        <w:rPr>
          <w:rFonts w:ascii="黑体" w:hAnsi="黑体" w:eastAsia="黑体"/>
          <w:color w:val="auto"/>
          <w:sz w:val="24"/>
          <w:u w:val="single"/>
        </w:rPr>
        <w:t>工程竣工验收合格无异议并完成竣工资料移交手续后，承包人可向发包人申请退还履约保证金，发包人应在收到申请之日起28个日历天内,将履约金退还给承包人（无息）。如果中标人仍欠有农民工工资和材料款并由此造成怠工、停工等影响工程进度的，则发包人有权用履约金支付。</w:t>
      </w:r>
    </w:p>
    <w:p w14:paraId="5999F000">
      <w:pPr>
        <w:spacing w:line="360" w:lineRule="auto"/>
        <w:ind w:firstLine="480" w:firstLineChars="200"/>
        <w:rPr>
          <w:rFonts w:ascii="仿宋_GB2312" w:eastAsia="仿宋_GB2312"/>
          <w:color w:val="auto"/>
          <w:u w:val="single"/>
        </w:rPr>
      </w:pPr>
      <w:r>
        <w:rPr>
          <w:rFonts w:ascii="黑体" w:hAnsi="黑体" w:eastAsia="黑体"/>
          <w:color w:val="auto"/>
          <w:sz w:val="24"/>
          <w:u w:val="single"/>
        </w:rPr>
        <w:t>承包人在中标后7个工作日内，按</w:t>
      </w:r>
      <w:r>
        <w:rPr>
          <w:rFonts w:hint="eastAsia" w:ascii="黑体" w:hAnsi="黑体" w:eastAsia="黑体"/>
          <w:color w:val="auto"/>
          <w:sz w:val="24"/>
          <w:u w:val="single"/>
        </w:rPr>
        <w:t>龙州县</w:t>
      </w:r>
      <w:r>
        <w:rPr>
          <w:rFonts w:ascii="黑体" w:hAnsi="黑体" w:eastAsia="黑体"/>
          <w:color w:val="auto"/>
          <w:sz w:val="24"/>
          <w:u w:val="single"/>
        </w:rPr>
        <w:t>住房城乡建设行政主管部门规定将农民工工资保障金存入帐户。工程竣工验收结算经审定后，按照规定程序，将农民工工资保障金没有使用或剩余的金额退还给承包人。</w:t>
      </w:r>
    </w:p>
    <w:p w14:paraId="06D5F94E">
      <w:pPr>
        <w:pStyle w:val="178"/>
        <w:spacing w:line="360" w:lineRule="auto"/>
        <w:ind w:firstLine="420" w:firstLineChars="200"/>
        <w:jc w:val="left"/>
        <w:rPr>
          <w:color w:val="auto"/>
        </w:rPr>
      </w:pPr>
      <w:r>
        <w:rPr>
          <w:rFonts w:hAnsi="宋体"/>
          <w:color w:val="auto"/>
        </w:rPr>
        <w:t>承包人提供履约担保的形式、金额及期限的：</w:t>
      </w:r>
      <w:r>
        <w:rPr>
          <w:rFonts w:hAnsi="宋体"/>
          <w:color w:val="auto"/>
          <w:u w:val="single"/>
        </w:rPr>
        <w:t>承包人在收到中标通知书后，须在</w:t>
      </w:r>
      <w:r>
        <w:rPr>
          <w:color w:val="auto"/>
          <w:u w:val="single"/>
        </w:rPr>
        <w:t>30</w:t>
      </w:r>
      <w:r>
        <w:rPr>
          <w:rFonts w:hAnsi="宋体"/>
          <w:color w:val="auto"/>
          <w:u w:val="single"/>
        </w:rPr>
        <w:t>日内向发包人提交合同价款扣除建安劳保费、发包人材料价款、暂估专业工程、暂列金额后的</w:t>
      </w:r>
      <w:r>
        <w:rPr>
          <w:rFonts w:hint="eastAsia"/>
          <w:color w:val="auto"/>
          <w:u w:val="single"/>
          <w:lang w:val="en-US" w:eastAsia="zh-CN"/>
        </w:rPr>
        <w:t>/</w:t>
      </w:r>
      <w:r>
        <w:rPr>
          <w:rFonts w:hAnsi="宋体"/>
          <w:color w:val="auto"/>
          <w:u w:val="single"/>
        </w:rPr>
        <w:t>的履约担保</w:t>
      </w:r>
      <w:r>
        <w:rPr>
          <w:rFonts w:hint="eastAsia" w:hAnsi="宋体"/>
          <w:color w:val="auto"/>
          <w:u w:val="single"/>
        </w:rPr>
        <w:t>（格式见合同附件5）</w:t>
      </w:r>
      <w:r>
        <w:rPr>
          <w:rFonts w:hAnsi="宋体"/>
          <w:color w:val="auto"/>
          <w:u w:val="single"/>
        </w:rPr>
        <w:t>。</w:t>
      </w:r>
    </w:p>
    <w:p w14:paraId="1C636A1C">
      <w:pPr>
        <w:pStyle w:val="178"/>
        <w:spacing w:line="360" w:lineRule="auto"/>
        <w:ind w:firstLine="420" w:firstLineChars="200"/>
        <w:rPr>
          <w:color w:val="auto"/>
          <w:u w:val="single"/>
        </w:rPr>
      </w:pPr>
      <w:r>
        <w:rPr>
          <w:rFonts w:hAnsi="宋体"/>
          <w:color w:val="auto"/>
          <w:u w:val="single"/>
        </w:rPr>
        <w:t>工程</w:t>
      </w:r>
      <w:r>
        <w:rPr>
          <w:rFonts w:hint="eastAsia" w:hAnsi="宋体"/>
          <w:color w:val="auto"/>
          <w:u w:val="single"/>
        </w:rPr>
        <w:t>主体</w:t>
      </w:r>
      <w:r>
        <w:rPr>
          <w:rFonts w:hAnsi="宋体"/>
          <w:color w:val="auto"/>
          <w:u w:val="single"/>
        </w:rPr>
        <w:t>验收合格并对验收发现的问题完成整改后的</w:t>
      </w:r>
      <w:r>
        <w:rPr>
          <w:color w:val="auto"/>
          <w:u w:val="single"/>
        </w:rPr>
        <w:t>7</w:t>
      </w:r>
      <w:r>
        <w:rPr>
          <w:rFonts w:hAnsi="宋体"/>
          <w:color w:val="auto"/>
          <w:u w:val="single"/>
        </w:rPr>
        <w:t>个日历天内，</w:t>
      </w:r>
      <w:r>
        <w:rPr>
          <w:rFonts w:hint="eastAsia" w:hAnsi="宋体"/>
          <w:color w:val="auto"/>
          <w:u w:val="single"/>
        </w:rPr>
        <w:t>发包人</w:t>
      </w:r>
      <w:r>
        <w:rPr>
          <w:rFonts w:hAnsi="宋体"/>
          <w:color w:val="auto"/>
          <w:u w:val="single"/>
        </w:rPr>
        <w:t>支付履约</w:t>
      </w:r>
      <w:r>
        <w:rPr>
          <w:rFonts w:hint="eastAsia" w:hAnsi="宋体"/>
          <w:color w:val="auto"/>
          <w:u w:val="single"/>
        </w:rPr>
        <w:t>保证</w:t>
      </w:r>
      <w:r>
        <w:rPr>
          <w:rFonts w:hAnsi="宋体"/>
          <w:color w:val="auto"/>
          <w:u w:val="single"/>
        </w:rPr>
        <w:t>金的</w:t>
      </w:r>
      <w:r>
        <w:rPr>
          <w:color w:val="auto"/>
          <w:u w:val="single"/>
        </w:rPr>
        <w:t>50%</w:t>
      </w:r>
      <w:r>
        <w:rPr>
          <w:rFonts w:hAnsi="宋体"/>
          <w:color w:val="auto"/>
          <w:u w:val="single"/>
        </w:rPr>
        <w:t>；工程竣工验收合格并对验收发现的问题完成整改后的</w:t>
      </w:r>
      <w:r>
        <w:rPr>
          <w:color w:val="auto"/>
          <w:u w:val="single"/>
        </w:rPr>
        <w:t>7</w:t>
      </w:r>
      <w:r>
        <w:rPr>
          <w:rFonts w:hAnsi="宋体"/>
          <w:color w:val="auto"/>
          <w:u w:val="single"/>
        </w:rPr>
        <w:t>个日历天内，可向发包人申请退还剩余履约保证金，发包人应在收到申请之日起</w:t>
      </w:r>
      <w:r>
        <w:rPr>
          <w:color w:val="auto"/>
          <w:u w:val="single"/>
        </w:rPr>
        <w:t>28</w:t>
      </w:r>
      <w:r>
        <w:rPr>
          <w:rFonts w:hAnsi="宋体"/>
          <w:color w:val="auto"/>
          <w:u w:val="single"/>
        </w:rPr>
        <w:t>个日历天内扣减承包人赔偿金和其他应从承包人扣回的款项后，将履约</w:t>
      </w:r>
      <w:r>
        <w:rPr>
          <w:rFonts w:hint="eastAsia" w:hAnsi="宋体"/>
          <w:color w:val="auto"/>
          <w:u w:val="single"/>
        </w:rPr>
        <w:t>保证</w:t>
      </w:r>
      <w:r>
        <w:rPr>
          <w:rFonts w:hAnsi="宋体"/>
          <w:color w:val="auto"/>
          <w:u w:val="single"/>
        </w:rPr>
        <w:t>金的余额退还给承包人（无息）。</w:t>
      </w:r>
    </w:p>
    <w:p w14:paraId="47029474">
      <w:pPr>
        <w:pStyle w:val="178"/>
        <w:spacing w:line="360" w:lineRule="auto"/>
        <w:ind w:firstLine="420" w:firstLineChars="200"/>
        <w:rPr>
          <w:rFonts w:hAnsi="宋体"/>
          <w:color w:val="auto"/>
          <w:u w:val="single"/>
        </w:rPr>
      </w:pPr>
      <w:r>
        <w:rPr>
          <w:rFonts w:hAnsi="宋体"/>
          <w:color w:val="auto"/>
          <w:u w:val="single"/>
        </w:rPr>
        <w:t>承包人在中标后</w:t>
      </w:r>
      <w:r>
        <w:rPr>
          <w:color w:val="auto"/>
          <w:u w:val="single"/>
        </w:rPr>
        <w:t>7</w:t>
      </w:r>
      <w:r>
        <w:rPr>
          <w:rFonts w:hAnsi="宋体"/>
          <w:color w:val="auto"/>
          <w:u w:val="single"/>
        </w:rPr>
        <w:t>个工作日内，按</w:t>
      </w:r>
      <w:r>
        <w:rPr>
          <w:rFonts w:hint="eastAsia"/>
          <w:color w:val="auto"/>
          <w:u w:val="single"/>
        </w:rPr>
        <w:t>龙州县</w:t>
      </w:r>
      <w:r>
        <w:rPr>
          <w:rFonts w:hAnsi="宋体"/>
          <w:color w:val="auto"/>
          <w:u w:val="single"/>
        </w:rPr>
        <w:t>（各市</w:t>
      </w:r>
      <w:r>
        <w:rPr>
          <w:rFonts w:hint="eastAsia" w:hAnsi="宋体"/>
          <w:color w:val="auto"/>
          <w:u w:val="single"/>
        </w:rPr>
        <w:t>住房城乡</w:t>
      </w:r>
      <w:r>
        <w:rPr>
          <w:rFonts w:hAnsi="宋体"/>
          <w:color w:val="auto"/>
          <w:u w:val="single"/>
        </w:rPr>
        <w:t>建设行政主管部门规定）规定将农民工工资保障金存入</w:t>
      </w:r>
      <w:r>
        <w:rPr>
          <w:rFonts w:hint="eastAsia" w:hAnsi="宋体"/>
          <w:color w:val="auto"/>
          <w:u w:val="single"/>
        </w:rPr>
        <w:t>指定银行</w:t>
      </w:r>
      <w:r>
        <w:rPr>
          <w:rFonts w:hAnsi="宋体"/>
          <w:color w:val="auto"/>
          <w:u w:val="single"/>
        </w:rPr>
        <w:t>帐户。工程竣工验收结算经审定后，按照规定程序，将农民工工资保障金没有使用或剩余的金额退还给承包人。</w:t>
      </w:r>
    </w:p>
    <w:p w14:paraId="141EADFD">
      <w:pPr>
        <w:pStyle w:val="178"/>
        <w:spacing w:line="360" w:lineRule="auto"/>
        <w:ind w:firstLine="420" w:firstLineChars="200"/>
        <w:rPr>
          <w:color w:val="auto"/>
          <w:u w:val="single"/>
        </w:rPr>
      </w:pPr>
      <w:r>
        <w:rPr>
          <w:rFonts w:hint="eastAsia" w:hAnsi="宋体"/>
          <w:color w:val="auto"/>
          <w:u w:val="single"/>
        </w:rPr>
        <w:t>低价风险保证金在工程竣工验收合格之日起7个日历天内，发包人一次性退还给承包人（无息）。</w:t>
      </w:r>
    </w:p>
    <w:p w14:paraId="1563F4F2">
      <w:pPr>
        <w:spacing w:line="360" w:lineRule="auto"/>
        <w:ind w:firstLine="480" w:firstLineChars="200"/>
        <w:rPr>
          <w:rFonts w:ascii="仿宋_GB2312" w:eastAsia="仿宋_GB2312"/>
          <w:color w:val="auto"/>
          <w:sz w:val="24"/>
          <w:u w:val="single"/>
        </w:rPr>
      </w:pPr>
    </w:p>
    <w:p w14:paraId="09B8822E">
      <w:pPr>
        <w:pStyle w:val="3"/>
        <w:rPr>
          <w:rFonts w:ascii="仿宋_GB2312" w:eastAsia="仿宋_GB2312"/>
          <w:color w:val="auto"/>
          <w:sz w:val="24"/>
          <w:szCs w:val="24"/>
        </w:rPr>
      </w:pPr>
      <w:r>
        <w:rPr>
          <w:rFonts w:hint="eastAsia" w:ascii="仿宋_GB2312" w:eastAsia="仿宋_GB2312"/>
          <w:color w:val="auto"/>
          <w:sz w:val="24"/>
          <w:szCs w:val="24"/>
        </w:rPr>
        <w:t>4. 监理人</w:t>
      </w:r>
    </w:p>
    <w:p w14:paraId="64C29312">
      <w:pPr>
        <w:pStyle w:val="4"/>
        <w:rPr>
          <w:rFonts w:ascii="仿宋_GB2312" w:eastAsia="仿宋_GB2312"/>
          <w:color w:val="auto"/>
          <w:szCs w:val="24"/>
        </w:rPr>
      </w:pPr>
      <w:r>
        <w:rPr>
          <w:rFonts w:hint="eastAsia" w:ascii="仿宋_GB2312" w:eastAsia="仿宋_GB2312"/>
          <w:color w:val="auto"/>
          <w:szCs w:val="24"/>
        </w:rPr>
        <w:t>4.1 监理人的一般规定</w:t>
      </w:r>
    </w:p>
    <w:p w14:paraId="7871C46E">
      <w:pPr>
        <w:spacing w:line="360" w:lineRule="auto"/>
        <w:ind w:firstLine="480" w:firstLineChars="200"/>
        <w:rPr>
          <w:rFonts w:ascii="仿宋_GB2312" w:eastAsia="仿宋_GB2312"/>
          <w:color w:val="auto"/>
          <w:sz w:val="24"/>
        </w:rPr>
      </w:pPr>
      <w:r>
        <w:rPr>
          <w:rFonts w:ascii="仿宋_GB2312" w:eastAsia="仿宋_GB2312"/>
          <w:color w:val="auto"/>
          <w:sz w:val="24"/>
        </w:rPr>
        <w:t>关于监理人的监理内容：</w:t>
      </w:r>
      <w:r>
        <w:rPr>
          <w:rFonts w:ascii="仿宋_GB2312" w:eastAsia="仿宋_GB2312"/>
          <w:color w:val="auto"/>
          <w:sz w:val="24"/>
          <w:u w:val="single"/>
        </w:rPr>
        <w:t xml:space="preserve"> 质量、进度、投资三控制、合同、信息两管理、安全文明施工管理、工程建设各相关方的关系协调 </w:t>
      </w:r>
      <w:r>
        <w:rPr>
          <w:rFonts w:ascii="仿宋_GB2312" w:eastAsia="仿宋_GB2312"/>
          <w:color w:val="auto"/>
          <w:sz w:val="24"/>
        </w:rPr>
        <w:t>。</w:t>
      </w:r>
    </w:p>
    <w:p w14:paraId="606D37A1">
      <w:pPr>
        <w:spacing w:line="360" w:lineRule="auto"/>
        <w:ind w:firstLine="480" w:firstLineChars="200"/>
        <w:rPr>
          <w:rFonts w:ascii="仿宋_GB2312" w:eastAsia="仿宋_GB2312"/>
          <w:color w:val="auto"/>
          <w:sz w:val="24"/>
        </w:rPr>
      </w:pPr>
      <w:r>
        <w:rPr>
          <w:rFonts w:ascii="仿宋_GB2312" w:eastAsia="仿宋_GB2312"/>
          <w:color w:val="auto"/>
          <w:sz w:val="24"/>
        </w:rPr>
        <w:t>关于监理人的监理权限：</w:t>
      </w:r>
      <w:r>
        <w:rPr>
          <w:rFonts w:ascii="仿宋_GB2312" w:eastAsia="仿宋_GB2312"/>
          <w:color w:val="auto"/>
          <w:sz w:val="24"/>
          <w:u w:val="single"/>
        </w:rPr>
        <w:t xml:space="preserve">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认之前应得到发包人的书面批准。4、工程内容和材料变更签证单监理只有证明权，无确认权  </w:t>
      </w:r>
      <w:r>
        <w:rPr>
          <w:rFonts w:ascii="仿宋_GB2312" w:eastAsia="仿宋_GB2312"/>
          <w:color w:val="auto"/>
          <w:sz w:val="24"/>
        </w:rPr>
        <w:t xml:space="preserve">。 </w:t>
      </w:r>
    </w:p>
    <w:p w14:paraId="7964E2D0">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关于监理人在施工现场的办公场所、生活场所的提供和费用承担的约定：</w:t>
      </w:r>
    </w:p>
    <w:p w14:paraId="175C1E1F">
      <w:pPr>
        <w:spacing w:line="360" w:lineRule="auto"/>
        <w:rPr>
          <w:rFonts w:ascii="仿宋_GB2312" w:eastAsia="仿宋_GB2312"/>
          <w:color w:val="auto"/>
          <w:sz w:val="24"/>
        </w:rPr>
      </w:pPr>
      <w:r>
        <w:rPr>
          <w:rFonts w:ascii="仿宋_GB2312" w:eastAsia="仿宋_GB2312"/>
          <w:color w:val="auto"/>
          <w:sz w:val="24"/>
          <w:u w:val="single"/>
        </w:rPr>
        <w:t xml:space="preserve">       由承包人提供，监理人无偿使用         </w:t>
      </w:r>
      <w:r>
        <w:rPr>
          <w:rFonts w:ascii="仿宋_GB2312" w:eastAsia="仿宋_GB2312"/>
          <w:color w:val="auto"/>
          <w:sz w:val="24"/>
        </w:rPr>
        <w:t>。</w:t>
      </w:r>
    </w:p>
    <w:p w14:paraId="037AF132">
      <w:pPr>
        <w:pStyle w:val="4"/>
        <w:rPr>
          <w:rFonts w:ascii="仿宋_GB2312" w:eastAsia="仿宋_GB2312"/>
          <w:color w:val="auto"/>
          <w:szCs w:val="24"/>
        </w:rPr>
      </w:pPr>
      <w:r>
        <w:rPr>
          <w:rFonts w:hint="eastAsia" w:ascii="仿宋_GB2312" w:eastAsia="仿宋_GB2312"/>
          <w:color w:val="auto"/>
          <w:szCs w:val="24"/>
        </w:rPr>
        <w:t>4.2 监理人员</w:t>
      </w:r>
    </w:p>
    <w:p w14:paraId="6F97EB9F">
      <w:pPr>
        <w:spacing w:line="360" w:lineRule="auto"/>
        <w:ind w:firstLine="480" w:firstLineChars="200"/>
        <w:rPr>
          <w:rFonts w:ascii="仿宋_GB2312" w:eastAsia="仿宋_GB2312"/>
          <w:color w:val="auto"/>
          <w:sz w:val="24"/>
        </w:rPr>
      </w:pPr>
      <w:r>
        <w:rPr>
          <w:rFonts w:ascii="仿宋_GB2312" w:eastAsia="仿宋_GB2312"/>
          <w:color w:val="auto"/>
          <w:sz w:val="24"/>
        </w:rPr>
        <w:t>总监理工程师：</w:t>
      </w:r>
    </w:p>
    <w:p w14:paraId="4530C5A7">
      <w:pPr>
        <w:spacing w:line="360" w:lineRule="auto"/>
        <w:ind w:firstLine="480" w:firstLineChars="200"/>
        <w:rPr>
          <w:rFonts w:ascii="仿宋_GB2312" w:eastAsia="仿宋_GB2312"/>
          <w:color w:val="auto"/>
          <w:sz w:val="24"/>
        </w:rPr>
      </w:pPr>
      <w:r>
        <w:rPr>
          <w:rFonts w:ascii="仿宋_GB2312" w:eastAsia="仿宋_GB2312"/>
          <w:color w:val="auto"/>
          <w:sz w:val="24"/>
        </w:rPr>
        <w:t>姓    名：</w:t>
      </w:r>
      <w:r>
        <w:rPr>
          <w:rFonts w:ascii="仿宋_GB2312" w:eastAsia="仿宋_GB2312"/>
          <w:color w:val="auto"/>
          <w:sz w:val="24"/>
          <w:u w:val="single"/>
        </w:rPr>
        <w:t>　　　　　　　　　　</w:t>
      </w:r>
      <w:r>
        <w:rPr>
          <w:rFonts w:ascii="仿宋_GB2312" w:eastAsia="仿宋_GB2312"/>
          <w:color w:val="auto"/>
          <w:sz w:val="24"/>
        </w:rPr>
        <w:t>；</w:t>
      </w:r>
    </w:p>
    <w:p w14:paraId="36E7128D">
      <w:pPr>
        <w:spacing w:line="360" w:lineRule="auto"/>
        <w:ind w:firstLine="480" w:firstLineChars="200"/>
        <w:rPr>
          <w:rFonts w:ascii="仿宋_GB2312" w:eastAsia="仿宋_GB2312"/>
          <w:color w:val="auto"/>
          <w:sz w:val="24"/>
        </w:rPr>
      </w:pPr>
      <w:r>
        <w:rPr>
          <w:rFonts w:ascii="仿宋_GB2312" w:eastAsia="仿宋_GB2312"/>
          <w:color w:val="auto"/>
          <w:sz w:val="24"/>
        </w:rPr>
        <w:t>职    务：</w:t>
      </w:r>
      <w:r>
        <w:rPr>
          <w:rFonts w:ascii="仿宋_GB2312" w:eastAsia="仿宋_GB2312"/>
          <w:color w:val="auto"/>
          <w:sz w:val="24"/>
          <w:u w:val="single"/>
        </w:rPr>
        <w:t>　　　　　　　　　　　</w:t>
      </w:r>
      <w:r>
        <w:rPr>
          <w:rFonts w:ascii="仿宋_GB2312" w:eastAsia="仿宋_GB2312"/>
          <w:color w:val="auto"/>
          <w:sz w:val="24"/>
        </w:rPr>
        <w:t>；</w:t>
      </w:r>
    </w:p>
    <w:p w14:paraId="1E18F0C6">
      <w:pPr>
        <w:spacing w:line="360" w:lineRule="auto"/>
        <w:ind w:firstLine="480" w:firstLineChars="200"/>
        <w:rPr>
          <w:rFonts w:ascii="仿宋_GB2312" w:eastAsia="仿宋_GB2312"/>
          <w:color w:val="auto"/>
          <w:sz w:val="24"/>
        </w:rPr>
      </w:pPr>
      <w:r>
        <w:rPr>
          <w:rFonts w:ascii="仿宋_GB2312" w:eastAsia="仿宋_GB2312"/>
          <w:color w:val="auto"/>
          <w:sz w:val="24"/>
        </w:rPr>
        <w:t>监理工程师执业资格证书号：</w:t>
      </w:r>
      <w:r>
        <w:rPr>
          <w:rFonts w:ascii="仿宋_GB2312" w:eastAsia="仿宋_GB2312"/>
          <w:color w:val="auto"/>
          <w:sz w:val="24"/>
          <w:u w:val="single"/>
        </w:rPr>
        <w:t>　</w:t>
      </w:r>
      <w:r>
        <w:rPr>
          <w:rFonts w:ascii="仿宋_GB2312" w:eastAsia="仿宋_GB2312"/>
          <w:color w:val="auto"/>
          <w:sz w:val="24"/>
        </w:rPr>
        <w:t>；</w:t>
      </w:r>
    </w:p>
    <w:p w14:paraId="6F45FC53">
      <w:pPr>
        <w:spacing w:line="360" w:lineRule="auto"/>
        <w:ind w:firstLine="480" w:firstLineChars="200"/>
        <w:rPr>
          <w:rFonts w:ascii="仿宋_GB2312" w:eastAsia="仿宋_GB2312"/>
          <w:color w:val="auto"/>
          <w:sz w:val="24"/>
        </w:rPr>
      </w:pPr>
      <w:r>
        <w:rPr>
          <w:rFonts w:ascii="仿宋_GB2312" w:eastAsia="仿宋_GB2312"/>
          <w:color w:val="auto"/>
          <w:sz w:val="24"/>
        </w:rPr>
        <w:t>广西建筑市场诚信卡卡号：；</w:t>
      </w:r>
    </w:p>
    <w:p w14:paraId="05C8B1CF">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r>
        <w:rPr>
          <w:rFonts w:ascii="仿宋_GB2312" w:eastAsia="仿宋_GB2312"/>
          <w:color w:val="auto"/>
          <w:sz w:val="24"/>
          <w:u w:val="single"/>
        </w:rPr>
        <w:t>　　　　　　　　　</w:t>
      </w:r>
      <w:r>
        <w:rPr>
          <w:rFonts w:ascii="仿宋_GB2312" w:eastAsia="仿宋_GB2312"/>
          <w:color w:val="auto"/>
          <w:sz w:val="24"/>
        </w:rPr>
        <w:t>；</w:t>
      </w:r>
    </w:p>
    <w:p w14:paraId="42DA2A16">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r>
        <w:rPr>
          <w:rFonts w:ascii="仿宋_GB2312" w:eastAsia="仿宋_GB2312"/>
          <w:color w:val="auto"/>
          <w:sz w:val="24"/>
          <w:u w:val="single"/>
        </w:rPr>
        <w:t>　　　　　　　　　　　　　　　　</w:t>
      </w:r>
      <w:r>
        <w:rPr>
          <w:rFonts w:ascii="仿宋_GB2312" w:eastAsia="仿宋_GB2312"/>
          <w:color w:val="auto"/>
          <w:sz w:val="24"/>
        </w:rPr>
        <w:t>；</w:t>
      </w:r>
    </w:p>
    <w:p w14:paraId="77449700">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p>
    <w:p w14:paraId="32F53B33">
      <w:pPr>
        <w:pStyle w:val="4"/>
        <w:rPr>
          <w:rFonts w:ascii="仿宋_GB2312" w:eastAsia="仿宋_GB2312"/>
          <w:color w:val="auto"/>
          <w:szCs w:val="24"/>
        </w:rPr>
      </w:pPr>
      <w:r>
        <w:rPr>
          <w:rFonts w:hint="eastAsia" w:ascii="仿宋_GB2312" w:eastAsia="仿宋_GB2312"/>
          <w:color w:val="auto"/>
          <w:szCs w:val="24"/>
        </w:rPr>
        <w:t>4.4 商定或确定</w:t>
      </w:r>
    </w:p>
    <w:p w14:paraId="15F816FD">
      <w:pPr>
        <w:spacing w:line="360" w:lineRule="auto"/>
        <w:ind w:firstLine="480" w:firstLineChars="200"/>
        <w:rPr>
          <w:rFonts w:ascii="仿宋_GB2312" w:eastAsia="仿宋_GB2312"/>
          <w:color w:val="auto"/>
          <w:sz w:val="24"/>
        </w:rPr>
      </w:pPr>
      <w:r>
        <w:rPr>
          <w:rFonts w:ascii="仿宋_GB2312" w:eastAsia="仿宋_GB2312"/>
          <w:color w:val="auto"/>
          <w:sz w:val="24"/>
        </w:rPr>
        <w:t>在发包人和承包人不能通过协商达成一致意见时，发包人授权监理人对以下事项进行确定：</w:t>
      </w:r>
    </w:p>
    <w:p w14:paraId="1BA36655">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（1）</w:t>
      </w:r>
      <w:r>
        <w:rPr>
          <w:rFonts w:ascii="仿宋_GB2312" w:eastAsia="仿宋_GB2312"/>
          <w:color w:val="auto"/>
          <w:sz w:val="24"/>
          <w:u w:val="single"/>
        </w:rPr>
        <w:t xml:space="preserve">                  /                 </w:t>
      </w:r>
      <w:r>
        <w:rPr>
          <w:rFonts w:ascii="仿宋_GB2312" w:eastAsia="仿宋_GB2312"/>
          <w:color w:val="auto"/>
          <w:sz w:val="24"/>
        </w:rPr>
        <w:t>；</w:t>
      </w:r>
    </w:p>
    <w:p w14:paraId="6E429C01">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w:t>
      </w:r>
      <w:r>
        <w:rPr>
          <w:rFonts w:ascii="仿宋_GB2312" w:eastAsia="仿宋_GB2312"/>
          <w:color w:val="auto"/>
          <w:sz w:val="24"/>
          <w:u w:val="single"/>
        </w:rPr>
        <w:t xml:space="preserve">                  /                 </w:t>
      </w:r>
      <w:r>
        <w:rPr>
          <w:rFonts w:ascii="仿宋_GB2312" w:eastAsia="仿宋_GB2312"/>
          <w:color w:val="auto"/>
          <w:sz w:val="24"/>
        </w:rPr>
        <w:t>；</w:t>
      </w:r>
    </w:p>
    <w:p w14:paraId="165DE37C">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w:t>
      </w:r>
      <w:r>
        <w:rPr>
          <w:rFonts w:ascii="仿宋_GB2312" w:eastAsia="仿宋_GB2312"/>
          <w:color w:val="auto"/>
          <w:sz w:val="24"/>
          <w:u w:val="single"/>
        </w:rPr>
        <w:t xml:space="preserve">                  /                 </w:t>
      </w:r>
      <w:r>
        <w:rPr>
          <w:rFonts w:ascii="仿宋_GB2312" w:eastAsia="仿宋_GB2312"/>
          <w:color w:val="auto"/>
          <w:sz w:val="24"/>
        </w:rPr>
        <w:t>。</w:t>
      </w:r>
    </w:p>
    <w:p w14:paraId="348B49BF">
      <w:pPr>
        <w:pStyle w:val="3"/>
        <w:rPr>
          <w:rFonts w:ascii="仿宋_GB2312" w:eastAsia="仿宋_GB2312"/>
          <w:color w:val="auto"/>
          <w:sz w:val="24"/>
          <w:szCs w:val="24"/>
        </w:rPr>
      </w:pPr>
      <w:r>
        <w:rPr>
          <w:rFonts w:hint="eastAsia" w:ascii="仿宋_GB2312" w:eastAsia="仿宋_GB2312"/>
          <w:color w:val="auto"/>
          <w:sz w:val="24"/>
          <w:szCs w:val="24"/>
        </w:rPr>
        <w:t>5. 工程质量</w:t>
      </w:r>
    </w:p>
    <w:p w14:paraId="1DF1C8EE">
      <w:pPr>
        <w:pStyle w:val="4"/>
        <w:rPr>
          <w:rFonts w:ascii="仿宋_GB2312" w:eastAsia="仿宋_GB2312"/>
          <w:color w:val="auto"/>
          <w:szCs w:val="24"/>
        </w:rPr>
      </w:pPr>
      <w:r>
        <w:rPr>
          <w:rFonts w:hint="eastAsia" w:ascii="仿宋_GB2312" w:eastAsia="仿宋_GB2312"/>
          <w:color w:val="auto"/>
          <w:szCs w:val="24"/>
        </w:rPr>
        <w:t>5.1 质量要求</w:t>
      </w:r>
    </w:p>
    <w:p w14:paraId="606A359D">
      <w:pPr>
        <w:spacing w:line="360" w:lineRule="auto"/>
        <w:ind w:firstLine="480" w:firstLineChars="200"/>
        <w:rPr>
          <w:rFonts w:ascii="仿宋_GB2312" w:eastAsia="仿宋_GB2312"/>
          <w:color w:val="auto"/>
          <w:sz w:val="24"/>
          <w:u w:val="single"/>
        </w:rPr>
      </w:pPr>
      <w:r>
        <w:rPr>
          <w:rFonts w:ascii="仿宋_GB2312" w:eastAsia="仿宋_GB2312"/>
          <w:color w:val="auto"/>
          <w:sz w:val="24"/>
        </w:rPr>
        <w:t>5.1.1 特殊质量标准和要求：</w:t>
      </w:r>
      <w:r>
        <w:rPr>
          <w:color w:val="auto"/>
          <w:szCs w:val="21"/>
          <w:u w:val="single"/>
        </w:rPr>
        <w:t>按本合同《通用条款》相关条款规定执行</w:t>
      </w:r>
      <w:r>
        <w:rPr>
          <w:rFonts w:ascii="仿宋_GB2312" w:eastAsia="仿宋_GB2312"/>
          <w:color w:val="auto"/>
          <w:sz w:val="24"/>
        </w:rPr>
        <w:t>。</w:t>
      </w:r>
    </w:p>
    <w:p w14:paraId="055A0635">
      <w:pPr>
        <w:spacing w:line="360" w:lineRule="auto"/>
        <w:ind w:firstLine="480" w:firstLineChars="200"/>
        <w:rPr>
          <w:rFonts w:ascii="仿宋_GB2312" w:eastAsia="仿宋_GB2312"/>
          <w:color w:val="auto"/>
          <w:sz w:val="24"/>
        </w:rPr>
      </w:pPr>
      <w:r>
        <w:rPr>
          <w:rFonts w:ascii="仿宋_GB2312" w:eastAsia="仿宋_GB2312"/>
          <w:color w:val="auto"/>
          <w:sz w:val="24"/>
        </w:rPr>
        <w:t>关于工程奖项的约定：</w:t>
      </w:r>
      <w:r>
        <w:rPr>
          <w:rFonts w:ascii="仿宋_GB2312" w:eastAsia="仿宋_GB2312"/>
          <w:color w:val="auto"/>
          <w:sz w:val="24"/>
          <w:u w:val="single"/>
        </w:rPr>
        <w:t xml:space="preserve">                 /                 </w:t>
      </w:r>
      <w:r>
        <w:rPr>
          <w:rFonts w:ascii="仿宋_GB2312" w:eastAsia="仿宋_GB2312"/>
          <w:color w:val="auto"/>
          <w:sz w:val="24"/>
        </w:rPr>
        <w:t>。</w:t>
      </w:r>
    </w:p>
    <w:p w14:paraId="4628B1E2">
      <w:pPr>
        <w:spacing w:line="360" w:lineRule="auto"/>
        <w:ind w:firstLine="480" w:firstLineChars="200"/>
        <w:rPr>
          <w:rFonts w:ascii="仿宋_GB2312" w:eastAsia="仿宋_GB2312"/>
          <w:color w:val="auto"/>
          <w:sz w:val="24"/>
        </w:rPr>
      </w:pPr>
      <w:r>
        <w:rPr>
          <w:rFonts w:ascii="仿宋_GB2312" w:eastAsia="仿宋_GB2312"/>
          <w:color w:val="auto"/>
          <w:sz w:val="24"/>
        </w:rPr>
        <w:t>5.3 隐蔽工程检查</w:t>
      </w:r>
    </w:p>
    <w:p w14:paraId="7E542F47">
      <w:pPr>
        <w:spacing w:line="360" w:lineRule="auto"/>
        <w:ind w:firstLine="480" w:firstLineChars="200"/>
        <w:rPr>
          <w:rFonts w:ascii="仿宋_GB2312" w:eastAsia="仿宋_GB2312"/>
          <w:color w:val="auto"/>
          <w:sz w:val="24"/>
          <w:u w:val="single"/>
        </w:rPr>
      </w:pPr>
      <w:r>
        <w:rPr>
          <w:rFonts w:ascii="仿宋_GB2312" w:eastAsia="仿宋_GB2312"/>
          <w:color w:val="auto"/>
          <w:sz w:val="24"/>
        </w:rPr>
        <w:t>5.3.2承包人提前通知监理人隐蔽工程检查的期限的约定：</w:t>
      </w:r>
      <w:r>
        <w:rPr>
          <w:rFonts w:ascii="仿宋_GB2312" w:eastAsia="仿宋_GB2312"/>
          <w:bCs/>
          <w:color w:val="auto"/>
          <w:sz w:val="24"/>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562F62E">
      <w:pPr>
        <w:spacing w:line="360" w:lineRule="auto"/>
        <w:ind w:firstLine="480" w:firstLineChars="200"/>
        <w:rPr>
          <w:rFonts w:ascii="仿宋_GB2312" w:eastAsia="仿宋_GB2312"/>
          <w:color w:val="auto"/>
          <w:sz w:val="24"/>
        </w:rPr>
      </w:pPr>
      <w:r>
        <w:rPr>
          <w:rFonts w:ascii="仿宋_GB2312" w:eastAsia="仿宋_GB2312"/>
          <w:color w:val="auto"/>
          <w:sz w:val="24"/>
        </w:rPr>
        <w:t>监理人不能按时进行检查时，应提前</w:t>
      </w:r>
      <w:r>
        <w:rPr>
          <w:rFonts w:ascii="仿宋_GB2312" w:eastAsia="仿宋_GB2312"/>
          <w:color w:val="auto"/>
          <w:sz w:val="24"/>
          <w:u w:val="single"/>
        </w:rPr>
        <w:t xml:space="preserve">    6   </w:t>
      </w:r>
      <w:r>
        <w:rPr>
          <w:rFonts w:ascii="仿宋_GB2312" w:eastAsia="仿宋_GB2312"/>
          <w:color w:val="auto"/>
          <w:sz w:val="24"/>
        </w:rPr>
        <w:t>小时提交书面延期要求。</w:t>
      </w:r>
    </w:p>
    <w:p w14:paraId="60D43FA5">
      <w:pPr>
        <w:spacing w:line="360" w:lineRule="auto"/>
        <w:ind w:firstLine="480" w:firstLineChars="200"/>
        <w:rPr>
          <w:rFonts w:ascii="仿宋_GB2312" w:eastAsia="仿宋_GB2312"/>
          <w:color w:val="auto"/>
          <w:sz w:val="24"/>
        </w:rPr>
      </w:pPr>
      <w:r>
        <w:rPr>
          <w:rFonts w:ascii="仿宋_GB2312" w:eastAsia="仿宋_GB2312"/>
          <w:color w:val="auto"/>
          <w:sz w:val="24"/>
        </w:rPr>
        <w:t>关于延期最长不得超过：</w:t>
      </w:r>
      <w:r>
        <w:rPr>
          <w:rFonts w:ascii="仿宋_GB2312" w:eastAsia="仿宋_GB2312"/>
          <w:color w:val="auto"/>
          <w:sz w:val="24"/>
          <w:u w:val="single"/>
        </w:rPr>
        <w:t xml:space="preserve">    12     </w:t>
      </w:r>
      <w:r>
        <w:rPr>
          <w:rFonts w:ascii="仿宋_GB2312" w:eastAsia="仿宋_GB2312"/>
          <w:color w:val="auto"/>
          <w:sz w:val="24"/>
        </w:rPr>
        <w:t>小时。</w:t>
      </w:r>
    </w:p>
    <w:p w14:paraId="65FD4BC2">
      <w:pPr>
        <w:pStyle w:val="3"/>
        <w:rPr>
          <w:rFonts w:ascii="仿宋_GB2312" w:eastAsia="仿宋_GB2312"/>
          <w:color w:val="auto"/>
          <w:sz w:val="24"/>
          <w:szCs w:val="24"/>
        </w:rPr>
      </w:pPr>
      <w:r>
        <w:rPr>
          <w:rFonts w:hint="eastAsia" w:ascii="仿宋_GB2312" w:eastAsia="仿宋_GB2312"/>
          <w:color w:val="auto"/>
          <w:sz w:val="24"/>
          <w:szCs w:val="24"/>
        </w:rPr>
        <w:t>6. 安全文明施工与环境保护</w:t>
      </w:r>
    </w:p>
    <w:p w14:paraId="23143735">
      <w:pPr>
        <w:pStyle w:val="4"/>
        <w:rPr>
          <w:rFonts w:ascii="仿宋_GB2312" w:eastAsia="仿宋_GB2312"/>
          <w:color w:val="auto"/>
          <w:szCs w:val="24"/>
        </w:rPr>
      </w:pPr>
      <w:r>
        <w:rPr>
          <w:rFonts w:hint="eastAsia" w:ascii="仿宋_GB2312" w:eastAsia="仿宋_GB2312"/>
          <w:color w:val="auto"/>
          <w:szCs w:val="24"/>
        </w:rPr>
        <w:t>6.1 安全文明施工</w:t>
      </w:r>
    </w:p>
    <w:p w14:paraId="16E0C457">
      <w:pPr>
        <w:spacing w:line="360" w:lineRule="auto"/>
        <w:ind w:firstLine="480" w:firstLineChars="200"/>
        <w:rPr>
          <w:rFonts w:ascii="仿宋_GB2312" w:eastAsia="仿宋_GB2312"/>
          <w:color w:val="auto"/>
          <w:sz w:val="24"/>
        </w:rPr>
      </w:pPr>
      <w:r>
        <w:rPr>
          <w:rFonts w:ascii="仿宋_GB2312" w:eastAsia="仿宋_GB2312"/>
          <w:color w:val="auto"/>
          <w:sz w:val="24"/>
        </w:rPr>
        <w:t>6.1.1 项目安全生产的达标目标及相应事项的约定：</w:t>
      </w:r>
      <w:r>
        <w:rPr>
          <w:color w:val="auto"/>
          <w:szCs w:val="21"/>
          <w:u w:val="single"/>
        </w:rPr>
        <w:t xml:space="preserve">  要求达到《建筑施工安全检查标准》（JGJ59-2011）的标准和符合《广西壮族自治区建筑工程安全防护、文明施工措施费及使用管理细则》（桂建质〔2015〕16号文）的要求</w:t>
      </w:r>
      <w:r>
        <w:rPr>
          <w:color w:val="auto"/>
          <w:szCs w:val="21"/>
        </w:rPr>
        <w:t>。</w:t>
      </w:r>
    </w:p>
    <w:p w14:paraId="4AEB453A">
      <w:pPr>
        <w:spacing w:line="360" w:lineRule="auto"/>
        <w:ind w:firstLine="480" w:firstLineChars="200"/>
        <w:rPr>
          <w:rFonts w:ascii="仿宋_GB2312" w:eastAsia="仿宋_GB2312"/>
          <w:color w:val="auto"/>
          <w:sz w:val="24"/>
        </w:rPr>
      </w:pPr>
      <w:r>
        <w:rPr>
          <w:rFonts w:ascii="仿宋_GB2312" w:eastAsia="仿宋_GB2312"/>
          <w:color w:val="auto"/>
          <w:sz w:val="24"/>
        </w:rPr>
        <w:t>关于安全文明施工奖项的约定：</w:t>
      </w:r>
      <w:r>
        <w:rPr>
          <w:rFonts w:ascii="仿宋_GB2312" w:eastAsia="仿宋_GB2312"/>
          <w:color w:val="auto"/>
          <w:sz w:val="24"/>
          <w:u w:val="single"/>
        </w:rPr>
        <w:t xml:space="preserve">                /                 </w:t>
      </w:r>
      <w:r>
        <w:rPr>
          <w:rFonts w:ascii="仿宋_GB2312" w:eastAsia="仿宋_GB2312"/>
          <w:color w:val="auto"/>
          <w:sz w:val="24"/>
        </w:rPr>
        <w:t>。</w:t>
      </w:r>
    </w:p>
    <w:p w14:paraId="651242C7">
      <w:pPr>
        <w:spacing w:line="360" w:lineRule="auto"/>
        <w:ind w:firstLine="480" w:firstLineChars="200"/>
        <w:rPr>
          <w:rFonts w:ascii="仿宋_GB2312" w:eastAsia="仿宋_GB2312"/>
          <w:color w:val="auto"/>
          <w:sz w:val="24"/>
          <w:u w:val="single"/>
        </w:rPr>
      </w:pPr>
      <w:r>
        <w:rPr>
          <w:rFonts w:ascii="仿宋_GB2312" w:eastAsia="仿宋_GB2312"/>
          <w:color w:val="auto"/>
          <w:sz w:val="24"/>
        </w:rPr>
        <w:t>6.1.4 关于治安保卫的特别约定：</w:t>
      </w:r>
      <w:r>
        <w:rPr>
          <w:color w:val="auto"/>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6D8E051">
      <w:pPr>
        <w:spacing w:line="360" w:lineRule="auto"/>
        <w:ind w:firstLine="480" w:firstLineChars="200"/>
        <w:rPr>
          <w:rFonts w:ascii="仿宋_GB2312" w:eastAsia="仿宋_GB2312"/>
          <w:color w:val="auto"/>
          <w:sz w:val="24"/>
        </w:rPr>
      </w:pPr>
      <w:r>
        <w:rPr>
          <w:rFonts w:ascii="仿宋_GB2312" w:eastAsia="仿宋_GB2312"/>
          <w:color w:val="auto"/>
          <w:sz w:val="24"/>
        </w:rPr>
        <w:t>关于编制施工场地治安管理计划的约定：</w:t>
      </w:r>
      <w:r>
        <w:rPr>
          <w:color w:val="auto"/>
          <w:szCs w:val="21"/>
          <w:u w:val="single"/>
        </w:rPr>
        <w:t>承包人开工前三天提供施工场地治安管理计划</w:t>
      </w:r>
      <w:r>
        <w:rPr>
          <w:rFonts w:ascii="仿宋_GB2312" w:eastAsia="仿宋_GB2312"/>
          <w:color w:val="auto"/>
          <w:sz w:val="24"/>
        </w:rPr>
        <w:t>。</w:t>
      </w:r>
    </w:p>
    <w:p w14:paraId="34AC94FA">
      <w:pPr>
        <w:spacing w:line="360" w:lineRule="auto"/>
        <w:ind w:firstLine="480" w:firstLineChars="200"/>
        <w:rPr>
          <w:rFonts w:ascii="仿宋_GB2312" w:eastAsia="仿宋_GB2312"/>
          <w:color w:val="auto"/>
          <w:sz w:val="24"/>
        </w:rPr>
      </w:pPr>
      <w:r>
        <w:rPr>
          <w:rFonts w:ascii="仿宋_GB2312" w:eastAsia="仿宋_GB2312"/>
          <w:color w:val="auto"/>
          <w:sz w:val="24"/>
        </w:rPr>
        <w:t>6.1.5 文明施工</w:t>
      </w:r>
    </w:p>
    <w:p w14:paraId="4A756065">
      <w:pPr>
        <w:spacing w:line="360" w:lineRule="auto"/>
        <w:ind w:firstLine="480" w:firstLineChars="200"/>
        <w:rPr>
          <w:rFonts w:ascii="仿宋_GB2312" w:eastAsia="仿宋_GB2312"/>
          <w:color w:val="auto"/>
          <w:sz w:val="24"/>
        </w:rPr>
      </w:pPr>
      <w:r>
        <w:rPr>
          <w:rFonts w:ascii="仿宋_GB2312" w:eastAsia="仿宋_GB2312"/>
          <w:color w:val="auto"/>
          <w:sz w:val="24"/>
        </w:rPr>
        <w:t>合同当事人对文明施工的要求：</w:t>
      </w:r>
      <w:r>
        <w:rPr>
          <w:rFonts w:ascii="仿宋_GB2312" w:eastAsia="仿宋_GB2312"/>
          <w:bCs/>
          <w:color w:val="auto"/>
          <w:sz w:val="24"/>
          <w:u w:val="single"/>
        </w:rPr>
        <w:t>安全防护、文明施工设施须按有关标准及制度执行。</w:t>
      </w:r>
      <w:r>
        <w:rPr>
          <w:rFonts w:ascii="仿宋_GB2312" w:eastAsia="仿宋_GB2312"/>
          <w:color w:val="auto"/>
          <w:sz w:val="24"/>
        </w:rPr>
        <w:t>。</w:t>
      </w:r>
    </w:p>
    <w:p w14:paraId="2A6BD167">
      <w:pPr>
        <w:spacing w:line="360" w:lineRule="auto"/>
        <w:ind w:firstLine="480" w:firstLineChars="200"/>
        <w:rPr>
          <w:rFonts w:ascii="仿宋_GB2312" w:eastAsia="仿宋_GB2312"/>
          <w:color w:val="auto"/>
          <w:sz w:val="24"/>
        </w:rPr>
      </w:pPr>
      <w:r>
        <w:rPr>
          <w:rFonts w:ascii="仿宋_GB2312" w:eastAsia="仿宋_GB2312"/>
          <w:color w:val="auto"/>
          <w:sz w:val="24"/>
        </w:rPr>
        <w:t>6.1.6 关于安全文明施工费支付比例和支付期限的约定：</w:t>
      </w:r>
    </w:p>
    <w:p w14:paraId="20D6F66A">
      <w:pPr>
        <w:adjustRightInd w:val="0"/>
        <w:spacing w:line="360" w:lineRule="auto"/>
        <w:ind w:firstLine="482" w:firstLineChars="200"/>
        <w:rPr>
          <w:rFonts w:ascii="仿宋_GB2312" w:eastAsia="仿宋_GB2312"/>
          <w:b/>
          <w:color w:val="auto"/>
          <w:sz w:val="24"/>
        </w:rPr>
      </w:pPr>
      <w:r>
        <w:rPr>
          <w:rFonts w:ascii="仿宋_GB2312" w:eastAsia="仿宋_GB2312"/>
          <w:b/>
          <w:color w:val="auto"/>
          <w:sz w:val="24"/>
        </w:rPr>
        <w:t>（1）本合同价款已包含安全文明施工费元。</w:t>
      </w:r>
    </w:p>
    <w:p w14:paraId="67CA4216">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（2）使用要求：专款专用。具体按《广西壮族自治区建筑工程安全防护、文明施工措施费及管理细则》（</w:t>
      </w:r>
      <w:r>
        <w:rPr>
          <w:color w:val="auto"/>
          <w:szCs w:val="21"/>
        </w:rPr>
        <w:t>桂建质〔2015〕16号</w:t>
      </w:r>
      <w:r>
        <w:rPr>
          <w:rFonts w:ascii="仿宋_GB2312" w:eastAsia="仿宋_GB2312"/>
          <w:color w:val="auto"/>
          <w:sz w:val="24"/>
        </w:rPr>
        <w:t>）和</w:t>
      </w:r>
      <w:r>
        <w:rPr>
          <w:rFonts w:hint="eastAsia" w:ascii="仿宋_GB2312" w:eastAsia="仿宋_GB2312"/>
          <w:color w:val="auto"/>
          <w:sz w:val="24"/>
          <w:u w:val="single"/>
        </w:rPr>
        <w:t>龙州县</w:t>
      </w:r>
      <w:r>
        <w:rPr>
          <w:rFonts w:ascii="仿宋_GB2312" w:eastAsia="仿宋_GB2312"/>
          <w:color w:val="auto"/>
          <w:sz w:val="24"/>
        </w:rPr>
        <w:t>相关规定执行。</w:t>
      </w:r>
    </w:p>
    <w:p w14:paraId="7FD8187D">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（3）支付约定：</w:t>
      </w:r>
      <w:r>
        <w:rPr>
          <w:rFonts w:ascii="仿宋_GB2312" w:eastAsia="仿宋_GB2312"/>
          <w:b/>
          <w:bCs/>
          <w:color w:val="auto"/>
          <w:sz w:val="24"/>
          <w:u w:val="single"/>
        </w:rPr>
        <w:t>工程开工后28天内发包人必须通过转账方式预付给承包人安全文明施工费费用的50%，剩余费用按工程进度同期支付</w:t>
      </w:r>
      <w:r>
        <w:rPr>
          <w:rFonts w:ascii="仿宋_GB2312" w:eastAsia="仿宋_GB2312"/>
          <w:color w:val="auto"/>
          <w:sz w:val="24"/>
        </w:rPr>
        <w:t>。</w:t>
      </w:r>
    </w:p>
    <w:p w14:paraId="06A2E5E0">
      <w:pPr>
        <w:pStyle w:val="4"/>
        <w:rPr>
          <w:rFonts w:ascii="仿宋_GB2312" w:eastAsia="仿宋_GB2312"/>
          <w:color w:val="auto"/>
          <w:szCs w:val="24"/>
        </w:rPr>
      </w:pPr>
      <w:r>
        <w:rPr>
          <w:rFonts w:hint="eastAsia" w:ascii="仿宋_GB2312" w:eastAsia="仿宋_GB2312"/>
          <w:color w:val="auto"/>
          <w:szCs w:val="24"/>
        </w:rPr>
        <w:t>6.3 环境保护</w:t>
      </w:r>
    </w:p>
    <w:p w14:paraId="16886363">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因施工需要，经发包人批准，由承包人办理有关施工场地交通、环卫和施工噪音管理等手续，费用由承包人负责。</w:t>
      </w:r>
    </w:p>
    <w:p w14:paraId="6535E95A">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经过城市道路的施工车辆，必须按交警、城管、运输等部门相关规定执行。由于施工车辆造成的道路、环境等污染，其责任和费用均由承包人承担。</w:t>
      </w:r>
    </w:p>
    <w:p w14:paraId="1819F479">
      <w:pPr>
        <w:pStyle w:val="3"/>
        <w:rPr>
          <w:rFonts w:ascii="仿宋_GB2312" w:eastAsia="仿宋_GB2312"/>
          <w:color w:val="auto"/>
          <w:sz w:val="24"/>
          <w:szCs w:val="24"/>
        </w:rPr>
      </w:pPr>
      <w:r>
        <w:rPr>
          <w:rFonts w:hint="eastAsia" w:ascii="仿宋_GB2312" w:eastAsia="仿宋_GB2312"/>
          <w:color w:val="auto"/>
          <w:sz w:val="24"/>
          <w:szCs w:val="24"/>
        </w:rPr>
        <w:t>7. 工期和进度</w:t>
      </w:r>
    </w:p>
    <w:p w14:paraId="4F838A29">
      <w:pPr>
        <w:pStyle w:val="4"/>
        <w:rPr>
          <w:rFonts w:ascii="仿宋_GB2312" w:eastAsia="仿宋_GB2312"/>
          <w:color w:val="auto"/>
          <w:szCs w:val="24"/>
        </w:rPr>
      </w:pPr>
      <w:r>
        <w:rPr>
          <w:rFonts w:hint="eastAsia" w:ascii="仿宋_GB2312" w:eastAsia="仿宋_GB2312"/>
          <w:color w:val="auto"/>
          <w:szCs w:val="24"/>
        </w:rPr>
        <w:t>7.1 施工组织设计</w:t>
      </w:r>
    </w:p>
    <w:p w14:paraId="7A64EFE9">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7.1.1 合同当事人约定的施工组织设计应包括的其他内容：</w:t>
      </w:r>
      <w:r>
        <w:rPr>
          <w:color w:val="auto"/>
          <w:szCs w:val="21"/>
          <w:u w:val="single"/>
        </w:rPr>
        <w:t>按本合同《通用条款》相关规定执行</w:t>
      </w:r>
      <w:r>
        <w:rPr>
          <w:rFonts w:ascii="仿宋_GB2312" w:eastAsia="仿宋_GB2312"/>
          <w:color w:val="auto"/>
          <w:sz w:val="24"/>
        </w:rPr>
        <w:t>。</w:t>
      </w:r>
    </w:p>
    <w:p w14:paraId="0C7C8218">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7.1.2 施工组织设计的提交和修改</w:t>
      </w:r>
    </w:p>
    <w:p w14:paraId="4AF31EAE">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承包人提交详细施工组织设计的期限的约定：</w:t>
      </w:r>
      <w:r>
        <w:rPr>
          <w:rFonts w:ascii="仿宋_GB2312" w:eastAsia="仿宋_GB2312"/>
          <w:color w:val="auto"/>
          <w:sz w:val="24"/>
          <w:u w:val="single"/>
        </w:rPr>
        <w:t xml:space="preserve">  承包人在收到中标通知书与发包人签订合同后 7 天内提交详细的施工组织设计和进度计划  </w:t>
      </w:r>
      <w:r>
        <w:rPr>
          <w:rFonts w:ascii="仿宋_GB2312" w:eastAsia="仿宋_GB2312"/>
          <w:color w:val="auto"/>
          <w:sz w:val="24"/>
        </w:rPr>
        <w:t>。</w:t>
      </w:r>
    </w:p>
    <w:p w14:paraId="2ECE028C">
      <w:pPr>
        <w:spacing w:line="360" w:lineRule="auto"/>
        <w:ind w:firstLine="480" w:firstLineChars="200"/>
        <w:rPr>
          <w:rFonts w:ascii="仿宋_GB2312" w:eastAsia="仿宋_GB2312"/>
          <w:color w:val="auto"/>
          <w:sz w:val="24"/>
        </w:rPr>
      </w:pPr>
      <w:r>
        <w:rPr>
          <w:rFonts w:ascii="仿宋_GB2312" w:eastAsia="仿宋_GB2312"/>
          <w:color w:val="auto"/>
          <w:sz w:val="24"/>
        </w:rPr>
        <w:t>发包人和监理人在收到详细的施工组织设计后确认或提出修改意见的期限：</w:t>
      </w:r>
      <w:r>
        <w:rPr>
          <w:rFonts w:ascii="仿宋_GB2312" w:eastAsia="仿宋_GB2312"/>
          <w:color w:val="auto"/>
          <w:sz w:val="24"/>
          <w:u w:val="single"/>
        </w:rPr>
        <w:t xml:space="preserve"> 如有重大异议则应在3日内以书面形式送达承包人。监理工程师和发包人如在7日内未提供出异议的，自第8日开始视为同意 </w:t>
      </w:r>
      <w:r>
        <w:rPr>
          <w:rFonts w:ascii="仿宋_GB2312" w:eastAsia="仿宋_GB2312"/>
          <w:color w:val="auto"/>
          <w:sz w:val="24"/>
        </w:rPr>
        <w:t>。</w:t>
      </w:r>
    </w:p>
    <w:p w14:paraId="057D2316">
      <w:pPr>
        <w:pStyle w:val="4"/>
        <w:rPr>
          <w:rFonts w:ascii="仿宋_GB2312" w:eastAsia="仿宋_GB2312"/>
          <w:color w:val="auto"/>
          <w:szCs w:val="24"/>
        </w:rPr>
      </w:pPr>
      <w:r>
        <w:rPr>
          <w:rFonts w:hint="eastAsia" w:ascii="仿宋_GB2312" w:eastAsia="仿宋_GB2312"/>
          <w:color w:val="auto"/>
          <w:szCs w:val="24"/>
        </w:rPr>
        <w:t>7.2 施工进度计划</w:t>
      </w:r>
    </w:p>
    <w:p w14:paraId="111AF838">
      <w:pPr>
        <w:spacing w:line="360" w:lineRule="auto"/>
        <w:ind w:firstLine="480" w:firstLineChars="200"/>
        <w:rPr>
          <w:rFonts w:ascii="仿宋_GB2312" w:eastAsia="仿宋_GB2312"/>
          <w:color w:val="auto"/>
          <w:sz w:val="24"/>
        </w:rPr>
      </w:pPr>
      <w:r>
        <w:rPr>
          <w:rFonts w:ascii="仿宋_GB2312" w:eastAsia="仿宋_GB2312"/>
          <w:color w:val="auto"/>
          <w:sz w:val="24"/>
        </w:rPr>
        <w:t>7.2.2 施工进度计划的修订</w:t>
      </w:r>
    </w:p>
    <w:p w14:paraId="6BA9B8FB">
      <w:pPr>
        <w:spacing w:line="360" w:lineRule="auto"/>
        <w:ind w:firstLine="480" w:firstLineChars="200"/>
        <w:rPr>
          <w:rFonts w:ascii="仿宋_GB2312" w:eastAsia="仿宋_GB2312"/>
          <w:color w:val="auto"/>
          <w:sz w:val="24"/>
        </w:rPr>
      </w:pPr>
      <w:r>
        <w:rPr>
          <w:rFonts w:ascii="仿宋_GB2312" w:eastAsia="仿宋_GB2312"/>
          <w:color w:val="auto"/>
          <w:sz w:val="24"/>
        </w:rPr>
        <w:t>发包人和监理人在收到修订的施工进度计划后确认或提出修改意见的期限：</w:t>
      </w:r>
      <w:r>
        <w:rPr>
          <w:rFonts w:ascii="仿宋_GB2312" w:eastAsia="仿宋_GB2312"/>
          <w:color w:val="auto"/>
          <w:sz w:val="24"/>
          <w:u w:val="single"/>
        </w:rPr>
        <w:t xml:space="preserve"> 如有重大异议则应在3日内以书面形式送达承包人。监理工程师和发包人如在7日内未提供出异议的，自第8日开始视为同意 </w:t>
      </w:r>
      <w:r>
        <w:rPr>
          <w:rFonts w:ascii="仿宋_GB2312" w:eastAsia="仿宋_GB2312"/>
          <w:color w:val="auto"/>
          <w:sz w:val="24"/>
        </w:rPr>
        <w:t>。</w:t>
      </w:r>
    </w:p>
    <w:p w14:paraId="324710E4">
      <w:pPr>
        <w:pStyle w:val="4"/>
        <w:rPr>
          <w:rFonts w:ascii="仿宋_GB2312" w:eastAsia="仿宋_GB2312"/>
          <w:color w:val="auto"/>
          <w:szCs w:val="24"/>
        </w:rPr>
      </w:pPr>
      <w:r>
        <w:rPr>
          <w:rFonts w:hint="eastAsia" w:ascii="仿宋_GB2312" w:eastAsia="仿宋_GB2312"/>
          <w:color w:val="auto"/>
          <w:szCs w:val="24"/>
        </w:rPr>
        <w:t>7.3 开工</w:t>
      </w:r>
    </w:p>
    <w:p w14:paraId="7001B254">
      <w:pPr>
        <w:spacing w:line="360" w:lineRule="auto"/>
        <w:ind w:firstLine="480" w:firstLineChars="200"/>
        <w:rPr>
          <w:rFonts w:ascii="仿宋_GB2312" w:eastAsia="仿宋_GB2312"/>
          <w:color w:val="auto"/>
          <w:sz w:val="24"/>
        </w:rPr>
      </w:pPr>
      <w:r>
        <w:rPr>
          <w:rFonts w:ascii="仿宋_GB2312" w:eastAsia="仿宋_GB2312"/>
          <w:color w:val="auto"/>
          <w:sz w:val="24"/>
        </w:rPr>
        <w:t>7.3.1 开工准备</w:t>
      </w:r>
    </w:p>
    <w:p w14:paraId="63F52634">
      <w:pPr>
        <w:spacing w:line="360" w:lineRule="auto"/>
        <w:ind w:firstLine="426"/>
        <w:rPr>
          <w:rFonts w:ascii="仿宋_GB2312" w:eastAsia="仿宋_GB2312"/>
          <w:color w:val="auto"/>
          <w:sz w:val="24"/>
          <w:u w:val="single"/>
        </w:rPr>
      </w:pPr>
      <w:r>
        <w:rPr>
          <w:rFonts w:ascii="仿宋_GB2312" w:eastAsia="仿宋_GB2312"/>
          <w:color w:val="auto"/>
          <w:sz w:val="24"/>
        </w:rPr>
        <w:t>关于承包人提交工程开工报审表的期限：</w:t>
      </w:r>
      <w:r>
        <w:rPr>
          <w:rFonts w:ascii="仿宋_GB2312" w:eastAsia="仿宋_GB2312"/>
          <w:color w:val="auto"/>
          <w:sz w:val="24"/>
          <w:u w:val="single"/>
        </w:rPr>
        <w:t xml:space="preserve">   开工前14天内  </w:t>
      </w:r>
      <w:r>
        <w:rPr>
          <w:rFonts w:ascii="仿宋_GB2312" w:eastAsia="仿宋_GB2312"/>
          <w:color w:val="auto"/>
          <w:sz w:val="24"/>
        </w:rPr>
        <w:t>。</w:t>
      </w:r>
    </w:p>
    <w:p w14:paraId="2347CB5F">
      <w:pPr>
        <w:spacing w:line="360" w:lineRule="auto"/>
        <w:ind w:firstLine="426"/>
        <w:rPr>
          <w:rFonts w:ascii="仿宋_GB2312" w:eastAsia="仿宋_GB2312"/>
          <w:color w:val="auto"/>
          <w:sz w:val="24"/>
          <w:u w:val="single"/>
        </w:rPr>
      </w:pPr>
      <w:r>
        <w:rPr>
          <w:rFonts w:ascii="仿宋_GB2312" w:eastAsia="仿宋_GB2312"/>
          <w:color w:val="auto"/>
          <w:sz w:val="24"/>
        </w:rPr>
        <w:t>关于发包人应完成的其他开工准备工作及期限：</w:t>
      </w:r>
      <w:r>
        <w:rPr>
          <w:rFonts w:ascii="仿宋_GB2312" w:eastAsia="仿宋_GB2312"/>
          <w:color w:val="auto"/>
          <w:sz w:val="24"/>
          <w:u w:val="single"/>
        </w:rPr>
        <w:t xml:space="preserve">  开工前7天内 </w:t>
      </w:r>
      <w:r>
        <w:rPr>
          <w:rFonts w:ascii="仿宋_GB2312" w:eastAsia="仿宋_GB2312"/>
          <w:color w:val="auto"/>
          <w:sz w:val="24"/>
        </w:rPr>
        <w:t>。</w:t>
      </w:r>
    </w:p>
    <w:p w14:paraId="7515C4DA">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关于承包人应完成的其他开工准备工作及期限：</w:t>
      </w:r>
      <w:r>
        <w:rPr>
          <w:rFonts w:ascii="仿宋_GB2312" w:eastAsia="仿宋_GB2312"/>
          <w:color w:val="auto"/>
          <w:sz w:val="24"/>
          <w:u w:val="single"/>
        </w:rPr>
        <w:t xml:space="preserve"> 开工前7天内 </w:t>
      </w:r>
      <w:r>
        <w:rPr>
          <w:rFonts w:ascii="仿宋_GB2312" w:eastAsia="仿宋_GB2312"/>
          <w:color w:val="auto"/>
          <w:sz w:val="24"/>
        </w:rPr>
        <w:t>。</w:t>
      </w:r>
    </w:p>
    <w:p w14:paraId="1895CC94">
      <w:pPr>
        <w:spacing w:line="360" w:lineRule="auto"/>
        <w:ind w:firstLine="480" w:firstLineChars="200"/>
        <w:rPr>
          <w:rFonts w:ascii="仿宋_GB2312" w:eastAsia="仿宋_GB2312"/>
          <w:color w:val="auto"/>
          <w:sz w:val="24"/>
        </w:rPr>
      </w:pPr>
      <w:r>
        <w:rPr>
          <w:rFonts w:ascii="仿宋_GB2312" w:eastAsia="仿宋_GB2312"/>
          <w:color w:val="auto"/>
          <w:sz w:val="24"/>
        </w:rPr>
        <w:t>7.3.2 开工通知</w:t>
      </w:r>
    </w:p>
    <w:p w14:paraId="44FBDB93">
      <w:pPr>
        <w:spacing w:line="360" w:lineRule="auto"/>
        <w:ind w:firstLine="480" w:firstLineChars="200"/>
        <w:rPr>
          <w:rFonts w:ascii="仿宋_GB2312" w:eastAsia="仿宋_GB2312"/>
          <w:color w:val="auto"/>
          <w:sz w:val="24"/>
        </w:rPr>
      </w:pPr>
      <w:r>
        <w:rPr>
          <w:rFonts w:ascii="仿宋_GB2312" w:eastAsia="仿宋_GB2312"/>
          <w:color w:val="auto"/>
          <w:sz w:val="24"/>
        </w:rPr>
        <w:t>因发包人原因造成监理人未能在计划开工日期之日起</w:t>
      </w:r>
      <w:r>
        <w:rPr>
          <w:rFonts w:ascii="仿宋_GB2312" w:eastAsia="仿宋_GB2312"/>
          <w:color w:val="auto"/>
          <w:sz w:val="24"/>
          <w:u w:val="single"/>
        </w:rPr>
        <w:t xml:space="preserve"> 90 </w:t>
      </w:r>
      <w:r>
        <w:rPr>
          <w:rFonts w:ascii="仿宋_GB2312" w:eastAsia="仿宋_GB2312"/>
          <w:color w:val="auto"/>
          <w:sz w:val="24"/>
        </w:rPr>
        <w:t>天内发出开工通知的，承包人有权提出价格调整要求，或者解除合同。</w:t>
      </w:r>
    </w:p>
    <w:p w14:paraId="4C454B79">
      <w:pPr>
        <w:pStyle w:val="4"/>
        <w:rPr>
          <w:rFonts w:ascii="仿宋_GB2312" w:eastAsia="仿宋_GB2312"/>
          <w:color w:val="auto"/>
          <w:szCs w:val="24"/>
        </w:rPr>
      </w:pPr>
      <w:r>
        <w:rPr>
          <w:rFonts w:hint="eastAsia" w:ascii="仿宋_GB2312" w:eastAsia="仿宋_GB2312"/>
          <w:color w:val="auto"/>
          <w:szCs w:val="24"/>
        </w:rPr>
        <w:t>7.4 测量放线</w:t>
      </w:r>
    </w:p>
    <w:p w14:paraId="744269A5">
      <w:pPr>
        <w:spacing w:line="360" w:lineRule="auto"/>
        <w:ind w:firstLine="480" w:firstLineChars="200"/>
        <w:rPr>
          <w:rFonts w:ascii="仿宋_GB2312" w:eastAsia="仿宋_GB2312"/>
          <w:color w:val="auto"/>
          <w:sz w:val="24"/>
        </w:rPr>
      </w:pPr>
      <w:r>
        <w:rPr>
          <w:rFonts w:ascii="仿宋_GB2312" w:eastAsia="仿宋_GB2312"/>
          <w:color w:val="auto"/>
          <w:sz w:val="24"/>
        </w:rPr>
        <w:t>7.4.1发包人通过监理人向承包人提供测量基准点、基准线和水准点及其书面资料的期限：</w:t>
      </w:r>
    </w:p>
    <w:p w14:paraId="314322CE">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 xml:space="preserve">承包人进入工地后进行现场、书面交桩，承包人负责复核，承包人并对水准点和坐标控制点加以保护  </w:t>
      </w:r>
      <w:r>
        <w:rPr>
          <w:rFonts w:ascii="仿宋_GB2312" w:eastAsia="仿宋_GB2312"/>
          <w:color w:val="auto"/>
          <w:sz w:val="24"/>
        </w:rPr>
        <w:t>。</w:t>
      </w:r>
    </w:p>
    <w:p w14:paraId="0A6E9D33">
      <w:pPr>
        <w:pStyle w:val="4"/>
        <w:rPr>
          <w:rFonts w:ascii="仿宋_GB2312" w:eastAsia="仿宋_GB2312"/>
          <w:color w:val="auto"/>
          <w:szCs w:val="24"/>
        </w:rPr>
      </w:pPr>
      <w:r>
        <w:rPr>
          <w:rFonts w:hint="eastAsia" w:ascii="仿宋_GB2312" w:eastAsia="仿宋_GB2312"/>
          <w:color w:val="auto"/>
          <w:szCs w:val="24"/>
        </w:rPr>
        <w:t>7.5 工期延误</w:t>
      </w:r>
    </w:p>
    <w:p w14:paraId="34C2878B">
      <w:pPr>
        <w:spacing w:line="360" w:lineRule="auto"/>
        <w:ind w:firstLine="480" w:firstLineChars="200"/>
        <w:rPr>
          <w:rFonts w:ascii="仿宋_GB2312" w:eastAsia="仿宋_GB2312"/>
          <w:color w:val="auto"/>
          <w:sz w:val="24"/>
        </w:rPr>
      </w:pPr>
      <w:r>
        <w:rPr>
          <w:rFonts w:ascii="仿宋_GB2312" w:eastAsia="仿宋_GB2312"/>
          <w:color w:val="auto"/>
          <w:sz w:val="24"/>
        </w:rPr>
        <w:t>7.5.1 因发包人原因导致工期延误</w:t>
      </w:r>
    </w:p>
    <w:p w14:paraId="793411CD">
      <w:pPr>
        <w:spacing w:line="360" w:lineRule="auto"/>
        <w:ind w:firstLine="480" w:firstLineChars="200"/>
        <w:rPr>
          <w:rFonts w:ascii="仿宋_GB2312" w:eastAsia="仿宋_GB2312"/>
          <w:color w:val="auto"/>
          <w:sz w:val="24"/>
          <w:u w:val="single"/>
        </w:rPr>
      </w:pPr>
      <w:r>
        <w:rPr>
          <w:rFonts w:ascii="仿宋_GB2312" w:eastAsia="仿宋_GB2312"/>
          <w:color w:val="auto"/>
          <w:sz w:val="24"/>
        </w:rPr>
        <w:t>（7）因发包人原因导致工期延误的其他情形：</w:t>
      </w:r>
      <w:r>
        <w:rPr>
          <w:rFonts w:ascii="仿宋_GB2312" w:eastAsia="仿宋_GB2312"/>
          <w:color w:val="auto"/>
          <w:sz w:val="24"/>
          <w:u w:val="single"/>
        </w:rPr>
        <w:t xml:space="preserve">         /               </w:t>
      </w:r>
      <w:r>
        <w:rPr>
          <w:rFonts w:ascii="仿宋_GB2312" w:eastAsia="仿宋_GB2312"/>
          <w:color w:val="auto"/>
          <w:sz w:val="24"/>
        </w:rPr>
        <w:t>。</w:t>
      </w:r>
    </w:p>
    <w:p w14:paraId="6B2AC300">
      <w:pPr>
        <w:spacing w:line="360" w:lineRule="auto"/>
        <w:ind w:firstLine="480" w:firstLineChars="200"/>
        <w:rPr>
          <w:rFonts w:ascii="仿宋_GB2312" w:eastAsia="仿宋_GB2312"/>
          <w:color w:val="auto"/>
          <w:sz w:val="24"/>
        </w:rPr>
      </w:pPr>
      <w:r>
        <w:rPr>
          <w:rFonts w:ascii="仿宋_GB2312" w:eastAsia="仿宋_GB2312"/>
          <w:color w:val="auto"/>
          <w:sz w:val="24"/>
        </w:rPr>
        <w:t>7.5.2 因承包人原因导致工期延误</w:t>
      </w:r>
    </w:p>
    <w:p w14:paraId="28C41F47">
      <w:pPr>
        <w:spacing w:line="360" w:lineRule="auto"/>
        <w:ind w:firstLine="420"/>
        <w:rPr>
          <w:rFonts w:ascii="仿宋_GB2312" w:eastAsia="仿宋_GB2312"/>
          <w:color w:val="auto"/>
          <w:sz w:val="24"/>
        </w:rPr>
      </w:pPr>
      <w:r>
        <w:rPr>
          <w:rFonts w:ascii="仿宋_GB2312" w:eastAsia="仿宋_GB2312"/>
          <w:color w:val="auto"/>
          <w:sz w:val="24"/>
        </w:rPr>
        <w:t>双方约定经监理工程师确认，工期相应顺延的情况：</w:t>
      </w:r>
    </w:p>
    <w:p w14:paraId="57ABD539">
      <w:pPr>
        <w:spacing w:line="360" w:lineRule="auto"/>
        <w:ind w:firstLine="420"/>
        <w:rPr>
          <w:rFonts w:ascii="仿宋_GB2312" w:eastAsia="仿宋_GB2312"/>
          <w:color w:val="auto"/>
          <w:sz w:val="24"/>
          <w:u w:val="single"/>
        </w:rPr>
      </w:pPr>
      <w:r>
        <w:rPr>
          <w:rFonts w:ascii="仿宋_GB2312" w:eastAsia="仿宋_GB2312"/>
          <w:color w:val="auto"/>
          <w:sz w:val="24"/>
          <w:u w:val="single"/>
        </w:rPr>
        <w:t xml:space="preserve">  （1）每日白天（8：00—18：00）非承包人原因停水停电连续超过6个小时，经双方签字确认后，工期相应顺延。</w:t>
      </w:r>
    </w:p>
    <w:p w14:paraId="2904F0CA">
      <w:pPr>
        <w:numPr>
          <w:ilvl w:val="0"/>
          <w:numId w:val="2"/>
        </w:numPr>
        <w:spacing w:line="360" w:lineRule="auto"/>
        <w:ind w:firstLine="420"/>
        <w:rPr>
          <w:rFonts w:ascii="仿宋_GB2312" w:eastAsia="仿宋_GB2312"/>
          <w:color w:val="auto"/>
          <w:sz w:val="24"/>
          <w:u w:val="single"/>
        </w:rPr>
      </w:pPr>
      <w:r>
        <w:rPr>
          <w:rFonts w:ascii="仿宋_GB2312" w:eastAsia="仿宋_GB2312"/>
          <w:color w:val="auto"/>
          <w:sz w:val="24"/>
          <w:u w:val="single"/>
        </w:rPr>
        <w:t>因政府行为连续停工一天以上的，工期可顺延。</w:t>
      </w:r>
    </w:p>
    <w:p w14:paraId="55032166">
      <w:pPr>
        <w:numPr>
          <w:ilvl w:val="0"/>
          <w:numId w:val="2"/>
        </w:numPr>
        <w:spacing w:line="360" w:lineRule="auto"/>
        <w:ind w:firstLine="420"/>
        <w:rPr>
          <w:rFonts w:ascii="仿宋_GB2312" w:eastAsia="仿宋_GB2312"/>
          <w:color w:val="auto"/>
          <w:sz w:val="24"/>
        </w:rPr>
      </w:pPr>
      <w:r>
        <w:rPr>
          <w:rFonts w:ascii="仿宋_GB2312" w:eastAsia="仿宋_GB2312"/>
          <w:color w:val="auto"/>
          <w:sz w:val="24"/>
          <w:u w:val="single"/>
        </w:rPr>
        <w:t>通用条款7.5款约定的情况。</w:t>
      </w:r>
    </w:p>
    <w:p w14:paraId="62C92CDB">
      <w:pPr>
        <w:spacing w:line="360" w:lineRule="auto"/>
        <w:ind w:firstLine="480" w:firstLineChars="200"/>
        <w:rPr>
          <w:rFonts w:ascii="仿宋_GB2312" w:eastAsia="仿宋_GB2312"/>
          <w:color w:val="auto"/>
          <w:sz w:val="24"/>
          <w:u w:val="single"/>
        </w:rPr>
      </w:pPr>
      <w:r>
        <w:rPr>
          <w:rFonts w:ascii="仿宋_GB2312" w:eastAsia="仿宋_GB2312"/>
          <w:color w:val="auto"/>
          <w:sz w:val="24"/>
        </w:rPr>
        <w:t>因承包人原因造成工期延误，逾期竣工违约金的计算方法为：</w:t>
      </w:r>
      <w:r>
        <w:rPr>
          <w:rFonts w:ascii="仿宋_GB2312" w:eastAsia="仿宋_GB2312"/>
          <w:color w:val="auto"/>
          <w:sz w:val="24"/>
          <w:u w:val="single"/>
        </w:rPr>
        <w:t xml:space="preserve">非上述原因，承包人不能按合同约定的时间竣工，承包人应承担违约责任。应向发包人支付误期赔偿费（每天赔偿金额为壹万元整 ），误期时间从规定竣工日期起直到全部工程或相应部分工程竣工验收各方签章日期之间的天数。发包人可从应向承包人支付的任何金额中扣除此项赔款费或其他方式收回此款，此赔偿款的支付并不能解除承包人应完成工程的责任或合同规定的其他责任。 </w:t>
      </w:r>
    </w:p>
    <w:p w14:paraId="1D6A32D7">
      <w:pPr>
        <w:spacing w:line="360" w:lineRule="auto"/>
        <w:ind w:firstLine="480" w:firstLineChars="200"/>
        <w:rPr>
          <w:rFonts w:ascii="仿宋_GB2312" w:eastAsia="仿宋_GB2312"/>
          <w:color w:val="auto"/>
          <w:sz w:val="24"/>
        </w:rPr>
      </w:pPr>
      <w:r>
        <w:rPr>
          <w:rFonts w:ascii="仿宋_GB2312" w:eastAsia="仿宋_GB2312"/>
          <w:color w:val="auto"/>
          <w:sz w:val="24"/>
        </w:rPr>
        <w:t>因承包人原因造成工期延误，逾期竣工违约金的上限：</w:t>
      </w:r>
      <w:r>
        <w:rPr>
          <w:color w:val="auto"/>
          <w:szCs w:val="21"/>
          <w:u w:val="single"/>
        </w:rPr>
        <w:t>合同价款</w:t>
      </w:r>
      <w:r>
        <w:rPr>
          <w:rFonts w:ascii="仿宋_GB2312" w:eastAsia="仿宋_GB2312"/>
          <w:color w:val="auto"/>
          <w:sz w:val="24"/>
          <w:u w:val="single"/>
        </w:rPr>
        <w:t>的10 %</w:t>
      </w:r>
      <w:r>
        <w:rPr>
          <w:rFonts w:ascii="仿宋_GB2312" w:eastAsia="仿宋_GB2312"/>
          <w:color w:val="auto"/>
          <w:sz w:val="24"/>
        </w:rPr>
        <w:t>。</w:t>
      </w:r>
    </w:p>
    <w:p w14:paraId="658BEE64">
      <w:pPr>
        <w:pStyle w:val="4"/>
        <w:rPr>
          <w:rFonts w:ascii="仿宋_GB2312" w:eastAsia="仿宋_GB2312"/>
          <w:color w:val="auto"/>
          <w:szCs w:val="24"/>
        </w:rPr>
      </w:pPr>
      <w:r>
        <w:rPr>
          <w:rFonts w:hint="eastAsia" w:ascii="仿宋_GB2312" w:eastAsia="仿宋_GB2312"/>
          <w:color w:val="auto"/>
          <w:szCs w:val="24"/>
        </w:rPr>
        <w:t>7.6 不利物质条件</w:t>
      </w:r>
    </w:p>
    <w:p w14:paraId="65B644A5">
      <w:pPr>
        <w:spacing w:line="360" w:lineRule="auto"/>
        <w:ind w:firstLine="480" w:firstLineChars="200"/>
        <w:rPr>
          <w:rFonts w:ascii="仿宋_GB2312" w:eastAsia="仿宋_GB2312"/>
          <w:color w:val="auto"/>
          <w:sz w:val="24"/>
          <w:u w:val="single"/>
        </w:rPr>
      </w:pPr>
      <w:r>
        <w:rPr>
          <w:rFonts w:ascii="仿宋_GB2312" w:eastAsia="仿宋_GB2312"/>
          <w:color w:val="auto"/>
          <w:sz w:val="24"/>
        </w:rPr>
        <w:t>不利物质条件的其他情形和有关约定：</w:t>
      </w:r>
      <w:r>
        <w:rPr>
          <w:color w:val="auto"/>
          <w:szCs w:val="21"/>
          <w:u w:val="single"/>
        </w:rPr>
        <w:t>按本合同《通用条款》相关规定执行</w:t>
      </w:r>
      <w:r>
        <w:rPr>
          <w:rFonts w:ascii="仿宋_GB2312" w:eastAsia="仿宋_GB2312"/>
          <w:color w:val="auto"/>
          <w:sz w:val="24"/>
        </w:rPr>
        <w:t>。</w:t>
      </w:r>
    </w:p>
    <w:p w14:paraId="2D6E06EA">
      <w:pPr>
        <w:pStyle w:val="4"/>
        <w:rPr>
          <w:rFonts w:ascii="仿宋_GB2312" w:eastAsia="仿宋_GB2312"/>
          <w:color w:val="auto"/>
          <w:szCs w:val="24"/>
        </w:rPr>
      </w:pPr>
      <w:r>
        <w:rPr>
          <w:rFonts w:hint="eastAsia" w:ascii="仿宋_GB2312" w:eastAsia="仿宋_GB2312"/>
          <w:color w:val="auto"/>
          <w:szCs w:val="24"/>
        </w:rPr>
        <w:t>7.7 异常恶劣的气候条件</w:t>
      </w:r>
    </w:p>
    <w:p w14:paraId="28AC9331">
      <w:pPr>
        <w:spacing w:line="360" w:lineRule="auto"/>
        <w:ind w:firstLine="480" w:firstLineChars="200"/>
        <w:rPr>
          <w:rFonts w:ascii="仿宋_GB2312" w:eastAsia="仿宋_GB2312"/>
          <w:color w:val="auto"/>
          <w:sz w:val="24"/>
        </w:rPr>
      </w:pPr>
      <w:r>
        <w:rPr>
          <w:rFonts w:ascii="仿宋_GB2312" w:eastAsia="仿宋_GB2312"/>
          <w:color w:val="auto"/>
          <w:sz w:val="24"/>
        </w:rPr>
        <w:t>发包人和承包人同意以下情形视为异常恶劣的气候条件：</w:t>
      </w:r>
    </w:p>
    <w:p w14:paraId="4CA92549">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（1）中雨及以上的雨水</w:t>
      </w:r>
    </w:p>
    <w:p w14:paraId="33FD8B3F">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（2）6级及以上的大风（以气象部门鉴定为准）</w:t>
      </w:r>
    </w:p>
    <w:p w14:paraId="4BC0ECD5">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（3）日气温超过38 ℃的高温大于 2 天；</w:t>
      </w:r>
    </w:p>
    <w:p w14:paraId="373AB946">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（4）日气温低于 -10℃的严寒大于 2 天。</w:t>
      </w:r>
    </w:p>
    <w:p w14:paraId="23F779E9">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（5）造成工程损坏的冰雹和大雪灾害；</w:t>
      </w:r>
    </w:p>
    <w:p w14:paraId="6C2FE441">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（6）6 级及以上的地震；</w:t>
      </w:r>
    </w:p>
    <w:p w14:paraId="1804A523">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（7）20年一遇及以上的洪水；</w:t>
      </w:r>
    </w:p>
    <w:p w14:paraId="49F06F86">
      <w:pPr>
        <w:spacing w:line="360" w:lineRule="exact"/>
        <w:ind w:firstLine="482" w:firstLineChars="200"/>
        <w:rPr>
          <w:rFonts w:ascii="仿宋_GB2312" w:eastAsia="仿宋_GB2312"/>
          <w:b/>
          <w:bCs/>
          <w:color w:val="auto"/>
          <w:sz w:val="24"/>
          <w:u w:val="single"/>
        </w:rPr>
      </w:pPr>
      <w:r>
        <w:rPr>
          <w:rFonts w:ascii="仿宋_GB2312" w:eastAsia="仿宋_GB2312"/>
          <w:b/>
          <w:bCs/>
          <w:color w:val="auto"/>
          <w:sz w:val="24"/>
          <w:u w:val="single"/>
        </w:rPr>
        <w:t>以有关部门发布的文件为准</w:t>
      </w:r>
      <w:r>
        <w:rPr>
          <w:rFonts w:ascii="仿宋_GB2312" w:eastAsia="仿宋_GB2312"/>
          <w:b/>
          <w:bCs/>
          <w:color w:val="auto"/>
          <w:sz w:val="24"/>
        </w:rPr>
        <w:t>。</w:t>
      </w:r>
    </w:p>
    <w:p w14:paraId="07B82B76">
      <w:pPr>
        <w:pStyle w:val="4"/>
        <w:rPr>
          <w:rFonts w:ascii="仿宋_GB2312" w:eastAsia="仿宋_GB2312"/>
          <w:color w:val="auto"/>
          <w:szCs w:val="24"/>
        </w:rPr>
      </w:pPr>
      <w:r>
        <w:rPr>
          <w:rFonts w:hint="eastAsia" w:ascii="仿宋_GB2312" w:eastAsia="仿宋_GB2312"/>
          <w:color w:val="auto"/>
          <w:szCs w:val="24"/>
        </w:rPr>
        <w:t>7.9 提前竣工</w:t>
      </w:r>
    </w:p>
    <w:p w14:paraId="5DFC53E7">
      <w:pPr>
        <w:spacing w:line="360" w:lineRule="auto"/>
        <w:ind w:firstLine="480" w:firstLineChars="200"/>
        <w:rPr>
          <w:rFonts w:ascii="仿宋_GB2312" w:eastAsia="仿宋_GB2312"/>
          <w:color w:val="auto"/>
          <w:sz w:val="24"/>
        </w:rPr>
      </w:pPr>
      <w:r>
        <w:rPr>
          <w:rFonts w:ascii="仿宋_GB2312" w:eastAsia="仿宋_GB2312"/>
          <w:color w:val="auto"/>
          <w:sz w:val="24"/>
        </w:rPr>
        <w:t>7.9.2提前竣工（赶工）增加费的计算方法：</w:t>
      </w:r>
      <w:r>
        <w:rPr>
          <w:rFonts w:ascii="仿宋_GB2312" w:eastAsia="仿宋_GB2312"/>
          <w:color w:val="auto"/>
          <w:sz w:val="24"/>
          <w:u w:val="single"/>
        </w:rPr>
        <w:t xml:space="preserve">               无             </w:t>
      </w:r>
      <w:r>
        <w:rPr>
          <w:rFonts w:ascii="仿宋_GB2312" w:eastAsia="仿宋_GB2312"/>
          <w:color w:val="auto"/>
          <w:sz w:val="24"/>
        </w:rPr>
        <w:t>。</w:t>
      </w:r>
    </w:p>
    <w:p w14:paraId="21C7F979">
      <w:pPr>
        <w:pStyle w:val="3"/>
        <w:rPr>
          <w:rFonts w:ascii="仿宋_GB2312" w:eastAsia="仿宋_GB2312"/>
          <w:color w:val="auto"/>
          <w:sz w:val="24"/>
          <w:szCs w:val="24"/>
        </w:rPr>
      </w:pPr>
      <w:r>
        <w:rPr>
          <w:rFonts w:hint="eastAsia" w:ascii="仿宋_GB2312" w:eastAsia="仿宋_GB2312"/>
          <w:color w:val="auto"/>
          <w:sz w:val="24"/>
          <w:szCs w:val="24"/>
        </w:rPr>
        <w:t>8. 材料与设备</w:t>
      </w:r>
    </w:p>
    <w:p w14:paraId="70513F5C">
      <w:pPr>
        <w:pStyle w:val="4"/>
        <w:rPr>
          <w:rFonts w:ascii="仿宋_GB2312" w:eastAsia="仿宋_GB2312"/>
          <w:color w:val="auto"/>
          <w:szCs w:val="24"/>
        </w:rPr>
      </w:pPr>
      <w:r>
        <w:rPr>
          <w:rFonts w:hint="eastAsia" w:ascii="仿宋_GB2312" w:eastAsia="仿宋_GB2312"/>
          <w:color w:val="auto"/>
          <w:szCs w:val="24"/>
        </w:rPr>
        <w:t>8.2 承包人采购材料与工程设备</w:t>
      </w:r>
    </w:p>
    <w:p w14:paraId="0EC1C454">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2821F028">
      <w:pPr>
        <w:pStyle w:val="4"/>
        <w:rPr>
          <w:rFonts w:ascii="仿宋_GB2312" w:eastAsia="仿宋_GB2312"/>
          <w:color w:val="auto"/>
          <w:szCs w:val="24"/>
        </w:rPr>
      </w:pPr>
      <w:r>
        <w:rPr>
          <w:rFonts w:hint="eastAsia" w:ascii="仿宋_GB2312" w:eastAsia="仿宋_GB2312"/>
          <w:color w:val="auto"/>
          <w:szCs w:val="24"/>
        </w:rPr>
        <w:t>8.4 材料与工程设备的保管与使用</w:t>
      </w:r>
    </w:p>
    <w:p w14:paraId="14719271">
      <w:pPr>
        <w:spacing w:line="360" w:lineRule="auto"/>
        <w:ind w:firstLine="480" w:firstLineChars="200"/>
        <w:rPr>
          <w:rFonts w:ascii="仿宋_GB2312" w:eastAsia="仿宋_GB2312"/>
          <w:color w:val="auto"/>
          <w:sz w:val="24"/>
          <w:u w:val="single"/>
        </w:rPr>
      </w:pPr>
      <w:r>
        <w:rPr>
          <w:rFonts w:ascii="仿宋_GB2312" w:eastAsia="仿宋_GB2312"/>
          <w:color w:val="auto"/>
          <w:sz w:val="24"/>
        </w:rPr>
        <w:t>8.4.1发包人供应的材料设备的保管费用的承担：</w:t>
      </w:r>
      <w:r>
        <w:rPr>
          <w:rFonts w:ascii="仿宋_GB2312" w:eastAsia="仿宋_GB2312"/>
          <w:color w:val="auto"/>
          <w:sz w:val="24"/>
          <w:u w:val="single"/>
        </w:rPr>
        <w:t xml:space="preserve">   由承包人承担  </w:t>
      </w:r>
      <w:r>
        <w:rPr>
          <w:rFonts w:ascii="仿宋_GB2312" w:eastAsia="仿宋_GB2312"/>
          <w:color w:val="auto"/>
          <w:sz w:val="24"/>
        </w:rPr>
        <w:t>。</w:t>
      </w:r>
    </w:p>
    <w:p w14:paraId="53269981">
      <w:pPr>
        <w:pStyle w:val="4"/>
        <w:rPr>
          <w:rFonts w:ascii="仿宋_GB2312" w:eastAsia="仿宋_GB2312"/>
          <w:color w:val="auto"/>
          <w:szCs w:val="24"/>
        </w:rPr>
      </w:pPr>
      <w:r>
        <w:rPr>
          <w:rFonts w:hint="eastAsia" w:ascii="仿宋_GB2312" w:eastAsia="仿宋_GB2312"/>
          <w:color w:val="auto"/>
          <w:szCs w:val="24"/>
        </w:rPr>
        <w:t>8.6 样品</w:t>
      </w:r>
    </w:p>
    <w:p w14:paraId="1586A6AD">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8.6.1 样品的报送与封存</w:t>
      </w:r>
    </w:p>
    <w:p w14:paraId="01D191CB">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需要承包人报送样品的材料或工程设备，样品的种类、名称、规格、数量要求：</w:t>
      </w:r>
      <w:r>
        <w:rPr>
          <w:rFonts w:ascii="仿宋_GB2312" w:eastAsia="仿宋_GB2312"/>
          <w:color w:val="auto"/>
          <w:sz w:val="24"/>
          <w:u w:val="single"/>
        </w:rPr>
        <w:t>主要材料涉及品种、款式、颜色等方面内容的，承包人应提交准备合格的材料样品送发包人选定。</w:t>
      </w:r>
    </w:p>
    <w:p w14:paraId="415E4C86">
      <w:pPr>
        <w:pStyle w:val="4"/>
        <w:rPr>
          <w:rFonts w:ascii="仿宋_GB2312" w:eastAsia="仿宋_GB2312"/>
          <w:color w:val="auto"/>
          <w:szCs w:val="24"/>
        </w:rPr>
      </w:pPr>
      <w:r>
        <w:rPr>
          <w:rFonts w:hint="eastAsia" w:ascii="仿宋_GB2312" w:eastAsia="仿宋_GB2312"/>
          <w:color w:val="auto"/>
          <w:szCs w:val="24"/>
        </w:rPr>
        <w:t>8.8 施工设备和临时设施</w:t>
      </w:r>
    </w:p>
    <w:p w14:paraId="29B53D53">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8.8.1 承包人提供的施工设备和临时设施</w:t>
      </w:r>
    </w:p>
    <w:p w14:paraId="784AD305">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0C1A738F">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关于修建临时设施费用承担的约定：</w:t>
      </w:r>
    </w:p>
    <w:p w14:paraId="4004F792">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①承包人的临时用地（含项目部驻地等）租用费（含拆迁补偿）、临时用地的环保、恢复、临时用地的青苗补偿及地面附着物拆除等费用均由承包人负责，以上费用在投标报价中综合考虑。</w:t>
      </w:r>
    </w:p>
    <w:p w14:paraId="7E46EBDA">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②承包人负责合同实施期间其合同段内临时交通道路（含场内外连接公共交通道路）和交通设施的修建、维修、养护和交通管理工作，并承担一切费用。</w:t>
      </w:r>
    </w:p>
    <w:p w14:paraId="24BEE90E">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79E191A0">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8.8.2 发包人提供的施工设备和临时设施</w:t>
      </w:r>
    </w:p>
    <w:p w14:paraId="7C1C9D15">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发包人提供的施工设备和临时设施：</w:t>
      </w:r>
      <w:r>
        <w:rPr>
          <w:rFonts w:ascii="仿宋_GB2312" w:eastAsia="仿宋_GB2312"/>
          <w:color w:val="auto"/>
          <w:sz w:val="24"/>
          <w:u w:val="single"/>
        </w:rPr>
        <w:t xml:space="preserve"> （1）发包人按承包人的施工现场总平面布置图的要求于开工前7天将水、电接至施工现场围墙内。若发包人未将以上管线外端接口接至承包人指定的位置，则由承包人将水、电、电讯线路延长接至施工现场，费用由发包人承担。（2）开工前5天将施工场地公共道路的通道通至施工场地，保证施工期间的畅通，并满足施工运输的需要 </w:t>
      </w:r>
      <w:r>
        <w:rPr>
          <w:rFonts w:ascii="仿宋_GB2312" w:eastAsia="仿宋_GB2312"/>
          <w:color w:val="auto"/>
          <w:sz w:val="24"/>
        </w:rPr>
        <w:t>。</w:t>
      </w:r>
    </w:p>
    <w:p w14:paraId="166AFEE8">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发包人提供的施工设备和临时设施的运行、维护、拆除、清运费用的承担人：</w:t>
      </w:r>
      <w:r>
        <w:rPr>
          <w:rFonts w:ascii="仿宋_GB2312" w:eastAsia="仿宋_GB2312"/>
          <w:color w:val="auto"/>
          <w:sz w:val="24"/>
          <w:u w:val="single"/>
        </w:rPr>
        <w:t xml:space="preserve"> 发包人  </w:t>
      </w:r>
      <w:r>
        <w:rPr>
          <w:rFonts w:ascii="仿宋_GB2312" w:eastAsia="仿宋_GB2312"/>
          <w:color w:val="auto"/>
          <w:sz w:val="24"/>
        </w:rPr>
        <w:t>。</w:t>
      </w:r>
    </w:p>
    <w:p w14:paraId="1BC281D6">
      <w:pPr>
        <w:pStyle w:val="3"/>
        <w:rPr>
          <w:rFonts w:ascii="仿宋_GB2312" w:eastAsia="仿宋_GB2312"/>
          <w:color w:val="auto"/>
          <w:sz w:val="24"/>
          <w:szCs w:val="24"/>
        </w:rPr>
      </w:pPr>
      <w:r>
        <w:rPr>
          <w:rFonts w:hint="eastAsia" w:ascii="仿宋_GB2312" w:eastAsia="仿宋_GB2312"/>
          <w:color w:val="auto"/>
          <w:sz w:val="24"/>
          <w:szCs w:val="24"/>
        </w:rPr>
        <w:t>9. 试验与检验</w:t>
      </w:r>
    </w:p>
    <w:p w14:paraId="21305333">
      <w:pPr>
        <w:pStyle w:val="4"/>
        <w:rPr>
          <w:rFonts w:ascii="仿宋_GB2312" w:eastAsia="仿宋_GB2312"/>
          <w:color w:val="auto"/>
          <w:szCs w:val="24"/>
        </w:rPr>
      </w:pPr>
      <w:r>
        <w:rPr>
          <w:rFonts w:hint="eastAsia" w:ascii="仿宋_GB2312" w:eastAsia="仿宋_GB2312"/>
          <w:color w:val="auto"/>
          <w:szCs w:val="24"/>
        </w:rPr>
        <w:t>9.1 试验设备与试验人员</w:t>
      </w:r>
    </w:p>
    <w:p w14:paraId="78E32E36">
      <w:pPr>
        <w:spacing w:line="360" w:lineRule="auto"/>
        <w:ind w:firstLine="480" w:firstLineChars="200"/>
        <w:rPr>
          <w:rFonts w:ascii="仿宋_GB2312" w:eastAsia="仿宋_GB2312"/>
          <w:color w:val="auto"/>
          <w:sz w:val="24"/>
        </w:rPr>
      </w:pPr>
      <w:r>
        <w:rPr>
          <w:rFonts w:ascii="仿宋_GB2312" w:eastAsia="仿宋_GB2312"/>
          <w:color w:val="auto"/>
          <w:sz w:val="24"/>
        </w:rPr>
        <w:t>9.1.2 试验设备</w:t>
      </w:r>
    </w:p>
    <w:p w14:paraId="22015452">
      <w:pPr>
        <w:spacing w:line="360" w:lineRule="auto"/>
        <w:ind w:firstLine="480" w:firstLineChars="200"/>
        <w:rPr>
          <w:rFonts w:ascii="仿宋_GB2312" w:eastAsia="仿宋_GB2312"/>
          <w:color w:val="auto"/>
          <w:sz w:val="24"/>
          <w:u w:val="single"/>
        </w:rPr>
      </w:pPr>
      <w:r>
        <w:rPr>
          <w:rFonts w:ascii="仿宋_GB2312" w:eastAsia="仿宋_GB2312"/>
          <w:color w:val="auto"/>
          <w:sz w:val="24"/>
        </w:rPr>
        <w:t>施工现场需要配置的试验场所：</w:t>
      </w:r>
      <w:r>
        <w:rPr>
          <w:rFonts w:ascii="仿宋_GB2312" w:eastAsia="仿宋_GB2312"/>
          <w:color w:val="auto"/>
          <w:sz w:val="24"/>
          <w:u w:val="single"/>
        </w:rPr>
        <w:t xml:space="preserve">   由承包人提供   </w:t>
      </w:r>
      <w:r>
        <w:rPr>
          <w:rFonts w:ascii="仿宋_GB2312" w:eastAsia="仿宋_GB2312"/>
          <w:color w:val="auto"/>
          <w:sz w:val="24"/>
        </w:rPr>
        <w:t>。</w:t>
      </w:r>
    </w:p>
    <w:p w14:paraId="30264AB1">
      <w:pPr>
        <w:spacing w:line="360" w:lineRule="auto"/>
        <w:ind w:firstLine="480" w:firstLineChars="200"/>
        <w:rPr>
          <w:rFonts w:ascii="仿宋_GB2312" w:eastAsia="仿宋_GB2312"/>
          <w:color w:val="auto"/>
          <w:sz w:val="24"/>
          <w:u w:val="single"/>
        </w:rPr>
      </w:pPr>
      <w:r>
        <w:rPr>
          <w:rFonts w:ascii="仿宋_GB2312" w:eastAsia="仿宋_GB2312"/>
          <w:color w:val="auto"/>
          <w:sz w:val="24"/>
        </w:rPr>
        <w:t>施工现场需要配备的试验设备：</w:t>
      </w:r>
      <w:r>
        <w:rPr>
          <w:rFonts w:ascii="仿宋_GB2312" w:eastAsia="仿宋_GB2312"/>
          <w:color w:val="auto"/>
          <w:sz w:val="24"/>
          <w:u w:val="single"/>
        </w:rPr>
        <w:t xml:space="preserve">    由承包人提供   </w:t>
      </w:r>
      <w:r>
        <w:rPr>
          <w:rFonts w:ascii="仿宋_GB2312" w:eastAsia="仿宋_GB2312"/>
          <w:color w:val="auto"/>
          <w:sz w:val="24"/>
        </w:rPr>
        <w:t>。</w:t>
      </w:r>
    </w:p>
    <w:p w14:paraId="6D49F54D">
      <w:pPr>
        <w:spacing w:line="360" w:lineRule="auto"/>
        <w:ind w:firstLine="480" w:firstLineChars="200"/>
        <w:rPr>
          <w:rFonts w:ascii="仿宋_GB2312" w:eastAsia="仿宋_GB2312"/>
          <w:color w:val="auto"/>
          <w:sz w:val="24"/>
          <w:u w:val="single"/>
        </w:rPr>
      </w:pPr>
      <w:r>
        <w:rPr>
          <w:rFonts w:ascii="仿宋_GB2312" w:eastAsia="仿宋_GB2312"/>
          <w:color w:val="auto"/>
          <w:sz w:val="24"/>
        </w:rPr>
        <w:t>施工现场需要具备的其他试验条件：</w:t>
      </w:r>
      <w:r>
        <w:rPr>
          <w:rFonts w:ascii="仿宋_GB2312" w:eastAsia="仿宋_GB2312"/>
          <w:color w:val="auto"/>
          <w:sz w:val="24"/>
          <w:u w:val="single"/>
        </w:rPr>
        <w:t xml:space="preserve">  由承包人提供    </w:t>
      </w:r>
      <w:r>
        <w:rPr>
          <w:rFonts w:ascii="仿宋_GB2312" w:eastAsia="仿宋_GB2312"/>
          <w:color w:val="auto"/>
          <w:sz w:val="24"/>
        </w:rPr>
        <w:t>。</w:t>
      </w:r>
    </w:p>
    <w:p w14:paraId="2D9B1FE6">
      <w:pPr>
        <w:pStyle w:val="4"/>
        <w:rPr>
          <w:rFonts w:ascii="仿宋_GB2312" w:eastAsia="仿宋_GB2312"/>
          <w:color w:val="auto"/>
          <w:szCs w:val="24"/>
        </w:rPr>
      </w:pPr>
      <w:r>
        <w:rPr>
          <w:rFonts w:hint="eastAsia" w:ascii="仿宋_GB2312" w:eastAsia="仿宋_GB2312"/>
          <w:color w:val="auto"/>
          <w:szCs w:val="24"/>
        </w:rPr>
        <w:t>9.4 现场工艺试验</w:t>
      </w:r>
    </w:p>
    <w:p w14:paraId="33333287">
      <w:pPr>
        <w:spacing w:line="360" w:lineRule="auto"/>
        <w:ind w:firstLine="480" w:firstLineChars="200"/>
        <w:rPr>
          <w:rFonts w:ascii="仿宋_GB2312" w:eastAsia="仿宋_GB2312"/>
          <w:color w:val="auto"/>
          <w:sz w:val="24"/>
        </w:rPr>
      </w:pPr>
      <w:r>
        <w:rPr>
          <w:rFonts w:ascii="仿宋_GB2312" w:eastAsia="仿宋_GB2312"/>
          <w:color w:val="auto"/>
          <w:sz w:val="24"/>
        </w:rPr>
        <w:t>现场工艺试验的有关约定：</w:t>
      </w:r>
      <w:r>
        <w:rPr>
          <w:rFonts w:ascii="仿宋_GB2312" w:eastAsia="仿宋_GB2312"/>
          <w:color w:val="auto"/>
          <w:sz w:val="24"/>
          <w:u w:val="single"/>
        </w:rPr>
        <w:t xml:space="preserve">                /              </w:t>
      </w:r>
      <w:r>
        <w:rPr>
          <w:rFonts w:ascii="仿宋_GB2312" w:eastAsia="仿宋_GB2312"/>
          <w:color w:val="auto"/>
          <w:sz w:val="24"/>
        </w:rPr>
        <w:t>。</w:t>
      </w:r>
    </w:p>
    <w:p w14:paraId="1DC9CB5C">
      <w:pPr>
        <w:pStyle w:val="4"/>
        <w:rPr>
          <w:rFonts w:ascii="仿宋_GB2312" w:eastAsia="仿宋_GB2312"/>
          <w:color w:val="auto"/>
          <w:szCs w:val="24"/>
        </w:rPr>
      </w:pPr>
      <w:r>
        <w:rPr>
          <w:rFonts w:hint="eastAsia" w:ascii="仿宋_GB2312" w:eastAsia="仿宋_GB2312"/>
          <w:color w:val="auto"/>
          <w:szCs w:val="24"/>
        </w:rPr>
        <w:t>9.5 检验费用</w:t>
      </w:r>
    </w:p>
    <w:p w14:paraId="011A3162">
      <w:pPr>
        <w:spacing w:line="360" w:lineRule="auto"/>
        <w:ind w:firstLine="470" w:firstLineChars="196"/>
        <w:rPr>
          <w:rFonts w:ascii="仿宋_GB2312" w:eastAsia="仿宋_GB2312"/>
          <w:color w:val="auto"/>
          <w:sz w:val="24"/>
        </w:rPr>
      </w:pPr>
      <w:r>
        <w:rPr>
          <w:rFonts w:ascii="仿宋_GB2312" w:eastAsia="仿宋_GB2312"/>
          <w:color w:val="auto"/>
          <w:sz w:val="24"/>
        </w:rPr>
        <w:t>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w:t>
      </w:r>
    </w:p>
    <w:p w14:paraId="12195BC0">
      <w:pPr>
        <w:pStyle w:val="3"/>
        <w:rPr>
          <w:rFonts w:ascii="仿宋_GB2312" w:eastAsia="仿宋_GB2312"/>
          <w:color w:val="auto"/>
          <w:sz w:val="24"/>
          <w:szCs w:val="24"/>
        </w:rPr>
      </w:pPr>
      <w:r>
        <w:rPr>
          <w:rFonts w:hint="eastAsia" w:ascii="仿宋_GB2312" w:eastAsia="仿宋_GB2312"/>
          <w:color w:val="auto"/>
          <w:sz w:val="24"/>
          <w:szCs w:val="24"/>
        </w:rPr>
        <w:t>10. 变更</w:t>
      </w:r>
    </w:p>
    <w:p w14:paraId="4320498B">
      <w:pPr>
        <w:pStyle w:val="4"/>
        <w:rPr>
          <w:rFonts w:ascii="仿宋_GB2312" w:eastAsia="仿宋_GB2312"/>
          <w:color w:val="auto"/>
          <w:szCs w:val="24"/>
        </w:rPr>
      </w:pPr>
      <w:r>
        <w:rPr>
          <w:rFonts w:hint="eastAsia" w:ascii="仿宋_GB2312" w:eastAsia="仿宋_GB2312"/>
          <w:color w:val="auto"/>
          <w:szCs w:val="24"/>
        </w:rPr>
        <w:t>10.1 变更的范围</w:t>
      </w:r>
    </w:p>
    <w:p w14:paraId="0B53765D">
      <w:pPr>
        <w:spacing w:line="360" w:lineRule="auto"/>
        <w:ind w:firstLine="426"/>
        <w:rPr>
          <w:rFonts w:ascii="仿宋_GB2312" w:eastAsia="仿宋_GB2312"/>
          <w:color w:val="auto"/>
          <w:sz w:val="24"/>
        </w:rPr>
      </w:pPr>
      <w:r>
        <w:rPr>
          <w:rFonts w:ascii="仿宋_GB2312" w:eastAsia="仿宋_GB2312"/>
          <w:color w:val="auto"/>
          <w:sz w:val="24"/>
        </w:rPr>
        <w:t>关于变更的范围的约定：</w:t>
      </w:r>
      <w:r>
        <w:rPr>
          <w:rFonts w:ascii="仿宋_GB2312" w:eastAsia="仿宋_GB2312"/>
          <w:color w:val="auto"/>
          <w:sz w:val="24"/>
          <w:u w:val="single"/>
        </w:rPr>
        <w:t xml:space="preserve">                /                </w:t>
      </w:r>
      <w:r>
        <w:rPr>
          <w:rFonts w:ascii="仿宋_GB2312" w:eastAsia="仿宋_GB2312"/>
          <w:color w:val="auto"/>
          <w:sz w:val="24"/>
        </w:rPr>
        <w:t>。</w:t>
      </w:r>
    </w:p>
    <w:p w14:paraId="06964B4C">
      <w:pPr>
        <w:pStyle w:val="4"/>
        <w:rPr>
          <w:rFonts w:ascii="仿宋_GB2312" w:eastAsia="仿宋_GB2312"/>
          <w:color w:val="auto"/>
          <w:szCs w:val="24"/>
        </w:rPr>
      </w:pPr>
      <w:r>
        <w:rPr>
          <w:rFonts w:hint="eastAsia" w:ascii="仿宋_GB2312" w:eastAsia="仿宋_GB2312"/>
          <w:color w:val="auto"/>
          <w:szCs w:val="24"/>
        </w:rPr>
        <w:t>10.3 变更程序</w:t>
      </w:r>
    </w:p>
    <w:p w14:paraId="75E4CBA7">
      <w:pPr>
        <w:pStyle w:val="24"/>
        <w:spacing w:line="360" w:lineRule="auto"/>
        <w:ind w:firstLine="504" w:firstLineChars="210"/>
        <w:rPr>
          <w:rFonts w:ascii="仿宋_GB2312" w:hAnsi="Times New Roman" w:eastAsia="仿宋_GB2312"/>
          <w:bCs/>
          <w:color w:val="auto"/>
          <w:sz w:val="24"/>
        </w:rPr>
      </w:pPr>
      <w:r>
        <w:rPr>
          <w:rFonts w:hint="eastAsia" w:ascii="仿宋_GB2312" w:hAnsi="Times New Roman" w:eastAsia="仿宋_GB2312"/>
          <w:bCs/>
          <w:color w:val="auto"/>
          <w:sz w:val="24"/>
        </w:rPr>
        <w:t>10.3.1 国有投资项目：</w:t>
      </w:r>
    </w:p>
    <w:p w14:paraId="7814A86F">
      <w:pPr>
        <w:spacing w:line="440" w:lineRule="exact"/>
        <w:ind w:firstLine="440"/>
        <w:rPr>
          <w:rFonts w:ascii="仿宋_GB2312" w:eastAsia="仿宋_GB2312"/>
          <w:color w:val="auto"/>
          <w:sz w:val="24"/>
        </w:rPr>
      </w:pPr>
      <w:r>
        <w:rPr>
          <w:rFonts w:ascii="仿宋_GB2312" w:eastAsia="仿宋_GB2312"/>
          <w:color w:val="auto"/>
          <w:sz w:val="24"/>
        </w:rPr>
        <w:t>⑴属重大变更的须经发包方、承包方、设计方、监理方、建设主管部门等各方进行论证后，并按崇政办发〔2017〕54号相关规定程序报批后方可施工；属一般性变更的由施工方负责人起草，交发包方代表及发包方负责领导审批，变更的工程量须有施工、监理、业主、财务总监、评审人员进行现场按项实测实量签署意见。超标准后达到重大变更，按崇政办发〔2017〕54号相关规定程序报批后方可施工。</w:t>
      </w:r>
    </w:p>
    <w:p w14:paraId="2629752E">
      <w:pPr>
        <w:spacing w:line="360" w:lineRule="auto"/>
        <w:rPr>
          <w:rFonts w:ascii="仿宋_GB2312" w:eastAsia="仿宋_GB2312"/>
          <w:color w:val="auto"/>
          <w:sz w:val="24"/>
        </w:rPr>
      </w:pPr>
      <w:r>
        <w:rPr>
          <w:rFonts w:ascii="仿宋_GB2312" w:eastAsia="仿宋_GB2312"/>
          <w:color w:val="auto"/>
          <w:sz w:val="24"/>
        </w:rPr>
        <w:t>⑵ 工程设计变更和签证工程发生后10个工作日内，由建设单位将有关变更文件、签证单审批件、工程联系单、预算书等工程资料送市财政局备案，并作为进度款支付、事后抽查和工程结算的主要依据。</w:t>
      </w:r>
    </w:p>
    <w:p w14:paraId="170479F9">
      <w:pPr>
        <w:pStyle w:val="24"/>
        <w:spacing w:line="360" w:lineRule="auto"/>
        <w:ind w:firstLine="504" w:firstLineChars="210"/>
        <w:rPr>
          <w:rFonts w:ascii="仿宋_GB2312" w:hAnsi="宋体" w:eastAsia="仿宋_GB2312"/>
          <w:color w:val="auto"/>
          <w:sz w:val="24"/>
        </w:rPr>
      </w:pPr>
      <w:r>
        <w:rPr>
          <w:rFonts w:hint="eastAsia" w:ascii="仿宋_GB2312" w:hAnsi="宋体" w:eastAsia="仿宋_GB2312"/>
          <w:color w:val="auto"/>
          <w:sz w:val="24"/>
        </w:rPr>
        <w:t>⑶ 建设单位在实施项目过程中，若发生单价变动，由建设单位、监理单位、市财政投资评审中心与施工单位共同商定并签字确认。</w:t>
      </w:r>
    </w:p>
    <w:p w14:paraId="5DB662FE">
      <w:pPr>
        <w:pStyle w:val="24"/>
        <w:spacing w:line="360" w:lineRule="auto"/>
        <w:ind w:firstLine="504" w:firstLineChars="210"/>
        <w:rPr>
          <w:rFonts w:ascii="仿宋_GB2312" w:hAnsi="宋体" w:eastAsia="仿宋_GB2312"/>
          <w:color w:val="auto"/>
          <w:sz w:val="24"/>
        </w:rPr>
      </w:pPr>
      <w:r>
        <w:rPr>
          <w:rFonts w:hint="eastAsia" w:ascii="仿宋_GB2312" w:hAnsi="宋体" w:eastAsia="仿宋_GB2312"/>
          <w:color w:val="auto"/>
          <w:sz w:val="24"/>
        </w:rPr>
        <w:t xml:space="preserve"> ⑷承包人应当在合同规定的调整情况发生后14天内，将调整原因，金额以书面形式通知发包人，发包人按第⑴、⑵、⑶、⑷、⑸条款的要求初步确认调整金额后将其作为追加合同价款，按不高于60%的比例与工程进度款同期支付，调整金额待工程单项结算或结算时，由</w:t>
      </w:r>
      <w:r>
        <w:rPr>
          <w:rFonts w:hint="eastAsia" w:ascii="仿宋_GB2312" w:hAnsi="宋体" w:eastAsia="仿宋_GB2312"/>
          <w:b/>
          <w:bCs/>
          <w:color w:val="auto"/>
          <w:sz w:val="24"/>
        </w:rPr>
        <w:t>龙州县评审中心或龙州县审计局最终审定。</w:t>
      </w:r>
    </w:p>
    <w:p w14:paraId="503BE593">
      <w:pPr>
        <w:spacing w:line="360" w:lineRule="auto"/>
        <w:ind w:firstLine="480" w:firstLineChars="200"/>
        <w:rPr>
          <w:rFonts w:ascii="仿宋_GB2312" w:eastAsia="仿宋_GB2312"/>
          <w:color w:val="auto"/>
          <w:sz w:val="24"/>
        </w:rPr>
      </w:pPr>
      <w:r>
        <w:rPr>
          <w:rFonts w:ascii="仿宋_GB2312" w:eastAsia="仿宋_GB2312"/>
          <w:color w:val="auto"/>
          <w:sz w:val="24"/>
        </w:rPr>
        <w:t>⑸当合同规定的调整合同价款的调整情况发生后，承包人未在规定时间内通知发包人，或者未在规定时间内提出调整报告，发包人可以根据有关资料，决定是否调整和调整的金额，并书面通知承包人。</w:t>
      </w:r>
    </w:p>
    <w:p w14:paraId="17BC0D8D">
      <w:pPr>
        <w:spacing w:line="360" w:lineRule="auto"/>
        <w:ind w:firstLine="480" w:firstLineChars="200"/>
        <w:rPr>
          <w:rFonts w:ascii="仿宋_GB2312" w:eastAsia="仿宋_GB2312"/>
          <w:color w:val="auto"/>
          <w:sz w:val="24"/>
        </w:rPr>
      </w:pPr>
      <w:r>
        <w:rPr>
          <w:rFonts w:ascii="仿宋_GB2312" w:eastAsia="仿宋_GB2312"/>
          <w:bCs/>
          <w:color w:val="auto"/>
          <w:sz w:val="24"/>
        </w:rPr>
        <w:t>10.3.2</w:t>
      </w:r>
      <w:r>
        <w:rPr>
          <w:rFonts w:hint="eastAsia" w:ascii="仿宋_GB2312" w:eastAsia="仿宋_GB2312"/>
          <w:color w:val="auto"/>
          <w:sz w:val="24"/>
        </w:rPr>
        <w:t>明确施工单位编制工程预算书的责任</w:t>
      </w:r>
    </w:p>
    <w:p w14:paraId="2AE0749C">
      <w:pPr>
        <w:spacing w:line="360" w:lineRule="auto"/>
        <w:ind w:firstLine="480" w:firstLineChars="200"/>
        <w:rPr>
          <w:rFonts w:ascii="仿宋_GB2312" w:eastAsia="仿宋_GB2312"/>
          <w:color w:val="auto"/>
          <w:sz w:val="24"/>
        </w:rPr>
      </w:pPr>
      <w:r>
        <w:rPr>
          <w:rFonts w:hint="eastAsia" w:ascii="仿宋_GB2312" w:eastAsia="仿宋_GB2312"/>
          <w:color w:val="auto"/>
          <w:sz w:val="24"/>
        </w:rPr>
        <w:t>建设单位与施工单位签订的施工合同应约定以下内容：审定工程结算造价核减超过8%的，超</w:t>
      </w:r>
    </w:p>
    <w:p w14:paraId="6C801F01">
      <w:pPr>
        <w:spacing w:line="360" w:lineRule="auto"/>
        <w:ind w:firstLine="480" w:firstLineChars="200"/>
        <w:rPr>
          <w:rFonts w:ascii="仿宋_GB2312" w:eastAsia="仿宋_GB2312"/>
          <w:color w:val="auto"/>
          <w:sz w:val="24"/>
        </w:rPr>
      </w:pPr>
      <w:r>
        <w:rPr>
          <w:rFonts w:hint="eastAsia" w:ascii="仿宋_GB2312" w:eastAsia="仿宋_GB2312"/>
          <w:color w:val="auto"/>
          <w:sz w:val="24"/>
        </w:rPr>
        <w:t>过部分的审核效益费由施工单位向工程造价咨询机构支付，正式审核报告出具前，施工单位</w:t>
      </w:r>
    </w:p>
    <w:p w14:paraId="450278A9">
      <w:pPr>
        <w:spacing w:line="360" w:lineRule="auto"/>
        <w:ind w:firstLine="480" w:firstLineChars="200"/>
        <w:rPr>
          <w:rFonts w:ascii="仿宋_GB2312" w:eastAsia="仿宋_GB2312"/>
          <w:color w:val="auto"/>
          <w:sz w:val="24"/>
        </w:rPr>
      </w:pPr>
      <w:r>
        <w:rPr>
          <w:rFonts w:hint="eastAsia" w:ascii="仿宋_GB2312" w:eastAsia="仿宋_GB2312"/>
          <w:color w:val="auto"/>
          <w:sz w:val="24"/>
        </w:rPr>
        <w:t>应支付完此项费用。</w:t>
      </w:r>
    </w:p>
    <w:p w14:paraId="5781688E">
      <w:pPr>
        <w:pStyle w:val="13"/>
        <w:rPr>
          <w:color w:val="auto"/>
        </w:rPr>
      </w:pPr>
    </w:p>
    <w:p w14:paraId="5A5BCA45">
      <w:pPr>
        <w:spacing w:line="360" w:lineRule="auto"/>
        <w:ind w:firstLine="480" w:firstLineChars="200"/>
        <w:rPr>
          <w:rFonts w:ascii="仿宋_GB2312" w:eastAsia="仿宋_GB2312"/>
          <w:bCs/>
          <w:color w:val="auto"/>
          <w:sz w:val="24"/>
        </w:rPr>
      </w:pPr>
      <w:r>
        <w:rPr>
          <w:rFonts w:ascii="仿宋_GB2312" w:eastAsia="仿宋_GB2312"/>
          <w:bCs/>
          <w:color w:val="auto"/>
          <w:sz w:val="24"/>
        </w:rPr>
        <w:t>10.3.</w:t>
      </w:r>
      <w:r>
        <w:rPr>
          <w:rFonts w:hint="eastAsia" w:ascii="仿宋_GB2312" w:eastAsia="仿宋_GB2312"/>
          <w:bCs/>
          <w:color w:val="auto"/>
          <w:sz w:val="24"/>
        </w:rPr>
        <w:t>3</w:t>
      </w:r>
      <w:r>
        <w:rPr>
          <w:rFonts w:ascii="仿宋_GB2312" w:eastAsia="仿宋_GB2312"/>
          <w:bCs/>
          <w:color w:val="auto"/>
          <w:sz w:val="24"/>
        </w:rPr>
        <w:t xml:space="preserve"> 非国有投资项目： </w:t>
      </w:r>
      <w:r>
        <w:rPr>
          <w:rFonts w:ascii="仿宋_GB2312" w:eastAsia="仿宋_GB2312"/>
          <w:bCs/>
          <w:color w:val="auto"/>
          <w:sz w:val="24"/>
          <w:u w:val="single"/>
        </w:rPr>
        <w:t xml:space="preserve">            /                         </w:t>
      </w:r>
      <w:r>
        <w:rPr>
          <w:rFonts w:ascii="仿宋_GB2312" w:eastAsia="仿宋_GB2312"/>
          <w:bCs/>
          <w:color w:val="auto"/>
          <w:sz w:val="24"/>
        </w:rPr>
        <w:t>。</w:t>
      </w:r>
    </w:p>
    <w:p w14:paraId="3BBB5A67">
      <w:pPr>
        <w:pStyle w:val="4"/>
        <w:rPr>
          <w:rFonts w:ascii="仿宋_GB2312" w:eastAsia="仿宋_GB2312"/>
          <w:color w:val="auto"/>
          <w:szCs w:val="24"/>
        </w:rPr>
      </w:pPr>
      <w:r>
        <w:rPr>
          <w:rFonts w:hint="eastAsia" w:ascii="仿宋_GB2312" w:eastAsia="仿宋_GB2312"/>
          <w:color w:val="auto"/>
          <w:szCs w:val="24"/>
        </w:rPr>
        <w:t>10.4 变更估价</w:t>
      </w:r>
    </w:p>
    <w:p w14:paraId="06AE23AF">
      <w:pPr>
        <w:spacing w:line="360" w:lineRule="auto"/>
        <w:ind w:firstLine="480" w:firstLineChars="200"/>
        <w:rPr>
          <w:rFonts w:ascii="仿宋_GB2312" w:eastAsia="仿宋_GB2312"/>
          <w:color w:val="auto"/>
          <w:sz w:val="24"/>
        </w:rPr>
      </w:pPr>
      <w:r>
        <w:rPr>
          <w:rFonts w:ascii="仿宋_GB2312" w:eastAsia="仿宋_GB2312"/>
          <w:color w:val="auto"/>
          <w:sz w:val="24"/>
        </w:rPr>
        <w:t>10.4.1 变更估价原则</w:t>
      </w:r>
    </w:p>
    <w:p w14:paraId="0183354B">
      <w:pPr>
        <w:spacing w:line="360" w:lineRule="auto"/>
        <w:ind w:firstLine="480" w:firstLineChars="200"/>
        <w:rPr>
          <w:rFonts w:ascii="仿宋_GB2312" w:eastAsia="仿宋_GB2312"/>
          <w:color w:val="auto"/>
          <w:sz w:val="24"/>
          <w:u w:val="single"/>
        </w:rPr>
      </w:pPr>
      <w:r>
        <w:rPr>
          <w:rFonts w:ascii="仿宋_GB2312" w:eastAsia="仿宋_GB2312"/>
          <w:color w:val="auto"/>
          <w:sz w:val="24"/>
        </w:rPr>
        <w:t xml:space="preserve">关于变更估价的约定: </w:t>
      </w:r>
      <w:r>
        <w:rPr>
          <w:rFonts w:ascii="仿宋_GB2312" w:eastAsia="仿宋_GB2312"/>
          <w:bCs/>
          <w:color w:val="auto"/>
          <w:sz w:val="24"/>
          <w:u w:val="single"/>
        </w:rPr>
        <w:t xml:space="preserve">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价/工程招标控制价） %，计算，其中材料价格按施工期间的《 </w:t>
      </w:r>
      <w:r>
        <w:rPr>
          <w:rFonts w:hint="eastAsia" w:ascii="仿宋_GB2312" w:eastAsia="仿宋_GB2312"/>
          <w:bCs/>
          <w:color w:val="auto"/>
          <w:sz w:val="24"/>
          <w:u w:val="single"/>
        </w:rPr>
        <w:t>崇左市</w:t>
      </w:r>
      <w:r>
        <w:rPr>
          <w:rFonts w:ascii="仿宋_GB2312" w:eastAsia="仿宋_GB2312"/>
          <w:bCs/>
          <w:color w:val="auto"/>
          <w:sz w:val="24"/>
          <w:u w:val="single"/>
        </w:rPr>
        <w:t>建设工程造价信息》相应价格信息进行计算；《 崇左</w:t>
      </w:r>
      <w:r>
        <w:rPr>
          <w:rFonts w:hint="eastAsia" w:ascii="仿宋_GB2312" w:eastAsia="仿宋_GB2312"/>
          <w:bCs/>
          <w:color w:val="auto"/>
          <w:sz w:val="24"/>
          <w:u w:val="single"/>
        </w:rPr>
        <w:t>县</w:t>
      </w:r>
      <w:r>
        <w:rPr>
          <w:rFonts w:ascii="仿宋_GB2312" w:eastAsia="仿宋_GB2312"/>
          <w:bCs/>
          <w:color w:val="auto"/>
          <w:sz w:val="24"/>
          <w:u w:val="single"/>
        </w:rPr>
        <w:t>建设工程造价信息》没有相应价格信息的按市场价计算；无定额可套的，根据市场价格协商确定综合价格；对于国有资产投资的项目，新增项目的单价必须经</w:t>
      </w:r>
      <w:r>
        <w:rPr>
          <w:rFonts w:hint="eastAsia" w:ascii="仿宋_GB2312" w:eastAsia="仿宋_GB2312"/>
          <w:bCs/>
          <w:color w:val="auto"/>
          <w:sz w:val="24"/>
          <w:u w:val="single"/>
        </w:rPr>
        <w:t>县</w:t>
      </w:r>
      <w:r>
        <w:rPr>
          <w:rFonts w:ascii="仿宋_GB2312" w:eastAsia="仿宋_GB2312"/>
          <w:bCs/>
          <w:color w:val="auto"/>
          <w:sz w:val="24"/>
          <w:u w:val="single"/>
        </w:rPr>
        <w:t>财政评审中心审定</w:t>
      </w:r>
      <w:r>
        <w:rPr>
          <w:rFonts w:ascii="仿宋_GB2312" w:eastAsia="仿宋_GB2312"/>
          <w:bCs/>
          <w:color w:val="auto"/>
          <w:sz w:val="24"/>
        </w:rPr>
        <w:t>。</w:t>
      </w:r>
    </w:p>
    <w:p w14:paraId="679E7405">
      <w:pPr>
        <w:pStyle w:val="4"/>
        <w:rPr>
          <w:rFonts w:ascii="仿宋_GB2312" w:eastAsia="仿宋_GB2312"/>
          <w:color w:val="auto"/>
          <w:szCs w:val="24"/>
        </w:rPr>
      </w:pPr>
      <w:r>
        <w:rPr>
          <w:rFonts w:hint="eastAsia" w:ascii="仿宋_GB2312" w:eastAsia="仿宋_GB2312"/>
          <w:color w:val="auto"/>
          <w:szCs w:val="24"/>
        </w:rPr>
        <w:t>10.5 承包人的合理化建议</w:t>
      </w:r>
    </w:p>
    <w:p w14:paraId="3CF34C78">
      <w:pPr>
        <w:spacing w:line="360" w:lineRule="auto"/>
        <w:ind w:firstLine="480" w:firstLineChars="200"/>
        <w:rPr>
          <w:rFonts w:ascii="仿宋_GB2312" w:eastAsia="仿宋_GB2312"/>
          <w:color w:val="auto"/>
          <w:sz w:val="24"/>
        </w:rPr>
      </w:pPr>
      <w:r>
        <w:rPr>
          <w:rFonts w:ascii="仿宋_GB2312" w:eastAsia="仿宋_GB2312"/>
          <w:color w:val="auto"/>
          <w:sz w:val="24"/>
        </w:rPr>
        <w:t>监理人审查承包人合理化建议的期限：</w:t>
      </w:r>
      <w:r>
        <w:rPr>
          <w:rFonts w:ascii="仿宋_GB2312" w:eastAsia="仿宋_GB2312"/>
          <w:color w:val="auto"/>
          <w:sz w:val="24"/>
          <w:u w:val="single"/>
        </w:rPr>
        <w:t xml:space="preserve">   收到承包人提交的建议后7天内  </w:t>
      </w:r>
      <w:r>
        <w:rPr>
          <w:rFonts w:ascii="仿宋_GB2312" w:eastAsia="仿宋_GB2312"/>
          <w:color w:val="auto"/>
          <w:sz w:val="24"/>
        </w:rPr>
        <w:t>。</w:t>
      </w:r>
    </w:p>
    <w:p w14:paraId="6A79F487">
      <w:pPr>
        <w:spacing w:line="360" w:lineRule="auto"/>
        <w:ind w:firstLine="480" w:firstLineChars="200"/>
        <w:rPr>
          <w:rFonts w:ascii="仿宋_GB2312" w:eastAsia="仿宋_GB2312"/>
          <w:color w:val="auto"/>
          <w:sz w:val="24"/>
        </w:rPr>
      </w:pPr>
      <w:r>
        <w:rPr>
          <w:rFonts w:ascii="仿宋_GB2312" w:eastAsia="仿宋_GB2312"/>
          <w:color w:val="auto"/>
          <w:sz w:val="24"/>
        </w:rPr>
        <w:t>发包人审批承包人合理化建议的期限：</w:t>
      </w:r>
      <w:r>
        <w:rPr>
          <w:rFonts w:ascii="仿宋_GB2312" w:eastAsia="仿宋_GB2312"/>
          <w:color w:val="auto"/>
          <w:sz w:val="24"/>
          <w:u w:val="single"/>
        </w:rPr>
        <w:t xml:space="preserve">  收到监理人报送的建议后7天内 </w:t>
      </w:r>
      <w:r>
        <w:rPr>
          <w:rFonts w:ascii="仿宋_GB2312" w:eastAsia="仿宋_GB2312"/>
          <w:color w:val="auto"/>
          <w:sz w:val="24"/>
        </w:rPr>
        <w:t>。</w:t>
      </w:r>
    </w:p>
    <w:p w14:paraId="4440C680">
      <w:pPr>
        <w:spacing w:line="360" w:lineRule="auto"/>
        <w:ind w:firstLine="480" w:firstLineChars="200"/>
        <w:rPr>
          <w:rFonts w:ascii="仿宋_GB2312" w:eastAsia="仿宋_GB2312"/>
          <w:color w:val="auto"/>
          <w:sz w:val="24"/>
        </w:rPr>
      </w:pPr>
      <w:r>
        <w:rPr>
          <w:rFonts w:ascii="仿宋_GB2312" w:eastAsia="仿宋_GB2312"/>
          <w:color w:val="auto"/>
          <w:sz w:val="24"/>
        </w:rPr>
        <w:t>承包人提出的合理化建议降低了合同价格或者提高了工程经济效益的奖励的方法和金额为：</w:t>
      </w:r>
      <w:r>
        <w:rPr>
          <w:rFonts w:ascii="仿宋_GB2312" w:eastAsia="仿宋_GB2312"/>
          <w:color w:val="auto"/>
          <w:sz w:val="24"/>
          <w:u w:val="single"/>
        </w:rPr>
        <w:t xml:space="preserve">                      另行商定                             </w:t>
      </w:r>
      <w:r>
        <w:rPr>
          <w:rFonts w:ascii="仿宋_GB2312" w:eastAsia="仿宋_GB2312"/>
          <w:color w:val="auto"/>
          <w:sz w:val="24"/>
        </w:rPr>
        <w:t>。</w:t>
      </w:r>
    </w:p>
    <w:p w14:paraId="358CD997">
      <w:pPr>
        <w:pStyle w:val="4"/>
        <w:rPr>
          <w:rFonts w:ascii="仿宋_GB2312" w:eastAsia="仿宋_GB2312"/>
          <w:color w:val="auto"/>
          <w:szCs w:val="24"/>
        </w:rPr>
      </w:pPr>
      <w:r>
        <w:rPr>
          <w:rFonts w:hint="eastAsia" w:ascii="仿宋_GB2312" w:eastAsia="仿宋_GB2312"/>
          <w:color w:val="auto"/>
          <w:szCs w:val="24"/>
        </w:rPr>
        <w:t>10.6工程签证管理。</w:t>
      </w:r>
    </w:p>
    <w:p w14:paraId="101E826D">
      <w:pPr>
        <w:spacing w:line="360" w:lineRule="auto"/>
        <w:ind w:left="458" w:leftChars="218" w:firstLine="480" w:firstLineChars="200"/>
        <w:rPr>
          <w:rFonts w:ascii="仿宋_GB2312" w:eastAsia="仿宋_GB2312"/>
          <w:color w:val="auto"/>
          <w:sz w:val="24"/>
        </w:rPr>
      </w:pPr>
      <w:r>
        <w:rPr>
          <w:rFonts w:hint="eastAsia" w:ascii="仿宋_GB2312" w:eastAsia="仿宋_GB2312"/>
          <w:color w:val="auto"/>
          <w:sz w:val="24"/>
        </w:rPr>
        <w:t>工程施工合同原则上采用施工图总价包干合同，除施工图纸变更外，原则上不再进行签证。工程采购时，工程量以施工图揭示的工程量为准，投标单位可以对工程量提出质疑，采购单位收到质疑后应及时与评审中心重新复核并进行澄清或者修改。工程结算时，以采购时的工</w:t>
      </w:r>
    </w:p>
    <w:p w14:paraId="115B0388">
      <w:pPr>
        <w:spacing w:line="360" w:lineRule="auto"/>
        <w:ind w:left="458" w:leftChars="218"/>
        <w:rPr>
          <w:rFonts w:ascii="仿宋_GB2312" w:eastAsia="仿宋_GB2312"/>
          <w:color w:val="auto"/>
          <w:sz w:val="24"/>
        </w:rPr>
      </w:pPr>
      <w:r>
        <w:rPr>
          <w:rFonts w:hint="eastAsia" w:ascii="仿宋_GB2312" w:eastAsia="仿宋_GB2312"/>
          <w:color w:val="auto"/>
          <w:sz w:val="24"/>
        </w:rPr>
        <w:t>程量为准，不再对工程量进行调整。不得以变更土石开挖方式的理由进行签证。在施工中，中标单位如变更土石开挖方式，应经采购单位同意，产生的费用由中标单位自行负责。</w:t>
      </w:r>
    </w:p>
    <w:p w14:paraId="138EB703">
      <w:pPr>
        <w:spacing w:line="360" w:lineRule="auto"/>
        <w:ind w:firstLine="480" w:firstLineChars="200"/>
        <w:rPr>
          <w:rFonts w:ascii="仿宋_GB2312" w:eastAsia="仿宋_GB2312"/>
          <w:color w:val="auto"/>
          <w:sz w:val="24"/>
        </w:rPr>
      </w:pPr>
      <w:r>
        <w:rPr>
          <w:rFonts w:hint="eastAsia" w:ascii="仿宋_GB2312" w:eastAsia="仿宋_GB2312"/>
          <w:color w:val="auto"/>
          <w:sz w:val="24"/>
        </w:rPr>
        <w:t>以上规定，应在采购文件及施工合同中明确。</w:t>
      </w:r>
    </w:p>
    <w:p w14:paraId="7505B1EF">
      <w:pPr>
        <w:pStyle w:val="4"/>
        <w:rPr>
          <w:rFonts w:ascii="仿宋_GB2312" w:eastAsia="仿宋_GB2312"/>
          <w:color w:val="auto"/>
          <w:szCs w:val="24"/>
        </w:rPr>
      </w:pPr>
      <w:r>
        <w:rPr>
          <w:rFonts w:hint="eastAsia" w:ascii="仿宋_GB2312" w:eastAsia="仿宋_GB2312"/>
          <w:color w:val="auto"/>
          <w:szCs w:val="24"/>
        </w:rPr>
        <w:t>10.7 暂估价</w:t>
      </w:r>
    </w:p>
    <w:p w14:paraId="4AE45DE1">
      <w:pPr>
        <w:spacing w:line="360" w:lineRule="auto"/>
        <w:ind w:firstLine="480" w:firstLineChars="200"/>
        <w:rPr>
          <w:rFonts w:ascii="仿宋_GB2312" w:eastAsia="仿宋_GB2312"/>
          <w:color w:val="auto"/>
          <w:sz w:val="24"/>
        </w:rPr>
      </w:pPr>
      <w:r>
        <w:rPr>
          <w:rFonts w:ascii="仿宋_GB2312" w:eastAsia="仿宋_GB2312"/>
          <w:color w:val="auto"/>
          <w:sz w:val="24"/>
        </w:rPr>
        <w:t>暂估价材料和工程设备的明细详见已标价工程量清单《材料（工程设备）暂估价格及调整表》（表12-2）和《专业工程暂估价表》（表12-3）。</w:t>
      </w:r>
    </w:p>
    <w:p w14:paraId="24CA7E8F">
      <w:pPr>
        <w:spacing w:line="360" w:lineRule="auto"/>
        <w:ind w:firstLine="480" w:firstLineChars="200"/>
        <w:rPr>
          <w:rFonts w:ascii="仿宋_GB2312" w:eastAsia="仿宋_GB2312"/>
          <w:color w:val="auto"/>
          <w:sz w:val="24"/>
        </w:rPr>
      </w:pPr>
      <w:r>
        <w:rPr>
          <w:rFonts w:ascii="仿宋_GB2312" w:eastAsia="仿宋_GB2312"/>
          <w:color w:val="auto"/>
          <w:sz w:val="24"/>
        </w:rPr>
        <w:t>10.7.1 依法必须招标的暂估价项目</w:t>
      </w:r>
    </w:p>
    <w:p w14:paraId="79BCB41D">
      <w:pPr>
        <w:spacing w:line="360" w:lineRule="auto"/>
        <w:ind w:firstLine="480" w:firstLineChars="200"/>
        <w:rPr>
          <w:rFonts w:ascii="仿宋_GB2312" w:eastAsia="仿宋_GB2312"/>
          <w:color w:val="auto"/>
          <w:sz w:val="24"/>
        </w:rPr>
      </w:pPr>
      <w:r>
        <w:rPr>
          <w:rFonts w:ascii="仿宋_GB2312" w:eastAsia="仿宋_GB2312"/>
          <w:color w:val="auto"/>
          <w:sz w:val="24"/>
        </w:rPr>
        <w:t>对于依法必须招标的暂估价项目的确认和批准采取第</w:t>
      </w:r>
      <w:r>
        <w:rPr>
          <w:rFonts w:ascii="仿宋_GB2312" w:eastAsia="仿宋_GB2312"/>
          <w:color w:val="auto"/>
          <w:sz w:val="24"/>
          <w:u w:val="single"/>
        </w:rPr>
        <w:t xml:space="preserve">  2  </w:t>
      </w:r>
      <w:r>
        <w:rPr>
          <w:rFonts w:ascii="仿宋_GB2312" w:eastAsia="仿宋_GB2312"/>
          <w:color w:val="auto"/>
          <w:sz w:val="24"/>
        </w:rPr>
        <w:t>种方式确定。</w:t>
      </w:r>
    </w:p>
    <w:p w14:paraId="75E69316">
      <w:pPr>
        <w:spacing w:line="360" w:lineRule="auto"/>
        <w:ind w:firstLine="480" w:firstLineChars="200"/>
        <w:rPr>
          <w:rFonts w:ascii="仿宋_GB2312" w:eastAsia="仿宋_GB2312"/>
          <w:color w:val="auto"/>
          <w:sz w:val="24"/>
        </w:rPr>
      </w:pPr>
      <w:r>
        <w:rPr>
          <w:rFonts w:ascii="仿宋_GB2312" w:eastAsia="仿宋_GB2312"/>
          <w:color w:val="auto"/>
          <w:sz w:val="24"/>
        </w:rPr>
        <w:t>10.7.2 不属于依法必须招标的暂估价项目</w:t>
      </w:r>
    </w:p>
    <w:p w14:paraId="78B074A2">
      <w:pPr>
        <w:spacing w:line="360" w:lineRule="auto"/>
        <w:ind w:firstLine="480" w:firstLineChars="200"/>
        <w:rPr>
          <w:rFonts w:ascii="仿宋_GB2312" w:eastAsia="仿宋_GB2312"/>
          <w:color w:val="auto"/>
          <w:sz w:val="24"/>
        </w:rPr>
      </w:pPr>
      <w:r>
        <w:rPr>
          <w:rFonts w:ascii="仿宋_GB2312" w:eastAsia="仿宋_GB2312"/>
          <w:color w:val="auto"/>
          <w:sz w:val="24"/>
        </w:rPr>
        <w:t>对于不属于依法必须招标的暂估价项目的确认和批准采取第</w:t>
      </w:r>
      <w:r>
        <w:rPr>
          <w:rFonts w:ascii="仿宋_GB2312" w:eastAsia="仿宋_GB2312"/>
          <w:color w:val="auto"/>
          <w:sz w:val="24"/>
          <w:u w:val="single"/>
        </w:rPr>
        <w:t xml:space="preserve">  1 </w:t>
      </w:r>
      <w:r>
        <w:rPr>
          <w:rFonts w:ascii="仿宋_GB2312" w:eastAsia="仿宋_GB2312"/>
          <w:color w:val="auto"/>
          <w:sz w:val="24"/>
        </w:rPr>
        <w:t xml:space="preserve"> 种方式确定。</w:t>
      </w:r>
    </w:p>
    <w:p w14:paraId="486828A3">
      <w:pPr>
        <w:spacing w:line="360" w:lineRule="auto"/>
        <w:ind w:firstLine="480" w:firstLineChars="200"/>
        <w:rPr>
          <w:rFonts w:ascii="仿宋_GB2312" w:eastAsia="仿宋_GB2312"/>
          <w:color w:val="auto"/>
          <w:sz w:val="24"/>
        </w:rPr>
      </w:pPr>
      <w:r>
        <w:rPr>
          <w:rFonts w:ascii="仿宋_GB2312" w:eastAsia="仿宋_GB2312"/>
          <w:color w:val="auto"/>
          <w:sz w:val="24"/>
        </w:rPr>
        <w:t>第3种方式：承包人直接实施的暂估价项目</w:t>
      </w:r>
    </w:p>
    <w:p w14:paraId="08786240">
      <w:pPr>
        <w:spacing w:line="360" w:lineRule="auto"/>
        <w:ind w:firstLine="480" w:firstLineChars="200"/>
        <w:rPr>
          <w:rFonts w:ascii="仿宋_GB2312" w:eastAsia="仿宋_GB2312"/>
          <w:color w:val="auto"/>
          <w:sz w:val="24"/>
        </w:rPr>
      </w:pPr>
      <w:r>
        <w:rPr>
          <w:rFonts w:ascii="仿宋_GB2312" w:eastAsia="仿宋_GB2312"/>
          <w:color w:val="auto"/>
          <w:sz w:val="24"/>
        </w:rPr>
        <w:t>承包人直接实施的暂估价项目的约定：</w:t>
      </w:r>
      <w:r>
        <w:rPr>
          <w:rFonts w:ascii="仿宋_GB2312" w:eastAsia="仿宋_GB2312"/>
          <w:color w:val="auto"/>
          <w:sz w:val="24"/>
          <w:u w:val="single"/>
        </w:rPr>
        <w:t xml:space="preserve">   双方另行协商   </w:t>
      </w:r>
      <w:r>
        <w:rPr>
          <w:rFonts w:ascii="仿宋_GB2312" w:eastAsia="仿宋_GB2312"/>
          <w:color w:val="auto"/>
          <w:sz w:val="24"/>
        </w:rPr>
        <w:t>。</w:t>
      </w:r>
    </w:p>
    <w:p w14:paraId="6BE300BA">
      <w:pPr>
        <w:pStyle w:val="4"/>
        <w:rPr>
          <w:rFonts w:ascii="仿宋_GB2312" w:eastAsia="仿宋_GB2312"/>
          <w:color w:val="auto"/>
          <w:szCs w:val="24"/>
        </w:rPr>
      </w:pPr>
      <w:r>
        <w:rPr>
          <w:rFonts w:hint="eastAsia" w:ascii="仿宋_GB2312" w:eastAsia="仿宋_GB2312"/>
          <w:color w:val="auto"/>
          <w:szCs w:val="24"/>
        </w:rPr>
        <w:t>10.8 暂列金额</w:t>
      </w:r>
    </w:p>
    <w:p w14:paraId="64B7DE11">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合同当事人关于暂列金额使用的约定：</w:t>
      </w:r>
      <w:r>
        <w:rPr>
          <w:rFonts w:ascii="仿宋_GB2312" w:eastAsia="仿宋_GB2312"/>
          <w:color w:val="auto"/>
          <w:sz w:val="24"/>
          <w:u w:val="single"/>
        </w:rPr>
        <w:t xml:space="preserve">   由发包人支配使用，工程结算后，如有余额归发包人   </w:t>
      </w:r>
      <w:r>
        <w:rPr>
          <w:rFonts w:ascii="仿宋_GB2312" w:eastAsia="仿宋_GB2312"/>
          <w:color w:val="auto"/>
          <w:sz w:val="24"/>
        </w:rPr>
        <w:t>。</w:t>
      </w:r>
    </w:p>
    <w:p w14:paraId="63F82DC3">
      <w:pPr>
        <w:pStyle w:val="3"/>
        <w:rPr>
          <w:rFonts w:ascii="仿宋_GB2312" w:eastAsia="仿宋_GB2312"/>
          <w:color w:val="auto"/>
          <w:sz w:val="24"/>
          <w:szCs w:val="24"/>
        </w:rPr>
      </w:pPr>
      <w:r>
        <w:rPr>
          <w:rFonts w:hint="eastAsia" w:ascii="仿宋_GB2312" w:eastAsia="仿宋_GB2312"/>
          <w:color w:val="auto"/>
          <w:sz w:val="24"/>
          <w:szCs w:val="24"/>
        </w:rPr>
        <w:t>11. 价格调整</w:t>
      </w:r>
    </w:p>
    <w:p w14:paraId="3220B722">
      <w:pPr>
        <w:pStyle w:val="4"/>
        <w:rPr>
          <w:rFonts w:ascii="仿宋_GB2312" w:eastAsia="仿宋_GB2312"/>
          <w:color w:val="auto"/>
          <w:szCs w:val="24"/>
        </w:rPr>
      </w:pPr>
      <w:r>
        <w:rPr>
          <w:rFonts w:hint="eastAsia" w:ascii="仿宋_GB2312" w:eastAsia="仿宋_GB2312"/>
          <w:color w:val="auto"/>
          <w:szCs w:val="24"/>
        </w:rPr>
        <w:t>11.1 市场价格波动引起的调整</w:t>
      </w:r>
    </w:p>
    <w:p w14:paraId="7A24D703">
      <w:pPr>
        <w:spacing w:line="360" w:lineRule="auto"/>
        <w:ind w:firstLine="422" w:firstLineChars="200"/>
        <w:rPr>
          <w:rFonts w:ascii="仿宋_GB2312" w:hAnsi="宋体" w:eastAsia="仿宋_GB2312" w:cs="宋体"/>
          <w:color w:val="auto"/>
          <w:sz w:val="24"/>
        </w:rPr>
      </w:pPr>
      <w:r>
        <w:rPr>
          <w:rFonts w:ascii="仿宋_GB2312" w:eastAsia="仿宋_GB2312"/>
          <w:b/>
          <w:bCs/>
          <w:color w:val="auto"/>
        </w:rPr>
        <w:t>1</w:t>
      </w:r>
      <w:r>
        <w:rPr>
          <w:rFonts w:ascii="仿宋_GB2312" w:hAnsi="宋体" w:eastAsia="仿宋_GB2312" w:cs="宋体"/>
          <w:color w:val="auto"/>
          <w:sz w:val="24"/>
        </w:rPr>
        <w:t>1．1本合同价款采用</w:t>
      </w:r>
      <w:r>
        <w:rPr>
          <w:rFonts w:ascii="仿宋_GB2312" w:hAnsi="宋体" w:eastAsia="仿宋_GB2312" w:cs="宋体"/>
          <w:color w:val="auto"/>
          <w:sz w:val="24"/>
          <w:u w:val="single"/>
        </w:rPr>
        <w:t xml:space="preserve">  固定综合单价承包  </w:t>
      </w:r>
      <w:r>
        <w:rPr>
          <w:rFonts w:ascii="仿宋_GB2312" w:hAnsi="宋体" w:eastAsia="仿宋_GB2312" w:cs="宋体"/>
          <w:color w:val="auto"/>
          <w:sz w:val="24"/>
        </w:rPr>
        <w:t>方式确定，工程量按实际结算，投标人工程量清单中原有项目的工程量无论增减多少，均按原单价结算。</w:t>
      </w:r>
    </w:p>
    <w:p w14:paraId="55B767C1">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 11．2采用固定综合单价合同，综合单价中包括的风险范围： 除工程变更、本工程约定的材料</w:t>
      </w:r>
      <w:r>
        <w:rPr>
          <w:rFonts w:hint="eastAsia" w:ascii="仿宋_GB2312" w:hAnsi="宋体" w:eastAsia="仿宋_GB2312" w:cs="宋体"/>
          <w:color w:val="auto"/>
          <w:sz w:val="24"/>
        </w:rPr>
        <w:t>（</w:t>
      </w:r>
      <w:r>
        <w:rPr>
          <w:rFonts w:ascii="仿宋_GB2312" w:hAnsi="宋体" w:eastAsia="仿宋_GB2312" w:cs="宋体"/>
          <w:color w:val="auto"/>
          <w:sz w:val="24"/>
        </w:rPr>
        <w:t>指钢材、砂、石、墙体砖、商品混凝土</w:t>
      </w:r>
      <w:r>
        <w:rPr>
          <w:rFonts w:hint="eastAsia" w:ascii="仿宋_GB2312" w:hAnsi="宋体" w:eastAsia="仿宋_GB2312" w:cs="宋体"/>
          <w:color w:val="auto"/>
          <w:sz w:val="24"/>
        </w:rPr>
        <w:t>）</w:t>
      </w:r>
      <w:r>
        <w:rPr>
          <w:rFonts w:ascii="仿宋_GB2312" w:hAnsi="宋体" w:eastAsia="仿宋_GB2312" w:cs="宋体"/>
          <w:color w:val="auto"/>
          <w:sz w:val="24"/>
        </w:rPr>
        <w:t>价格风险和政策性调整以外的其他风险。</w:t>
      </w:r>
    </w:p>
    <w:p w14:paraId="5FF14058">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投标人所填报的各项综合单价，主要材料（指钢材、砂、石、墙体砖、商品混凝土，其他材料不予认可）涨跌幅度超过5%以上部分予以调整。投标人所填报的单价及综合单价在合同实施期间不再作调整(除政策性调整、主要材料涨跌幅度超过5%以上除外)，投标人在报综合单价时应考虑各种风险因素和自己的承受能力。</w:t>
      </w:r>
    </w:p>
    <w:p w14:paraId="46471038">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风险范围以外合同价款调整方法： </w:t>
      </w:r>
    </w:p>
    <w:p w14:paraId="34E21CB5">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一）本合同实施期间因分部分项工程量清单漏项、工程变更及相关签证等引起工程项目工程量变化的，其工程量按实际发生并经监理工程师及发包人签证认可，变更合同价款按下列方法进行:工程量清单中有相同细目的按承包人投标时的中标单价进行结算，有类似细目的参考类似中标单价结算；新增项目的单价没有适用于变更工程的单价，则有定额的套定额计算，执行本工程计价参考依据投标计算依据并乘以中标下浮系数（中标价/工程招标控制价），其中材料价格有信息价的按相应项目施工期间信息价的平均价计算，无信息价的按市场价格协商确定；新增项目无定额可套的，由发包人、承包人及监理根据市场价格协商确定；新增项目结算单价=综合单价×（中标价/工程招标控制价）。</w:t>
      </w:r>
    </w:p>
    <w:p w14:paraId="1029A9DE">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（二）国家和自治区政策性调整有关费用标准的，按文件规定执行。  </w:t>
      </w:r>
    </w:p>
    <w:p w14:paraId="39405F65">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  本工程最终结算价须经财政审计部门审核通过为准。</w:t>
      </w:r>
    </w:p>
    <w:p w14:paraId="55908419">
      <w:pPr>
        <w:pStyle w:val="3"/>
        <w:rPr>
          <w:rFonts w:ascii="仿宋_GB2312" w:eastAsia="仿宋_GB2312"/>
          <w:color w:val="auto"/>
          <w:sz w:val="24"/>
          <w:szCs w:val="24"/>
        </w:rPr>
      </w:pPr>
      <w:r>
        <w:rPr>
          <w:rFonts w:hint="eastAsia" w:ascii="仿宋_GB2312" w:eastAsia="仿宋_GB2312"/>
          <w:color w:val="auto"/>
          <w:sz w:val="24"/>
          <w:szCs w:val="24"/>
        </w:rPr>
        <w:t>12. 合同价格、计量与支付</w:t>
      </w:r>
    </w:p>
    <w:p w14:paraId="1538F20A">
      <w:pPr>
        <w:pStyle w:val="178"/>
        <w:spacing w:line="360" w:lineRule="auto"/>
        <w:ind w:firstLine="420" w:firstLineChars="200"/>
        <w:jc w:val="left"/>
        <w:rPr>
          <w:rFonts w:hAnsi="宋体"/>
          <w:color w:val="auto"/>
        </w:rPr>
      </w:pPr>
      <w:r>
        <w:rPr>
          <w:rFonts w:hint="eastAsia" w:hAnsi="宋体"/>
          <w:color w:val="auto"/>
        </w:rPr>
        <w:t>（</w:t>
      </w:r>
      <w:r>
        <w:rPr>
          <w:rFonts w:hAnsi="宋体"/>
          <w:color w:val="auto"/>
        </w:rPr>
        <w:t>1</w:t>
      </w:r>
      <w:r>
        <w:rPr>
          <w:rFonts w:hint="eastAsia" w:hAnsi="宋体"/>
          <w:color w:val="auto"/>
        </w:rPr>
        <w:t>）</w:t>
      </w:r>
      <w:r>
        <w:rPr>
          <w:rFonts w:hAnsi="宋体"/>
          <w:color w:val="auto"/>
        </w:rPr>
        <w:t>单价合同。</w:t>
      </w:r>
    </w:p>
    <w:p w14:paraId="4EAC6C36">
      <w:pPr>
        <w:pStyle w:val="178"/>
        <w:spacing w:line="360" w:lineRule="auto"/>
        <w:ind w:firstLine="420" w:firstLineChars="200"/>
        <w:jc w:val="left"/>
        <w:rPr>
          <w:rFonts w:hAnsi="宋体"/>
          <w:color w:val="auto"/>
        </w:rPr>
      </w:pPr>
      <w:r>
        <w:rPr>
          <w:rFonts w:hAnsi="宋体"/>
          <w:color w:val="auto"/>
        </w:rPr>
        <w:t>本合同价款采用固定综合单价方式确定。</w:t>
      </w:r>
    </w:p>
    <w:p w14:paraId="46DD1D58">
      <w:pPr>
        <w:pStyle w:val="178"/>
        <w:spacing w:line="360" w:lineRule="auto"/>
        <w:ind w:firstLine="420" w:firstLineChars="200"/>
        <w:jc w:val="left"/>
        <w:rPr>
          <w:rFonts w:hAnsi="宋体"/>
          <w:color w:val="auto"/>
        </w:rPr>
      </w:pPr>
      <w:r>
        <w:rPr>
          <w:rFonts w:hAnsi="宋体"/>
          <w:color w:val="auto"/>
        </w:rPr>
        <w:t>综合单价包含的风险范围：</w:t>
      </w:r>
      <w:r>
        <w:rPr>
          <w:rFonts w:hAnsi="宋体"/>
          <w:color w:val="auto"/>
          <w:u w:val="single"/>
        </w:rPr>
        <w:t>除工程变更、政策性调整、《承包人提供主要材料一览表》约定的材料价格变动风险以外因素。</w:t>
      </w:r>
    </w:p>
    <w:p w14:paraId="7F3E8442">
      <w:pPr>
        <w:pStyle w:val="252"/>
        <w:spacing w:line="360" w:lineRule="auto"/>
        <w:ind w:firstLine="441" w:firstLineChars="210"/>
        <w:rPr>
          <w:rFonts w:ascii="Times New Roman" w:hAnsi="宋体"/>
          <w:color w:val="auto"/>
        </w:rPr>
      </w:pPr>
      <w:r>
        <w:rPr>
          <w:rFonts w:ascii="Times New Roman" w:hAnsi="宋体"/>
          <w:color w:val="auto"/>
        </w:rPr>
        <w:t>风险范围以外合同价格的调整方法：</w:t>
      </w:r>
    </w:p>
    <w:p w14:paraId="35C58664">
      <w:pPr>
        <w:pStyle w:val="252"/>
        <w:spacing w:line="360" w:lineRule="auto"/>
        <w:ind w:firstLine="441" w:firstLineChars="210"/>
        <w:rPr>
          <w:rFonts w:ascii="Times New Roman" w:hAnsi="宋体"/>
          <w:color w:val="auto"/>
        </w:rPr>
      </w:pPr>
      <w:r>
        <w:rPr>
          <w:rFonts w:ascii="Times New Roman" w:hAnsi="宋体"/>
          <w:color w:val="auto"/>
        </w:rPr>
        <w:t>①工程变更：按10.4.1变更估价原则的约定调整。</w:t>
      </w:r>
    </w:p>
    <w:p w14:paraId="41344422">
      <w:pPr>
        <w:pStyle w:val="252"/>
        <w:spacing w:line="360" w:lineRule="auto"/>
        <w:ind w:firstLine="441" w:firstLineChars="210"/>
        <w:rPr>
          <w:rFonts w:ascii="Times New Roman" w:hAnsi="宋体"/>
          <w:color w:val="auto"/>
        </w:rPr>
      </w:pPr>
      <w:r>
        <w:rPr>
          <w:rFonts w:ascii="Times New Roman" w:hAnsi="宋体"/>
          <w:color w:val="auto"/>
        </w:rPr>
        <w:t>②政策性调整：按自治区建设行政主管部门颁布的文件执行。</w:t>
      </w:r>
    </w:p>
    <w:p w14:paraId="672B6C3C">
      <w:pPr>
        <w:pStyle w:val="252"/>
        <w:spacing w:line="360" w:lineRule="auto"/>
        <w:ind w:firstLine="441" w:firstLineChars="210"/>
        <w:rPr>
          <w:rFonts w:ascii="Times New Roman" w:hAnsi="宋体"/>
          <w:color w:val="auto"/>
        </w:rPr>
      </w:pPr>
      <w:r>
        <w:rPr>
          <w:rFonts w:ascii="Times New Roman" w:hAnsi="宋体"/>
          <w:color w:val="auto"/>
        </w:rPr>
        <w:t>③材料价格风险：按11.1的约定调整。</w:t>
      </w:r>
    </w:p>
    <w:p w14:paraId="1963A2C7">
      <w:pPr>
        <w:pStyle w:val="178"/>
        <w:spacing w:line="360" w:lineRule="auto"/>
        <w:ind w:firstLine="420" w:firstLineChars="200"/>
        <w:jc w:val="left"/>
        <w:rPr>
          <w:rFonts w:hAnsi="宋体"/>
          <w:color w:val="auto"/>
        </w:rPr>
      </w:pPr>
      <w:r>
        <w:rPr>
          <w:rFonts w:hAnsi="宋体"/>
          <w:color w:val="auto"/>
        </w:rPr>
        <w:t>④其它：</w:t>
      </w:r>
      <w:r>
        <w:rPr>
          <w:rFonts w:hint="eastAsia" w:hAnsi="宋体"/>
          <w:color w:val="auto"/>
          <w:u w:val="single"/>
        </w:rPr>
        <w:t>双方另行约定</w:t>
      </w:r>
      <w:r>
        <w:rPr>
          <w:rFonts w:hAnsi="宋体"/>
          <w:color w:val="auto"/>
        </w:rPr>
        <w:t>。</w:t>
      </w:r>
    </w:p>
    <w:p w14:paraId="08D98469">
      <w:pPr>
        <w:pStyle w:val="178"/>
        <w:spacing w:line="360" w:lineRule="auto"/>
        <w:ind w:firstLine="420" w:firstLineChars="200"/>
        <w:jc w:val="left"/>
        <w:rPr>
          <w:rFonts w:hAnsi="宋体"/>
          <w:color w:val="auto"/>
        </w:rPr>
      </w:pPr>
      <w:r>
        <w:rPr>
          <w:rFonts w:hint="eastAsia" w:hAnsi="宋体"/>
          <w:color w:val="auto"/>
        </w:rPr>
        <w:t>（</w:t>
      </w:r>
      <w:r>
        <w:rPr>
          <w:rFonts w:hAnsi="宋体"/>
          <w:color w:val="auto"/>
        </w:rPr>
        <w:t>2</w:t>
      </w:r>
      <w:r>
        <w:rPr>
          <w:rFonts w:hint="eastAsia" w:hAnsi="宋体"/>
          <w:color w:val="auto"/>
        </w:rPr>
        <w:t>）</w:t>
      </w:r>
      <w:r>
        <w:rPr>
          <w:rFonts w:hAnsi="宋体"/>
          <w:color w:val="auto"/>
        </w:rPr>
        <w:t>总价合同。</w:t>
      </w:r>
    </w:p>
    <w:p w14:paraId="0C8FDEFE">
      <w:pPr>
        <w:pStyle w:val="178"/>
        <w:spacing w:line="360" w:lineRule="auto"/>
        <w:ind w:firstLine="420" w:firstLineChars="200"/>
        <w:jc w:val="left"/>
        <w:rPr>
          <w:rFonts w:hAnsi="宋体"/>
          <w:color w:val="auto"/>
        </w:rPr>
      </w:pPr>
      <w:r>
        <w:rPr>
          <w:rFonts w:hAnsi="宋体"/>
          <w:color w:val="auto"/>
        </w:rPr>
        <w:t>总价包含的风险范围：</w:t>
      </w:r>
      <w:r>
        <w:rPr>
          <w:rFonts w:hint="eastAsia" w:hAnsi="宋体"/>
          <w:color w:val="auto"/>
          <w:u w:val="single"/>
        </w:rPr>
        <w:t>无</w:t>
      </w:r>
      <w:r>
        <w:rPr>
          <w:rFonts w:hAnsi="宋体"/>
          <w:color w:val="auto"/>
        </w:rPr>
        <w:t>。</w:t>
      </w:r>
    </w:p>
    <w:p w14:paraId="0DB5D64C">
      <w:pPr>
        <w:pStyle w:val="178"/>
        <w:spacing w:line="360" w:lineRule="auto"/>
        <w:ind w:firstLine="420" w:firstLineChars="200"/>
        <w:jc w:val="left"/>
        <w:rPr>
          <w:color w:val="auto"/>
        </w:rPr>
      </w:pPr>
      <w:r>
        <w:rPr>
          <w:color w:val="auto"/>
        </w:rPr>
        <w:t>风险范围以外合同价格的调整方法：</w:t>
      </w:r>
      <w:r>
        <w:rPr>
          <w:rFonts w:hint="eastAsia"/>
          <w:color w:val="auto"/>
          <w:u w:val="single"/>
        </w:rPr>
        <w:t>无</w:t>
      </w:r>
      <w:r>
        <w:rPr>
          <w:color w:val="auto"/>
        </w:rPr>
        <w:t>。</w:t>
      </w:r>
    </w:p>
    <w:p w14:paraId="521D2791">
      <w:pPr>
        <w:pStyle w:val="178"/>
        <w:spacing w:line="360" w:lineRule="auto"/>
        <w:ind w:firstLine="420" w:firstLineChars="200"/>
        <w:jc w:val="left"/>
        <w:rPr>
          <w:color w:val="auto"/>
        </w:rPr>
      </w:pPr>
      <w:r>
        <w:rPr>
          <w:rFonts w:hint="eastAsia"/>
          <w:color w:val="auto"/>
        </w:rPr>
        <w:t>（</w:t>
      </w:r>
      <w:r>
        <w:rPr>
          <w:color w:val="auto"/>
        </w:rPr>
        <w:t>3</w:t>
      </w:r>
      <w:r>
        <w:rPr>
          <w:rFonts w:hint="eastAsia"/>
          <w:color w:val="auto"/>
        </w:rPr>
        <w:t>）</w:t>
      </w:r>
      <w:r>
        <w:rPr>
          <w:color w:val="auto"/>
        </w:rPr>
        <w:t>其他价格方式：</w:t>
      </w:r>
      <w:r>
        <w:rPr>
          <w:rFonts w:hint="eastAsia"/>
          <w:color w:val="auto"/>
          <w:u w:val="single"/>
        </w:rPr>
        <w:t>无</w:t>
      </w:r>
      <w:r>
        <w:rPr>
          <w:color w:val="auto"/>
        </w:rPr>
        <w:t>。</w:t>
      </w:r>
    </w:p>
    <w:p w14:paraId="06FF616C">
      <w:pPr>
        <w:pStyle w:val="4"/>
        <w:rPr>
          <w:rFonts w:ascii="仿宋_GB2312" w:eastAsia="仿宋_GB2312"/>
          <w:color w:val="auto"/>
          <w:szCs w:val="24"/>
        </w:rPr>
      </w:pPr>
      <w:r>
        <w:rPr>
          <w:rFonts w:hint="eastAsia" w:ascii="仿宋_GB2312" w:eastAsia="仿宋_GB2312"/>
          <w:color w:val="auto"/>
          <w:szCs w:val="24"/>
        </w:rPr>
        <w:t>12.2 预付款</w:t>
      </w:r>
    </w:p>
    <w:p w14:paraId="0D2D50CA">
      <w:pPr>
        <w:spacing w:line="360" w:lineRule="auto"/>
        <w:ind w:firstLine="480" w:firstLineChars="200"/>
        <w:rPr>
          <w:rFonts w:ascii="仿宋_GB2312" w:eastAsia="仿宋_GB2312"/>
          <w:color w:val="auto"/>
          <w:sz w:val="24"/>
        </w:rPr>
      </w:pPr>
      <w:r>
        <w:rPr>
          <w:rFonts w:ascii="仿宋_GB2312" w:eastAsia="仿宋_GB2312"/>
          <w:color w:val="auto"/>
          <w:sz w:val="24"/>
        </w:rPr>
        <w:t>本项目预付款为合同款的</w:t>
      </w:r>
      <w:r>
        <w:rPr>
          <w:rFonts w:hint="eastAsia" w:ascii="仿宋_GB2312" w:eastAsia="仿宋_GB2312"/>
          <w:color w:val="auto"/>
          <w:sz w:val="24"/>
        </w:rPr>
        <w:t>30</w:t>
      </w:r>
      <w:r>
        <w:rPr>
          <w:rFonts w:ascii="仿宋_GB2312" w:eastAsia="仿宋_GB2312"/>
          <w:color w:val="auto"/>
          <w:sz w:val="24"/>
        </w:rPr>
        <w:t>%。</w:t>
      </w:r>
    </w:p>
    <w:p w14:paraId="2D5FF680">
      <w:pPr>
        <w:spacing w:line="360" w:lineRule="auto"/>
        <w:ind w:firstLine="422" w:firstLineChars="200"/>
        <w:rPr>
          <w:color w:val="auto"/>
        </w:rPr>
      </w:pPr>
      <w:r>
        <w:rPr>
          <w:rFonts w:hint="eastAsia" w:hAnsi="宋体" w:cs="宋体"/>
          <w:b/>
          <w:bCs/>
          <w:color w:val="auto"/>
        </w:rPr>
        <w:t>预付款支付期限：</w:t>
      </w:r>
      <w:r>
        <w:rPr>
          <w:rFonts w:hint="eastAsia" w:hAnsi="宋体" w:cs="宋体"/>
          <w:b/>
          <w:bCs/>
          <w:color w:val="auto"/>
          <w:u w:val="single"/>
        </w:rPr>
        <w:t>项目合同签订后成交供应商开具增值税发票给采购人，采购人收到发票后10个工作日内支付</w:t>
      </w:r>
      <w:r>
        <w:rPr>
          <w:rFonts w:hint="eastAsia" w:hAnsi="宋体" w:cs="宋体"/>
          <w:b/>
          <w:bCs/>
          <w:color w:val="auto"/>
        </w:rPr>
        <w:t>。</w:t>
      </w:r>
    </w:p>
    <w:p w14:paraId="6B120252">
      <w:pPr>
        <w:wordWrap w:val="0"/>
        <w:spacing w:line="360" w:lineRule="auto"/>
        <w:ind w:firstLine="480" w:firstLineChars="200"/>
        <w:rPr>
          <w:rFonts w:ascii="宋体" w:hAnsi="宋体" w:cs="宋体"/>
          <w:color w:val="auto"/>
          <w:sz w:val="24"/>
        </w:rPr>
      </w:pPr>
    </w:p>
    <w:p w14:paraId="3D8470BD">
      <w:pPr>
        <w:pStyle w:val="4"/>
        <w:rPr>
          <w:rFonts w:ascii="仿宋_GB2312" w:eastAsia="仿宋_GB2312"/>
          <w:color w:val="auto"/>
          <w:szCs w:val="24"/>
        </w:rPr>
      </w:pPr>
      <w:r>
        <w:rPr>
          <w:rFonts w:hint="eastAsia" w:ascii="仿宋_GB2312" w:eastAsia="仿宋_GB2312"/>
          <w:color w:val="auto"/>
          <w:szCs w:val="24"/>
        </w:rPr>
        <w:t>12.3 计量</w:t>
      </w:r>
    </w:p>
    <w:p w14:paraId="3125649E">
      <w:pPr>
        <w:spacing w:line="360" w:lineRule="auto"/>
        <w:ind w:firstLine="480" w:firstLineChars="200"/>
        <w:rPr>
          <w:rFonts w:ascii="仿宋_GB2312" w:eastAsia="仿宋_GB2312"/>
          <w:color w:val="auto"/>
          <w:sz w:val="24"/>
        </w:rPr>
      </w:pPr>
      <w:r>
        <w:rPr>
          <w:rFonts w:ascii="仿宋_GB2312" w:eastAsia="仿宋_GB2312"/>
          <w:color w:val="auto"/>
          <w:sz w:val="24"/>
        </w:rPr>
        <w:t>12.3.1 计量原则</w:t>
      </w:r>
    </w:p>
    <w:p w14:paraId="0A4AC283">
      <w:pPr>
        <w:spacing w:line="360" w:lineRule="auto"/>
        <w:ind w:firstLine="480" w:firstLineChars="200"/>
        <w:rPr>
          <w:rFonts w:ascii="仿宋_GB2312" w:eastAsia="仿宋_GB2312"/>
          <w:color w:val="auto"/>
          <w:sz w:val="24"/>
        </w:rPr>
      </w:pPr>
      <w:r>
        <w:rPr>
          <w:rFonts w:ascii="仿宋_GB2312" w:eastAsia="仿宋_GB2312"/>
          <w:color w:val="auto"/>
          <w:sz w:val="24"/>
        </w:rPr>
        <w:t>工程量计算规则：</w:t>
      </w:r>
      <w:r>
        <w:rPr>
          <w:rFonts w:ascii="仿宋_GB2312" w:eastAsia="仿宋_GB2312"/>
          <w:color w:val="auto"/>
          <w:sz w:val="24"/>
          <w:u w:val="single"/>
        </w:rPr>
        <w:t>工程的计量均以《建设工程工程量清单计价规范》（GB50500－2013）和及其广西壮族自治区实施细则、《建设工程工程量清单计算规范》（GB50854~50862－2013）及其广西实施细则、本工程补充项目清单为准。</w:t>
      </w:r>
    </w:p>
    <w:p w14:paraId="27058FE0">
      <w:pPr>
        <w:spacing w:line="360" w:lineRule="auto"/>
        <w:ind w:firstLine="480" w:firstLineChars="200"/>
        <w:rPr>
          <w:rFonts w:ascii="仿宋_GB2312" w:eastAsia="仿宋_GB2312"/>
          <w:color w:val="auto"/>
          <w:sz w:val="24"/>
        </w:rPr>
      </w:pPr>
      <w:r>
        <w:rPr>
          <w:rFonts w:ascii="仿宋_GB2312" w:eastAsia="仿宋_GB2312"/>
          <w:color w:val="auto"/>
          <w:sz w:val="24"/>
        </w:rPr>
        <w:t>12.3.2 计量周期</w:t>
      </w:r>
    </w:p>
    <w:p w14:paraId="0938F2D2">
      <w:pPr>
        <w:pStyle w:val="24"/>
        <w:adjustRightInd w:val="0"/>
        <w:snapToGrid w:val="0"/>
        <w:spacing w:line="300" w:lineRule="auto"/>
        <w:ind w:firstLine="502"/>
        <w:rPr>
          <w:rFonts w:ascii="仿宋_GB2312" w:eastAsia="仿宋_GB2312"/>
          <w:color w:val="auto"/>
          <w:sz w:val="24"/>
        </w:rPr>
      </w:pPr>
      <w:r>
        <w:rPr>
          <w:rFonts w:hint="eastAsia" w:ascii="仿宋_GB2312" w:hAnsi="宋体" w:eastAsia="仿宋_GB2312"/>
          <w:color w:val="auto"/>
          <w:sz w:val="24"/>
        </w:rPr>
        <w:t>关于计量周期的约定：</w:t>
      </w:r>
      <w:r>
        <w:rPr>
          <w:rFonts w:hint="eastAsia" w:ascii="仿宋_GB2312" w:eastAsia="仿宋_GB2312"/>
          <w:bCs/>
          <w:color w:val="auto"/>
          <w:sz w:val="24"/>
          <w:u w:val="single"/>
        </w:rPr>
        <w:t>开工之后每月25日前，按进度向监理工程师提出当月已完工程量报告一式六份。监理工程师应于收到承包人提交的已完工程报告之日起8个工作日内进行计量和确认</w:t>
      </w:r>
      <w:r>
        <w:rPr>
          <w:rFonts w:hint="eastAsia" w:ascii="仿宋_GB2312" w:hAnsi="宋体" w:eastAsia="仿宋_GB2312"/>
          <w:color w:val="auto"/>
          <w:sz w:val="24"/>
        </w:rPr>
        <w:t>。</w:t>
      </w:r>
    </w:p>
    <w:p w14:paraId="37CEF866">
      <w:pPr>
        <w:spacing w:line="360" w:lineRule="auto"/>
        <w:ind w:firstLine="480" w:firstLineChars="200"/>
        <w:rPr>
          <w:rFonts w:ascii="仿宋_GB2312" w:eastAsia="仿宋_GB2312"/>
          <w:color w:val="auto"/>
          <w:sz w:val="24"/>
        </w:rPr>
      </w:pPr>
    </w:p>
    <w:p w14:paraId="5F2800ED">
      <w:pPr>
        <w:pStyle w:val="4"/>
        <w:rPr>
          <w:rFonts w:ascii="仿宋_GB2312" w:eastAsia="仿宋_GB2312"/>
          <w:color w:val="auto"/>
          <w:szCs w:val="24"/>
        </w:rPr>
      </w:pPr>
      <w:r>
        <w:rPr>
          <w:rFonts w:hint="eastAsia" w:ascii="仿宋_GB2312" w:eastAsia="仿宋_GB2312"/>
          <w:color w:val="auto"/>
          <w:szCs w:val="24"/>
        </w:rPr>
        <w:t>12.4 工程进度款支付</w:t>
      </w:r>
    </w:p>
    <w:p w14:paraId="55DA7B5F">
      <w:pPr>
        <w:spacing w:line="360" w:lineRule="auto"/>
        <w:ind w:firstLine="480" w:firstLineChars="200"/>
        <w:rPr>
          <w:rFonts w:ascii="仿宋_GB2312" w:eastAsia="仿宋_GB2312"/>
          <w:color w:val="auto"/>
          <w:sz w:val="24"/>
        </w:rPr>
      </w:pPr>
      <w:r>
        <w:rPr>
          <w:rFonts w:ascii="仿宋_GB2312" w:eastAsia="仿宋_GB2312"/>
          <w:color w:val="auto"/>
          <w:sz w:val="24"/>
        </w:rPr>
        <w:t>12.4.1 付款周期</w:t>
      </w:r>
    </w:p>
    <w:p w14:paraId="1A1366CC">
      <w:pPr>
        <w:wordWrap w:val="0"/>
        <w:spacing w:line="360" w:lineRule="auto"/>
        <w:ind w:firstLine="480" w:firstLineChars="200"/>
        <w:rPr>
          <w:rFonts w:ascii="仿宋_GB2312" w:eastAsia="仿宋_GB2312" w:cs="宋体"/>
          <w:bCs/>
          <w:color w:val="auto"/>
          <w:sz w:val="24"/>
          <w:u w:val="single"/>
        </w:rPr>
      </w:pPr>
      <w:r>
        <w:rPr>
          <w:rFonts w:hint="eastAsia" w:ascii="仿宋_GB2312" w:eastAsia="仿宋_GB2312" w:cs="宋体"/>
          <w:bCs/>
          <w:color w:val="auto"/>
          <w:sz w:val="24"/>
          <w:u w:val="single"/>
        </w:rPr>
        <w:t>双方约定的工程款（进度款）的支付方式和时间：工程款按月支付，合同内进度款支付限额为经业主及监理工程师审定的已完成工程量价款的80%，合同外工程进度款支付限额为经业主及监理工程师审定的已完成工程量价款的70%。工程竣工验收合格，工程款支付到合同款的80%，合同外追加工程待竣工验收合格后拨付至工程价款的60%，工程竣工验收合格，竣工结算经财政或审计部门审定并经发包人确认后，工程款支付至结算总价的97%（含已支付的），发包人按工程价款结算总额的3%，待约定的工程质量保修期满后14天内支付（无息）。</w:t>
      </w:r>
    </w:p>
    <w:p w14:paraId="43D7B5B7">
      <w:pPr>
        <w:pStyle w:val="24"/>
        <w:adjustRightInd w:val="0"/>
        <w:snapToGrid w:val="0"/>
        <w:spacing w:line="300" w:lineRule="auto"/>
        <w:ind w:firstLine="502"/>
        <w:rPr>
          <w:rFonts w:ascii="仿宋_GB2312" w:eastAsia="仿宋_GB2312" w:cs="宋体"/>
          <w:bCs/>
          <w:color w:val="auto"/>
          <w:sz w:val="24"/>
          <w:u w:val="single"/>
        </w:rPr>
      </w:pPr>
      <w:r>
        <w:rPr>
          <w:rFonts w:hint="eastAsia" w:ascii="仿宋_GB2312" w:eastAsia="仿宋_GB2312" w:cs="宋体"/>
          <w:bCs/>
          <w:color w:val="auto"/>
          <w:sz w:val="24"/>
          <w:u w:val="single"/>
        </w:rPr>
        <w:t>承包人必须按时支付农民工工资，发包人支付到合同价款的80％时，承包人必须全部支付完农民工工资及材料款，如有农民工或材料供应商到发包人单位及上级部门反映索要工资、货款现象视为违约，每发生一次扣最终结算价的1％，发包人可从应向承包人支付的款项中扣除。</w:t>
      </w:r>
    </w:p>
    <w:p w14:paraId="1CB0A768">
      <w:pPr>
        <w:spacing w:line="360" w:lineRule="auto"/>
        <w:ind w:firstLine="480" w:firstLineChars="200"/>
        <w:rPr>
          <w:rFonts w:ascii="仿宋_GB2312" w:eastAsia="仿宋_GB2312"/>
          <w:color w:val="auto"/>
          <w:sz w:val="24"/>
        </w:rPr>
      </w:pPr>
      <w:r>
        <w:rPr>
          <w:rFonts w:ascii="仿宋_GB2312" w:eastAsia="仿宋_GB2312"/>
          <w:color w:val="auto"/>
          <w:sz w:val="24"/>
        </w:rPr>
        <w:t>12.4.2 进度付款申请单的编制</w:t>
      </w:r>
    </w:p>
    <w:p w14:paraId="27721F4F">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关于进度付款申请单编制的约定：</w:t>
      </w:r>
      <w:r>
        <w:rPr>
          <w:rFonts w:ascii="仿宋_GB2312" w:eastAsia="仿宋_GB2312"/>
          <w:b/>
          <w:bCs/>
          <w:color w:val="auto"/>
          <w:sz w:val="24"/>
          <w:u w:val="single"/>
        </w:rPr>
        <w:t xml:space="preserve"> 按发包人合同部的要求格式，一式六份 </w:t>
      </w:r>
      <w:r>
        <w:rPr>
          <w:rFonts w:ascii="仿宋_GB2312" w:eastAsia="仿宋_GB2312"/>
          <w:color w:val="auto"/>
          <w:sz w:val="24"/>
        </w:rPr>
        <w:t>。</w:t>
      </w:r>
    </w:p>
    <w:p w14:paraId="320A2FA4">
      <w:pPr>
        <w:spacing w:line="360" w:lineRule="auto"/>
        <w:ind w:firstLine="480" w:firstLineChars="200"/>
        <w:rPr>
          <w:rFonts w:ascii="仿宋_GB2312" w:eastAsia="仿宋_GB2312"/>
          <w:color w:val="auto"/>
          <w:sz w:val="24"/>
        </w:rPr>
      </w:pPr>
      <w:r>
        <w:rPr>
          <w:rFonts w:ascii="仿宋_GB2312" w:eastAsia="仿宋_GB2312"/>
          <w:color w:val="auto"/>
          <w:sz w:val="24"/>
        </w:rPr>
        <w:t>12.4.3 进度付款申请单的提交</w:t>
      </w:r>
    </w:p>
    <w:p w14:paraId="25491D83">
      <w:pPr>
        <w:spacing w:line="360" w:lineRule="auto"/>
        <w:ind w:firstLine="480" w:firstLineChars="200"/>
        <w:rPr>
          <w:rFonts w:ascii="仿宋_GB2312" w:eastAsia="仿宋_GB2312"/>
          <w:color w:val="auto"/>
          <w:sz w:val="24"/>
        </w:rPr>
      </w:pPr>
      <w:r>
        <w:rPr>
          <w:rFonts w:ascii="仿宋_GB2312" w:eastAsia="仿宋_GB2312"/>
          <w:color w:val="auto"/>
          <w:sz w:val="24"/>
        </w:rPr>
        <w:t>（2）进度付款申请单提交的约定：</w:t>
      </w:r>
      <w:r>
        <w:rPr>
          <w:rFonts w:ascii="仿宋_GB2312" w:eastAsia="仿宋_GB2312"/>
          <w:color w:val="auto"/>
          <w:sz w:val="24"/>
          <w:u w:val="single"/>
        </w:rPr>
        <w:t xml:space="preserve">  发包人向财政部门申请工程进度款时，承包人应配合发包人提供以下资料：①《工程用款支付证书》；②《财政性资金投资项目用款核定通知书》；③工程量计量报表（格式按财政局业务科室具体要求）；④其他需要补充说明的材料 </w:t>
      </w:r>
      <w:r>
        <w:rPr>
          <w:rFonts w:ascii="仿宋_GB2312" w:eastAsia="仿宋_GB2312"/>
          <w:color w:val="auto"/>
          <w:sz w:val="24"/>
        </w:rPr>
        <w:t>。</w:t>
      </w:r>
    </w:p>
    <w:p w14:paraId="3C4E2B66">
      <w:pPr>
        <w:spacing w:line="360" w:lineRule="auto"/>
        <w:ind w:firstLine="480" w:firstLineChars="200"/>
        <w:rPr>
          <w:rFonts w:ascii="仿宋_GB2312" w:eastAsia="仿宋_GB2312"/>
          <w:color w:val="auto"/>
          <w:sz w:val="24"/>
        </w:rPr>
      </w:pPr>
      <w:r>
        <w:rPr>
          <w:rFonts w:ascii="仿宋_GB2312" w:eastAsia="仿宋_GB2312"/>
          <w:color w:val="auto"/>
          <w:sz w:val="24"/>
        </w:rPr>
        <w:t>12.4.4 进度款审核和支付</w:t>
      </w:r>
    </w:p>
    <w:p w14:paraId="39DA8A4D">
      <w:pPr>
        <w:spacing w:line="360" w:lineRule="auto"/>
        <w:ind w:firstLine="480" w:firstLineChars="200"/>
        <w:rPr>
          <w:rFonts w:ascii="仿宋_GB2312" w:eastAsia="仿宋_GB2312"/>
          <w:color w:val="auto"/>
          <w:sz w:val="24"/>
          <w:u w:val="single"/>
        </w:rPr>
      </w:pPr>
      <w:r>
        <w:rPr>
          <w:rFonts w:ascii="仿宋_GB2312" w:eastAsia="仿宋_GB2312"/>
          <w:color w:val="auto"/>
          <w:sz w:val="24"/>
        </w:rPr>
        <w:t xml:space="preserve">（1）监理人审查并报送发包人的期限： </w:t>
      </w:r>
      <w:r>
        <w:rPr>
          <w:rFonts w:ascii="仿宋_GB2312" w:eastAsia="仿宋_GB2312"/>
          <w:color w:val="auto"/>
          <w:sz w:val="24"/>
          <w:u w:val="single"/>
        </w:rPr>
        <w:t xml:space="preserve"> 收到承包人提交的已完工程报告之日起7个工作日内进行计量和确认  </w:t>
      </w:r>
      <w:r>
        <w:rPr>
          <w:rFonts w:ascii="仿宋_GB2312" w:eastAsia="仿宋_GB2312"/>
          <w:color w:val="auto"/>
          <w:sz w:val="24"/>
        </w:rPr>
        <w:t>。</w:t>
      </w:r>
    </w:p>
    <w:p w14:paraId="5F340C8C">
      <w:pPr>
        <w:spacing w:line="360" w:lineRule="auto"/>
        <w:ind w:firstLine="480" w:firstLineChars="200"/>
        <w:rPr>
          <w:rFonts w:ascii="仿宋_GB2312" w:eastAsia="仿宋_GB2312"/>
          <w:color w:val="auto"/>
          <w:sz w:val="24"/>
          <w:u w:val="single"/>
        </w:rPr>
      </w:pPr>
      <w:r>
        <w:rPr>
          <w:rFonts w:ascii="仿宋_GB2312" w:eastAsia="仿宋_GB2312"/>
          <w:color w:val="auto"/>
          <w:sz w:val="24"/>
        </w:rPr>
        <w:t>发包人完成审批并签发进度款支付证书的期限：</w:t>
      </w:r>
      <w:r>
        <w:rPr>
          <w:rFonts w:ascii="仿宋_GB2312" w:eastAsia="仿宋_GB2312"/>
          <w:color w:val="auto"/>
          <w:sz w:val="24"/>
          <w:u w:val="single"/>
        </w:rPr>
        <w:t xml:space="preserve">    收到资料后14天内    </w:t>
      </w:r>
      <w:r>
        <w:rPr>
          <w:rFonts w:ascii="仿宋_GB2312" w:eastAsia="仿宋_GB2312"/>
          <w:color w:val="auto"/>
          <w:sz w:val="24"/>
        </w:rPr>
        <w:t>。</w:t>
      </w:r>
    </w:p>
    <w:p w14:paraId="22528372">
      <w:pPr>
        <w:spacing w:line="360" w:lineRule="auto"/>
        <w:ind w:firstLine="480" w:firstLineChars="200"/>
        <w:rPr>
          <w:rFonts w:ascii="仿宋_GB2312" w:eastAsia="仿宋_GB2312"/>
          <w:color w:val="auto"/>
          <w:sz w:val="24"/>
        </w:rPr>
      </w:pPr>
      <w:r>
        <w:rPr>
          <w:rFonts w:ascii="仿宋_GB2312" w:eastAsia="仿宋_GB2312"/>
          <w:color w:val="auto"/>
          <w:sz w:val="24"/>
        </w:rPr>
        <w:t>（2）发包人支付进度款的期限：</w:t>
      </w:r>
      <w:r>
        <w:rPr>
          <w:rFonts w:ascii="仿宋_GB2312" w:eastAsia="仿宋_GB2312"/>
          <w:color w:val="auto"/>
          <w:sz w:val="24"/>
          <w:u w:val="single"/>
        </w:rPr>
        <w:t xml:space="preserve">   支付证书签发</w:t>
      </w:r>
      <w:r>
        <w:rPr>
          <w:rFonts w:hint="eastAsia" w:ascii="仿宋_GB2312" w:eastAsia="仿宋_GB2312"/>
          <w:color w:val="auto"/>
          <w:sz w:val="24"/>
          <w:u w:val="single"/>
        </w:rPr>
        <w:t>、县财政拨款后划拨</w:t>
      </w:r>
      <w:r>
        <w:rPr>
          <w:rFonts w:ascii="仿宋_GB2312" w:eastAsia="仿宋_GB2312"/>
          <w:color w:val="auto"/>
          <w:sz w:val="24"/>
        </w:rPr>
        <w:t>。</w:t>
      </w:r>
    </w:p>
    <w:p w14:paraId="1181A0CA">
      <w:pPr>
        <w:spacing w:line="360" w:lineRule="auto"/>
        <w:ind w:firstLine="600" w:firstLineChars="250"/>
        <w:rPr>
          <w:rFonts w:ascii="仿宋_GB2312" w:eastAsia="仿宋_GB2312"/>
          <w:color w:val="auto"/>
          <w:sz w:val="24"/>
        </w:rPr>
      </w:pPr>
      <w:r>
        <w:rPr>
          <w:rFonts w:ascii="仿宋_GB2312" w:eastAsia="仿宋_GB2312"/>
          <w:color w:val="auto"/>
          <w:sz w:val="24"/>
        </w:rPr>
        <w:t>发包人逾期支付进度款的违约金的计算方式：</w:t>
      </w:r>
      <w:r>
        <w:rPr>
          <w:rFonts w:ascii="仿宋_GB2312" w:eastAsia="仿宋_GB2312"/>
          <w:color w:val="auto"/>
          <w:sz w:val="24"/>
          <w:u w:val="single"/>
        </w:rPr>
        <w:t xml:space="preserve">        /             </w:t>
      </w:r>
      <w:r>
        <w:rPr>
          <w:rFonts w:ascii="仿宋_GB2312" w:eastAsia="仿宋_GB2312"/>
          <w:color w:val="auto"/>
          <w:sz w:val="24"/>
        </w:rPr>
        <w:t>。</w:t>
      </w:r>
    </w:p>
    <w:p w14:paraId="047E9206">
      <w:pPr>
        <w:spacing w:line="360" w:lineRule="auto"/>
        <w:ind w:firstLine="600" w:firstLineChars="250"/>
        <w:rPr>
          <w:rFonts w:ascii="仿宋_GB2312" w:eastAsia="仿宋_GB2312"/>
          <w:color w:val="auto"/>
          <w:sz w:val="24"/>
        </w:rPr>
      </w:pPr>
      <w:r>
        <w:rPr>
          <w:rFonts w:ascii="仿宋_GB2312" w:eastAsia="仿宋_GB2312"/>
          <w:color w:val="auto"/>
          <w:sz w:val="24"/>
        </w:rPr>
        <w:t>进度款支付方式：</w:t>
      </w:r>
      <w:r>
        <w:rPr>
          <w:rFonts w:ascii="仿宋_GB2312" w:eastAsia="仿宋_GB2312"/>
          <w:color w:val="auto"/>
          <w:sz w:val="24"/>
          <w:u w:val="single"/>
        </w:rPr>
        <w:t>银行转账</w:t>
      </w:r>
      <w:r>
        <w:rPr>
          <w:rFonts w:ascii="仿宋_GB2312" w:eastAsia="仿宋_GB2312"/>
          <w:color w:val="auto"/>
          <w:sz w:val="24"/>
        </w:rPr>
        <w:t>。</w:t>
      </w:r>
    </w:p>
    <w:p w14:paraId="57D1288A">
      <w:pPr>
        <w:spacing w:line="360" w:lineRule="auto"/>
        <w:ind w:firstLine="600" w:firstLineChars="250"/>
        <w:rPr>
          <w:rFonts w:ascii="仿宋_GB2312" w:eastAsia="仿宋_GB2312"/>
          <w:color w:val="auto"/>
          <w:sz w:val="24"/>
        </w:rPr>
      </w:pPr>
      <w:r>
        <w:rPr>
          <w:rFonts w:ascii="仿宋_GB2312" w:eastAsia="仿宋_GB2312"/>
          <w:color w:val="auto"/>
          <w:sz w:val="24"/>
        </w:rPr>
        <w:t>12.4.6 支付分解表的编制</w:t>
      </w:r>
    </w:p>
    <w:p w14:paraId="63442621">
      <w:pPr>
        <w:spacing w:line="360" w:lineRule="auto"/>
        <w:ind w:firstLine="600" w:firstLineChars="250"/>
        <w:rPr>
          <w:rFonts w:ascii="仿宋_GB2312" w:eastAsia="仿宋_GB2312"/>
          <w:color w:val="auto"/>
          <w:sz w:val="24"/>
          <w:u w:val="single"/>
        </w:rPr>
      </w:pPr>
      <w:r>
        <w:rPr>
          <w:rFonts w:ascii="仿宋_GB2312" w:eastAsia="仿宋_GB2312"/>
          <w:color w:val="auto"/>
          <w:sz w:val="24"/>
        </w:rPr>
        <w:t>2. 总价合同支付分解表的编制与审批：</w:t>
      </w:r>
      <w:r>
        <w:rPr>
          <w:rFonts w:ascii="仿宋_GB2312" w:eastAsia="仿宋_GB2312"/>
          <w:color w:val="auto"/>
          <w:sz w:val="24"/>
          <w:u w:val="single"/>
        </w:rPr>
        <w:t xml:space="preserve">    /                  </w:t>
      </w:r>
      <w:r>
        <w:rPr>
          <w:rFonts w:ascii="仿宋_GB2312" w:eastAsia="仿宋_GB2312"/>
          <w:color w:val="auto"/>
          <w:sz w:val="24"/>
        </w:rPr>
        <w:t>。</w:t>
      </w:r>
    </w:p>
    <w:p w14:paraId="45E80BF2">
      <w:pPr>
        <w:spacing w:line="360" w:lineRule="auto"/>
        <w:ind w:firstLine="600" w:firstLineChars="250"/>
        <w:rPr>
          <w:rFonts w:ascii="仿宋_GB2312" w:eastAsia="仿宋_GB2312"/>
          <w:color w:val="auto"/>
          <w:sz w:val="24"/>
          <w:u w:val="single"/>
        </w:rPr>
      </w:pPr>
      <w:r>
        <w:rPr>
          <w:rFonts w:ascii="仿宋_GB2312" w:eastAsia="仿宋_GB2312"/>
          <w:color w:val="auto"/>
          <w:sz w:val="24"/>
        </w:rPr>
        <w:t>3. 单价合同的总价项目支付分解表的编制与审批：总价项目不采用支付分解表的方式计算，而按《建设工程工程量清单计价规范（GB50500-2013）广西壮族自治区实施细则》的规定执行。</w:t>
      </w:r>
    </w:p>
    <w:p w14:paraId="55998F94">
      <w:pPr>
        <w:pStyle w:val="3"/>
        <w:rPr>
          <w:rFonts w:ascii="仿宋_GB2312" w:eastAsia="仿宋_GB2312"/>
          <w:color w:val="auto"/>
          <w:sz w:val="24"/>
          <w:szCs w:val="24"/>
        </w:rPr>
      </w:pPr>
    </w:p>
    <w:p w14:paraId="3015566B">
      <w:pPr>
        <w:pStyle w:val="3"/>
        <w:rPr>
          <w:rFonts w:ascii="仿宋_GB2312" w:eastAsia="仿宋_GB2312"/>
          <w:color w:val="auto"/>
          <w:sz w:val="24"/>
          <w:szCs w:val="24"/>
        </w:rPr>
      </w:pPr>
      <w:r>
        <w:rPr>
          <w:rFonts w:hint="eastAsia" w:ascii="仿宋_GB2312" w:eastAsia="仿宋_GB2312"/>
          <w:color w:val="auto"/>
          <w:sz w:val="24"/>
          <w:szCs w:val="24"/>
        </w:rPr>
        <w:t>13. 验收和工程试车</w:t>
      </w:r>
    </w:p>
    <w:p w14:paraId="37305E6B">
      <w:pPr>
        <w:pStyle w:val="4"/>
        <w:rPr>
          <w:rFonts w:ascii="仿宋_GB2312" w:eastAsia="仿宋_GB2312"/>
          <w:color w:val="auto"/>
          <w:szCs w:val="24"/>
        </w:rPr>
      </w:pPr>
      <w:r>
        <w:rPr>
          <w:rFonts w:hint="eastAsia" w:ascii="仿宋_GB2312" w:eastAsia="仿宋_GB2312"/>
          <w:color w:val="auto"/>
          <w:szCs w:val="24"/>
        </w:rPr>
        <w:t>13.1 分部分项工程验收</w:t>
      </w:r>
    </w:p>
    <w:p w14:paraId="2218C354">
      <w:pPr>
        <w:spacing w:line="360" w:lineRule="auto"/>
        <w:ind w:firstLine="480" w:firstLineChars="200"/>
        <w:rPr>
          <w:rFonts w:ascii="仿宋_GB2312" w:eastAsia="仿宋_GB2312"/>
          <w:color w:val="auto"/>
          <w:sz w:val="24"/>
        </w:rPr>
      </w:pPr>
      <w:r>
        <w:rPr>
          <w:rFonts w:ascii="仿宋_GB2312" w:eastAsia="仿宋_GB2312"/>
          <w:color w:val="auto"/>
          <w:sz w:val="24"/>
        </w:rPr>
        <w:t>13.1.2监理人不能按时进行验收时，应提前</w:t>
      </w:r>
      <w:r>
        <w:rPr>
          <w:rFonts w:ascii="仿宋_GB2312" w:eastAsia="仿宋_GB2312"/>
          <w:color w:val="auto"/>
          <w:sz w:val="24"/>
          <w:u w:val="single"/>
        </w:rPr>
        <w:t xml:space="preserve">   6    </w:t>
      </w:r>
      <w:r>
        <w:rPr>
          <w:rFonts w:ascii="仿宋_GB2312" w:eastAsia="仿宋_GB2312"/>
          <w:color w:val="auto"/>
          <w:sz w:val="24"/>
        </w:rPr>
        <w:t>小时提交书面延期要求。</w:t>
      </w:r>
    </w:p>
    <w:p w14:paraId="766ED6CE">
      <w:pPr>
        <w:spacing w:line="360" w:lineRule="auto"/>
        <w:ind w:firstLine="480" w:firstLineChars="200"/>
        <w:rPr>
          <w:rFonts w:ascii="仿宋_GB2312" w:eastAsia="仿宋_GB2312"/>
          <w:b/>
          <w:color w:val="auto"/>
          <w:sz w:val="24"/>
        </w:rPr>
      </w:pPr>
      <w:r>
        <w:rPr>
          <w:rFonts w:ascii="仿宋_GB2312" w:eastAsia="仿宋_GB2312"/>
          <w:color w:val="auto"/>
          <w:sz w:val="24"/>
        </w:rPr>
        <w:t>关于延期最长不得超过：</w:t>
      </w:r>
      <w:r>
        <w:rPr>
          <w:rFonts w:ascii="仿宋_GB2312" w:eastAsia="仿宋_GB2312"/>
          <w:color w:val="auto"/>
          <w:sz w:val="24"/>
          <w:u w:val="single"/>
        </w:rPr>
        <w:t xml:space="preserve">    12     </w:t>
      </w:r>
      <w:r>
        <w:rPr>
          <w:rFonts w:ascii="仿宋_GB2312" w:eastAsia="仿宋_GB2312"/>
          <w:color w:val="auto"/>
          <w:sz w:val="24"/>
        </w:rPr>
        <w:t>小时。</w:t>
      </w:r>
    </w:p>
    <w:p w14:paraId="75D52BA5">
      <w:pPr>
        <w:pStyle w:val="4"/>
        <w:rPr>
          <w:rFonts w:ascii="仿宋_GB2312" w:eastAsia="仿宋_GB2312"/>
          <w:color w:val="auto"/>
          <w:szCs w:val="24"/>
        </w:rPr>
      </w:pPr>
      <w:r>
        <w:rPr>
          <w:rFonts w:hint="eastAsia" w:ascii="仿宋_GB2312" w:eastAsia="仿宋_GB2312"/>
          <w:color w:val="auto"/>
          <w:szCs w:val="24"/>
        </w:rPr>
        <w:t>13.2 竣工验收</w:t>
      </w:r>
    </w:p>
    <w:p w14:paraId="6F058237">
      <w:pPr>
        <w:spacing w:line="360" w:lineRule="auto"/>
        <w:ind w:firstLine="480" w:firstLineChars="200"/>
        <w:rPr>
          <w:rFonts w:ascii="仿宋_GB2312" w:eastAsia="仿宋_GB2312"/>
          <w:color w:val="auto"/>
          <w:sz w:val="24"/>
        </w:rPr>
      </w:pPr>
      <w:r>
        <w:rPr>
          <w:rFonts w:ascii="仿宋_GB2312" w:eastAsia="仿宋_GB2312"/>
          <w:color w:val="auto"/>
          <w:sz w:val="24"/>
        </w:rPr>
        <w:t>13.2.1竣工验收条件</w:t>
      </w:r>
    </w:p>
    <w:p w14:paraId="3689EC4D">
      <w:pPr>
        <w:spacing w:line="360" w:lineRule="auto"/>
        <w:ind w:firstLine="480" w:firstLineChars="200"/>
        <w:rPr>
          <w:rFonts w:ascii="仿宋_GB2312" w:eastAsia="仿宋_GB2312"/>
          <w:color w:val="auto"/>
          <w:sz w:val="24"/>
        </w:rPr>
      </w:pPr>
      <w:r>
        <w:rPr>
          <w:rFonts w:ascii="仿宋_GB2312" w:eastAsia="仿宋_GB2312"/>
          <w:color w:val="auto"/>
          <w:sz w:val="24"/>
        </w:rPr>
        <w:t>（3）承包人负责整理和提交的竣工验收资料应当符合工程所在地建设行政主管部门和(或)城市建设档案管理机构有关施工资料的要求，具体内容包括：</w:t>
      </w:r>
      <w:r>
        <w:rPr>
          <w:rFonts w:ascii="仿宋_GB2312" w:eastAsia="仿宋_GB2312"/>
          <w:color w:val="auto"/>
          <w:sz w:val="24"/>
          <w:u w:val="single"/>
        </w:rPr>
        <w:t xml:space="preserve">  质量保证资料、验收备案资料、竣工图等完整的竣工档案资料  </w:t>
      </w:r>
      <w:r>
        <w:rPr>
          <w:rFonts w:ascii="仿宋_GB2312" w:eastAsia="仿宋_GB2312"/>
          <w:color w:val="auto"/>
          <w:sz w:val="24"/>
        </w:rPr>
        <w:t>。</w:t>
      </w:r>
    </w:p>
    <w:p w14:paraId="1ECBC3E3">
      <w:pPr>
        <w:spacing w:line="360" w:lineRule="auto"/>
        <w:ind w:firstLine="480" w:firstLineChars="200"/>
        <w:rPr>
          <w:rFonts w:ascii="仿宋_GB2312" w:eastAsia="仿宋_GB2312"/>
          <w:color w:val="auto"/>
          <w:sz w:val="24"/>
        </w:rPr>
      </w:pPr>
      <w:r>
        <w:rPr>
          <w:rFonts w:ascii="仿宋_GB2312" w:eastAsia="仿宋_GB2312"/>
          <w:color w:val="auto"/>
          <w:sz w:val="24"/>
        </w:rPr>
        <w:t>竣工验收资料的份数：</w:t>
      </w:r>
      <w:r>
        <w:rPr>
          <w:rFonts w:ascii="仿宋_GB2312" w:eastAsia="仿宋_GB2312"/>
          <w:color w:val="auto"/>
          <w:sz w:val="24"/>
          <w:u w:val="single"/>
        </w:rPr>
        <w:t xml:space="preserve">    伍份    </w:t>
      </w:r>
      <w:r>
        <w:rPr>
          <w:rFonts w:ascii="仿宋_GB2312" w:eastAsia="仿宋_GB2312"/>
          <w:color w:val="auto"/>
          <w:sz w:val="24"/>
        </w:rPr>
        <w:t>。</w:t>
      </w:r>
    </w:p>
    <w:p w14:paraId="0B25DBA2">
      <w:pPr>
        <w:spacing w:line="360" w:lineRule="auto"/>
        <w:ind w:firstLine="480" w:firstLineChars="200"/>
        <w:rPr>
          <w:rFonts w:ascii="仿宋_GB2312" w:eastAsia="仿宋_GB2312"/>
          <w:color w:val="auto"/>
          <w:sz w:val="24"/>
        </w:rPr>
      </w:pPr>
      <w:r>
        <w:rPr>
          <w:rFonts w:ascii="仿宋_GB2312" w:eastAsia="仿宋_GB2312"/>
          <w:bCs/>
          <w:color w:val="auto"/>
          <w:sz w:val="24"/>
        </w:rPr>
        <w:t>承包人提供竣工图的约定：</w:t>
      </w:r>
      <w:r>
        <w:rPr>
          <w:rFonts w:ascii="仿宋_GB2312" w:eastAsia="仿宋_GB2312"/>
          <w:b/>
          <w:color w:val="auto"/>
          <w:sz w:val="24"/>
          <w:u w:val="single"/>
        </w:rPr>
        <w:t>竣工验收正式通过后5天（工程造价在500万元以下含500万元）、10天（工程造价在500万元至1000万元之间含1000万元）、15天（工程造价在1000万元以上），提供竣工图的数量分别为5套。</w:t>
      </w:r>
    </w:p>
    <w:p w14:paraId="2CCD8226">
      <w:pPr>
        <w:spacing w:line="360" w:lineRule="auto"/>
        <w:ind w:firstLine="480" w:firstLineChars="200"/>
        <w:rPr>
          <w:rFonts w:ascii="仿宋_GB2312" w:eastAsia="仿宋_GB2312"/>
          <w:color w:val="auto"/>
          <w:sz w:val="24"/>
        </w:rPr>
      </w:pPr>
      <w:r>
        <w:rPr>
          <w:rFonts w:ascii="仿宋_GB2312" w:eastAsia="仿宋_GB2312"/>
          <w:color w:val="auto"/>
          <w:sz w:val="24"/>
        </w:rPr>
        <w:t>13.2.2竣工验收程序</w:t>
      </w:r>
    </w:p>
    <w:p w14:paraId="71644F07">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关于竣工验收程序的约定：</w:t>
      </w:r>
      <w:r>
        <w:rPr>
          <w:rFonts w:ascii="仿宋_GB2312" w:eastAsia="仿宋_GB2312"/>
          <w:color w:val="auto"/>
          <w:sz w:val="24"/>
          <w:u w:val="single"/>
        </w:rPr>
        <w:t xml:space="preserve">按崇政办发【2017】54号文   </w:t>
      </w:r>
      <w:r>
        <w:rPr>
          <w:rFonts w:ascii="仿宋_GB2312" w:eastAsia="仿宋_GB2312"/>
          <w:color w:val="auto"/>
          <w:sz w:val="24"/>
        </w:rPr>
        <w:t>。</w:t>
      </w:r>
    </w:p>
    <w:p w14:paraId="2E36E36B">
      <w:pPr>
        <w:spacing w:line="360" w:lineRule="auto"/>
        <w:rPr>
          <w:rFonts w:ascii="仿宋_GB2312" w:eastAsia="仿宋_GB2312"/>
          <w:color w:val="auto"/>
          <w:sz w:val="24"/>
        </w:rPr>
      </w:pPr>
      <w:r>
        <w:rPr>
          <w:rFonts w:ascii="仿宋_GB2312" w:eastAsia="仿宋_GB2312"/>
          <w:color w:val="auto"/>
          <w:sz w:val="24"/>
        </w:rPr>
        <w:t>发包人不按照本项约定组织竣工验收、颁发工程接收证书的违约金的计算方法：</w:t>
      </w:r>
      <w:r>
        <w:rPr>
          <w:rFonts w:ascii="仿宋_GB2312" w:eastAsia="仿宋_GB2312"/>
          <w:color w:val="auto"/>
          <w:sz w:val="24"/>
          <w:u w:val="single"/>
        </w:rPr>
        <w:t xml:space="preserve">    /  </w:t>
      </w:r>
      <w:r>
        <w:rPr>
          <w:rFonts w:ascii="仿宋_GB2312" w:eastAsia="仿宋_GB2312"/>
          <w:color w:val="auto"/>
          <w:sz w:val="24"/>
        </w:rPr>
        <w:t>。</w:t>
      </w:r>
    </w:p>
    <w:p w14:paraId="633451F5">
      <w:pPr>
        <w:spacing w:line="360" w:lineRule="auto"/>
        <w:ind w:firstLine="480" w:firstLineChars="200"/>
        <w:rPr>
          <w:rFonts w:ascii="仿宋_GB2312" w:eastAsia="仿宋_GB2312"/>
          <w:color w:val="auto"/>
          <w:sz w:val="24"/>
        </w:rPr>
      </w:pPr>
      <w:r>
        <w:rPr>
          <w:rFonts w:ascii="仿宋_GB2312" w:eastAsia="仿宋_GB2312"/>
          <w:color w:val="auto"/>
          <w:sz w:val="24"/>
        </w:rPr>
        <w:t>13.2.5移交、接收全部与部分工程</w:t>
      </w:r>
    </w:p>
    <w:p w14:paraId="164256B7">
      <w:pPr>
        <w:spacing w:line="360" w:lineRule="auto"/>
        <w:ind w:firstLine="480" w:firstLineChars="200"/>
        <w:rPr>
          <w:rFonts w:ascii="仿宋_GB2312" w:eastAsia="仿宋_GB2312"/>
          <w:color w:val="auto"/>
          <w:sz w:val="24"/>
        </w:rPr>
      </w:pPr>
      <w:r>
        <w:rPr>
          <w:rFonts w:ascii="仿宋_GB2312" w:eastAsia="仿宋_GB2312"/>
          <w:color w:val="auto"/>
          <w:sz w:val="24"/>
        </w:rPr>
        <w:t>承包人向发包人移交工程的期限：</w:t>
      </w:r>
      <w:r>
        <w:rPr>
          <w:rFonts w:ascii="仿宋_GB2312" w:eastAsia="仿宋_GB2312"/>
          <w:color w:val="auto"/>
          <w:sz w:val="24"/>
          <w:u w:val="single"/>
        </w:rPr>
        <w:t xml:space="preserve">  工程竣工验收合格后7天内  </w:t>
      </w:r>
      <w:r>
        <w:rPr>
          <w:rFonts w:ascii="仿宋_GB2312" w:eastAsia="仿宋_GB2312"/>
          <w:color w:val="auto"/>
          <w:sz w:val="24"/>
        </w:rPr>
        <w:t>。</w:t>
      </w:r>
    </w:p>
    <w:p w14:paraId="648CC1D8">
      <w:pPr>
        <w:spacing w:line="360" w:lineRule="auto"/>
        <w:ind w:firstLine="480" w:firstLineChars="200"/>
        <w:rPr>
          <w:rFonts w:ascii="仿宋_GB2312" w:eastAsia="仿宋_GB2312"/>
          <w:color w:val="auto"/>
          <w:sz w:val="24"/>
          <w:u w:val="single"/>
        </w:rPr>
      </w:pPr>
      <w:r>
        <w:rPr>
          <w:rFonts w:ascii="仿宋_GB2312" w:eastAsia="仿宋_GB2312"/>
          <w:color w:val="auto"/>
          <w:sz w:val="24"/>
        </w:rPr>
        <w:t>发包人未按本合同约定接收全部或部分工程的，违约金的计算方法为：</w:t>
      </w:r>
      <w:r>
        <w:rPr>
          <w:rFonts w:ascii="仿宋_GB2312" w:eastAsia="仿宋_GB2312"/>
          <w:color w:val="auto"/>
          <w:sz w:val="24"/>
          <w:u w:val="single"/>
        </w:rPr>
        <w:t xml:space="preserve">  /  </w:t>
      </w:r>
      <w:r>
        <w:rPr>
          <w:rFonts w:ascii="仿宋_GB2312" w:eastAsia="仿宋_GB2312"/>
          <w:color w:val="auto"/>
          <w:sz w:val="24"/>
        </w:rPr>
        <w:t>。</w:t>
      </w:r>
    </w:p>
    <w:p w14:paraId="7C8C77B8">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承包人未按时移交工程的，违约金的计算方法为：</w:t>
      </w:r>
      <w:r>
        <w:rPr>
          <w:rFonts w:ascii="仿宋_GB2312" w:eastAsia="仿宋_GB2312"/>
          <w:color w:val="auto"/>
          <w:sz w:val="24"/>
          <w:u w:val="single"/>
        </w:rPr>
        <w:t xml:space="preserve">   向发包人支付合同价款的万分之四的违约金  </w:t>
      </w:r>
      <w:r>
        <w:rPr>
          <w:rFonts w:ascii="仿宋_GB2312" w:eastAsia="仿宋_GB2312"/>
          <w:color w:val="auto"/>
          <w:sz w:val="24"/>
        </w:rPr>
        <w:t>。</w:t>
      </w:r>
    </w:p>
    <w:p w14:paraId="2372BE6D">
      <w:pPr>
        <w:pStyle w:val="4"/>
        <w:rPr>
          <w:rFonts w:ascii="仿宋_GB2312" w:eastAsia="仿宋_GB2312"/>
          <w:color w:val="auto"/>
          <w:szCs w:val="24"/>
        </w:rPr>
      </w:pPr>
      <w:r>
        <w:rPr>
          <w:rFonts w:hint="eastAsia" w:ascii="仿宋_GB2312" w:eastAsia="仿宋_GB2312"/>
          <w:color w:val="auto"/>
          <w:szCs w:val="24"/>
        </w:rPr>
        <w:t>13.3 工程试车</w:t>
      </w:r>
    </w:p>
    <w:p w14:paraId="54829D13">
      <w:pPr>
        <w:spacing w:line="360" w:lineRule="auto"/>
        <w:ind w:firstLine="480" w:firstLineChars="200"/>
        <w:rPr>
          <w:rFonts w:ascii="仿宋_GB2312" w:eastAsia="仿宋_GB2312"/>
          <w:color w:val="auto"/>
          <w:sz w:val="24"/>
        </w:rPr>
      </w:pPr>
      <w:r>
        <w:rPr>
          <w:rFonts w:ascii="仿宋_GB2312" w:eastAsia="仿宋_GB2312"/>
          <w:color w:val="auto"/>
          <w:sz w:val="24"/>
        </w:rPr>
        <w:t>13.3.1 试车程序</w:t>
      </w:r>
    </w:p>
    <w:p w14:paraId="71B73565">
      <w:pPr>
        <w:spacing w:line="360" w:lineRule="auto"/>
        <w:ind w:firstLine="480" w:firstLineChars="200"/>
        <w:rPr>
          <w:rFonts w:ascii="仿宋_GB2312" w:eastAsia="仿宋_GB2312"/>
          <w:color w:val="auto"/>
          <w:sz w:val="24"/>
          <w:u w:val="single"/>
        </w:rPr>
      </w:pPr>
      <w:r>
        <w:rPr>
          <w:rFonts w:ascii="仿宋_GB2312" w:eastAsia="仿宋_GB2312"/>
          <w:color w:val="auto"/>
          <w:sz w:val="24"/>
        </w:rPr>
        <w:t>工程试车内容：</w:t>
      </w:r>
      <w:r>
        <w:rPr>
          <w:rFonts w:ascii="仿宋_GB2312" w:eastAsia="仿宋_GB2312"/>
          <w:color w:val="auto"/>
          <w:sz w:val="24"/>
          <w:u w:val="single"/>
        </w:rPr>
        <w:t xml:space="preserve">            /                            </w:t>
      </w:r>
      <w:r>
        <w:rPr>
          <w:rFonts w:ascii="仿宋_GB2312" w:eastAsia="仿宋_GB2312"/>
          <w:color w:val="auto"/>
          <w:sz w:val="24"/>
        </w:rPr>
        <w:t>。</w:t>
      </w:r>
    </w:p>
    <w:p w14:paraId="188143B4">
      <w:pPr>
        <w:spacing w:line="360" w:lineRule="auto"/>
        <w:ind w:firstLine="480" w:firstLineChars="200"/>
        <w:rPr>
          <w:rFonts w:ascii="仿宋_GB2312" w:eastAsia="仿宋_GB2312"/>
          <w:color w:val="auto"/>
          <w:sz w:val="24"/>
        </w:rPr>
      </w:pPr>
      <w:r>
        <w:rPr>
          <w:rFonts w:ascii="仿宋_GB2312" w:eastAsia="仿宋_GB2312"/>
          <w:color w:val="auto"/>
          <w:sz w:val="24"/>
        </w:rPr>
        <w:t>（1）单机无负荷试车费用由</w:t>
      </w:r>
      <w:r>
        <w:rPr>
          <w:rFonts w:ascii="仿宋_GB2312" w:eastAsia="仿宋_GB2312"/>
          <w:color w:val="auto"/>
          <w:sz w:val="24"/>
          <w:u w:val="single"/>
        </w:rPr>
        <w:t xml:space="preserve">          /           </w:t>
      </w:r>
      <w:r>
        <w:rPr>
          <w:rFonts w:ascii="仿宋_GB2312" w:eastAsia="仿宋_GB2312"/>
          <w:color w:val="auto"/>
          <w:sz w:val="24"/>
        </w:rPr>
        <w:t>承担；</w:t>
      </w:r>
    </w:p>
    <w:p w14:paraId="229E196C">
      <w:pPr>
        <w:spacing w:line="360" w:lineRule="auto"/>
        <w:ind w:firstLine="480" w:firstLineChars="200"/>
        <w:rPr>
          <w:rFonts w:ascii="仿宋_GB2312" w:eastAsia="仿宋_GB2312"/>
          <w:color w:val="auto"/>
          <w:sz w:val="24"/>
        </w:rPr>
      </w:pPr>
      <w:r>
        <w:rPr>
          <w:rFonts w:ascii="仿宋_GB2312" w:eastAsia="仿宋_GB2312"/>
          <w:color w:val="auto"/>
          <w:sz w:val="24"/>
        </w:rPr>
        <w:t>（2）无负荷联动试车费用由</w:t>
      </w:r>
      <w:r>
        <w:rPr>
          <w:rFonts w:ascii="仿宋_GB2312" w:eastAsia="仿宋_GB2312"/>
          <w:color w:val="auto"/>
          <w:sz w:val="24"/>
          <w:u w:val="single"/>
        </w:rPr>
        <w:t xml:space="preserve">          /           </w:t>
      </w:r>
      <w:r>
        <w:rPr>
          <w:rFonts w:ascii="仿宋_GB2312" w:eastAsia="仿宋_GB2312"/>
          <w:color w:val="auto"/>
          <w:sz w:val="24"/>
        </w:rPr>
        <w:t>承担。</w:t>
      </w:r>
    </w:p>
    <w:p w14:paraId="224D56CE">
      <w:pPr>
        <w:spacing w:line="360" w:lineRule="auto"/>
        <w:ind w:firstLine="480" w:firstLineChars="200"/>
        <w:rPr>
          <w:rFonts w:ascii="仿宋_GB2312" w:eastAsia="仿宋_GB2312"/>
          <w:color w:val="auto"/>
          <w:sz w:val="24"/>
        </w:rPr>
      </w:pPr>
      <w:r>
        <w:rPr>
          <w:rFonts w:ascii="仿宋_GB2312" w:eastAsia="仿宋_GB2312"/>
          <w:color w:val="auto"/>
          <w:sz w:val="24"/>
        </w:rPr>
        <w:t>13.3.3 投料试车</w:t>
      </w:r>
    </w:p>
    <w:p w14:paraId="7CE76933">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关于投料试车相关事项的约定：</w:t>
      </w:r>
      <w:r>
        <w:rPr>
          <w:rFonts w:ascii="仿宋_GB2312" w:eastAsia="仿宋_GB2312"/>
          <w:color w:val="auto"/>
          <w:sz w:val="24"/>
          <w:u w:val="single"/>
        </w:rPr>
        <w:t xml:space="preserve">          /                    </w:t>
      </w:r>
      <w:r>
        <w:rPr>
          <w:rFonts w:ascii="仿宋_GB2312" w:eastAsia="仿宋_GB2312"/>
          <w:color w:val="auto"/>
          <w:sz w:val="24"/>
        </w:rPr>
        <w:t>。</w:t>
      </w:r>
    </w:p>
    <w:p w14:paraId="223DE60D">
      <w:pPr>
        <w:pStyle w:val="4"/>
        <w:rPr>
          <w:rFonts w:ascii="仿宋_GB2312" w:eastAsia="仿宋_GB2312"/>
          <w:color w:val="auto"/>
          <w:szCs w:val="24"/>
        </w:rPr>
      </w:pPr>
      <w:r>
        <w:rPr>
          <w:rFonts w:hint="eastAsia" w:ascii="仿宋_GB2312" w:eastAsia="仿宋_GB2312"/>
          <w:color w:val="auto"/>
          <w:szCs w:val="24"/>
        </w:rPr>
        <w:t>13.6 竣工退场</w:t>
      </w:r>
    </w:p>
    <w:p w14:paraId="44FB51E3">
      <w:pPr>
        <w:spacing w:line="360" w:lineRule="auto"/>
        <w:ind w:firstLine="480" w:firstLineChars="200"/>
        <w:rPr>
          <w:rFonts w:ascii="仿宋_GB2312" w:eastAsia="仿宋_GB2312"/>
          <w:color w:val="auto"/>
          <w:sz w:val="24"/>
        </w:rPr>
      </w:pPr>
      <w:r>
        <w:rPr>
          <w:rFonts w:ascii="仿宋_GB2312" w:eastAsia="仿宋_GB2312"/>
          <w:color w:val="auto"/>
          <w:sz w:val="24"/>
        </w:rPr>
        <w:t>13.6.1 竣工退场</w:t>
      </w:r>
    </w:p>
    <w:p w14:paraId="5EBE5F96">
      <w:pPr>
        <w:spacing w:line="360" w:lineRule="auto"/>
        <w:ind w:firstLine="480" w:firstLineChars="200"/>
        <w:rPr>
          <w:rFonts w:ascii="仿宋_GB2312" w:eastAsia="仿宋_GB2312"/>
          <w:color w:val="auto"/>
          <w:sz w:val="24"/>
        </w:rPr>
      </w:pPr>
      <w:r>
        <w:rPr>
          <w:rFonts w:ascii="仿宋_GB2312" w:eastAsia="仿宋_GB2312"/>
          <w:color w:val="auto"/>
          <w:sz w:val="24"/>
        </w:rPr>
        <w:t>承包人完成竣工退场的期限：</w:t>
      </w:r>
      <w:r>
        <w:rPr>
          <w:rFonts w:ascii="仿宋_GB2312" w:eastAsia="仿宋_GB2312"/>
          <w:color w:val="auto"/>
          <w:sz w:val="24"/>
          <w:u w:val="single"/>
        </w:rPr>
        <w:t xml:space="preserve">  竣工验收合格并移交后21天内  </w:t>
      </w:r>
      <w:r>
        <w:rPr>
          <w:rFonts w:ascii="仿宋_GB2312" w:eastAsia="仿宋_GB2312"/>
          <w:color w:val="auto"/>
          <w:sz w:val="24"/>
        </w:rPr>
        <w:t>。</w:t>
      </w:r>
    </w:p>
    <w:p w14:paraId="4EC17872">
      <w:pPr>
        <w:pStyle w:val="3"/>
        <w:rPr>
          <w:rFonts w:ascii="仿宋_GB2312" w:eastAsia="仿宋_GB2312"/>
          <w:color w:val="auto"/>
          <w:sz w:val="24"/>
          <w:szCs w:val="24"/>
        </w:rPr>
      </w:pPr>
      <w:r>
        <w:rPr>
          <w:rFonts w:hint="eastAsia" w:ascii="仿宋_GB2312" w:eastAsia="仿宋_GB2312"/>
          <w:color w:val="auto"/>
          <w:sz w:val="24"/>
          <w:szCs w:val="24"/>
        </w:rPr>
        <w:t>14. 竣工结算</w:t>
      </w:r>
    </w:p>
    <w:p w14:paraId="618C0530">
      <w:pPr>
        <w:pStyle w:val="4"/>
        <w:rPr>
          <w:rFonts w:ascii="仿宋_GB2312" w:eastAsia="仿宋_GB2312"/>
          <w:color w:val="auto"/>
          <w:szCs w:val="24"/>
        </w:rPr>
      </w:pPr>
      <w:r>
        <w:rPr>
          <w:rFonts w:hint="eastAsia" w:ascii="仿宋_GB2312" w:eastAsia="仿宋_GB2312"/>
          <w:color w:val="auto"/>
          <w:szCs w:val="24"/>
        </w:rPr>
        <w:t>14.1 竣工付款申请</w:t>
      </w:r>
    </w:p>
    <w:p w14:paraId="525A3BFA">
      <w:pPr>
        <w:spacing w:line="360" w:lineRule="auto"/>
        <w:ind w:firstLine="480" w:firstLineChars="200"/>
        <w:rPr>
          <w:rFonts w:ascii="仿宋_GB2312" w:eastAsia="仿宋_GB2312"/>
          <w:color w:val="auto"/>
          <w:sz w:val="24"/>
        </w:rPr>
      </w:pPr>
      <w:r>
        <w:rPr>
          <w:rFonts w:ascii="仿宋_GB2312" w:eastAsia="仿宋_GB2312"/>
          <w:color w:val="auto"/>
          <w:sz w:val="24"/>
        </w:rPr>
        <w:t>承包人提交竣工付款申请单的期限：</w:t>
      </w:r>
      <w:r>
        <w:rPr>
          <w:rFonts w:ascii="仿宋_GB2312" w:eastAsia="仿宋_GB2312"/>
          <w:color w:val="auto"/>
          <w:sz w:val="24"/>
          <w:u w:val="single"/>
        </w:rPr>
        <w:t xml:space="preserve">  竣工验收合格后28天内 </w:t>
      </w:r>
      <w:r>
        <w:rPr>
          <w:rFonts w:ascii="仿宋_GB2312" w:eastAsia="仿宋_GB2312"/>
          <w:color w:val="auto"/>
          <w:sz w:val="24"/>
        </w:rPr>
        <w:t>。</w:t>
      </w:r>
    </w:p>
    <w:p w14:paraId="0772551D">
      <w:pPr>
        <w:spacing w:line="360" w:lineRule="auto"/>
        <w:ind w:firstLine="480" w:firstLineChars="200"/>
        <w:rPr>
          <w:rFonts w:ascii="仿宋_GB2312" w:eastAsia="仿宋_GB2312"/>
          <w:color w:val="auto"/>
          <w:sz w:val="24"/>
          <w:u w:val="single"/>
        </w:rPr>
      </w:pPr>
      <w:r>
        <w:rPr>
          <w:rFonts w:ascii="仿宋_GB2312" w:eastAsia="仿宋_GB2312"/>
          <w:color w:val="auto"/>
          <w:sz w:val="24"/>
        </w:rPr>
        <w:t>竣工付款申请单应包括的内容：</w:t>
      </w:r>
      <w:r>
        <w:rPr>
          <w:color w:val="auto"/>
          <w:szCs w:val="21"/>
          <w:u w:val="single"/>
        </w:rPr>
        <w:t>本合同《通用条款》相关规定执行</w:t>
      </w:r>
      <w:r>
        <w:rPr>
          <w:rFonts w:ascii="仿宋_GB2312" w:eastAsia="仿宋_GB2312"/>
          <w:color w:val="auto"/>
          <w:sz w:val="24"/>
        </w:rPr>
        <w:t>。</w:t>
      </w:r>
    </w:p>
    <w:p w14:paraId="5A5BB741">
      <w:pPr>
        <w:pStyle w:val="4"/>
        <w:rPr>
          <w:rFonts w:ascii="仿宋_GB2312" w:eastAsia="仿宋_GB2312"/>
          <w:color w:val="auto"/>
          <w:szCs w:val="24"/>
        </w:rPr>
      </w:pPr>
      <w:r>
        <w:rPr>
          <w:rFonts w:hint="eastAsia" w:ascii="仿宋_GB2312" w:eastAsia="仿宋_GB2312"/>
          <w:color w:val="auto"/>
          <w:szCs w:val="24"/>
        </w:rPr>
        <w:t>14.2 竣工结算审核</w:t>
      </w:r>
    </w:p>
    <w:p w14:paraId="177146C1">
      <w:pPr>
        <w:spacing w:line="360" w:lineRule="auto"/>
        <w:ind w:firstLine="480" w:firstLineChars="200"/>
        <w:rPr>
          <w:rFonts w:ascii="仿宋_GB2312" w:eastAsia="仿宋_GB2312"/>
          <w:color w:val="auto"/>
          <w:sz w:val="24"/>
        </w:rPr>
      </w:pPr>
      <w:r>
        <w:rPr>
          <w:rFonts w:ascii="仿宋_GB2312" w:eastAsia="仿宋_GB2312"/>
          <w:color w:val="auto"/>
          <w:sz w:val="24"/>
        </w:rPr>
        <w:t>发包人审批竣工付款申请单的期限：</w:t>
      </w:r>
    </w:p>
    <w:tbl>
      <w:tblPr>
        <w:tblStyle w:val="4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5FD3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B5709D2">
            <w:pPr>
              <w:spacing w:line="360" w:lineRule="auto"/>
              <w:rPr>
                <w:rFonts w:ascii="仿宋_GB2312" w:eastAsia="仿宋_GB2312"/>
                <w:bCs/>
                <w:color w:val="auto"/>
                <w:szCs w:val="21"/>
              </w:rPr>
            </w:pPr>
          </w:p>
        </w:tc>
        <w:tc>
          <w:tcPr>
            <w:tcW w:w="2466" w:type="dxa"/>
            <w:vAlign w:val="center"/>
          </w:tcPr>
          <w:p w14:paraId="31738DF2">
            <w:pPr>
              <w:spacing w:line="360" w:lineRule="auto"/>
              <w:ind w:firstLine="27" w:firstLineChars="13"/>
              <w:jc w:val="center"/>
              <w:rPr>
                <w:rFonts w:ascii="仿宋_GB2312" w:eastAsia="仿宋_GB2312"/>
                <w:bCs/>
                <w:color w:val="auto"/>
                <w:szCs w:val="21"/>
              </w:rPr>
            </w:pPr>
            <w:r>
              <w:rPr>
                <w:rFonts w:ascii="仿宋_GB2312" w:eastAsia="仿宋_GB2312"/>
                <w:bCs/>
                <w:color w:val="auto"/>
                <w:szCs w:val="21"/>
              </w:rPr>
              <w:t>工程竣工结算报告金额</w:t>
            </w:r>
          </w:p>
        </w:tc>
        <w:tc>
          <w:tcPr>
            <w:tcW w:w="5967" w:type="dxa"/>
            <w:vAlign w:val="center"/>
          </w:tcPr>
          <w:p w14:paraId="2B84285F">
            <w:pPr>
              <w:spacing w:line="360" w:lineRule="auto"/>
              <w:ind w:firstLine="441" w:firstLineChars="210"/>
              <w:jc w:val="center"/>
              <w:rPr>
                <w:rFonts w:ascii="仿宋_GB2312" w:eastAsia="仿宋_GB2312"/>
                <w:bCs/>
                <w:color w:val="auto"/>
                <w:szCs w:val="21"/>
              </w:rPr>
            </w:pPr>
            <w:r>
              <w:rPr>
                <w:rFonts w:ascii="仿宋_GB2312" w:eastAsia="仿宋_GB2312"/>
                <w:bCs/>
                <w:color w:val="auto"/>
                <w:szCs w:val="21"/>
              </w:rPr>
              <w:t>发包人审查时间</w:t>
            </w:r>
          </w:p>
        </w:tc>
      </w:tr>
      <w:tr w14:paraId="5F4B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DA7FB9E">
            <w:pPr>
              <w:spacing w:line="360" w:lineRule="auto"/>
              <w:jc w:val="center"/>
              <w:rPr>
                <w:rFonts w:ascii="仿宋_GB2312" w:eastAsia="仿宋_GB2312"/>
                <w:bCs/>
                <w:color w:val="auto"/>
                <w:szCs w:val="21"/>
              </w:rPr>
            </w:pPr>
            <w:r>
              <w:rPr>
                <w:rFonts w:ascii="仿宋_GB2312" w:eastAsia="仿宋_GB2312"/>
                <w:bCs/>
                <w:color w:val="auto"/>
                <w:szCs w:val="21"/>
              </w:rPr>
              <w:t>1</w:t>
            </w:r>
          </w:p>
        </w:tc>
        <w:tc>
          <w:tcPr>
            <w:tcW w:w="2466" w:type="dxa"/>
            <w:vAlign w:val="center"/>
          </w:tcPr>
          <w:p w14:paraId="37E6D5DC">
            <w:pPr>
              <w:spacing w:line="360" w:lineRule="auto"/>
              <w:ind w:firstLine="27" w:firstLineChars="13"/>
              <w:jc w:val="center"/>
              <w:rPr>
                <w:rFonts w:ascii="仿宋_GB2312" w:eastAsia="仿宋_GB2312"/>
                <w:bCs/>
                <w:color w:val="auto"/>
                <w:szCs w:val="21"/>
              </w:rPr>
            </w:pPr>
            <w:r>
              <w:rPr>
                <w:rFonts w:ascii="仿宋_GB2312" w:eastAsia="仿宋_GB2312"/>
                <w:bCs/>
                <w:color w:val="auto"/>
                <w:szCs w:val="21"/>
              </w:rPr>
              <w:t>500万元以下</w:t>
            </w:r>
          </w:p>
        </w:tc>
        <w:tc>
          <w:tcPr>
            <w:tcW w:w="5967" w:type="dxa"/>
            <w:vAlign w:val="center"/>
          </w:tcPr>
          <w:p w14:paraId="3AB8BC31">
            <w:pPr>
              <w:spacing w:line="360" w:lineRule="auto"/>
              <w:ind w:firstLine="441"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从接到竣工结算报告和完整的竣工结算资料之日起20天</w:t>
            </w:r>
          </w:p>
        </w:tc>
      </w:tr>
      <w:tr w14:paraId="24A9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ACE3549">
            <w:pPr>
              <w:spacing w:line="360" w:lineRule="auto"/>
              <w:jc w:val="center"/>
              <w:rPr>
                <w:rFonts w:ascii="仿宋_GB2312" w:eastAsia="仿宋_GB2312"/>
                <w:bCs/>
                <w:color w:val="auto"/>
                <w:szCs w:val="21"/>
              </w:rPr>
            </w:pPr>
            <w:r>
              <w:rPr>
                <w:rFonts w:ascii="仿宋_GB2312" w:eastAsia="仿宋_GB2312"/>
                <w:bCs/>
                <w:color w:val="auto"/>
                <w:szCs w:val="21"/>
              </w:rPr>
              <w:t>2</w:t>
            </w:r>
          </w:p>
        </w:tc>
        <w:tc>
          <w:tcPr>
            <w:tcW w:w="2466" w:type="dxa"/>
            <w:vAlign w:val="center"/>
          </w:tcPr>
          <w:p w14:paraId="6C6A41A9">
            <w:pPr>
              <w:spacing w:line="360" w:lineRule="auto"/>
              <w:ind w:firstLine="27" w:firstLineChars="13"/>
              <w:jc w:val="center"/>
              <w:rPr>
                <w:rFonts w:ascii="仿宋_GB2312" w:eastAsia="仿宋_GB2312"/>
                <w:bCs/>
                <w:color w:val="auto"/>
                <w:szCs w:val="21"/>
              </w:rPr>
            </w:pPr>
            <w:r>
              <w:rPr>
                <w:rFonts w:ascii="仿宋_GB2312" w:eastAsia="仿宋_GB2312"/>
                <w:bCs/>
                <w:color w:val="auto"/>
                <w:szCs w:val="21"/>
              </w:rPr>
              <w:t>500万元-2000万元</w:t>
            </w:r>
          </w:p>
        </w:tc>
        <w:tc>
          <w:tcPr>
            <w:tcW w:w="5967" w:type="dxa"/>
            <w:vAlign w:val="center"/>
          </w:tcPr>
          <w:p w14:paraId="5E2075BC">
            <w:pPr>
              <w:spacing w:line="360" w:lineRule="auto"/>
              <w:ind w:firstLine="441"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从接到竣工结算报告和完整的竣工结算资料之日起30天</w:t>
            </w:r>
          </w:p>
        </w:tc>
      </w:tr>
      <w:tr w14:paraId="316B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08368D2">
            <w:pPr>
              <w:spacing w:line="360" w:lineRule="auto"/>
              <w:jc w:val="center"/>
              <w:rPr>
                <w:rFonts w:ascii="仿宋_GB2312" w:eastAsia="仿宋_GB2312"/>
                <w:bCs/>
                <w:color w:val="auto"/>
                <w:szCs w:val="21"/>
              </w:rPr>
            </w:pPr>
            <w:r>
              <w:rPr>
                <w:rFonts w:ascii="仿宋_GB2312" w:eastAsia="仿宋_GB2312"/>
                <w:bCs/>
                <w:color w:val="auto"/>
                <w:szCs w:val="21"/>
              </w:rPr>
              <w:t>3</w:t>
            </w:r>
          </w:p>
        </w:tc>
        <w:tc>
          <w:tcPr>
            <w:tcW w:w="2466" w:type="dxa"/>
            <w:vAlign w:val="center"/>
          </w:tcPr>
          <w:p w14:paraId="6F91DF73">
            <w:pPr>
              <w:spacing w:line="360" w:lineRule="auto"/>
              <w:ind w:firstLine="27" w:firstLineChars="13"/>
              <w:jc w:val="center"/>
              <w:rPr>
                <w:rFonts w:ascii="仿宋_GB2312" w:eastAsia="仿宋_GB2312"/>
                <w:bCs/>
                <w:color w:val="auto"/>
                <w:szCs w:val="21"/>
              </w:rPr>
            </w:pPr>
            <w:r>
              <w:rPr>
                <w:rFonts w:ascii="仿宋_GB2312" w:eastAsia="仿宋_GB2312"/>
                <w:bCs/>
                <w:color w:val="auto"/>
                <w:szCs w:val="21"/>
              </w:rPr>
              <w:t>2000万元-5000万元</w:t>
            </w:r>
          </w:p>
        </w:tc>
        <w:tc>
          <w:tcPr>
            <w:tcW w:w="5967" w:type="dxa"/>
            <w:vAlign w:val="center"/>
          </w:tcPr>
          <w:p w14:paraId="510A2721">
            <w:pPr>
              <w:spacing w:line="360" w:lineRule="auto"/>
              <w:ind w:firstLine="441"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从接到竣工结算报告和完整的竣工结算资料之日起45天</w:t>
            </w:r>
          </w:p>
        </w:tc>
      </w:tr>
      <w:tr w14:paraId="2118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3101A3D">
            <w:pPr>
              <w:spacing w:line="360" w:lineRule="auto"/>
              <w:jc w:val="center"/>
              <w:rPr>
                <w:rFonts w:ascii="仿宋_GB2312" w:eastAsia="仿宋_GB2312"/>
                <w:bCs/>
                <w:color w:val="auto"/>
                <w:szCs w:val="21"/>
              </w:rPr>
            </w:pPr>
            <w:r>
              <w:rPr>
                <w:rFonts w:ascii="仿宋_GB2312" w:eastAsia="仿宋_GB2312"/>
                <w:bCs/>
                <w:color w:val="auto"/>
                <w:szCs w:val="21"/>
              </w:rPr>
              <w:t>4</w:t>
            </w:r>
          </w:p>
        </w:tc>
        <w:tc>
          <w:tcPr>
            <w:tcW w:w="2466" w:type="dxa"/>
            <w:vAlign w:val="center"/>
          </w:tcPr>
          <w:p w14:paraId="6074A2CB">
            <w:pPr>
              <w:spacing w:line="360" w:lineRule="auto"/>
              <w:ind w:firstLine="27" w:firstLineChars="13"/>
              <w:jc w:val="center"/>
              <w:rPr>
                <w:rFonts w:ascii="仿宋_GB2312" w:eastAsia="仿宋_GB2312"/>
                <w:bCs/>
                <w:color w:val="auto"/>
                <w:szCs w:val="21"/>
              </w:rPr>
            </w:pPr>
            <w:r>
              <w:rPr>
                <w:rFonts w:ascii="仿宋_GB2312" w:eastAsia="仿宋_GB2312"/>
                <w:bCs/>
                <w:color w:val="auto"/>
                <w:szCs w:val="21"/>
              </w:rPr>
              <w:t>5000万元以上</w:t>
            </w:r>
          </w:p>
        </w:tc>
        <w:tc>
          <w:tcPr>
            <w:tcW w:w="5967" w:type="dxa"/>
            <w:vAlign w:val="center"/>
          </w:tcPr>
          <w:p w14:paraId="7EED08B0">
            <w:pPr>
              <w:spacing w:line="360" w:lineRule="auto"/>
              <w:ind w:firstLine="441"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从接到竣工结算报告和完整的竣工结算资料之日起60天</w:t>
            </w:r>
          </w:p>
        </w:tc>
      </w:tr>
    </w:tbl>
    <w:p w14:paraId="7F368BF4">
      <w:pPr>
        <w:snapToGrid w:val="0"/>
        <w:spacing w:line="444" w:lineRule="exact"/>
        <w:ind w:right="424" w:rightChars="202" w:firstLine="480" w:firstLineChars="200"/>
        <w:rPr>
          <w:rFonts w:ascii="仿宋_GB2312" w:eastAsia="仿宋_GB2312"/>
          <w:color w:val="auto"/>
          <w:sz w:val="24"/>
        </w:rPr>
      </w:pPr>
      <w:r>
        <w:rPr>
          <w:rFonts w:ascii="仿宋_GB2312" w:eastAsia="仿宋_GB2312"/>
          <w:bCs/>
          <w:color w:val="auto"/>
          <w:sz w:val="24"/>
        </w:rPr>
        <w:t>因承包人提供的结算资料不完整而需要补充或承包人不按时对账耽误时间时，审查时间应相应顺延</w:t>
      </w:r>
      <w:r>
        <w:rPr>
          <w:rFonts w:ascii="仿宋_GB2312" w:eastAsia="仿宋_GB2312"/>
          <w:color w:val="auto"/>
          <w:sz w:val="24"/>
        </w:rPr>
        <w:t>。</w:t>
      </w:r>
    </w:p>
    <w:p w14:paraId="453855A1">
      <w:pPr>
        <w:snapToGrid w:val="0"/>
        <w:spacing w:line="444" w:lineRule="exact"/>
        <w:ind w:right="424" w:rightChars="202" w:firstLine="480" w:firstLineChars="200"/>
        <w:rPr>
          <w:rFonts w:ascii="仿宋_GB2312" w:eastAsia="仿宋_GB2312"/>
          <w:bCs/>
          <w:color w:val="auto"/>
          <w:sz w:val="24"/>
        </w:rPr>
      </w:pPr>
      <w:r>
        <w:rPr>
          <w:rFonts w:ascii="仿宋_GB2312" w:eastAsia="仿宋_GB2312"/>
          <w:bCs/>
          <w:color w:val="auto"/>
          <w:sz w:val="24"/>
        </w:rPr>
        <w:t>竣工结算价最终由财政、审计部门或建设单位（发包人）委托的造价咨询公司进行审核确定。为降低结算造价编制的差错率，确保送审工程结算造价的真实性和完整性，避免出现不负责任的高估虚报行为，工程开工前与施工单位约定，并在施工合同中明确：（1）基建工程结算审减率≤6%、结算审核费由建设单位全额承担；6%＜基建工程结算审减率＜10%时，结算审核费由建设单位、施工单位各承担50%；基建工程结算审减率≥10%、结算审核费由施工单位全额承担。施工单位承担的结算审核费在工程结算款中直接扣除。应扣除的结算审核费＝基本费（送审造价×2‰）+效益费（核减造价×5%），其中：核减造价=送审造价-审定造价，审减率=核减造价/送审造价×100%。（2）合同外工程量及进度款需审核的，因非最终结算审核，所产生的审核费均由施工单位全额承担，同时在送审前进行合同约定。</w:t>
      </w:r>
    </w:p>
    <w:p w14:paraId="7181944A">
      <w:pPr>
        <w:spacing w:line="360" w:lineRule="auto"/>
        <w:ind w:firstLine="480" w:firstLineChars="200"/>
        <w:rPr>
          <w:rFonts w:ascii="仿宋_GB2312" w:eastAsia="仿宋_GB2312"/>
          <w:color w:val="auto"/>
          <w:sz w:val="24"/>
        </w:rPr>
      </w:pPr>
      <w:r>
        <w:rPr>
          <w:rFonts w:ascii="仿宋_GB2312" w:eastAsia="仿宋_GB2312"/>
          <w:color w:val="auto"/>
          <w:sz w:val="24"/>
        </w:rPr>
        <w:t>发包人完成竣工付款的期限：</w:t>
      </w:r>
      <w:r>
        <w:rPr>
          <w:rFonts w:ascii="仿宋_GB2312" w:eastAsia="仿宋_GB2312"/>
          <w:color w:val="auto"/>
          <w:sz w:val="24"/>
          <w:u w:val="single"/>
        </w:rPr>
        <w:t xml:space="preserve">  发竣工付款证书</w:t>
      </w:r>
      <w:r>
        <w:rPr>
          <w:rFonts w:hint="eastAsia" w:ascii="仿宋_GB2312" w:eastAsia="仿宋_GB2312"/>
          <w:color w:val="auto"/>
          <w:sz w:val="24"/>
          <w:u w:val="single"/>
        </w:rPr>
        <w:t>、县财政拨款后划拨</w:t>
      </w:r>
      <w:r>
        <w:rPr>
          <w:rFonts w:ascii="仿宋_GB2312" w:eastAsia="仿宋_GB2312"/>
          <w:color w:val="auto"/>
          <w:sz w:val="24"/>
        </w:rPr>
        <w:t>。</w:t>
      </w:r>
    </w:p>
    <w:p w14:paraId="0F6D1C7F">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关于竣工付款证书异议部分复核的方式和程序：</w:t>
      </w:r>
      <w:r>
        <w:rPr>
          <w:rFonts w:ascii="仿宋_GB2312" w:eastAsia="仿宋_GB2312"/>
          <w:color w:val="auto"/>
          <w:sz w:val="24"/>
          <w:u w:val="single"/>
        </w:rPr>
        <w:t xml:space="preserve">    /              </w:t>
      </w:r>
      <w:r>
        <w:rPr>
          <w:rFonts w:ascii="仿宋_GB2312" w:eastAsia="仿宋_GB2312"/>
          <w:color w:val="auto"/>
          <w:sz w:val="24"/>
        </w:rPr>
        <w:t>。</w:t>
      </w:r>
    </w:p>
    <w:p w14:paraId="0668BAB2">
      <w:pPr>
        <w:pStyle w:val="4"/>
        <w:rPr>
          <w:rFonts w:ascii="仿宋_GB2312" w:eastAsia="仿宋_GB2312"/>
          <w:color w:val="auto"/>
          <w:szCs w:val="24"/>
        </w:rPr>
      </w:pPr>
      <w:r>
        <w:rPr>
          <w:rFonts w:hint="eastAsia" w:ascii="仿宋_GB2312" w:eastAsia="仿宋_GB2312"/>
          <w:color w:val="auto"/>
          <w:szCs w:val="24"/>
        </w:rPr>
        <w:t>14.4 最终结清</w:t>
      </w:r>
    </w:p>
    <w:p w14:paraId="5154E125">
      <w:pPr>
        <w:spacing w:line="360" w:lineRule="auto"/>
        <w:ind w:firstLine="480" w:firstLineChars="200"/>
        <w:rPr>
          <w:rFonts w:ascii="仿宋_GB2312" w:eastAsia="仿宋_GB2312"/>
          <w:color w:val="auto"/>
          <w:sz w:val="24"/>
        </w:rPr>
      </w:pPr>
      <w:r>
        <w:rPr>
          <w:rFonts w:ascii="仿宋_GB2312" w:eastAsia="仿宋_GB2312"/>
          <w:color w:val="auto"/>
          <w:sz w:val="24"/>
        </w:rPr>
        <w:t>14.4.1 最终结清申请单</w:t>
      </w:r>
    </w:p>
    <w:p w14:paraId="19BA2C29">
      <w:pPr>
        <w:spacing w:line="360" w:lineRule="auto"/>
        <w:ind w:firstLine="480" w:firstLineChars="200"/>
        <w:rPr>
          <w:rFonts w:ascii="仿宋_GB2312" w:eastAsia="仿宋_GB2312"/>
          <w:color w:val="auto"/>
          <w:sz w:val="24"/>
        </w:rPr>
      </w:pPr>
      <w:r>
        <w:rPr>
          <w:rFonts w:ascii="仿宋_GB2312" w:eastAsia="仿宋_GB2312"/>
          <w:color w:val="auto"/>
          <w:sz w:val="24"/>
        </w:rPr>
        <w:t>承包人提交最终结清申请单的份数：</w:t>
      </w:r>
      <w:r>
        <w:rPr>
          <w:rFonts w:ascii="仿宋_GB2312" w:eastAsia="仿宋_GB2312"/>
          <w:color w:val="auto"/>
          <w:sz w:val="24"/>
          <w:u w:val="single"/>
        </w:rPr>
        <w:t xml:space="preserve">  一式两份  </w:t>
      </w:r>
      <w:r>
        <w:rPr>
          <w:rFonts w:ascii="仿宋_GB2312" w:eastAsia="仿宋_GB2312"/>
          <w:color w:val="auto"/>
          <w:sz w:val="24"/>
        </w:rPr>
        <w:t>。</w:t>
      </w:r>
    </w:p>
    <w:p w14:paraId="6F7D5E91">
      <w:pPr>
        <w:spacing w:line="360" w:lineRule="auto"/>
        <w:ind w:firstLine="480" w:firstLineChars="200"/>
        <w:rPr>
          <w:rFonts w:ascii="仿宋_GB2312" w:eastAsia="仿宋_GB2312"/>
          <w:color w:val="auto"/>
          <w:sz w:val="24"/>
        </w:rPr>
      </w:pPr>
      <w:r>
        <w:rPr>
          <w:rFonts w:ascii="仿宋_GB2312" w:eastAsia="仿宋_GB2312"/>
          <w:color w:val="auto"/>
          <w:sz w:val="24"/>
        </w:rPr>
        <w:t>承包人提交最终结算申请单的期限：</w:t>
      </w:r>
      <w:r>
        <w:rPr>
          <w:rFonts w:ascii="仿宋_GB2312" w:eastAsia="仿宋_GB2312"/>
          <w:color w:val="auto"/>
          <w:sz w:val="24"/>
          <w:u w:val="single"/>
        </w:rPr>
        <w:t xml:space="preserve">缺陷责任期终止证书颁发后7天内 </w:t>
      </w:r>
      <w:r>
        <w:rPr>
          <w:rFonts w:ascii="仿宋_GB2312" w:eastAsia="仿宋_GB2312"/>
          <w:color w:val="auto"/>
          <w:sz w:val="24"/>
        </w:rPr>
        <w:t xml:space="preserve">。 </w:t>
      </w:r>
    </w:p>
    <w:p w14:paraId="5D695116">
      <w:pPr>
        <w:spacing w:line="360" w:lineRule="auto"/>
        <w:ind w:firstLine="480" w:firstLineChars="200"/>
        <w:rPr>
          <w:rFonts w:ascii="仿宋_GB2312" w:eastAsia="仿宋_GB2312"/>
          <w:color w:val="auto"/>
          <w:sz w:val="24"/>
        </w:rPr>
      </w:pPr>
      <w:r>
        <w:rPr>
          <w:rFonts w:ascii="仿宋_GB2312" w:eastAsia="仿宋_GB2312"/>
          <w:color w:val="auto"/>
          <w:sz w:val="24"/>
        </w:rPr>
        <w:t>14.4.2 最终结清证书和支付</w:t>
      </w:r>
    </w:p>
    <w:p w14:paraId="230C8BD8">
      <w:pPr>
        <w:spacing w:line="360" w:lineRule="auto"/>
        <w:ind w:firstLine="480" w:firstLineChars="200"/>
        <w:rPr>
          <w:rFonts w:ascii="仿宋_GB2312" w:eastAsia="仿宋_GB2312"/>
          <w:color w:val="auto"/>
          <w:sz w:val="24"/>
        </w:rPr>
      </w:pPr>
      <w:r>
        <w:rPr>
          <w:rFonts w:ascii="仿宋_GB2312" w:eastAsia="仿宋_GB2312"/>
          <w:color w:val="auto"/>
          <w:sz w:val="24"/>
        </w:rPr>
        <w:t>（1）发包人完成最终结清申请单的审批并颁发最终结清证书的期限：</w:t>
      </w:r>
      <w:r>
        <w:rPr>
          <w:rFonts w:ascii="仿宋_GB2312" w:eastAsia="仿宋_GB2312"/>
          <w:color w:val="auto"/>
          <w:sz w:val="24"/>
          <w:u w:val="single"/>
        </w:rPr>
        <w:t xml:space="preserve">收到申请单后14天内 </w:t>
      </w:r>
      <w:r>
        <w:rPr>
          <w:rFonts w:ascii="仿宋_GB2312" w:eastAsia="仿宋_GB2312"/>
          <w:color w:val="auto"/>
          <w:sz w:val="24"/>
        </w:rPr>
        <w:t>。</w:t>
      </w:r>
    </w:p>
    <w:p w14:paraId="776B3576">
      <w:pPr>
        <w:spacing w:line="360" w:lineRule="auto"/>
        <w:ind w:firstLine="480" w:firstLineChars="200"/>
        <w:rPr>
          <w:rFonts w:ascii="仿宋_GB2312" w:eastAsia="仿宋_GB2312"/>
          <w:color w:val="auto"/>
          <w:sz w:val="24"/>
        </w:rPr>
      </w:pPr>
      <w:r>
        <w:rPr>
          <w:rFonts w:ascii="仿宋_GB2312" w:eastAsia="仿宋_GB2312"/>
          <w:color w:val="auto"/>
          <w:sz w:val="24"/>
        </w:rPr>
        <w:t>（2）发包人完成支付的期限：</w:t>
      </w:r>
      <w:r>
        <w:rPr>
          <w:rFonts w:ascii="仿宋_GB2312" w:eastAsia="仿宋_GB2312"/>
          <w:color w:val="auto"/>
          <w:sz w:val="24"/>
          <w:u w:val="single"/>
        </w:rPr>
        <w:t xml:space="preserve">  颁发最终结清证书后14天内  </w:t>
      </w:r>
      <w:r>
        <w:rPr>
          <w:rFonts w:ascii="仿宋_GB2312" w:eastAsia="仿宋_GB2312"/>
          <w:color w:val="auto"/>
          <w:sz w:val="24"/>
        </w:rPr>
        <w:t>。</w:t>
      </w:r>
    </w:p>
    <w:p w14:paraId="1C3EFDD4">
      <w:pPr>
        <w:pStyle w:val="3"/>
        <w:rPr>
          <w:rFonts w:ascii="仿宋_GB2312" w:eastAsia="仿宋_GB2312"/>
          <w:color w:val="auto"/>
          <w:sz w:val="24"/>
          <w:szCs w:val="24"/>
        </w:rPr>
      </w:pPr>
      <w:r>
        <w:rPr>
          <w:rFonts w:hint="eastAsia" w:ascii="仿宋_GB2312" w:eastAsia="仿宋_GB2312"/>
          <w:color w:val="auto"/>
          <w:sz w:val="24"/>
          <w:szCs w:val="24"/>
        </w:rPr>
        <w:t>15. 缺陷责任期与保修</w:t>
      </w:r>
    </w:p>
    <w:p w14:paraId="6747A32D">
      <w:pPr>
        <w:pStyle w:val="4"/>
        <w:rPr>
          <w:rFonts w:ascii="仿宋_GB2312" w:eastAsia="仿宋_GB2312"/>
          <w:color w:val="auto"/>
          <w:szCs w:val="24"/>
        </w:rPr>
      </w:pPr>
      <w:r>
        <w:rPr>
          <w:rFonts w:hint="eastAsia" w:ascii="仿宋_GB2312" w:eastAsia="仿宋_GB2312"/>
          <w:color w:val="auto"/>
          <w:szCs w:val="24"/>
        </w:rPr>
        <w:t>15.2 缺陷责任期</w:t>
      </w:r>
    </w:p>
    <w:p w14:paraId="2295BC3D">
      <w:pPr>
        <w:spacing w:line="360" w:lineRule="auto"/>
        <w:ind w:firstLine="480" w:firstLineChars="200"/>
        <w:rPr>
          <w:rFonts w:ascii="仿宋_GB2312" w:eastAsia="仿宋_GB2312"/>
          <w:color w:val="auto"/>
          <w:sz w:val="24"/>
          <w:u w:val="single"/>
        </w:rPr>
      </w:pPr>
      <w:r>
        <w:rPr>
          <w:rFonts w:ascii="仿宋_GB2312" w:eastAsia="仿宋_GB2312"/>
          <w:color w:val="auto"/>
          <w:sz w:val="24"/>
        </w:rPr>
        <w:t>缺陷责任期的具体期限：</w:t>
      </w:r>
      <w:r>
        <w:rPr>
          <w:color w:val="auto"/>
          <w:szCs w:val="21"/>
          <w:u w:val="single"/>
        </w:rPr>
        <w:t>按本合同《通用条款》相关规定执行</w:t>
      </w:r>
      <w:r>
        <w:rPr>
          <w:rFonts w:ascii="仿宋_GB2312" w:eastAsia="仿宋_GB2312"/>
          <w:color w:val="auto"/>
          <w:sz w:val="24"/>
        </w:rPr>
        <w:t>。</w:t>
      </w:r>
    </w:p>
    <w:p w14:paraId="404B5E13">
      <w:pPr>
        <w:pStyle w:val="4"/>
        <w:rPr>
          <w:rFonts w:ascii="仿宋_GB2312" w:eastAsia="仿宋_GB2312"/>
          <w:color w:val="auto"/>
          <w:szCs w:val="24"/>
        </w:rPr>
      </w:pPr>
      <w:r>
        <w:rPr>
          <w:rFonts w:hint="eastAsia" w:ascii="仿宋_GB2312" w:eastAsia="仿宋_GB2312"/>
          <w:color w:val="auto"/>
          <w:szCs w:val="24"/>
        </w:rPr>
        <w:t>15.3 质量保证金</w:t>
      </w:r>
    </w:p>
    <w:p w14:paraId="125DEBB3">
      <w:pPr>
        <w:spacing w:line="360" w:lineRule="auto"/>
        <w:ind w:firstLine="480" w:firstLineChars="200"/>
        <w:rPr>
          <w:rFonts w:ascii="仿宋_GB2312" w:eastAsia="仿宋_GB2312"/>
          <w:color w:val="auto"/>
          <w:sz w:val="24"/>
        </w:rPr>
      </w:pPr>
      <w:r>
        <w:rPr>
          <w:rFonts w:ascii="仿宋_GB2312" w:eastAsia="仿宋_GB2312"/>
          <w:color w:val="auto"/>
          <w:sz w:val="24"/>
        </w:rPr>
        <w:t>关于是否扣留质量保证金的约定：</w:t>
      </w:r>
      <w:r>
        <w:rPr>
          <w:rFonts w:hint="eastAsia" w:ascii="仿宋_GB2312" w:eastAsia="仿宋_GB2312"/>
          <w:color w:val="auto"/>
          <w:sz w:val="24"/>
          <w:u w:val="single"/>
        </w:rPr>
        <w:t>无</w:t>
      </w:r>
      <w:r>
        <w:rPr>
          <w:rFonts w:ascii="仿宋_GB2312" w:eastAsia="仿宋_GB2312"/>
          <w:color w:val="auto"/>
          <w:sz w:val="24"/>
        </w:rPr>
        <w:t>。</w:t>
      </w:r>
    </w:p>
    <w:p w14:paraId="34C092D0">
      <w:pPr>
        <w:spacing w:line="360" w:lineRule="auto"/>
        <w:ind w:firstLine="480" w:firstLineChars="200"/>
        <w:rPr>
          <w:rFonts w:ascii="仿宋_GB2312" w:eastAsia="仿宋_GB2312"/>
          <w:color w:val="auto"/>
          <w:sz w:val="24"/>
        </w:rPr>
      </w:pPr>
      <w:r>
        <w:rPr>
          <w:rFonts w:ascii="仿宋_GB2312" w:eastAsia="仿宋_GB2312"/>
          <w:color w:val="auto"/>
          <w:sz w:val="24"/>
        </w:rPr>
        <w:t>15.3.1 承包人提供质量保证金的方式</w:t>
      </w:r>
    </w:p>
    <w:p w14:paraId="0E6CCF3E">
      <w:pPr>
        <w:spacing w:line="360" w:lineRule="auto"/>
        <w:ind w:firstLine="480" w:firstLineChars="200"/>
        <w:rPr>
          <w:rFonts w:ascii="仿宋_GB2312" w:eastAsia="仿宋_GB2312"/>
          <w:color w:val="auto"/>
          <w:sz w:val="24"/>
        </w:rPr>
      </w:pPr>
      <w:r>
        <w:rPr>
          <w:rFonts w:ascii="仿宋_GB2312" w:eastAsia="仿宋_GB2312"/>
          <w:color w:val="auto"/>
          <w:sz w:val="24"/>
        </w:rPr>
        <w:t>质量保证金采用以下第种方式：</w:t>
      </w:r>
    </w:p>
    <w:p w14:paraId="779FA33D">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（1）质量保证金保函，保证金额为：</w:t>
      </w:r>
      <w:r>
        <w:rPr>
          <w:rFonts w:ascii="仿宋_GB2312" w:eastAsia="仿宋_GB2312"/>
          <w:color w:val="auto"/>
          <w:sz w:val="24"/>
          <w:u w:val="single"/>
        </w:rPr>
        <w:t xml:space="preserve">         /          </w:t>
      </w:r>
      <w:r>
        <w:rPr>
          <w:rFonts w:ascii="仿宋_GB2312" w:eastAsia="仿宋_GB2312"/>
          <w:color w:val="auto"/>
          <w:sz w:val="24"/>
        </w:rPr>
        <w:t>；</w:t>
      </w:r>
    </w:p>
    <w:p w14:paraId="0A382BD4">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w:t>
      </w:r>
      <w:r>
        <w:rPr>
          <w:rFonts w:ascii="仿宋_GB2312" w:eastAsia="仿宋_GB2312"/>
          <w:bCs/>
          <w:color w:val="auto"/>
          <w:sz w:val="24"/>
        </w:rPr>
        <w:t>发包人按工程价款结算总额的</w:t>
      </w:r>
      <w:r>
        <w:rPr>
          <w:rFonts w:hint="eastAsia" w:ascii="仿宋_GB2312" w:eastAsia="仿宋_GB2312"/>
          <w:bCs/>
          <w:color w:val="auto"/>
          <w:sz w:val="24"/>
          <w:u w:val="single"/>
        </w:rPr>
        <w:t xml:space="preserve">无 </w:t>
      </w:r>
      <w:r>
        <w:rPr>
          <w:rFonts w:ascii="仿宋_GB2312" w:eastAsia="仿宋_GB2312"/>
          <w:bCs/>
          <w:color w:val="auto"/>
          <w:sz w:val="24"/>
        </w:rPr>
        <w:t>预留工程质量保修金，待缺陷责任期满后返还</w:t>
      </w:r>
      <w:r>
        <w:rPr>
          <w:rFonts w:ascii="仿宋_GB2312" w:eastAsia="仿宋_GB2312"/>
          <w:color w:val="auto"/>
          <w:sz w:val="24"/>
        </w:rPr>
        <w:t>；</w:t>
      </w:r>
    </w:p>
    <w:p w14:paraId="702D53A4">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（3）其他方式：</w:t>
      </w:r>
      <w:r>
        <w:rPr>
          <w:rFonts w:ascii="仿宋_GB2312" w:eastAsia="仿宋_GB2312"/>
          <w:bCs/>
          <w:color w:val="auto"/>
          <w:sz w:val="24"/>
          <w:u w:val="single"/>
        </w:rPr>
        <w:t xml:space="preserve">         /                              </w:t>
      </w:r>
      <w:r>
        <w:rPr>
          <w:rFonts w:ascii="仿宋_GB2312" w:eastAsia="仿宋_GB2312"/>
          <w:bCs/>
          <w:color w:val="auto"/>
          <w:sz w:val="24"/>
        </w:rPr>
        <w:t>。</w:t>
      </w:r>
    </w:p>
    <w:p w14:paraId="1008BA8F">
      <w:pPr>
        <w:spacing w:line="360" w:lineRule="auto"/>
        <w:ind w:firstLine="480" w:firstLineChars="200"/>
        <w:rPr>
          <w:rFonts w:ascii="仿宋_GB2312" w:eastAsia="仿宋_GB2312"/>
          <w:color w:val="auto"/>
          <w:sz w:val="24"/>
        </w:rPr>
      </w:pPr>
      <w:r>
        <w:rPr>
          <w:rFonts w:ascii="仿宋_GB2312" w:eastAsia="仿宋_GB2312"/>
          <w:color w:val="auto"/>
          <w:sz w:val="24"/>
        </w:rPr>
        <w:t>15.3.2 质量保证金的扣留</w:t>
      </w:r>
    </w:p>
    <w:p w14:paraId="065C08F7">
      <w:pPr>
        <w:spacing w:line="360" w:lineRule="auto"/>
        <w:ind w:firstLine="480" w:firstLineChars="200"/>
        <w:rPr>
          <w:rFonts w:ascii="仿宋_GB2312" w:eastAsia="仿宋_GB2312"/>
          <w:color w:val="auto"/>
          <w:sz w:val="24"/>
        </w:rPr>
      </w:pPr>
      <w:r>
        <w:rPr>
          <w:rFonts w:ascii="仿宋_GB2312" w:eastAsia="仿宋_GB2312"/>
          <w:color w:val="auto"/>
          <w:sz w:val="24"/>
        </w:rPr>
        <w:t>质量保证金的扣留采取以下第种方式：</w:t>
      </w:r>
    </w:p>
    <w:p w14:paraId="136AC4E6">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（1）在支付工程进度款时逐次扣留，在此情形下，质量保证金的计算基数不包括预付款的支付、扣回以及价格调整的金额；</w:t>
      </w:r>
    </w:p>
    <w:p w14:paraId="68F67C5C">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（2）工程竣工结算时一次性扣留质量保证金；</w:t>
      </w:r>
    </w:p>
    <w:p w14:paraId="5EE1104A">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（3）其他扣留方式:</w:t>
      </w:r>
      <w:r>
        <w:rPr>
          <w:rFonts w:ascii="仿宋_GB2312" w:eastAsia="仿宋_GB2312"/>
          <w:color w:val="auto"/>
          <w:sz w:val="24"/>
          <w:u w:val="single"/>
        </w:rPr>
        <w:t xml:space="preserve">                     /                </w:t>
      </w:r>
      <w:r>
        <w:rPr>
          <w:rFonts w:ascii="仿宋_GB2312" w:eastAsia="仿宋_GB2312"/>
          <w:color w:val="auto"/>
          <w:sz w:val="24"/>
        </w:rPr>
        <w:t>。</w:t>
      </w:r>
    </w:p>
    <w:p w14:paraId="0896D614">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关于质量保证金的补充约定：</w:t>
      </w:r>
      <w:r>
        <w:rPr>
          <w:rFonts w:ascii="仿宋_GB2312" w:eastAsia="仿宋_GB2312"/>
          <w:color w:val="auto"/>
          <w:sz w:val="24"/>
          <w:u w:val="single"/>
        </w:rPr>
        <w:t xml:space="preserve">             /               </w:t>
      </w:r>
      <w:r>
        <w:rPr>
          <w:rFonts w:ascii="仿宋_GB2312" w:eastAsia="仿宋_GB2312"/>
          <w:color w:val="auto"/>
          <w:sz w:val="24"/>
        </w:rPr>
        <w:t>。</w:t>
      </w:r>
    </w:p>
    <w:p w14:paraId="25317181">
      <w:pPr>
        <w:pStyle w:val="4"/>
        <w:rPr>
          <w:rFonts w:ascii="仿宋_GB2312" w:eastAsia="仿宋_GB2312"/>
          <w:color w:val="auto"/>
          <w:szCs w:val="24"/>
        </w:rPr>
      </w:pPr>
      <w:r>
        <w:rPr>
          <w:rFonts w:hint="eastAsia" w:ascii="仿宋_GB2312" w:eastAsia="仿宋_GB2312"/>
          <w:color w:val="auto"/>
          <w:szCs w:val="24"/>
        </w:rPr>
        <w:t>15.4 保修</w:t>
      </w:r>
    </w:p>
    <w:p w14:paraId="55002F5D">
      <w:pPr>
        <w:spacing w:line="360" w:lineRule="auto"/>
        <w:ind w:firstLine="468" w:firstLineChars="195"/>
        <w:rPr>
          <w:rFonts w:ascii="仿宋_GB2312" w:eastAsia="仿宋_GB2312"/>
          <w:color w:val="auto"/>
          <w:sz w:val="24"/>
        </w:rPr>
      </w:pPr>
      <w:r>
        <w:rPr>
          <w:rFonts w:ascii="仿宋_GB2312" w:eastAsia="仿宋_GB2312"/>
          <w:color w:val="auto"/>
          <w:sz w:val="24"/>
        </w:rPr>
        <w:t>15.4.1 保修责任</w:t>
      </w:r>
    </w:p>
    <w:p w14:paraId="0F6E7B45">
      <w:pPr>
        <w:spacing w:line="360" w:lineRule="auto"/>
        <w:ind w:firstLine="468" w:firstLineChars="195"/>
        <w:rPr>
          <w:rFonts w:ascii="仿宋_GB2312" w:eastAsia="仿宋_GB2312"/>
          <w:color w:val="auto"/>
          <w:sz w:val="24"/>
        </w:rPr>
      </w:pPr>
      <w:r>
        <w:rPr>
          <w:rFonts w:ascii="仿宋_GB2312" w:eastAsia="仿宋_GB2312"/>
          <w:color w:val="auto"/>
          <w:sz w:val="24"/>
        </w:rPr>
        <w:t>工程保修期为：</w:t>
      </w:r>
      <w:r>
        <w:rPr>
          <w:rFonts w:ascii="仿宋_GB2312" w:eastAsia="仿宋_GB2312"/>
          <w:color w:val="auto"/>
          <w:sz w:val="24"/>
          <w:u w:val="single"/>
        </w:rPr>
        <w:t xml:space="preserve">      详见工程质量保修书                      </w:t>
      </w:r>
      <w:r>
        <w:rPr>
          <w:rFonts w:ascii="仿宋_GB2312" w:eastAsia="仿宋_GB2312"/>
          <w:color w:val="auto"/>
          <w:sz w:val="24"/>
        </w:rPr>
        <w:t>。</w:t>
      </w:r>
    </w:p>
    <w:p w14:paraId="4D2FCF23">
      <w:pPr>
        <w:spacing w:line="360" w:lineRule="auto"/>
        <w:ind w:firstLine="468" w:firstLineChars="195"/>
        <w:rPr>
          <w:rFonts w:ascii="仿宋_GB2312" w:eastAsia="仿宋_GB2312"/>
          <w:color w:val="auto"/>
          <w:sz w:val="24"/>
          <w:u w:val="single"/>
        </w:rPr>
      </w:pPr>
      <w:r>
        <w:rPr>
          <w:rFonts w:ascii="仿宋_GB2312" w:eastAsia="仿宋_GB2312"/>
          <w:color w:val="auto"/>
          <w:sz w:val="24"/>
        </w:rPr>
        <w:t>工程保修书具体内容见合同附件8。</w:t>
      </w:r>
    </w:p>
    <w:p w14:paraId="68686DDB">
      <w:pPr>
        <w:spacing w:line="360" w:lineRule="auto"/>
        <w:ind w:firstLine="468" w:firstLineChars="195"/>
        <w:rPr>
          <w:rFonts w:ascii="仿宋_GB2312" w:eastAsia="仿宋_GB2312"/>
          <w:color w:val="auto"/>
          <w:sz w:val="24"/>
        </w:rPr>
      </w:pPr>
      <w:r>
        <w:rPr>
          <w:rFonts w:ascii="仿宋_GB2312" w:eastAsia="仿宋_GB2312"/>
          <w:color w:val="auto"/>
          <w:sz w:val="24"/>
        </w:rPr>
        <w:t>15.4.3 修复通知</w:t>
      </w:r>
    </w:p>
    <w:p w14:paraId="348BAC8C">
      <w:pPr>
        <w:spacing w:line="360" w:lineRule="auto"/>
        <w:ind w:firstLine="468" w:firstLineChars="195"/>
        <w:rPr>
          <w:rFonts w:ascii="仿宋_GB2312" w:eastAsia="仿宋_GB2312"/>
          <w:color w:val="auto"/>
          <w:sz w:val="24"/>
        </w:rPr>
      </w:pPr>
      <w:r>
        <w:rPr>
          <w:rFonts w:ascii="仿宋_GB2312" w:eastAsia="仿宋_GB2312"/>
          <w:color w:val="auto"/>
          <w:sz w:val="24"/>
        </w:rPr>
        <w:t>承包人收到保修通知并到达工程现场的合理时间：</w:t>
      </w:r>
      <w:r>
        <w:rPr>
          <w:rFonts w:ascii="仿宋_GB2312" w:eastAsia="仿宋_GB2312"/>
          <w:color w:val="auto"/>
          <w:sz w:val="24"/>
          <w:u w:val="single"/>
        </w:rPr>
        <w:t xml:space="preserve">    24小时      </w:t>
      </w:r>
      <w:r>
        <w:rPr>
          <w:rFonts w:ascii="仿宋_GB2312" w:eastAsia="仿宋_GB2312"/>
          <w:color w:val="auto"/>
          <w:sz w:val="24"/>
        </w:rPr>
        <w:t>。</w:t>
      </w:r>
    </w:p>
    <w:p w14:paraId="38ABDF6D">
      <w:pPr>
        <w:pStyle w:val="3"/>
        <w:rPr>
          <w:rFonts w:ascii="仿宋_GB2312" w:eastAsia="仿宋_GB2312"/>
          <w:color w:val="auto"/>
          <w:sz w:val="24"/>
          <w:szCs w:val="24"/>
        </w:rPr>
      </w:pPr>
      <w:r>
        <w:rPr>
          <w:rFonts w:hint="eastAsia" w:ascii="仿宋_GB2312" w:eastAsia="仿宋_GB2312"/>
          <w:color w:val="auto"/>
          <w:sz w:val="24"/>
          <w:szCs w:val="24"/>
        </w:rPr>
        <w:t>16. 违约</w:t>
      </w:r>
    </w:p>
    <w:p w14:paraId="4B621E31">
      <w:pPr>
        <w:pStyle w:val="4"/>
        <w:rPr>
          <w:rFonts w:ascii="仿宋_GB2312" w:eastAsia="仿宋_GB2312"/>
          <w:color w:val="auto"/>
          <w:szCs w:val="24"/>
        </w:rPr>
      </w:pPr>
      <w:r>
        <w:rPr>
          <w:rFonts w:hint="eastAsia" w:ascii="仿宋_GB2312" w:eastAsia="仿宋_GB2312"/>
          <w:color w:val="auto"/>
          <w:szCs w:val="24"/>
        </w:rPr>
        <w:t>16.1 发包人违约</w:t>
      </w:r>
    </w:p>
    <w:p w14:paraId="4CA38478">
      <w:pPr>
        <w:spacing w:line="360" w:lineRule="auto"/>
        <w:ind w:firstLine="480" w:firstLineChars="200"/>
        <w:rPr>
          <w:rFonts w:ascii="仿宋_GB2312" w:eastAsia="仿宋_GB2312"/>
          <w:color w:val="auto"/>
          <w:sz w:val="24"/>
        </w:rPr>
      </w:pPr>
      <w:r>
        <w:rPr>
          <w:rFonts w:ascii="仿宋_GB2312" w:eastAsia="仿宋_GB2312"/>
          <w:color w:val="auto"/>
          <w:sz w:val="24"/>
        </w:rPr>
        <w:t>16.1.1发包人违约的情形</w:t>
      </w:r>
    </w:p>
    <w:p w14:paraId="71BD4A9B">
      <w:pPr>
        <w:spacing w:line="360" w:lineRule="auto"/>
        <w:ind w:firstLine="480" w:firstLineChars="200"/>
        <w:rPr>
          <w:rFonts w:ascii="仿宋_GB2312" w:eastAsia="仿宋_GB2312"/>
          <w:color w:val="auto"/>
          <w:sz w:val="24"/>
        </w:rPr>
      </w:pPr>
      <w:r>
        <w:rPr>
          <w:rFonts w:ascii="仿宋_GB2312" w:eastAsia="仿宋_GB2312"/>
          <w:color w:val="auto"/>
          <w:sz w:val="24"/>
        </w:rPr>
        <w:t>发包人违约的其他情形：</w:t>
      </w:r>
      <w:r>
        <w:rPr>
          <w:rFonts w:ascii="仿宋_GB2312" w:eastAsia="仿宋_GB2312"/>
          <w:color w:val="auto"/>
          <w:sz w:val="24"/>
          <w:u w:val="single"/>
        </w:rPr>
        <w:t xml:space="preserve">               /                 </w:t>
      </w:r>
      <w:r>
        <w:rPr>
          <w:rFonts w:ascii="仿宋_GB2312" w:eastAsia="仿宋_GB2312"/>
          <w:color w:val="auto"/>
          <w:sz w:val="24"/>
        </w:rPr>
        <w:t>。</w:t>
      </w:r>
    </w:p>
    <w:p w14:paraId="2979D510">
      <w:pPr>
        <w:spacing w:line="360" w:lineRule="auto"/>
        <w:ind w:firstLine="480" w:firstLineChars="200"/>
        <w:rPr>
          <w:rFonts w:ascii="仿宋_GB2312" w:eastAsia="仿宋_GB2312"/>
          <w:color w:val="auto"/>
          <w:sz w:val="24"/>
        </w:rPr>
      </w:pPr>
      <w:r>
        <w:rPr>
          <w:rFonts w:ascii="仿宋_GB2312" w:eastAsia="仿宋_GB2312"/>
          <w:color w:val="auto"/>
          <w:sz w:val="24"/>
        </w:rPr>
        <w:t>16.1.2 发包人违约的责任</w:t>
      </w:r>
    </w:p>
    <w:p w14:paraId="0C4F8829">
      <w:pPr>
        <w:spacing w:line="360" w:lineRule="auto"/>
        <w:ind w:firstLine="480" w:firstLineChars="200"/>
        <w:rPr>
          <w:rFonts w:ascii="仿宋_GB2312" w:eastAsia="仿宋_GB2312"/>
          <w:color w:val="auto"/>
          <w:sz w:val="24"/>
        </w:rPr>
      </w:pPr>
      <w:r>
        <w:rPr>
          <w:rFonts w:ascii="仿宋_GB2312" w:eastAsia="仿宋_GB2312"/>
          <w:color w:val="auto"/>
          <w:sz w:val="24"/>
        </w:rPr>
        <w:t>发包人违约责任的承担方式和计算方法：</w:t>
      </w:r>
    </w:p>
    <w:p w14:paraId="12E8D56F">
      <w:pPr>
        <w:spacing w:line="360" w:lineRule="auto"/>
        <w:ind w:firstLine="480" w:firstLineChars="200"/>
        <w:rPr>
          <w:rFonts w:ascii="仿宋_GB2312" w:eastAsia="仿宋_GB2312"/>
          <w:color w:val="auto"/>
          <w:sz w:val="24"/>
          <w:u w:val="single"/>
        </w:rPr>
      </w:pPr>
      <w:r>
        <w:rPr>
          <w:rFonts w:ascii="仿宋_GB2312" w:eastAsia="仿宋_GB2312"/>
          <w:color w:val="auto"/>
          <w:sz w:val="24"/>
        </w:rPr>
        <w:t>（1）因发包人原因未能在计划开工日期前7天内下达开工通知的违约责任：</w:t>
      </w:r>
      <w:r>
        <w:rPr>
          <w:rFonts w:ascii="仿宋_GB2312" w:eastAsia="仿宋_GB2312"/>
          <w:color w:val="auto"/>
          <w:sz w:val="24"/>
          <w:u w:val="single"/>
        </w:rPr>
        <w:t xml:space="preserve">  /   </w:t>
      </w:r>
      <w:r>
        <w:rPr>
          <w:rFonts w:ascii="仿宋_GB2312" w:eastAsia="仿宋_GB2312"/>
          <w:color w:val="auto"/>
          <w:sz w:val="24"/>
        </w:rPr>
        <w:t>。</w:t>
      </w:r>
    </w:p>
    <w:p w14:paraId="21D4290C">
      <w:pPr>
        <w:spacing w:line="360" w:lineRule="auto"/>
        <w:ind w:firstLine="480" w:firstLineChars="200"/>
        <w:rPr>
          <w:rFonts w:ascii="仿宋_GB2312" w:eastAsia="仿宋_GB2312"/>
          <w:color w:val="auto"/>
          <w:sz w:val="24"/>
        </w:rPr>
      </w:pPr>
      <w:r>
        <w:rPr>
          <w:rFonts w:ascii="仿宋_GB2312" w:eastAsia="仿宋_GB2312"/>
          <w:color w:val="auto"/>
          <w:sz w:val="24"/>
        </w:rPr>
        <w:t>（2）因发包人原因未能按合同约定支付合同价款的违约责任：</w:t>
      </w:r>
      <w:r>
        <w:rPr>
          <w:rFonts w:ascii="仿宋_GB2312" w:eastAsia="仿宋_GB2312"/>
          <w:bCs/>
          <w:color w:val="auto"/>
          <w:sz w:val="24"/>
          <w:u w:val="single"/>
        </w:rPr>
        <w:t>承包人与发包人签订延期付款协议，延期付款协议须经财政部门认可</w:t>
      </w:r>
      <w:r>
        <w:rPr>
          <w:rFonts w:ascii="仿宋_GB2312" w:eastAsia="仿宋_GB2312"/>
          <w:color w:val="auto"/>
          <w:sz w:val="24"/>
        </w:rPr>
        <w:t>。</w:t>
      </w:r>
    </w:p>
    <w:p w14:paraId="4112F229">
      <w:pPr>
        <w:spacing w:line="360" w:lineRule="auto"/>
        <w:ind w:firstLine="480" w:firstLineChars="200"/>
        <w:rPr>
          <w:rFonts w:ascii="仿宋_GB2312" w:eastAsia="仿宋_GB2312"/>
          <w:color w:val="auto"/>
          <w:sz w:val="24"/>
        </w:rPr>
      </w:pPr>
      <w:r>
        <w:rPr>
          <w:rFonts w:ascii="仿宋_GB2312" w:eastAsia="仿宋_GB2312"/>
          <w:color w:val="auto"/>
          <w:sz w:val="24"/>
        </w:rPr>
        <w:t>（3）发包人违反第10.1款〔变更的范围〕第（2）项约定，自行实施被取消的工作或转由他人实施的违约责任：</w:t>
      </w:r>
      <w:r>
        <w:rPr>
          <w:rFonts w:ascii="仿宋_GB2312" w:eastAsia="仿宋_GB2312"/>
          <w:color w:val="auto"/>
          <w:sz w:val="24"/>
          <w:u w:val="single"/>
        </w:rPr>
        <w:t xml:space="preserve">             /         </w:t>
      </w:r>
      <w:r>
        <w:rPr>
          <w:rFonts w:ascii="仿宋_GB2312" w:eastAsia="仿宋_GB2312"/>
          <w:color w:val="auto"/>
          <w:sz w:val="24"/>
        </w:rPr>
        <w:t>。</w:t>
      </w:r>
    </w:p>
    <w:p w14:paraId="5AD40A9F">
      <w:pPr>
        <w:spacing w:line="360" w:lineRule="auto"/>
        <w:ind w:firstLine="480" w:firstLineChars="200"/>
        <w:rPr>
          <w:rFonts w:ascii="仿宋_GB2312" w:eastAsia="仿宋_GB2312"/>
          <w:color w:val="auto"/>
          <w:sz w:val="24"/>
        </w:rPr>
      </w:pPr>
      <w:r>
        <w:rPr>
          <w:rFonts w:ascii="仿宋_GB2312" w:eastAsia="仿宋_GB2312"/>
          <w:color w:val="auto"/>
          <w:sz w:val="24"/>
        </w:rPr>
        <w:t>（4）发包人提供的材料、工程设备的规格、数量或质量不符合合同约定，或因发包人原因导致交货日期延误或交货地点变更等情况的违约责任：</w:t>
      </w:r>
      <w:r>
        <w:rPr>
          <w:rFonts w:ascii="仿宋_GB2312" w:eastAsia="仿宋_GB2312"/>
          <w:color w:val="auto"/>
          <w:sz w:val="24"/>
          <w:u w:val="single"/>
        </w:rPr>
        <w:t xml:space="preserve">  /    </w:t>
      </w:r>
      <w:r>
        <w:rPr>
          <w:rFonts w:ascii="仿宋_GB2312" w:eastAsia="仿宋_GB2312"/>
          <w:color w:val="auto"/>
          <w:sz w:val="24"/>
        </w:rPr>
        <w:t>。</w:t>
      </w:r>
    </w:p>
    <w:p w14:paraId="6EF5C265">
      <w:pPr>
        <w:spacing w:line="360" w:lineRule="auto"/>
        <w:ind w:firstLine="480" w:firstLineChars="200"/>
        <w:rPr>
          <w:rFonts w:ascii="仿宋_GB2312" w:eastAsia="仿宋_GB2312"/>
          <w:color w:val="auto"/>
          <w:sz w:val="24"/>
          <w:u w:val="single"/>
        </w:rPr>
      </w:pPr>
      <w:r>
        <w:rPr>
          <w:rFonts w:ascii="仿宋_GB2312" w:eastAsia="仿宋_GB2312"/>
          <w:color w:val="auto"/>
          <w:sz w:val="24"/>
        </w:rPr>
        <w:t>（5）因发包人违反合同约定造成暂停施工的违约责任：</w:t>
      </w:r>
      <w:r>
        <w:rPr>
          <w:rFonts w:ascii="仿宋_GB2312" w:eastAsia="仿宋_GB2312"/>
          <w:color w:val="auto"/>
          <w:sz w:val="24"/>
          <w:u w:val="single"/>
        </w:rPr>
        <w:t xml:space="preserve">  /          </w:t>
      </w:r>
      <w:r>
        <w:rPr>
          <w:rFonts w:ascii="仿宋_GB2312" w:eastAsia="仿宋_GB2312"/>
          <w:color w:val="auto"/>
          <w:sz w:val="24"/>
        </w:rPr>
        <w:t>。</w:t>
      </w:r>
    </w:p>
    <w:p w14:paraId="05CB5F4D">
      <w:pPr>
        <w:spacing w:line="360" w:lineRule="auto"/>
        <w:ind w:firstLine="480" w:firstLineChars="200"/>
        <w:rPr>
          <w:rFonts w:ascii="仿宋_GB2312" w:eastAsia="仿宋_GB2312"/>
          <w:color w:val="auto"/>
          <w:sz w:val="24"/>
        </w:rPr>
      </w:pPr>
      <w:r>
        <w:rPr>
          <w:rFonts w:ascii="仿宋_GB2312" w:eastAsia="仿宋_GB2312"/>
          <w:color w:val="auto"/>
          <w:sz w:val="24"/>
        </w:rPr>
        <w:t>（6）发包人无正当理由没有在约定期限内发出复工指示，导致承包人无法复工的违约责任：</w:t>
      </w:r>
      <w:r>
        <w:rPr>
          <w:rFonts w:ascii="仿宋_GB2312" w:eastAsia="仿宋_GB2312"/>
          <w:color w:val="auto"/>
          <w:sz w:val="24"/>
          <w:u w:val="single"/>
        </w:rPr>
        <w:t xml:space="preserve">                /                     </w:t>
      </w:r>
      <w:r>
        <w:rPr>
          <w:rFonts w:ascii="仿宋_GB2312" w:eastAsia="仿宋_GB2312"/>
          <w:color w:val="auto"/>
          <w:sz w:val="24"/>
        </w:rPr>
        <w:t>。</w:t>
      </w:r>
    </w:p>
    <w:p w14:paraId="7DE5C670">
      <w:pPr>
        <w:spacing w:line="360" w:lineRule="auto"/>
        <w:ind w:firstLine="480" w:firstLineChars="200"/>
        <w:rPr>
          <w:rFonts w:ascii="仿宋_GB2312" w:eastAsia="仿宋_GB2312"/>
          <w:color w:val="auto"/>
          <w:sz w:val="24"/>
        </w:rPr>
      </w:pPr>
      <w:r>
        <w:rPr>
          <w:rFonts w:ascii="仿宋_GB2312" w:eastAsia="仿宋_GB2312"/>
          <w:color w:val="auto"/>
          <w:sz w:val="24"/>
        </w:rPr>
        <w:t>（7）其他：</w:t>
      </w:r>
      <w:r>
        <w:rPr>
          <w:rFonts w:ascii="仿宋_GB2312" w:eastAsia="仿宋_GB2312"/>
          <w:color w:val="auto"/>
          <w:sz w:val="24"/>
          <w:u w:val="single"/>
        </w:rPr>
        <w:t xml:space="preserve">                /                             </w:t>
      </w:r>
      <w:r>
        <w:rPr>
          <w:rFonts w:ascii="仿宋_GB2312" w:eastAsia="仿宋_GB2312"/>
          <w:color w:val="auto"/>
          <w:sz w:val="24"/>
        </w:rPr>
        <w:t>。</w:t>
      </w:r>
    </w:p>
    <w:p w14:paraId="1E5D6E4D">
      <w:pPr>
        <w:spacing w:line="360" w:lineRule="auto"/>
        <w:ind w:firstLine="480" w:firstLineChars="200"/>
        <w:rPr>
          <w:rFonts w:ascii="仿宋_GB2312" w:eastAsia="仿宋_GB2312"/>
          <w:color w:val="auto"/>
          <w:sz w:val="24"/>
        </w:rPr>
      </w:pPr>
      <w:r>
        <w:rPr>
          <w:rFonts w:ascii="仿宋_GB2312" w:eastAsia="仿宋_GB2312"/>
          <w:color w:val="auto"/>
          <w:sz w:val="24"/>
        </w:rPr>
        <w:t>16.1.3 因发包人违约解除合同</w:t>
      </w:r>
    </w:p>
    <w:p w14:paraId="27D4D964">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承包人按16.1.1项〔发包人违约的情形〕约定暂停施工满</w:t>
      </w:r>
      <w:r>
        <w:rPr>
          <w:rFonts w:ascii="仿宋_GB2312" w:eastAsia="仿宋_GB2312"/>
          <w:color w:val="auto"/>
          <w:sz w:val="24"/>
          <w:u w:val="single"/>
        </w:rPr>
        <w:t xml:space="preserve"> 20  </w:t>
      </w:r>
      <w:r>
        <w:rPr>
          <w:rFonts w:ascii="仿宋_GB2312" w:eastAsia="仿宋_GB2312"/>
          <w:color w:val="auto"/>
          <w:sz w:val="24"/>
        </w:rPr>
        <w:t>天后发包人仍不纠正其违约行为并致使合同目的不能实现的，承包人有权解除合同。</w:t>
      </w:r>
    </w:p>
    <w:p w14:paraId="23CBC23B">
      <w:pPr>
        <w:pStyle w:val="4"/>
        <w:rPr>
          <w:rFonts w:ascii="仿宋_GB2312" w:eastAsia="仿宋_GB2312"/>
          <w:color w:val="auto"/>
          <w:szCs w:val="24"/>
        </w:rPr>
      </w:pPr>
      <w:r>
        <w:rPr>
          <w:rFonts w:hint="eastAsia" w:ascii="仿宋_GB2312" w:eastAsia="仿宋_GB2312"/>
          <w:color w:val="auto"/>
          <w:szCs w:val="24"/>
        </w:rPr>
        <w:t>16.2 承包人违约</w:t>
      </w:r>
    </w:p>
    <w:p w14:paraId="42E5A05C">
      <w:pPr>
        <w:spacing w:line="360" w:lineRule="auto"/>
        <w:ind w:firstLine="480" w:firstLineChars="200"/>
        <w:rPr>
          <w:rFonts w:ascii="仿宋_GB2312" w:eastAsia="仿宋_GB2312"/>
          <w:color w:val="auto"/>
          <w:sz w:val="24"/>
        </w:rPr>
      </w:pPr>
      <w:r>
        <w:rPr>
          <w:rFonts w:ascii="仿宋_GB2312" w:eastAsia="仿宋_GB2312"/>
          <w:color w:val="auto"/>
          <w:sz w:val="24"/>
        </w:rPr>
        <w:t>16.2.1 承包人违约的情形</w:t>
      </w:r>
    </w:p>
    <w:p w14:paraId="37EE2C69">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承包人违约的其他情形：</w:t>
      </w:r>
      <w:r>
        <w:rPr>
          <w:rFonts w:ascii="仿宋_GB2312" w:eastAsia="仿宋_GB2312"/>
          <w:bCs/>
          <w:color w:val="auto"/>
          <w:sz w:val="24"/>
          <w:u w:val="single"/>
        </w:rPr>
        <w:t>承包人有违反《崇左市建设工程造价管理办法》规定的，按规定给予处罚</w:t>
      </w:r>
      <w:r>
        <w:rPr>
          <w:rFonts w:ascii="仿宋_GB2312" w:eastAsia="仿宋_GB2312"/>
          <w:color w:val="auto"/>
          <w:sz w:val="24"/>
        </w:rPr>
        <w:t>。</w:t>
      </w:r>
    </w:p>
    <w:p w14:paraId="34CE6942">
      <w:pPr>
        <w:spacing w:line="360" w:lineRule="auto"/>
        <w:ind w:firstLine="480" w:firstLineChars="200"/>
        <w:rPr>
          <w:rFonts w:ascii="仿宋_GB2312" w:eastAsia="仿宋_GB2312"/>
          <w:color w:val="auto"/>
          <w:sz w:val="24"/>
        </w:rPr>
      </w:pPr>
      <w:r>
        <w:rPr>
          <w:rFonts w:ascii="仿宋_GB2312" w:eastAsia="仿宋_GB2312"/>
          <w:color w:val="auto"/>
          <w:sz w:val="24"/>
        </w:rPr>
        <w:t>16.2.2承包人违约的责任</w:t>
      </w:r>
    </w:p>
    <w:p w14:paraId="689DB2CC">
      <w:pPr>
        <w:spacing w:line="360" w:lineRule="auto"/>
        <w:ind w:firstLine="480" w:firstLineChars="200"/>
        <w:rPr>
          <w:rFonts w:ascii="仿宋_GB2312" w:eastAsia="仿宋_GB2312"/>
          <w:color w:val="auto"/>
          <w:sz w:val="24"/>
        </w:rPr>
      </w:pPr>
      <w:r>
        <w:rPr>
          <w:rFonts w:ascii="仿宋_GB2312" w:eastAsia="仿宋_GB2312"/>
          <w:color w:val="auto"/>
          <w:sz w:val="24"/>
        </w:rPr>
        <w:t>承包人违约责任的承担方式和计算方法：</w:t>
      </w:r>
    </w:p>
    <w:p w14:paraId="575BD309">
      <w:pPr>
        <w:spacing w:line="360" w:lineRule="auto"/>
        <w:ind w:firstLine="480" w:firstLineChars="200"/>
        <w:rPr>
          <w:rFonts w:ascii="仿宋_GB2312" w:eastAsia="仿宋_GB2312"/>
          <w:color w:val="auto"/>
          <w:sz w:val="24"/>
        </w:rPr>
      </w:pPr>
      <w:r>
        <w:rPr>
          <w:rFonts w:ascii="仿宋_GB2312" w:eastAsia="仿宋_GB2312"/>
          <w:color w:val="auto"/>
          <w:sz w:val="24"/>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0EFA3C71">
      <w:pPr>
        <w:spacing w:line="360" w:lineRule="auto"/>
        <w:ind w:firstLine="480" w:firstLineChars="200"/>
        <w:rPr>
          <w:rFonts w:ascii="仿宋_GB2312" w:eastAsia="仿宋_GB2312"/>
          <w:color w:val="auto"/>
          <w:sz w:val="24"/>
        </w:rPr>
      </w:pPr>
      <w:r>
        <w:rPr>
          <w:rFonts w:ascii="仿宋_GB2312" w:eastAsia="仿宋_GB2312"/>
          <w:color w:val="auto"/>
          <w:sz w:val="24"/>
        </w:rPr>
        <w:t>（2）承包人有本合同通用条款第16.2.1（6）条情形的，或经监理人检验认为修复质量不合格而承包人拒绝再进行修补的，发包人将扣除承包人全部质量保修金。</w:t>
      </w:r>
    </w:p>
    <w:p w14:paraId="2AB6C6C7">
      <w:pPr>
        <w:spacing w:line="360" w:lineRule="auto"/>
        <w:ind w:firstLine="480" w:firstLineChars="200"/>
        <w:rPr>
          <w:rFonts w:ascii="仿宋_GB2312" w:eastAsia="仿宋_GB2312"/>
          <w:color w:val="auto"/>
          <w:sz w:val="24"/>
        </w:rPr>
      </w:pPr>
      <w:r>
        <w:rPr>
          <w:rFonts w:ascii="仿宋_GB2312" w:eastAsia="仿宋_GB2312"/>
          <w:color w:val="auto"/>
          <w:sz w:val="24"/>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514ADCD3">
      <w:pPr>
        <w:spacing w:line="360" w:lineRule="auto"/>
        <w:ind w:firstLine="480" w:firstLineChars="200"/>
        <w:rPr>
          <w:rFonts w:ascii="仿宋_GB2312" w:eastAsia="仿宋_GB2312"/>
          <w:color w:val="auto"/>
          <w:sz w:val="24"/>
        </w:rPr>
      </w:pPr>
      <w:r>
        <w:rPr>
          <w:rFonts w:ascii="仿宋_GB2312" w:eastAsia="仿宋_GB2312"/>
          <w:color w:val="auto"/>
          <w:sz w:val="24"/>
        </w:rPr>
        <w:t>16.2.3 因承包人违约解除合同</w:t>
      </w:r>
    </w:p>
    <w:p w14:paraId="5E9F92B1">
      <w:pPr>
        <w:spacing w:line="360" w:lineRule="auto"/>
        <w:ind w:firstLine="480" w:firstLineChars="200"/>
        <w:rPr>
          <w:rFonts w:ascii="仿宋_GB2312" w:eastAsia="仿宋_GB2312"/>
          <w:color w:val="auto"/>
          <w:sz w:val="24"/>
        </w:rPr>
      </w:pPr>
      <w:r>
        <w:rPr>
          <w:rFonts w:ascii="仿宋_GB2312" w:eastAsia="仿宋_GB2312"/>
          <w:color w:val="auto"/>
          <w:sz w:val="24"/>
        </w:rPr>
        <w:t>关于承包人违约解除合同的特别约定：</w:t>
      </w:r>
      <w:r>
        <w:rPr>
          <w:rFonts w:ascii="仿宋_GB2312" w:eastAsia="仿宋_GB2312"/>
          <w:color w:val="auto"/>
          <w:sz w:val="24"/>
          <w:u w:val="single"/>
        </w:rPr>
        <w:t>承包人有违反以下情况之一的，发包人有权解除合同，并没收其全部履约保证金</w:t>
      </w:r>
      <w:r>
        <w:rPr>
          <w:rFonts w:ascii="仿宋_GB2312" w:eastAsia="仿宋_GB2312"/>
          <w:color w:val="auto"/>
          <w:sz w:val="24"/>
        </w:rPr>
        <w:t>。</w:t>
      </w:r>
    </w:p>
    <w:p w14:paraId="3EB6620E">
      <w:pPr>
        <w:spacing w:line="360" w:lineRule="auto"/>
        <w:ind w:firstLine="480" w:firstLineChars="200"/>
        <w:rPr>
          <w:rFonts w:ascii="仿宋_GB2312" w:eastAsia="仿宋_GB2312"/>
          <w:color w:val="auto"/>
          <w:sz w:val="24"/>
        </w:rPr>
      </w:pPr>
      <w:r>
        <w:rPr>
          <w:rFonts w:ascii="仿宋_GB2312" w:eastAsia="仿宋_GB2312"/>
          <w:color w:val="auto"/>
          <w:sz w:val="24"/>
        </w:rPr>
        <w:t>(1)承包人无正当理由不按开工通知的要求及时进场组织施工和不按签订协议书时商定的进度计划有效地开展施工准备，造成工期延误的；</w:t>
      </w:r>
    </w:p>
    <w:p w14:paraId="015A2C83">
      <w:pPr>
        <w:spacing w:line="360" w:lineRule="auto"/>
        <w:ind w:firstLine="480" w:firstLineChars="200"/>
        <w:rPr>
          <w:rFonts w:ascii="仿宋_GB2312" w:eastAsia="仿宋_GB2312"/>
          <w:color w:val="auto"/>
          <w:sz w:val="24"/>
        </w:rPr>
      </w:pPr>
      <w:r>
        <w:rPr>
          <w:rFonts w:ascii="仿宋_GB2312" w:eastAsia="仿宋_GB2312"/>
          <w:color w:val="auto"/>
          <w:sz w:val="24"/>
        </w:rPr>
        <w:t>(2)承包人违反本合同通用条款第3.5条规定私自将合同或合同的任何部分或任何权利转让给其他人，或私自将工程或工程的一部分分包出去的；</w:t>
      </w:r>
    </w:p>
    <w:p w14:paraId="28D8C8FF">
      <w:pPr>
        <w:spacing w:line="360" w:lineRule="auto"/>
        <w:ind w:firstLine="480" w:firstLineChars="200"/>
        <w:rPr>
          <w:rFonts w:ascii="仿宋_GB2312" w:eastAsia="仿宋_GB2312"/>
          <w:color w:val="auto"/>
          <w:sz w:val="24"/>
        </w:rPr>
      </w:pPr>
      <w:r>
        <w:rPr>
          <w:rFonts w:ascii="仿宋_GB2312" w:eastAsia="仿宋_GB2312"/>
          <w:color w:val="auto"/>
          <w:sz w:val="24"/>
        </w:rPr>
        <w:t>(3)未经监理人批准，承包人私自将已按投标文件承诺进入工地的工程设备、施工设备、临时工程或材料撤离工地的；</w:t>
      </w:r>
    </w:p>
    <w:p w14:paraId="33A4456F">
      <w:pPr>
        <w:spacing w:line="360" w:lineRule="auto"/>
        <w:ind w:firstLine="480" w:firstLineChars="200"/>
        <w:rPr>
          <w:rFonts w:ascii="仿宋_GB2312" w:eastAsia="仿宋_GB2312"/>
          <w:color w:val="auto"/>
          <w:sz w:val="24"/>
        </w:rPr>
      </w:pPr>
      <w:r>
        <w:rPr>
          <w:rFonts w:ascii="仿宋_GB2312" w:eastAsia="仿宋_GB2312"/>
          <w:color w:val="auto"/>
          <w:sz w:val="24"/>
        </w:rPr>
        <w:t>(4)由于承包人原因拒绝按合同进度计划及时完成合同规定的工程，而又未采取有效措施赶上进度，造成工期延误的；</w:t>
      </w:r>
    </w:p>
    <w:p w14:paraId="3090028A">
      <w:pPr>
        <w:spacing w:line="360" w:lineRule="auto"/>
        <w:ind w:firstLine="480" w:firstLineChars="200"/>
        <w:rPr>
          <w:rFonts w:ascii="仿宋_GB2312" w:eastAsia="仿宋_GB2312"/>
          <w:color w:val="auto"/>
          <w:sz w:val="24"/>
        </w:rPr>
      </w:pPr>
      <w:r>
        <w:rPr>
          <w:rFonts w:ascii="仿宋_GB2312" w:eastAsia="仿宋_GB2312"/>
          <w:color w:val="auto"/>
          <w:sz w:val="24"/>
        </w:rPr>
        <w:t>(5)承包人否认合同有效或拒绝履行合同规定的承包人义务，或由于法律、财务等原因导致承包人无法继续履行或实质上已停止履行合同的义务的；</w:t>
      </w:r>
    </w:p>
    <w:p w14:paraId="3A248F14">
      <w:pPr>
        <w:spacing w:line="360" w:lineRule="auto"/>
        <w:ind w:firstLine="480" w:firstLineChars="200"/>
        <w:rPr>
          <w:rFonts w:ascii="仿宋_GB2312" w:eastAsia="仿宋_GB2312"/>
          <w:color w:val="auto"/>
          <w:sz w:val="24"/>
        </w:rPr>
      </w:pPr>
      <w:r>
        <w:rPr>
          <w:rFonts w:ascii="仿宋_GB2312" w:eastAsia="仿宋_GB2312"/>
          <w:color w:val="auto"/>
          <w:sz w:val="24"/>
        </w:rPr>
        <w:t>(6)合同签订之日起十五日内，承包人无法按合同规定及投标文件的承诺进场经监理工程师认可的全部人员和机械的。</w:t>
      </w:r>
    </w:p>
    <w:p w14:paraId="5AF81DC5">
      <w:pPr>
        <w:spacing w:line="360" w:lineRule="auto"/>
        <w:ind w:firstLine="480" w:firstLineChars="200"/>
        <w:rPr>
          <w:rFonts w:ascii="仿宋_GB2312" w:eastAsia="仿宋_GB2312"/>
          <w:color w:val="auto"/>
          <w:sz w:val="24"/>
        </w:rPr>
      </w:pPr>
      <w:r>
        <w:rPr>
          <w:rFonts w:ascii="仿宋_GB2312" w:eastAsia="仿宋_GB2312"/>
          <w:color w:val="auto"/>
          <w:sz w:val="24"/>
        </w:rPr>
        <w:t>发包人继续使用承包人在施工现场的材料、设备、临时工程、承包人文件和由承包人或以其名义编制的其他文件的费用承担方式：</w:t>
      </w:r>
      <w:r>
        <w:rPr>
          <w:rFonts w:ascii="仿宋_GB2312" w:eastAsia="仿宋_GB2312"/>
          <w:color w:val="auto"/>
          <w:sz w:val="24"/>
          <w:u w:val="single"/>
        </w:rPr>
        <w:t xml:space="preserve"> 另行商定           </w:t>
      </w:r>
      <w:r>
        <w:rPr>
          <w:rFonts w:ascii="仿宋_GB2312" w:eastAsia="仿宋_GB2312"/>
          <w:color w:val="auto"/>
          <w:sz w:val="24"/>
        </w:rPr>
        <w:t>。</w:t>
      </w:r>
    </w:p>
    <w:p w14:paraId="1718014B">
      <w:pPr>
        <w:pStyle w:val="3"/>
        <w:rPr>
          <w:rFonts w:ascii="仿宋_GB2312" w:eastAsia="仿宋_GB2312"/>
          <w:color w:val="auto"/>
          <w:sz w:val="24"/>
          <w:szCs w:val="24"/>
        </w:rPr>
      </w:pPr>
      <w:r>
        <w:rPr>
          <w:rFonts w:hint="eastAsia" w:ascii="仿宋_GB2312" w:eastAsia="仿宋_GB2312"/>
          <w:color w:val="auto"/>
          <w:sz w:val="24"/>
          <w:szCs w:val="24"/>
        </w:rPr>
        <w:t>17. 不可抗力</w:t>
      </w:r>
    </w:p>
    <w:p w14:paraId="69702AA8">
      <w:pPr>
        <w:pStyle w:val="4"/>
        <w:rPr>
          <w:rFonts w:ascii="仿宋_GB2312" w:eastAsia="仿宋_GB2312"/>
          <w:color w:val="auto"/>
          <w:szCs w:val="24"/>
        </w:rPr>
      </w:pPr>
      <w:r>
        <w:rPr>
          <w:rFonts w:hint="eastAsia" w:ascii="仿宋_GB2312" w:eastAsia="仿宋_GB2312"/>
          <w:color w:val="auto"/>
          <w:szCs w:val="24"/>
        </w:rPr>
        <w:t>17.1 不可抗力的确认</w:t>
      </w:r>
    </w:p>
    <w:p w14:paraId="18A27811">
      <w:pPr>
        <w:spacing w:line="360" w:lineRule="auto"/>
        <w:ind w:firstLine="480" w:firstLineChars="200"/>
        <w:rPr>
          <w:rFonts w:ascii="仿宋_GB2312" w:eastAsia="仿宋_GB2312"/>
          <w:color w:val="auto"/>
          <w:sz w:val="24"/>
        </w:rPr>
      </w:pPr>
      <w:r>
        <w:rPr>
          <w:rFonts w:ascii="仿宋_GB2312" w:eastAsia="仿宋_GB2312"/>
          <w:color w:val="auto"/>
          <w:sz w:val="24"/>
        </w:rPr>
        <w:t>除通用合同条款约定的不可抗力事件之外，视为不可抗力的其他情形：</w:t>
      </w:r>
    </w:p>
    <w:p w14:paraId="3F50E1F5">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（1）6级以上地震；</w:t>
      </w:r>
    </w:p>
    <w:p w14:paraId="41CC839E">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（2）10级以上持续1天的大风；</w:t>
      </w:r>
    </w:p>
    <w:p w14:paraId="16AF9854">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（3）暴雨级以上持续1天的大雨；</w:t>
      </w:r>
    </w:p>
    <w:p w14:paraId="472B0A8B">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（4）50年以上未发生过，持续2天的高温天气；</w:t>
      </w:r>
    </w:p>
    <w:p w14:paraId="7A1B9A23">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（5）50年以上未发生过，持续2天的低温天气；</w:t>
      </w:r>
    </w:p>
    <w:p w14:paraId="3B6D7489">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（6）50年以上未发生过 的洪水；</w:t>
      </w:r>
    </w:p>
    <w:p w14:paraId="6B7C7876">
      <w:pPr>
        <w:rPr>
          <w:rFonts w:ascii="仿宋_GB2312" w:eastAsia="仿宋_GB2312"/>
          <w:color w:val="auto"/>
          <w:sz w:val="24"/>
          <w:u w:val="single"/>
        </w:rPr>
      </w:pPr>
      <w:r>
        <w:rPr>
          <w:rFonts w:ascii="仿宋_GB2312" w:eastAsia="仿宋_GB2312"/>
          <w:color w:val="auto"/>
          <w:sz w:val="24"/>
          <w:u w:val="single"/>
        </w:rPr>
        <w:t>（7）对以上几种形式，应以造成灾害和影响施工为准。</w:t>
      </w:r>
    </w:p>
    <w:p w14:paraId="6E1FB367">
      <w:pPr>
        <w:pStyle w:val="4"/>
        <w:rPr>
          <w:rFonts w:ascii="仿宋_GB2312" w:eastAsia="仿宋_GB2312"/>
          <w:color w:val="auto"/>
          <w:szCs w:val="24"/>
        </w:rPr>
      </w:pPr>
      <w:r>
        <w:rPr>
          <w:rFonts w:hint="eastAsia" w:ascii="仿宋_GB2312" w:eastAsia="仿宋_GB2312"/>
          <w:color w:val="auto"/>
          <w:szCs w:val="24"/>
        </w:rPr>
        <w:t>17.4 因不可抗力解除合同</w:t>
      </w:r>
    </w:p>
    <w:p w14:paraId="26E6FAE6">
      <w:pPr>
        <w:spacing w:line="360" w:lineRule="auto"/>
        <w:ind w:firstLine="480" w:firstLineChars="200"/>
        <w:rPr>
          <w:rFonts w:ascii="仿宋_GB2312" w:eastAsia="仿宋_GB2312"/>
          <w:color w:val="auto"/>
          <w:sz w:val="24"/>
        </w:rPr>
      </w:pPr>
      <w:r>
        <w:rPr>
          <w:rFonts w:ascii="仿宋_GB2312" w:eastAsia="仿宋_GB2312"/>
          <w:color w:val="auto"/>
          <w:sz w:val="24"/>
        </w:rPr>
        <w:t>合同解除后，发包人应在商定或确定发包人应支付款项后</w:t>
      </w:r>
      <w:r>
        <w:rPr>
          <w:rFonts w:ascii="仿宋_GB2312" w:eastAsia="仿宋_GB2312"/>
          <w:color w:val="auto"/>
          <w:sz w:val="24"/>
          <w:u w:val="single"/>
        </w:rPr>
        <w:t xml:space="preserve">  28  </w:t>
      </w:r>
      <w:r>
        <w:rPr>
          <w:rFonts w:ascii="仿宋_GB2312" w:eastAsia="仿宋_GB2312"/>
          <w:color w:val="auto"/>
          <w:sz w:val="24"/>
        </w:rPr>
        <w:t>天内完成款项的支付。</w:t>
      </w:r>
    </w:p>
    <w:p w14:paraId="4C085448">
      <w:pPr>
        <w:pStyle w:val="3"/>
        <w:rPr>
          <w:rFonts w:ascii="仿宋_GB2312" w:eastAsia="仿宋_GB2312"/>
          <w:color w:val="auto"/>
          <w:sz w:val="24"/>
          <w:szCs w:val="24"/>
        </w:rPr>
      </w:pPr>
      <w:r>
        <w:rPr>
          <w:rFonts w:hint="eastAsia" w:ascii="仿宋_GB2312" w:eastAsia="仿宋_GB2312"/>
          <w:color w:val="auto"/>
          <w:sz w:val="24"/>
          <w:szCs w:val="24"/>
        </w:rPr>
        <w:t>18. 保险</w:t>
      </w:r>
    </w:p>
    <w:p w14:paraId="06EC607E">
      <w:pPr>
        <w:pStyle w:val="4"/>
        <w:rPr>
          <w:rFonts w:ascii="仿宋_GB2312" w:eastAsia="仿宋_GB2312"/>
          <w:color w:val="auto"/>
          <w:szCs w:val="24"/>
        </w:rPr>
      </w:pPr>
      <w:r>
        <w:rPr>
          <w:rFonts w:hint="eastAsia" w:ascii="仿宋_GB2312" w:eastAsia="仿宋_GB2312"/>
          <w:color w:val="auto"/>
          <w:szCs w:val="24"/>
        </w:rPr>
        <w:t>18.1 工程保险</w:t>
      </w:r>
    </w:p>
    <w:p w14:paraId="47DBD199">
      <w:pPr>
        <w:spacing w:line="360" w:lineRule="auto"/>
        <w:ind w:firstLine="480" w:firstLineChars="200"/>
        <w:rPr>
          <w:rFonts w:ascii="仿宋_GB2312" w:eastAsia="仿宋_GB2312"/>
          <w:color w:val="auto"/>
          <w:sz w:val="24"/>
        </w:rPr>
      </w:pPr>
      <w:r>
        <w:rPr>
          <w:rFonts w:ascii="仿宋_GB2312" w:eastAsia="仿宋_GB2312"/>
          <w:color w:val="auto"/>
          <w:sz w:val="24"/>
        </w:rPr>
        <w:t>关于工程保险的特别约定：</w:t>
      </w:r>
      <w:r>
        <w:rPr>
          <w:rFonts w:ascii="仿宋_GB2312" w:eastAsia="仿宋_GB2312"/>
          <w:color w:val="auto"/>
          <w:sz w:val="24"/>
          <w:u w:val="single"/>
        </w:rPr>
        <w:t xml:space="preserve"> 包括建筑工程一切险和安装工程一切险 </w:t>
      </w:r>
      <w:r>
        <w:rPr>
          <w:rFonts w:ascii="仿宋_GB2312" w:eastAsia="仿宋_GB2312"/>
          <w:color w:val="auto"/>
          <w:sz w:val="24"/>
        </w:rPr>
        <w:t>。</w:t>
      </w:r>
    </w:p>
    <w:p w14:paraId="65BC8524">
      <w:pPr>
        <w:pStyle w:val="4"/>
        <w:rPr>
          <w:rFonts w:ascii="仿宋_GB2312" w:eastAsia="仿宋_GB2312"/>
          <w:color w:val="auto"/>
          <w:szCs w:val="24"/>
        </w:rPr>
      </w:pPr>
      <w:r>
        <w:rPr>
          <w:rFonts w:hint="eastAsia" w:ascii="仿宋_GB2312" w:eastAsia="仿宋_GB2312"/>
          <w:color w:val="auto"/>
          <w:szCs w:val="24"/>
        </w:rPr>
        <w:t>18.3 其他保险</w:t>
      </w:r>
    </w:p>
    <w:p w14:paraId="1A85D9DB">
      <w:pPr>
        <w:spacing w:line="360" w:lineRule="auto"/>
        <w:ind w:firstLine="480" w:firstLineChars="200"/>
        <w:rPr>
          <w:rFonts w:ascii="仿宋_GB2312" w:eastAsia="仿宋_GB2312"/>
          <w:color w:val="auto"/>
          <w:sz w:val="24"/>
        </w:rPr>
      </w:pPr>
      <w:r>
        <w:rPr>
          <w:rFonts w:ascii="仿宋_GB2312" w:eastAsia="仿宋_GB2312"/>
          <w:color w:val="auto"/>
          <w:sz w:val="24"/>
        </w:rPr>
        <w:t>关于其他保险的约定：</w:t>
      </w:r>
      <w:r>
        <w:rPr>
          <w:rFonts w:ascii="仿宋_GB2312" w:eastAsia="仿宋_GB2312"/>
          <w:color w:val="auto"/>
          <w:sz w:val="24"/>
          <w:u w:val="single"/>
        </w:rPr>
        <w:t>承包人必须为施工现场从事施工的所有作业人员和管理人员办理人身意外伤害保险，并支付保险费</w:t>
      </w:r>
      <w:r>
        <w:rPr>
          <w:rFonts w:ascii="仿宋_GB2312" w:eastAsia="仿宋_GB2312"/>
          <w:bCs/>
          <w:color w:val="auto"/>
          <w:sz w:val="24"/>
        </w:rPr>
        <w:t>。</w:t>
      </w:r>
    </w:p>
    <w:p w14:paraId="5C7F780E">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承包人是否应为其施工设备等办理财产保险：</w:t>
      </w:r>
      <w:r>
        <w:rPr>
          <w:rFonts w:ascii="仿宋_GB2312" w:eastAsia="仿宋_GB2312"/>
          <w:color w:val="auto"/>
          <w:sz w:val="24"/>
          <w:u w:val="single"/>
        </w:rPr>
        <w:t xml:space="preserve">              是       </w:t>
      </w:r>
      <w:r>
        <w:rPr>
          <w:rFonts w:ascii="仿宋_GB2312" w:eastAsia="仿宋_GB2312"/>
          <w:color w:val="auto"/>
          <w:sz w:val="24"/>
        </w:rPr>
        <w:t>。</w:t>
      </w:r>
    </w:p>
    <w:p w14:paraId="5662C5C5">
      <w:pPr>
        <w:pStyle w:val="4"/>
        <w:rPr>
          <w:rFonts w:ascii="仿宋_GB2312" w:eastAsia="仿宋_GB2312"/>
          <w:color w:val="auto"/>
          <w:szCs w:val="24"/>
        </w:rPr>
      </w:pPr>
      <w:r>
        <w:rPr>
          <w:rFonts w:hint="eastAsia" w:ascii="仿宋_GB2312" w:eastAsia="仿宋_GB2312"/>
          <w:color w:val="auto"/>
          <w:szCs w:val="24"/>
        </w:rPr>
        <w:t>18.7 通知义务</w:t>
      </w:r>
    </w:p>
    <w:p w14:paraId="6F8AEAEA">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关于变更保险合同时的通知义务的约定：</w:t>
      </w:r>
      <w:r>
        <w:rPr>
          <w:rFonts w:ascii="仿宋_GB2312" w:eastAsia="仿宋_GB2312"/>
          <w:color w:val="auto"/>
          <w:sz w:val="24"/>
          <w:u w:val="single"/>
        </w:rPr>
        <w:t xml:space="preserve">         /         </w:t>
      </w:r>
      <w:r>
        <w:rPr>
          <w:rFonts w:ascii="仿宋_GB2312" w:eastAsia="仿宋_GB2312"/>
          <w:color w:val="auto"/>
          <w:sz w:val="24"/>
        </w:rPr>
        <w:t>。</w:t>
      </w:r>
    </w:p>
    <w:p w14:paraId="7602127E">
      <w:pPr>
        <w:pStyle w:val="3"/>
        <w:rPr>
          <w:rFonts w:ascii="仿宋_GB2312" w:eastAsia="仿宋_GB2312"/>
          <w:color w:val="auto"/>
          <w:sz w:val="24"/>
          <w:szCs w:val="24"/>
        </w:rPr>
      </w:pPr>
      <w:r>
        <w:rPr>
          <w:rFonts w:hint="eastAsia" w:ascii="仿宋_GB2312" w:eastAsia="仿宋_GB2312"/>
          <w:color w:val="auto"/>
          <w:sz w:val="24"/>
          <w:szCs w:val="24"/>
        </w:rPr>
        <w:t>20. 争议解决</w:t>
      </w:r>
    </w:p>
    <w:p w14:paraId="22C460E5">
      <w:pPr>
        <w:pStyle w:val="4"/>
        <w:rPr>
          <w:rFonts w:ascii="仿宋_GB2312" w:eastAsia="仿宋_GB2312"/>
          <w:color w:val="auto"/>
          <w:szCs w:val="24"/>
        </w:rPr>
      </w:pPr>
      <w:r>
        <w:rPr>
          <w:rFonts w:hint="eastAsia" w:ascii="仿宋_GB2312" w:eastAsia="仿宋_GB2312"/>
          <w:color w:val="auto"/>
          <w:szCs w:val="24"/>
        </w:rPr>
        <w:t>20.3 争议评审</w:t>
      </w:r>
    </w:p>
    <w:p w14:paraId="3087CC7D">
      <w:pPr>
        <w:spacing w:line="360" w:lineRule="auto"/>
        <w:ind w:left="149" w:leftChars="71" w:firstLine="360" w:firstLineChars="150"/>
        <w:rPr>
          <w:rFonts w:ascii="仿宋_GB2312" w:eastAsia="仿宋_GB2312"/>
          <w:color w:val="auto"/>
          <w:sz w:val="24"/>
          <w:u w:val="single"/>
        </w:rPr>
      </w:pPr>
      <w:r>
        <w:rPr>
          <w:rFonts w:ascii="仿宋_GB2312" w:eastAsia="仿宋_GB2312"/>
          <w:color w:val="auto"/>
          <w:sz w:val="24"/>
        </w:rPr>
        <w:t>合同当事人是否同意将工程争议提交争议评审小组决定：</w:t>
      </w:r>
      <w:r>
        <w:rPr>
          <w:rFonts w:ascii="仿宋_GB2312" w:eastAsia="仿宋_GB2312"/>
          <w:color w:val="auto"/>
          <w:sz w:val="24"/>
          <w:u w:val="single"/>
        </w:rPr>
        <w:t>否</w:t>
      </w:r>
      <w:r>
        <w:rPr>
          <w:rFonts w:ascii="仿宋_GB2312" w:eastAsia="仿宋_GB2312"/>
          <w:color w:val="auto"/>
          <w:sz w:val="24"/>
        </w:rPr>
        <w:t>。</w:t>
      </w:r>
    </w:p>
    <w:p w14:paraId="2009141A">
      <w:pPr>
        <w:spacing w:line="360" w:lineRule="auto"/>
        <w:ind w:firstLine="480" w:firstLineChars="200"/>
        <w:rPr>
          <w:rFonts w:ascii="仿宋_GB2312" w:eastAsia="仿宋_GB2312"/>
          <w:color w:val="auto"/>
          <w:sz w:val="24"/>
        </w:rPr>
      </w:pPr>
      <w:r>
        <w:rPr>
          <w:rFonts w:ascii="仿宋_GB2312" w:eastAsia="仿宋_GB2312"/>
          <w:color w:val="auto"/>
          <w:sz w:val="24"/>
        </w:rPr>
        <w:t>20.3.1 争议评审小组的确定</w:t>
      </w:r>
    </w:p>
    <w:p w14:paraId="2A67418F">
      <w:pPr>
        <w:spacing w:line="360" w:lineRule="auto"/>
        <w:ind w:firstLine="480" w:firstLineChars="200"/>
        <w:rPr>
          <w:rFonts w:ascii="仿宋_GB2312" w:eastAsia="仿宋_GB2312"/>
          <w:color w:val="auto"/>
          <w:sz w:val="24"/>
          <w:u w:val="single"/>
        </w:rPr>
      </w:pPr>
      <w:r>
        <w:rPr>
          <w:rFonts w:ascii="仿宋_GB2312" w:eastAsia="仿宋_GB2312"/>
          <w:color w:val="auto"/>
          <w:sz w:val="24"/>
        </w:rPr>
        <w:t>争议评审小组成员的确定：</w:t>
      </w:r>
      <w:r>
        <w:rPr>
          <w:rFonts w:ascii="仿宋_GB2312" w:eastAsia="仿宋_GB2312"/>
          <w:color w:val="auto"/>
          <w:sz w:val="24"/>
          <w:u w:val="single"/>
        </w:rPr>
        <w:t xml:space="preserve">               /              </w:t>
      </w:r>
      <w:r>
        <w:rPr>
          <w:rFonts w:ascii="仿宋_GB2312" w:eastAsia="仿宋_GB2312"/>
          <w:color w:val="auto"/>
          <w:sz w:val="24"/>
        </w:rPr>
        <w:t>。</w:t>
      </w:r>
    </w:p>
    <w:p w14:paraId="1A83EF1B">
      <w:pPr>
        <w:spacing w:line="360" w:lineRule="auto"/>
        <w:ind w:firstLine="480" w:firstLineChars="200"/>
        <w:rPr>
          <w:rFonts w:ascii="仿宋_GB2312" w:eastAsia="仿宋_GB2312"/>
          <w:color w:val="auto"/>
          <w:sz w:val="24"/>
        </w:rPr>
      </w:pPr>
      <w:r>
        <w:rPr>
          <w:rFonts w:ascii="仿宋_GB2312" w:eastAsia="仿宋_GB2312"/>
          <w:color w:val="auto"/>
          <w:sz w:val="24"/>
        </w:rPr>
        <w:t>选定争议评审员的期限：</w:t>
      </w:r>
      <w:r>
        <w:rPr>
          <w:rFonts w:ascii="仿宋_GB2312" w:eastAsia="仿宋_GB2312"/>
          <w:color w:val="auto"/>
          <w:sz w:val="24"/>
          <w:u w:val="single"/>
        </w:rPr>
        <w:t xml:space="preserve">                 /              </w:t>
      </w:r>
      <w:r>
        <w:rPr>
          <w:rFonts w:ascii="仿宋_GB2312" w:eastAsia="仿宋_GB2312"/>
          <w:color w:val="auto"/>
          <w:sz w:val="24"/>
        </w:rPr>
        <w:t>。</w:t>
      </w:r>
    </w:p>
    <w:p w14:paraId="76CDE4C0">
      <w:pPr>
        <w:spacing w:line="360" w:lineRule="auto"/>
        <w:ind w:firstLine="480" w:firstLineChars="200"/>
        <w:rPr>
          <w:rFonts w:ascii="仿宋_GB2312" w:eastAsia="仿宋_GB2312"/>
          <w:color w:val="auto"/>
          <w:sz w:val="24"/>
        </w:rPr>
      </w:pPr>
      <w:r>
        <w:rPr>
          <w:rFonts w:ascii="仿宋_GB2312" w:eastAsia="仿宋_GB2312"/>
          <w:color w:val="auto"/>
          <w:sz w:val="24"/>
        </w:rPr>
        <w:t>争议评审小组成员的报酬承担方式：</w:t>
      </w:r>
      <w:r>
        <w:rPr>
          <w:rFonts w:ascii="仿宋_GB2312" w:eastAsia="仿宋_GB2312"/>
          <w:color w:val="auto"/>
          <w:sz w:val="24"/>
          <w:u w:val="single"/>
        </w:rPr>
        <w:t xml:space="preserve">           /          </w:t>
      </w:r>
      <w:r>
        <w:rPr>
          <w:rFonts w:ascii="仿宋_GB2312" w:eastAsia="仿宋_GB2312"/>
          <w:color w:val="auto"/>
          <w:sz w:val="24"/>
        </w:rPr>
        <w:t>。</w:t>
      </w:r>
    </w:p>
    <w:p w14:paraId="73405A0A">
      <w:pPr>
        <w:spacing w:line="360" w:lineRule="auto"/>
        <w:ind w:firstLine="480" w:firstLineChars="200"/>
        <w:rPr>
          <w:rFonts w:ascii="仿宋_GB2312" w:eastAsia="仿宋_GB2312"/>
          <w:color w:val="auto"/>
          <w:sz w:val="24"/>
        </w:rPr>
      </w:pPr>
      <w:r>
        <w:rPr>
          <w:rFonts w:ascii="仿宋_GB2312" w:eastAsia="仿宋_GB2312"/>
          <w:color w:val="auto"/>
          <w:sz w:val="24"/>
        </w:rPr>
        <w:t>其他事项的约定：</w:t>
      </w:r>
      <w:r>
        <w:rPr>
          <w:rFonts w:ascii="仿宋_GB2312" w:eastAsia="仿宋_GB2312"/>
          <w:color w:val="auto"/>
          <w:sz w:val="24"/>
          <w:u w:val="single"/>
        </w:rPr>
        <w:t xml:space="preserve">                  /                   </w:t>
      </w:r>
      <w:r>
        <w:rPr>
          <w:rFonts w:ascii="仿宋_GB2312" w:eastAsia="仿宋_GB2312"/>
          <w:color w:val="auto"/>
          <w:sz w:val="24"/>
        </w:rPr>
        <w:t>。</w:t>
      </w:r>
    </w:p>
    <w:p w14:paraId="4DFDF40D">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20.3.2 争议评审小组的决定</w:t>
      </w:r>
    </w:p>
    <w:p w14:paraId="70B0DF61">
      <w:pPr>
        <w:spacing w:line="360" w:lineRule="auto"/>
        <w:ind w:firstLine="480" w:firstLineChars="200"/>
        <w:rPr>
          <w:rFonts w:ascii="仿宋_GB2312" w:eastAsia="仿宋_GB2312"/>
          <w:color w:val="auto"/>
          <w:sz w:val="24"/>
        </w:rPr>
      </w:pPr>
      <w:r>
        <w:rPr>
          <w:rFonts w:ascii="仿宋_GB2312" w:eastAsia="仿宋_GB2312"/>
          <w:color w:val="auto"/>
          <w:sz w:val="24"/>
        </w:rPr>
        <w:t>合同当事人关于本项的约定：</w:t>
      </w:r>
      <w:r>
        <w:rPr>
          <w:rFonts w:ascii="仿宋_GB2312" w:eastAsia="仿宋_GB2312"/>
          <w:color w:val="auto"/>
          <w:sz w:val="24"/>
          <w:u w:val="single"/>
        </w:rPr>
        <w:t xml:space="preserve">               /            </w:t>
      </w:r>
      <w:r>
        <w:rPr>
          <w:rFonts w:ascii="仿宋_GB2312" w:eastAsia="仿宋_GB2312"/>
          <w:color w:val="auto"/>
          <w:sz w:val="24"/>
        </w:rPr>
        <w:t>。</w:t>
      </w:r>
    </w:p>
    <w:p w14:paraId="14744409">
      <w:pPr>
        <w:pStyle w:val="4"/>
        <w:rPr>
          <w:rFonts w:ascii="仿宋_GB2312" w:eastAsia="仿宋_GB2312"/>
          <w:color w:val="auto"/>
          <w:szCs w:val="24"/>
        </w:rPr>
      </w:pPr>
      <w:r>
        <w:rPr>
          <w:rFonts w:hint="eastAsia" w:ascii="仿宋_GB2312" w:eastAsia="仿宋_GB2312"/>
          <w:color w:val="auto"/>
          <w:szCs w:val="24"/>
        </w:rPr>
        <w:t>20.4 仲裁或诉讼</w:t>
      </w:r>
    </w:p>
    <w:p w14:paraId="3E6EA060">
      <w:pPr>
        <w:spacing w:line="360" w:lineRule="auto"/>
        <w:ind w:firstLine="480" w:firstLineChars="200"/>
        <w:rPr>
          <w:rFonts w:ascii="仿宋_GB2312" w:eastAsia="仿宋_GB2312"/>
          <w:color w:val="auto"/>
          <w:sz w:val="24"/>
        </w:rPr>
      </w:pPr>
      <w:r>
        <w:rPr>
          <w:rFonts w:ascii="仿宋_GB2312" w:eastAsia="仿宋_GB2312"/>
          <w:color w:val="auto"/>
          <w:sz w:val="24"/>
        </w:rPr>
        <w:t>因合同及合同有关事项发生的争议，按下列第</w:t>
      </w:r>
      <w:r>
        <w:rPr>
          <w:rFonts w:ascii="仿宋_GB2312" w:eastAsia="仿宋_GB2312"/>
          <w:color w:val="auto"/>
          <w:sz w:val="24"/>
          <w:u w:val="single"/>
        </w:rPr>
        <w:t xml:space="preserve">   1  </w:t>
      </w:r>
      <w:r>
        <w:rPr>
          <w:rFonts w:ascii="仿宋_GB2312" w:eastAsia="仿宋_GB2312"/>
          <w:color w:val="auto"/>
          <w:sz w:val="24"/>
        </w:rPr>
        <w:t>种方式解决：</w:t>
      </w:r>
    </w:p>
    <w:p w14:paraId="0B170932">
      <w:pPr>
        <w:spacing w:line="360" w:lineRule="auto"/>
        <w:ind w:firstLine="480" w:firstLineChars="200"/>
        <w:rPr>
          <w:rFonts w:ascii="仿宋_GB2312" w:eastAsia="仿宋_GB2312"/>
          <w:color w:val="auto"/>
          <w:sz w:val="24"/>
        </w:rPr>
      </w:pPr>
      <w:r>
        <w:rPr>
          <w:rFonts w:ascii="仿宋_GB2312" w:eastAsia="仿宋_GB2312"/>
          <w:color w:val="auto"/>
          <w:sz w:val="24"/>
        </w:rPr>
        <w:t>（1）提请</w:t>
      </w:r>
      <w:r>
        <w:rPr>
          <w:rFonts w:hint="eastAsia" w:ascii="仿宋_GB2312" w:eastAsia="仿宋_GB2312"/>
          <w:color w:val="auto"/>
          <w:sz w:val="24"/>
          <w:u w:val="single"/>
        </w:rPr>
        <w:t>龙州县</w:t>
      </w:r>
      <w:r>
        <w:rPr>
          <w:rFonts w:ascii="仿宋_GB2312" w:eastAsia="仿宋_GB2312"/>
          <w:color w:val="auto"/>
          <w:sz w:val="24"/>
        </w:rPr>
        <w:t>仲裁委员会按照该会仲裁规则进行仲裁，仲裁裁决是终局的，对合同双方均有约束力。</w:t>
      </w:r>
    </w:p>
    <w:p w14:paraId="50282EBE">
      <w:pPr>
        <w:spacing w:line="360" w:lineRule="auto"/>
        <w:ind w:firstLine="480" w:firstLineChars="200"/>
        <w:rPr>
          <w:rFonts w:ascii="仿宋_GB2312" w:eastAsia="仿宋_GB2312"/>
          <w:color w:val="auto"/>
          <w:sz w:val="24"/>
        </w:rPr>
      </w:pPr>
      <w:r>
        <w:rPr>
          <w:rFonts w:ascii="仿宋_GB2312" w:eastAsia="仿宋_GB2312"/>
          <w:color w:val="auto"/>
          <w:sz w:val="24"/>
        </w:rPr>
        <w:t>（2）向</w:t>
      </w:r>
      <w:r>
        <w:rPr>
          <w:rFonts w:hint="eastAsia" w:ascii="仿宋_GB2312" w:eastAsia="仿宋_GB2312"/>
          <w:color w:val="auto"/>
          <w:sz w:val="24"/>
          <w:u w:val="single"/>
        </w:rPr>
        <w:t>龙州县</w:t>
      </w:r>
      <w:r>
        <w:rPr>
          <w:rFonts w:ascii="仿宋_GB2312" w:eastAsia="仿宋_GB2312"/>
          <w:color w:val="auto"/>
          <w:sz w:val="24"/>
        </w:rPr>
        <w:t>人民法院起诉。</w:t>
      </w:r>
    </w:p>
    <w:p w14:paraId="5C90CEBC">
      <w:pPr>
        <w:pStyle w:val="3"/>
        <w:rPr>
          <w:rFonts w:ascii="仿宋_GB2312" w:eastAsia="仿宋_GB2312"/>
          <w:color w:val="auto"/>
          <w:sz w:val="24"/>
          <w:szCs w:val="24"/>
        </w:rPr>
      </w:pPr>
      <w:r>
        <w:rPr>
          <w:rFonts w:hint="eastAsia" w:ascii="仿宋_GB2312" w:eastAsia="仿宋_GB2312"/>
          <w:color w:val="auto"/>
          <w:sz w:val="24"/>
          <w:szCs w:val="24"/>
        </w:rPr>
        <w:t>21. 补充条款</w:t>
      </w:r>
    </w:p>
    <w:p w14:paraId="5282AE66">
      <w:pPr>
        <w:spacing w:line="360" w:lineRule="auto"/>
        <w:ind w:firstLine="480" w:firstLineChars="200"/>
        <w:rPr>
          <w:rFonts w:ascii="仿宋" w:hAnsi="仿宋" w:eastAsia="仿宋"/>
          <w:color w:val="auto"/>
          <w:sz w:val="24"/>
        </w:rPr>
      </w:pPr>
      <w:r>
        <w:rPr>
          <w:rFonts w:ascii="仿宋_GB2312" w:eastAsia="仿宋_GB2312"/>
          <w:color w:val="auto"/>
          <w:sz w:val="24"/>
        </w:rPr>
        <w:t>21.1 凡进入本工程工作的妇女应持有计生证、否则不准安排工作，禁止使用童工。</w:t>
      </w:r>
    </w:p>
    <w:p w14:paraId="66D398AF">
      <w:pPr>
        <w:pStyle w:val="178"/>
        <w:spacing w:line="360" w:lineRule="auto"/>
        <w:ind w:firstLine="420"/>
        <w:rPr>
          <w:rFonts w:ascii="仿宋" w:hAnsi="仿宋" w:eastAsia="仿宋"/>
          <w:color w:val="auto"/>
          <w:sz w:val="24"/>
        </w:rPr>
      </w:pPr>
      <w:r>
        <w:rPr>
          <w:rFonts w:hint="eastAsia" w:ascii="仿宋" w:hAnsi="仿宋" w:eastAsia="仿宋"/>
          <w:color w:val="auto"/>
          <w:sz w:val="24"/>
        </w:rPr>
        <w:t>21.2发包单位要求各投标单位对现场场地情况了解，其回填土方量、材料运输运距增加、实际开挖土方量与图纸工程量不一致、需回填购土运土等，均不得以签证方式增加。</w:t>
      </w:r>
    </w:p>
    <w:p w14:paraId="25F53F70">
      <w:pPr>
        <w:pStyle w:val="178"/>
        <w:spacing w:line="360" w:lineRule="auto"/>
        <w:ind w:firstLine="420"/>
        <w:rPr>
          <w:rFonts w:ascii="仿宋" w:hAnsi="仿宋" w:eastAsia="仿宋"/>
          <w:color w:val="auto"/>
          <w:sz w:val="24"/>
        </w:rPr>
      </w:pPr>
      <w:r>
        <w:rPr>
          <w:rFonts w:hint="eastAsia" w:ascii="仿宋" w:hAnsi="仿宋" w:eastAsia="仿宋"/>
          <w:color w:val="auto"/>
          <w:sz w:val="24"/>
        </w:rPr>
        <w:t>21.3 承包方须在龙州县辖区内的中国工商银行龙州支行开设农民工工资专户。根据《中华人民共和国劳动法》、《工资支付暂行规定》等有关规定，农民工工资管理，按自治区和崇左市的分账管理办法进行，每次申请工程进度款，拨付工程款的25%进入该公司农民工工资专户，用于支付农民工工资。</w:t>
      </w:r>
    </w:p>
    <w:p w14:paraId="5C569E61">
      <w:pPr>
        <w:pStyle w:val="178"/>
        <w:spacing w:line="360" w:lineRule="auto"/>
        <w:ind w:firstLine="42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1</w:t>
      </w:r>
      <w:r>
        <w:rPr>
          <w:rFonts w:hint="eastAsia" w:ascii="仿宋" w:hAnsi="仿宋" w:eastAsia="仿宋"/>
          <w:color w:val="auto"/>
          <w:sz w:val="24"/>
        </w:rPr>
        <w:t>.4工程竣工结算经有关单位审定后，施工单位凭在广西日报或左江日报（或由龙州县劳动局指定）关于该项目材料款及农民工工资结清公告，学校才支付剩余工程结算款（质保金除外）及退还农民工资保证金。</w:t>
      </w:r>
    </w:p>
    <w:p w14:paraId="253065E4">
      <w:pPr>
        <w:pStyle w:val="178"/>
        <w:spacing w:line="360" w:lineRule="auto"/>
        <w:ind w:firstLine="420"/>
        <w:rPr>
          <w:rFonts w:ascii="仿宋" w:hAnsi="仿宋" w:eastAsia="仿宋"/>
          <w:color w:val="auto"/>
          <w:sz w:val="24"/>
        </w:rPr>
      </w:pPr>
      <w:r>
        <w:rPr>
          <w:rFonts w:hint="eastAsia" w:ascii="仿宋" w:hAnsi="仿宋" w:eastAsia="仿宋"/>
          <w:color w:val="auto"/>
          <w:sz w:val="24"/>
        </w:rPr>
        <w:t>21.5发包人有权监督农民工工资支付情况，农民工工资必须每月足额发放，农民工工资发放表及发包人批复的月进度支付报告必须在农民工居住的地方公示一周以上，与此同时，当承包人申请下一次工程进度款时，必须提供上一次支付农民工工资的回执，否则发包人有权拒绝支付下月进度款。如果承包人未能及时支付农民工工资的，发包人有权用进度款优先支付农民工工资，如出现怠工情况而影响工程进度，则按本合同7.5条款处罚。</w:t>
      </w:r>
    </w:p>
    <w:p w14:paraId="2370FD19">
      <w:pPr>
        <w:pStyle w:val="178"/>
        <w:spacing w:line="360" w:lineRule="auto"/>
        <w:ind w:firstLine="420"/>
        <w:rPr>
          <w:rFonts w:ascii="仿宋" w:hAnsi="仿宋" w:eastAsia="仿宋"/>
          <w:color w:val="auto"/>
          <w:sz w:val="24"/>
        </w:rPr>
      </w:pPr>
      <w:r>
        <w:rPr>
          <w:rFonts w:hint="eastAsia" w:ascii="仿宋" w:hAnsi="仿宋" w:eastAsia="仿宋"/>
          <w:color w:val="auto"/>
          <w:sz w:val="24"/>
        </w:rPr>
        <w:t>21.6发包人按本合同的约定按时足额支付工程款，承包人未能按照合同支付材料款或农民工工资造成材料商或农民工到学校催讨款项的，经核实，承包人每次向发包人赔偿壹万元。赔偿金直接从工程款中扣除。发包人有权中止工程进度款或结算款的支付工作，待承包人妥善处理相关事宜后，方才恢复支付工作。</w:t>
      </w:r>
    </w:p>
    <w:p w14:paraId="52BE9D95">
      <w:pPr>
        <w:pStyle w:val="178"/>
        <w:spacing w:line="360" w:lineRule="auto"/>
        <w:ind w:firstLine="420"/>
        <w:rPr>
          <w:rFonts w:ascii="仿宋" w:hAnsi="仿宋" w:eastAsia="仿宋"/>
          <w:color w:val="auto"/>
          <w:sz w:val="24"/>
        </w:rPr>
      </w:pPr>
      <w:r>
        <w:rPr>
          <w:rFonts w:hint="eastAsia" w:ascii="仿宋" w:hAnsi="仿宋" w:eastAsia="仿宋"/>
          <w:color w:val="auto"/>
          <w:sz w:val="24"/>
        </w:rPr>
        <w:t>21.5主体完成后，装饰部分的所有材料进场前必须通过发包人验收合格后方可施工，否则，发包人可认为材料不合格。</w:t>
      </w:r>
    </w:p>
    <w:p w14:paraId="0D37E323">
      <w:pPr>
        <w:pStyle w:val="178"/>
        <w:spacing w:line="360" w:lineRule="auto"/>
        <w:ind w:firstLine="420"/>
        <w:rPr>
          <w:rFonts w:ascii="仿宋" w:hAnsi="仿宋" w:eastAsia="仿宋"/>
          <w:color w:val="auto"/>
          <w:sz w:val="24"/>
        </w:rPr>
      </w:pPr>
      <w:r>
        <w:rPr>
          <w:rFonts w:hint="eastAsia" w:ascii="仿宋" w:hAnsi="仿宋" w:eastAsia="仿宋"/>
          <w:color w:val="auto"/>
          <w:sz w:val="24"/>
        </w:rPr>
        <w:t>21.7工程竣工后，由发包人组织或申报的消防验收、防雷验收、退缴农民工保障金和退缴墙体材料专项基金等项目所需的材料（如合格证、检验报告、发票等详见申报材料清单），属承包人提供的，必须提供并协助发包人申报办理，否则，发包人有权用工程款优先支付相应等额的已缴纳的费用。</w:t>
      </w:r>
    </w:p>
    <w:p w14:paraId="21C12FE8">
      <w:pPr>
        <w:pStyle w:val="3"/>
        <w:rPr>
          <w:rFonts w:hint="eastAsia" w:ascii="仿宋_GB2312" w:eastAsia="仿宋_GB2312"/>
          <w:color w:val="auto"/>
          <w:sz w:val="24"/>
          <w:szCs w:val="24"/>
        </w:rPr>
      </w:pPr>
    </w:p>
    <w:p w14:paraId="6039ACC3">
      <w:pPr>
        <w:pStyle w:val="3"/>
        <w:rPr>
          <w:rFonts w:hint="eastAsia" w:ascii="仿宋_GB2312" w:eastAsia="仿宋_GB2312"/>
          <w:color w:val="auto"/>
          <w:sz w:val="24"/>
          <w:szCs w:val="24"/>
        </w:rPr>
      </w:pPr>
    </w:p>
    <w:bookmarkEnd w:id="151"/>
    <w:bookmarkEnd w:id="152"/>
    <w:bookmarkEnd w:id="153"/>
    <w:bookmarkEnd w:id="154"/>
    <w:bookmarkEnd w:id="155"/>
    <w:bookmarkEnd w:id="156"/>
    <w:p w14:paraId="430BC189">
      <w:pPr>
        <w:pStyle w:val="178"/>
        <w:spacing w:line="360" w:lineRule="auto"/>
        <w:ind w:firstLine="420"/>
        <w:rPr>
          <w:rFonts w:ascii="仿宋" w:hAnsi="仿宋" w:eastAsia="仿宋"/>
          <w:color w:val="auto"/>
          <w:sz w:val="24"/>
        </w:rPr>
      </w:pPr>
    </w:p>
    <w:p w14:paraId="40C730E6">
      <w:pPr>
        <w:pStyle w:val="178"/>
        <w:spacing w:line="360" w:lineRule="auto"/>
        <w:ind w:firstLine="420"/>
        <w:rPr>
          <w:rFonts w:ascii="仿宋" w:hAnsi="仿宋" w:eastAsia="仿宋"/>
          <w:color w:val="auto"/>
          <w:sz w:val="24"/>
        </w:rPr>
      </w:pPr>
    </w:p>
    <w:p w14:paraId="513028E2">
      <w:pPr>
        <w:pStyle w:val="178"/>
        <w:spacing w:line="360" w:lineRule="auto"/>
        <w:ind w:firstLine="420"/>
        <w:rPr>
          <w:rFonts w:ascii="仿宋" w:hAnsi="仿宋" w:eastAsia="仿宋"/>
          <w:color w:val="auto"/>
          <w:sz w:val="24"/>
        </w:rPr>
      </w:pPr>
    </w:p>
    <w:p w14:paraId="52B0DE1F">
      <w:pPr>
        <w:pStyle w:val="178"/>
        <w:spacing w:line="360" w:lineRule="auto"/>
        <w:ind w:firstLine="420"/>
        <w:rPr>
          <w:rFonts w:ascii="仿宋" w:hAnsi="仿宋" w:eastAsia="仿宋"/>
          <w:color w:val="auto"/>
          <w:sz w:val="24"/>
        </w:rPr>
      </w:pPr>
    </w:p>
    <w:p w14:paraId="40A638B5">
      <w:pPr>
        <w:pStyle w:val="178"/>
        <w:spacing w:line="360" w:lineRule="auto"/>
        <w:ind w:firstLine="420"/>
        <w:rPr>
          <w:rFonts w:ascii="仿宋" w:hAnsi="仿宋" w:eastAsia="仿宋"/>
          <w:color w:val="auto"/>
          <w:sz w:val="24"/>
        </w:rPr>
      </w:pPr>
    </w:p>
    <w:p w14:paraId="42A85292">
      <w:pPr>
        <w:pStyle w:val="178"/>
        <w:spacing w:line="360" w:lineRule="auto"/>
        <w:ind w:firstLine="420"/>
        <w:rPr>
          <w:rFonts w:ascii="仿宋" w:hAnsi="仿宋" w:eastAsia="仿宋"/>
          <w:color w:val="auto"/>
          <w:sz w:val="24"/>
        </w:rPr>
      </w:pPr>
    </w:p>
    <w:p w14:paraId="3305D3F9">
      <w:pPr>
        <w:pStyle w:val="178"/>
        <w:spacing w:line="360" w:lineRule="auto"/>
        <w:ind w:firstLine="420"/>
        <w:rPr>
          <w:rFonts w:ascii="仿宋" w:hAnsi="仿宋" w:eastAsia="仿宋"/>
          <w:color w:val="auto"/>
          <w:sz w:val="24"/>
        </w:rPr>
      </w:pPr>
    </w:p>
    <w:p w14:paraId="5DC33EE6">
      <w:pPr>
        <w:pStyle w:val="178"/>
        <w:spacing w:line="360" w:lineRule="auto"/>
        <w:ind w:firstLine="420"/>
        <w:rPr>
          <w:rFonts w:ascii="仿宋" w:hAnsi="仿宋" w:eastAsia="仿宋"/>
          <w:color w:val="auto"/>
          <w:sz w:val="24"/>
        </w:rPr>
      </w:pPr>
    </w:p>
    <w:p w14:paraId="50642537">
      <w:pPr>
        <w:pStyle w:val="178"/>
        <w:spacing w:line="360" w:lineRule="auto"/>
        <w:ind w:firstLine="420"/>
        <w:rPr>
          <w:rFonts w:ascii="仿宋" w:hAnsi="仿宋" w:eastAsia="仿宋"/>
          <w:color w:val="auto"/>
          <w:sz w:val="24"/>
        </w:rPr>
      </w:pPr>
    </w:p>
    <w:p w14:paraId="7485EBEC">
      <w:pPr>
        <w:pStyle w:val="178"/>
        <w:spacing w:line="360" w:lineRule="auto"/>
        <w:rPr>
          <w:rFonts w:ascii="仿宋" w:hAnsi="仿宋" w:eastAsia="仿宋"/>
          <w:color w:val="auto"/>
          <w:sz w:val="24"/>
        </w:rPr>
      </w:pPr>
    </w:p>
    <w:p w14:paraId="4A104968">
      <w:pPr>
        <w:pStyle w:val="178"/>
        <w:spacing w:line="360" w:lineRule="auto"/>
        <w:ind w:firstLine="420"/>
        <w:rPr>
          <w:rFonts w:ascii="仿宋" w:hAnsi="仿宋" w:eastAsia="仿宋"/>
          <w:color w:val="auto"/>
          <w:sz w:val="24"/>
        </w:rPr>
      </w:pPr>
    </w:p>
    <w:p w14:paraId="25067A26">
      <w:pPr>
        <w:pStyle w:val="242"/>
        <w:spacing w:beforeLines="50" w:afterLines="50" w:line="440" w:lineRule="exact"/>
        <w:jc w:val="center"/>
        <w:rPr>
          <w:rFonts w:ascii="黑体" w:hAnsi="Times New Roman" w:eastAsia="黑体"/>
          <w:color w:val="auto"/>
          <w:sz w:val="32"/>
          <w:szCs w:val="32"/>
        </w:rPr>
      </w:pPr>
      <w:r>
        <w:rPr>
          <w:rFonts w:hint="eastAsia" w:ascii="黑体" w:hAnsi="宋体" w:eastAsia="黑体" w:cs="黑体"/>
          <w:color w:val="auto"/>
          <w:sz w:val="32"/>
          <w:szCs w:val="32"/>
        </w:rPr>
        <w:t>工程质量保修书（</w:t>
      </w:r>
      <w:r>
        <w:rPr>
          <w:rFonts w:hint="eastAsia" w:ascii="黑体" w:hAnsi="宋体" w:eastAsia="黑体" w:cs="黑体"/>
          <w:color w:val="auto"/>
          <w:sz w:val="32"/>
          <w:szCs w:val="32"/>
          <w:lang w:eastAsia="zh-CN"/>
        </w:rPr>
        <w:t>市政公用工程</w:t>
      </w:r>
      <w:r>
        <w:rPr>
          <w:rFonts w:hint="eastAsia" w:ascii="黑体" w:hAnsi="宋体" w:eastAsia="黑体" w:cs="黑体"/>
          <w:color w:val="auto"/>
          <w:sz w:val="32"/>
          <w:szCs w:val="32"/>
        </w:rPr>
        <w:t>）</w:t>
      </w:r>
    </w:p>
    <w:p w14:paraId="7754AA4C">
      <w:pPr>
        <w:pStyle w:val="242"/>
        <w:spacing w:line="440" w:lineRule="exact"/>
        <w:rPr>
          <w:rFonts w:ascii="Times New Roman" w:hAnsi="Times New Roman"/>
          <w:color w:val="auto"/>
          <w:szCs w:val="21"/>
        </w:rPr>
      </w:pPr>
    </w:p>
    <w:p w14:paraId="7241B7A3">
      <w:pPr>
        <w:pStyle w:val="178"/>
        <w:spacing w:line="360" w:lineRule="auto"/>
        <w:rPr>
          <w:rFonts w:hint="eastAsia" w:ascii="Times New Roman" w:hAnsi="宋体" w:cs="宋体"/>
          <w:color w:val="auto"/>
          <w:szCs w:val="21"/>
        </w:rPr>
      </w:pPr>
      <w:r>
        <w:rPr>
          <w:rFonts w:hint="eastAsia" w:ascii="Times New Roman" w:hAnsi="宋体" w:cs="宋体"/>
          <w:color w:val="auto"/>
          <w:szCs w:val="21"/>
        </w:rPr>
        <w:t>工程质量保修书（市政公用工程）</w:t>
      </w:r>
    </w:p>
    <w:p w14:paraId="11E3BBDE">
      <w:pPr>
        <w:pStyle w:val="178"/>
        <w:spacing w:line="360" w:lineRule="auto"/>
        <w:rPr>
          <w:rFonts w:hint="eastAsia" w:ascii="Times New Roman" w:hAnsi="宋体" w:cs="宋体"/>
          <w:color w:val="auto"/>
          <w:szCs w:val="21"/>
        </w:rPr>
      </w:pPr>
      <w:r>
        <w:rPr>
          <w:rFonts w:hint="eastAsia" w:ascii="Times New Roman" w:hAnsi="宋体" w:cs="宋体"/>
          <w:color w:val="auto"/>
          <w:szCs w:val="21"/>
        </w:rPr>
        <w:t xml:space="preserve">发包人（全称）：                                 </w:t>
      </w:r>
    </w:p>
    <w:p w14:paraId="1325719F">
      <w:pPr>
        <w:pStyle w:val="178"/>
        <w:spacing w:line="360" w:lineRule="auto"/>
        <w:rPr>
          <w:rFonts w:hint="eastAsia" w:ascii="Times New Roman" w:hAnsi="宋体" w:cs="宋体"/>
          <w:color w:val="auto"/>
          <w:szCs w:val="21"/>
        </w:rPr>
      </w:pPr>
      <w:r>
        <w:rPr>
          <w:rFonts w:hint="eastAsia" w:ascii="Times New Roman" w:hAnsi="宋体" w:cs="宋体"/>
          <w:color w:val="auto"/>
          <w:szCs w:val="21"/>
        </w:rPr>
        <w:t xml:space="preserve">承包人（全称）：                                 </w:t>
      </w:r>
    </w:p>
    <w:p w14:paraId="07989954">
      <w:pPr>
        <w:pStyle w:val="178"/>
        <w:spacing w:line="360" w:lineRule="auto"/>
        <w:rPr>
          <w:rFonts w:hint="eastAsia" w:ascii="Times New Roman" w:hAnsi="宋体" w:cs="宋体"/>
          <w:color w:val="auto"/>
          <w:szCs w:val="21"/>
        </w:rPr>
      </w:pPr>
    </w:p>
    <w:p w14:paraId="06B00134">
      <w:pPr>
        <w:pStyle w:val="178"/>
        <w:spacing w:line="360" w:lineRule="auto"/>
        <w:rPr>
          <w:rFonts w:hint="eastAsia" w:ascii="Times New Roman" w:hAnsi="宋体" w:cs="宋体"/>
          <w:color w:val="auto"/>
          <w:szCs w:val="21"/>
        </w:rPr>
      </w:pPr>
      <w:r>
        <w:rPr>
          <w:rFonts w:hint="eastAsia" w:ascii="Times New Roman" w:hAnsi="宋体" w:cs="宋体"/>
          <w:color w:val="auto"/>
          <w:szCs w:val="21"/>
        </w:rPr>
        <w:t>发包人和承包人根据《中华人民共和国建筑法》和《建设工程质量管理条例》，经协商一致就                                     （工程全称）签订工程质量保修书。</w:t>
      </w:r>
    </w:p>
    <w:p w14:paraId="48417C51">
      <w:pPr>
        <w:pStyle w:val="178"/>
        <w:spacing w:line="360" w:lineRule="auto"/>
        <w:rPr>
          <w:rFonts w:hint="eastAsia" w:ascii="Times New Roman" w:hAnsi="宋体" w:cs="宋体"/>
          <w:color w:val="auto"/>
          <w:szCs w:val="21"/>
        </w:rPr>
      </w:pPr>
      <w:r>
        <w:rPr>
          <w:rFonts w:hint="eastAsia" w:ascii="Times New Roman" w:hAnsi="宋体" w:cs="宋体"/>
          <w:color w:val="auto"/>
          <w:szCs w:val="21"/>
        </w:rPr>
        <w:t>一、工程质量保修范围和内容</w:t>
      </w:r>
    </w:p>
    <w:p w14:paraId="10F550F7">
      <w:pPr>
        <w:pStyle w:val="178"/>
        <w:spacing w:line="360" w:lineRule="auto"/>
        <w:rPr>
          <w:rFonts w:hint="eastAsia" w:ascii="Times New Roman" w:hAnsi="宋体" w:cs="宋体"/>
          <w:color w:val="auto"/>
          <w:szCs w:val="21"/>
        </w:rPr>
      </w:pPr>
      <w:r>
        <w:rPr>
          <w:rFonts w:hint="eastAsia" w:ascii="Times New Roman" w:hAnsi="宋体" w:cs="宋体"/>
          <w:color w:val="auto"/>
          <w:szCs w:val="21"/>
        </w:rPr>
        <w:t>承包人在质量保修期内，按照有关法律规定和合同约定，承担工程质量保修责任。</w:t>
      </w:r>
    </w:p>
    <w:p w14:paraId="4B431E1A">
      <w:pPr>
        <w:pStyle w:val="178"/>
        <w:spacing w:line="360" w:lineRule="auto"/>
        <w:rPr>
          <w:rFonts w:hint="eastAsia" w:ascii="Times New Roman" w:hAnsi="宋体" w:cs="宋体"/>
          <w:color w:val="auto"/>
          <w:szCs w:val="21"/>
        </w:rPr>
      </w:pPr>
      <w:r>
        <w:rPr>
          <w:rFonts w:hint="eastAsia" w:ascii="Times New Roman" w:hAnsi="宋体" w:cs="宋体"/>
          <w:color w:val="auto"/>
          <w:szCs w:val="21"/>
        </w:rPr>
        <w:t xml:space="preserve">质量保修范围包括 </w:t>
      </w:r>
      <w:r>
        <w:rPr>
          <w:rFonts w:hint="eastAsia" w:ascii="Times New Roman" w:hAnsi="宋体" w:cs="宋体"/>
          <w:color w:val="auto"/>
          <w:szCs w:val="21"/>
          <w:u w:val="single"/>
        </w:rPr>
        <w:t xml:space="preserve">                              </w:t>
      </w:r>
      <w:r>
        <w:rPr>
          <w:rFonts w:hint="eastAsia" w:ascii="Times New Roman" w:hAnsi="宋体" w:cs="宋体"/>
          <w:color w:val="auto"/>
          <w:szCs w:val="21"/>
        </w:rPr>
        <w:t xml:space="preserve"> ，以及双方约定的其他项目。具体保修的内容，双方约定如下：</w:t>
      </w:r>
    </w:p>
    <w:p w14:paraId="75C16C4A">
      <w:pPr>
        <w:pStyle w:val="178"/>
        <w:spacing w:line="360" w:lineRule="auto"/>
        <w:rPr>
          <w:rFonts w:hint="eastAsia" w:ascii="Times New Roman" w:hAnsi="宋体" w:cs="宋体"/>
          <w:color w:val="auto"/>
          <w:szCs w:val="21"/>
        </w:rPr>
      </w:pPr>
      <w:r>
        <w:rPr>
          <w:rFonts w:hint="eastAsia" w:ascii="Times New Roman" w:hAnsi="宋体" w:cs="宋体"/>
          <w:color w:val="auto"/>
          <w:szCs w:val="21"/>
        </w:rPr>
        <w:t xml:space="preserve">                                                                                                                                                              。</w:t>
      </w:r>
    </w:p>
    <w:p w14:paraId="6DC2CFAB">
      <w:pPr>
        <w:pStyle w:val="178"/>
        <w:spacing w:line="360" w:lineRule="auto"/>
        <w:rPr>
          <w:rFonts w:hint="eastAsia" w:ascii="Times New Roman" w:hAnsi="宋体" w:cs="宋体"/>
          <w:color w:val="auto"/>
          <w:szCs w:val="21"/>
        </w:rPr>
      </w:pPr>
      <w:r>
        <w:rPr>
          <w:rFonts w:hint="eastAsia" w:ascii="Times New Roman" w:hAnsi="宋体" w:cs="宋体"/>
          <w:color w:val="auto"/>
          <w:szCs w:val="21"/>
        </w:rPr>
        <w:t>二、质量保修期</w:t>
      </w:r>
    </w:p>
    <w:p w14:paraId="3105BC4A">
      <w:pPr>
        <w:pStyle w:val="178"/>
        <w:spacing w:line="360" w:lineRule="auto"/>
        <w:rPr>
          <w:rFonts w:hint="eastAsia" w:ascii="Times New Roman" w:hAnsi="宋体" w:cs="宋体"/>
          <w:color w:val="auto"/>
          <w:szCs w:val="21"/>
        </w:rPr>
      </w:pPr>
      <w:r>
        <w:rPr>
          <w:rFonts w:hint="eastAsia" w:ascii="Times New Roman" w:hAnsi="宋体" w:cs="宋体"/>
          <w:color w:val="auto"/>
          <w:szCs w:val="21"/>
        </w:rPr>
        <w:t>根据《建设工程质量管理条例》及有关规定，工程的质量保修期如下：</w:t>
      </w:r>
    </w:p>
    <w:p w14:paraId="01BECBC8">
      <w:pPr>
        <w:pStyle w:val="178"/>
        <w:spacing w:line="360" w:lineRule="auto"/>
        <w:rPr>
          <w:rFonts w:hint="eastAsia" w:ascii="Times New Roman" w:hAnsi="宋体" w:cs="宋体"/>
          <w:color w:val="auto"/>
          <w:szCs w:val="21"/>
        </w:rPr>
      </w:pPr>
      <w:r>
        <w:rPr>
          <w:rFonts w:hint="eastAsia" w:ascii="Times New Roman" w:hAnsi="宋体" w:cs="宋体"/>
          <w:color w:val="auto"/>
          <w:szCs w:val="21"/>
        </w:rPr>
        <w:t xml:space="preserve">1．桥梁工程为  </w:t>
      </w:r>
      <w:r>
        <w:rPr>
          <w:rFonts w:hint="eastAsia" w:hAnsi="宋体" w:cs="宋体"/>
          <w:color w:val="auto"/>
          <w:szCs w:val="21"/>
          <w:lang w:val="en-US" w:eastAsia="zh-CN"/>
        </w:rPr>
        <w:t>/</w:t>
      </w:r>
      <w:r>
        <w:rPr>
          <w:rFonts w:hint="eastAsia" w:ascii="Times New Roman" w:hAnsi="宋体" w:cs="宋体"/>
          <w:color w:val="auto"/>
          <w:szCs w:val="21"/>
        </w:rPr>
        <w:t xml:space="preserve">   年（建议桥梁隧道主体结构工程为设计文件规定的合理使用年限）；</w:t>
      </w:r>
    </w:p>
    <w:p w14:paraId="078107BC">
      <w:pPr>
        <w:pStyle w:val="178"/>
        <w:spacing w:line="360" w:lineRule="auto"/>
        <w:rPr>
          <w:rFonts w:hint="eastAsia" w:ascii="Times New Roman" w:hAnsi="宋体" w:cs="宋体"/>
          <w:color w:val="auto"/>
          <w:szCs w:val="21"/>
        </w:rPr>
      </w:pPr>
      <w:r>
        <w:rPr>
          <w:rFonts w:hint="eastAsia" w:ascii="Times New Roman" w:hAnsi="宋体" w:cs="宋体"/>
          <w:color w:val="auto"/>
          <w:szCs w:val="21"/>
        </w:rPr>
        <w:t>2．道路工程为</w:t>
      </w:r>
      <w:r>
        <w:rPr>
          <w:rFonts w:hint="eastAsia" w:hAnsi="宋体" w:cs="宋体"/>
          <w:color w:val="auto"/>
          <w:szCs w:val="21"/>
          <w:lang w:val="en-US" w:eastAsia="zh-CN"/>
        </w:rPr>
        <w:t>2</w:t>
      </w:r>
      <w:r>
        <w:rPr>
          <w:rFonts w:hint="eastAsia" w:ascii="Times New Roman" w:hAnsi="宋体" w:cs="宋体"/>
          <w:color w:val="auto"/>
          <w:szCs w:val="21"/>
        </w:rPr>
        <w:t xml:space="preserve"> 年（建议路基、路面、桥面为2年）；</w:t>
      </w:r>
    </w:p>
    <w:p w14:paraId="61A1D9BB">
      <w:pPr>
        <w:pStyle w:val="178"/>
        <w:spacing w:line="360" w:lineRule="auto"/>
        <w:rPr>
          <w:rFonts w:hint="eastAsia" w:ascii="Times New Roman" w:hAnsi="宋体" w:cs="宋体"/>
          <w:color w:val="auto"/>
          <w:szCs w:val="21"/>
        </w:rPr>
      </w:pPr>
      <w:r>
        <w:rPr>
          <w:rFonts w:hint="eastAsia" w:ascii="Times New Roman" w:hAnsi="宋体" w:cs="宋体"/>
          <w:color w:val="auto"/>
          <w:szCs w:val="21"/>
        </w:rPr>
        <w:t>3．排水（雨水）工程为</w:t>
      </w:r>
      <w:r>
        <w:rPr>
          <w:rFonts w:hint="eastAsia" w:hAnsi="宋体" w:cs="宋体"/>
          <w:color w:val="auto"/>
          <w:szCs w:val="21"/>
          <w:lang w:val="en-US" w:eastAsia="zh-CN"/>
        </w:rPr>
        <w:t>3</w:t>
      </w:r>
      <w:r>
        <w:rPr>
          <w:rFonts w:hint="eastAsia" w:ascii="Times New Roman" w:hAnsi="宋体" w:cs="宋体"/>
          <w:color w:val="auto"/>
          <w:szCs w:val="21"/>
        </w:rPr>
        <w:t>年（建议道路工程中的排水工程为3年）；</w:t>
      </w:r>
    </w:p>
    <w:p w14:paraId="7D481F19">
      <w:pPr>
        <w:pStyle w:val="178"/>
        <w:spacing w:line="360" w:lineRule="auto"/>
        <w:rPr>
          <w:rFonts w:hint="eastAsia" w:ascii="Times New Roman" w:hAnsi="宋体" w:cs="宋体"/>
          <w:color w:val="auto"/>
          <w:szCs w:val="21"/>
        </w:rPr>
      </w:pPr>
      <w:r>
        <w:rPr>
          <w:rFonts w:hint="eastAsia" w:ascii="Times New Roman" w:hAnsi="宋体" w:cs="宋体"/>
          <w:color w:val="auto"/>
          <w:szCs w:val="21"/>
        </w:rPr>
        <w:t>4．绿化工程为 单位工程竣工验收合格后</w:t>
      </w:r>
      <w:r>
        <w:rPr>
          <w:rFonts w:hint="eastAsia" w:hAnsi="宋体" w:cs="宋体"/>
          <w:color w:val="auto"/>
          <w:szCs w:val="21"/>
          <w:lang w:val="en-US" w:eastAsia="zh-CN"/>
        </w:rPr>
        <w:t>2</w:t>
      </w:r>
      <w:r>
        <w:rPr>
          <w:rFonts w:hint="eastAsia" w:ascii="Times New Roman" w:hAnsi="宋体" w:cs="宋体"/>
          <w:color w:val="auto"/>
          <w:szCs w:val="21"/>
        </w:rPr>
        <w:t>年；</w:t>
      </w:r>
    </w:p>
    <w:p w14:paraId="6FD301C0">
      <w:pPr>
        <w:pStyle w:val="178"/>
        <w:spacing w:line="360" w:lineRule="auto"/>
        <w:rPr>
          <w:rFonts w:hint="eastAsia" w:ascii="Times New Roman" w:hAnsi="宋体" w:cs="宋体"/>
          <w:color w:val="auto"/>
          <w:szCs w:val="21"/>
        </w:rPr>
      </w:pPr>
      <w:r>
        <w:rPr>
          <w:rFonts w:hint="eastAsia" w:ascii="Times New Roman" w:hAnsi="宋体" w:cs="宋体"/>
          <w:color w:val="auto"/>
          <w:szCs w:val="21"/>
        </w:rPr>
        <w:t>5.  地下防水工程为     年（建议为5年）；</w:t>
      </w:r>
    </w:p>
    <w:p w14:paraId="6AC86D86">
      <w:pPr>
        <w:pStyle w:val="178"/>
        <w:spacing w:line="360" w:lineRule="auto"/>
        <w:rPr>
          <w:rFonts w:hint="eastAsia" w:ascii="Times New Roman" w:hAnsi="宋体" w:cs="宋体"/>
          <w:color w:val="auto"/>
          <w:szCs w:val="21"/>
        </w:rPr>
      </w:pPr>
      <w:r>
        <w:rPr>
          <w:rFonts w:hint="eastAsia" w:ascii="Times New Roman" w:hAnsi="宋体" w:cs="宋体"/>
          <w:color w:val="auto"/>
          <w:szCs w:val="21"/>
        </w:rPr>
        <w:t>6．其他附属工程为</w:t>
      </w:r>
      <w:r>
        <w:rPr>
          <w:rFonts w:hint="eastAsia" w:hAnsi="宋体" w:cs="宋体"/>
          <w:color w:val="auto"/>
          <w:szCs w:val="21"/>
          <w:lang w:val="en-US" w:eastAsia="zh-CN"/>
        </w:rPr>
        <w:t>2</w:t>
      </w:r>
      <w:r>
        <w:rPr>
          <w:rFonts w:hint="eastAsia" w:ascii="Times New Roman" w:hAnsi="宋体" w:cs="宋体"/>
          <w:color w:val="auto"/>
          <w:szCs w:val="21"/>
        </w:rPr>
        <w:t xml:space="preserve"> 年；</w:t>
      </w:r>
    </w:p>
    <w:p w14:paraId="16EDAB31">
      <w:pPr>
        <w:pStyle w:val="178"/>
        <w:spacing w:line="360" w:lineRule="auto"/>
        <w:rPr>
          <w:rFonts w:hint="eastAsia" w:ascii="Times New Roman" w:hAnsi="宋体" w:cs="宋体"/>
          <w:color w:val="auto"/>
          <w:szCs w:val="21"/>
        </w:rPr>
      </w:pPr>
      <w:r>
        <w:rPr>
          <w:rFonts w:hint="eastAsia" w:ascii="Times New Roman" w:hAnsi="宋体" w:cs="宋体"/>
          <w:color w:val="auto"/>
          <w:szCs w:val="21"/>
        </w:rPr>
        <w:t>7．其他项目保修期限约定如下：</w:t>
      </w:r>
      <w:r>
        <w:rPr>
          <w:rFonts w:hint="eastAsia" w:hAnsi="宋体" w:cs="宋体"/>
          <w:color w:val="auto"/>
          <w:szCs w:val="21"/>
          <w:lang w:eastAsia="zh-CN"/>
        </w:rPr>
        <w:t>无</w:t>
      </w:r>
    </w:p>
    <w:p w14:paraId="579C356F">
      <w:pPr>
        <w:pStyle w:val="178"/>
        <w:spacing w:line="360" w:lineRule="auto"/>
        <w:rPr>
          <w:rFonts w:hint="eastAsia" w:ascii="Times New Roman" w:hAnsi="宋体" w:cs="宋体"/>
          <w:color w:val="auto"/>
          <w:szCs w:val="21"/>
        </w:rPr>
      </w:pPr>
      <w:r>
        <w:rPr>
          <w:rFonts w:hint="eastAsia" w:ascii="Times New Roman" w:hAnsi="宋体" w:cs="宋体"/>
          <w:color w:val="auto"/>
          <w:szCs w:val="21"/>
        </w:rPr>
        <w:t>质量保修期自工程竣工验收合格之日起计算。</w:t>
      </w:r>
    </w:p>
    <w:p w14:paraId="533EA2DE">
      <w:pPr>
        <w:pStyle w:val="178"/>
        <w:spacing w:line="360" w:lineRule="auto"/>
        <w:rPr>
          <w:rFonts w:hint="eastAsia" w:ascii="Times New Roman" w:hAnsi="宋体" w:cs="宋体"/>
          <w:color w:val="auto"/>
          <w:szCs w:val="21"/>
        </w:rPr>
      </w:pPr>
      <w:r>
        <w:rPr>
          <w:rFonts w:hint="eastAsia" w:ascii="Times New Roman" w:hAnsi="宋体" w:cs="宋体"/>
          <w:color w:val="auto"/>
          <w:szCs w:val="21"/>
        </w:rPr>
        <w:t>三、缺陷责任期</w:t>
      </w:r>
    </w:p>
    <w:p w14:paraId="3D0F2E0B">
      <w:pPr>
        <w:pStyle w:val="178"/>
        <w:spacing w:line="360" w:lineRule="auto"/>
        <w:rPr>
          <w:rFonts w:hint="eastAsia" w:ascii="Times New Roman" w:hAnsi="宋体" w:cs="宋体"/>
          <w:color w:val="auto"/>
          <w:szCs w:val="21"/>
        </w:rPr>
      </w:pPr>
      <w:r>
        <w:rPr>
          <w:rFonts w:hint="eastAsia" w:ascii="Times New Roman" w:hAnsi="宋体" w:cs="宋体"/>
          <w:color w:val="auto"/>
          <w:szCs w:val="21"/>
        </w:rPr>
        <w:t>工程缺陷责任期为         个月（最长不超过24个月），缺陷责任期自工程竣工验收合格之日起计算。单位工程先于全部工程进行验收，单位工程缺陷责任期自单位工程验收合格之日起算。</w:t>
      </w:r>
    </w:p>
    <w:p w14:paraId="17D6832C">
      <w:pPr>
        <w:pStyle w:val="178"/>
        <w:spacing w:line="360" w:lineRule="auto"/>
        <w:rPr>
          <w:rFonts w:hint="eastAsia" w:ascii="Times New Roman" w:hAnsi="宋体" w:cs="宋体"/>
          <w:color w:val="auto"/>
          <w:szCs w:val="21"/>
        </w:rPr>
      </w:pPr>
      <w:r>
        <w:rPr>
          <w:rFonts w:hint="eastAsia" w:ascii="Times New Roman" w:hAnsi="宋体" w:cs="宋体"/>
          <w:color w:val="auto"/>
          <w:szCs w:val="21"/>
        </w:rPr>
        <w:t>缺陷责任期满之日起    天（按合同约定期限），发包人应退还剩余的质量保证金。</w:t>
      </w:r>
    </w:p>
    <w:p w14:paraId="04AC1E63">
      <w:pPr>
        <w:pStyle w:val="178"/>
        <w:spacing w:line="360" w:lineRule="auto"/>
        <w:rPr>
          <w:rFonts w:hint="eastAsia" w:ascii="Times New Roman" w:hAnsi="宋体" w:cs="宋体"/>
          <w:color w:val="auto"/>
          <w:szCs w:val="21"/>
        </w:rPr>
      </w:pPr>
      <w:r>
        <w:rPr>
          <w:rFonts w:hint="eastAsia" w:ascii="Times New Roman" w:hAnsi="宋体" w:cs="宋体"/>
          <w:color w:val="auto"/>
          <w:szCs w:val="21"/>
        </w:rPr>
        <w:t>四、质量保修责任</w:t>
      </w:r>
    </w:p>
    <w:p w14:paraId="5CC8AEC2">
      <w:pPr>
        <w:pStyle w:val="178"/>
        <w:spacing w:line="360" w:lineRule="auto"/>
        <w:rPr>
          <w:rFonts w:hint="eastAsia" w:ascii="Times New Roman" w:hAnsi="宋体" w:cs="宋体"/>
          <w:color w:val="auto"/>
          <w:szCs w:val="21"/>
        </w:rPr>
      </w:pPr>
      <w:r>
        <w:rPr>
          <w:rFonts w:hint="eastAsia" w:ascii="Times New Roman" w:hAnsi="宋体" w:cs="宋体"/>
          <w:color w:val="auto"/>
          <w:szCs w:val="21"/>
        </w:rPr>
        <w:t>1．属于保修范围、内容的项目，承包人应当在接到保修通知之日起      天内派人保修。承包人不在约定期限内派人保修的，发包人可以委托他人修理，修理费用从质量保证金内扣除。</w:t>
      </w:r>
    </w:p>
    <w:p w14:paraId="44F34AAC">
      <w:pPr>
        <w:pStyle w:val="178"/>
        <w:spacing w:line="360" w:lineRule="auto"/>
        <w:rPr>
          <w:rFonts w:hint="eastAsia" w:ascii="Times New Roman" w:hAnsi="宋体" w:cs="宋体"/>
          <w:color w:val="auto"/>
          <w:szCs w:val="21"/>
        </w:rPr>
      </w:pPr>
      <w:r>
        <w:rPr>
          <w:rFonts w:hint="eastAsia" w:ascii="Times New Roman" w:hAnsi="宋体" w:cs="宋体"/>
          <w:color w:val="auto"/>
          <w:szCs w:val="21"/>
        </w:rPr>
        <w:t>2．发生紧急事故需抢修的，承包人在接到事故通知后，应当立即到达事故现场抢修。</w:t>
      </w:r>
    </w:p>
    <w:p w14:paraId="0188A9FD">
      <w:pPr>
        <w:pStyle w:val="178"/>
        <w:spacing w:line="360" w:lineRule="auto"/>
        <w:rPr>
          <w:rFonts w:hint="eastAsia" w:ascii="Times New Roman" w:hAnsi="宋体" w:cs="宋体"/>
          <w:color w:val="auto"/>
          <w:szCs w:val="21"/>
        </w:rPr>
      </w:pPr>
      <w:r>
        <w:rPr>
          <w:rFonts w:hint="eastAsia" w:ascii="Times New Roman" w:hAnsi="宋体" w:cs="宋体"/>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304B573">
      <w:pPr>
        <w:pStyle w:val="178"/>
        <w:spacing w:line="360" w:lineRule="auto"/>
        <w:rPr>
          <w:rFonts w:hint="eastAsia" w:ascii="Times New Roman" w:hAnsi="宋体" w:cs="宋体"/>
          <w:color w:val="auto"/>
          <w:szCs w:val="21"/>
        </w:rPr>
      </w:pPr>
      <w:r>
        <w:rPr>
          <w:rFonts w:hint="eastAsia" w:ascii="Times New Roman" w:hAnsi="宋体" w:cs="宋体"/>
          <w:color w:val="auto"/>
          <w:szCs w:val="21"/>
        </w:rPr>
        <w:t>4．质量保修完成后，由发包人组织验收。</w:t>
      </w:r>
    </w:p>
    <w:p w14:paraId="4C43800B">
      <w:pPr>
        <w:pStyle w:val="178"/>
        <w:spacing w:line="360" w:lineRule="auto"/>
        <w:rPr>
          <w:rFonts w:hint="eastAsia" w:ascii="Times New Roman" w:hAnsi="宋体" w:cs="宋体"/>
          <w:color w:val="auto"/>
          <w:szCs w:val="21"/>
        </w:rPr>
      </w:pPr>
      <w:r>
        <w:rPr>
          <w:rFonts w:hint="eastAsia" w:ascii="Times New Roman" w:hAnsi="宋体" w:cs="宋体"/>
          <w:color w:val="auto"/>
          <w:szCs w:val="21"/>
        </w:rPr>
        <w:t>五、保修费用</w:t>
      </w:r>
    </w:p>
    <w:p w14:paraId="6BAB45E7">
      <w:pPr>
        <w:pStyle w:val="178"/>
        <w:spacing w:line="360" w:lineRule="auto"/>
        <w:rPr>
          <w:rFonts w:hint="eastAsia" w:ascii="Times New Roman" w:hAnsi="宋体" w:cs="宋体"/>
          <w:color w:val="auto"/>
          <w:szCs w:val="21"/>
        </w:rPr>
      </w:pPr>
      <w:r>
        <w:rPr>
          <w:rFonts w:hint="eastAsia" w:ascii="Times New Roman" w:hAnsi="宋体" w:cs="宋体"/>
          <w:color w:val="auto"/>
          <w:szCs w:val="21"/>
        </w:rPr>
        <w:t>保修费用由造成质量缺陷的责任方承担。</w:t>
      </w:r>
    </w:p>
    <w:p w14:paraId="6B774D96">
      <w:pPr>
        <w:pStyle w:val="178"/>
        <w:spacing w:line="360" w:lineRule="auto"/>
        <w:rPr>
          <w:rFonts w:hint="eastAsia" w:ascii="Times New Roman" w:hAnsi="宋体" w:eastAsia="宋体" w:cs="宋体"/>
          <w:color w:val="auto"/>
          <w:szCs w:val="21"/>
          <w:lang w:eastAsia="zh-CN"/>
        </w:rPr>
      </w:pPr>
      <w:r>
        <w:rPr>
          <w:rFonts w:hint="eastAsia" w:ascii="Times New Roman" w:hAnsi="宋体" w:cs="宋体"/>
          <w:color w:val="auto"/>
          <w:szCs w:val="21"/>
        </w:rPr>
        <w:t>六、双方约定的其他工程质量保修事项：</w:t>
      </w:r>
      <w:r>
        <w:rPr>
          <w:rFonts w:hint="eastAsia" w:hAnsi="宋体" w:cs="宋体"/>
          <w:color w:val="auto"/>
          <w:szCs w:val="21"/>
          <w:lang w:eastAsia="zh-CN"/>
        </w:rPr>
        <w:t>无</w:t>
      </w:r>
    </w:p>
    <w:p w14:paraId="25D41DCC">
      <w:pPr>
        <w:pStyle w:val="178"/>
        <w:spacing w:line="360" w:lineRule="auto"/>
        <w:rPr>
          <w:rFonts w:hint="eastAsia" w:ascii="Times New Roman" w:hAnsi="宋体" w:cs="宋体"/>
          <w:color w:val="auto"/>
          <w:szCs w:val="21"/>
        </w:rPr>
      </w:pPr>
      <w:r>
        <w:rPr>
          <w:rFonts w:hint="eastAsia" w:ascii="Times New Roman" w:hAnsi="宋体" w:cs="宋体"/>
          <w:color w:val="auto"/>
          <w:szCs w:val="21"/>
        </w:rPr>
        <w:t>工程质量保修书由发包人、承包人在工程竣工验收前共同签署，作为施工合同附件，其有效期限至保修期满。</w:t>
      </w:r>
    </w:p>
    <w:p w14:paraId="73CD95F4">
      <w:pPr>
        <w:pStyle w:val="178"/>
        <w:spacing w:line="360" w:lineRule="auto"/>
        <w:rPr>
          <w:rFonts w:hint="eastAsia" w:ascii="Times New Roman" w:hAnsi="宋体" w:cs="宋体"/>
          <w:color w:val="auto"/>
          <w:szCs w:val="21"/>
        </w:rPr>
      </w:pPr>
    </w:p>
    <w:p w14:paraId="7EA7F34D">
      <w:pPr>
        <w:pStyle w:val="178"/>
        <w:spacing w:line="360" w:lineRule="auto"/>
        <w:rPr>
          <w:rFonts w:hint="eastAsia" w:ascii="Times New Roman" w:hAnsi="宋体" w:cs="宋体"/>
          <w:color w:val="auto"/>
          <w:szCs w:val="21"/>
        </w:rPr>
      </w:pPr>
      <w:r>
        <w:rPr>
          <w:rFonts w:hint="eastAsia" w:ascii="Times New Roman" w:hAnsi="宋体" w:cs="宋体"/>
          <w:color w:val="auto"/>
          <w:szCs w:val="21"/>
        </w:rPr>
        <w:t xml:space="preserve"> </w:t>
      </w:r>
    </w:p>
    <w:p w14:paraId="4F55999E">
      <w:pPr>
        <w:pStyle w:val="178"/>
        <w:spacing w:line="360" w:lineRule="auto"/>
        <w:rPr>
          <w:rFonts w:ascii="仿宋" w:hAnsi="仿宋" w:eastAsia="仿宋"/>
          <w:color w:val="auto"/>
          <w:sz w:val="24"/>
        </w:rPr>
      </w:pP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933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5C03FDCF">
            <w:pPr>
              <w:snapToGrid w:val="0"/>
              <w:spacing w:line="400" w:lineRule="exact"/>
              <w:rPr>
                <w:color w:val="auto"/>
                <w:szCs w:val="21"/>
              </w:rPr>
            </w:pPr>
            <w:r>
              <w:rPr>
                <w:color w:val="auto"/>
                <w:szCs w:val="21"/>
              </w:rPr>
              <w:t xml:space="preserve">甲方（章）           </w:t>
            </w:r>
          </w:p>
          <w:p w14:paraId="289E3660">
            <w:pPr>
              <w:snapToGrid w:val="0"/>
              <w:spacing w:line="400" w:lineRule="exact"/>
              <w:rPr>
                <w:color w:val="auto"/>
                <w:szCs w:val="21"/>
              </w:rPr>
            </w:pPr>
          </w:p>
          <w:p w14:paraId="2DA0C152">
            <w:pPr>
              <w:snapToGrid w:val="0"/>
              <w:spacing w:line="400" w:lineRule="exact"/>
              <w:ind w:firstLine="945" w:firstLineChars="450"/>
              <w:jc w:val="right"/>
              <w:rPr>
                <w:color w:val="auto"/>
                <w:szCs w:val="21"/>
              </w:rPr>
            </w:pPr>
            <w:r>
              <w:rPr>
                <w:color w:val="auto"/>
                <w:szCs w:val="21"/>
              </w:rPr>
              <w:t>年  月  日</w:t>
            </w:r>
          </w:p>
        </w:tc>
        <w:tc>
          <w:tcPr>
            <w:tcW w:w="4517" w:type="dxa"/>
            <w:vAlign w:val="center"/>
          </w:tcPr>
          <w:p w14:paraId="3B7EA521">
            <w:pPr>
              <w:snapToGrid w:val="0"/>
              <w:spacing w:line="400" w:lineRule="exact"/>
              <w:rPr>
                <w:color w:val="auto"/>
                <w:szCs w:val="21"/>
              </w:rPr>
            </w:pPr>
            <w:r>
              <w:rPr>
                <w:color w:val="auto"/>
                <w:szCs w:val="21"/>
              </w:rPr>
              <w:t xml:space="preserve">乙方（章）              </w:t>
            </w:r>
          </w:p>
          <w:p w14:paraId="41670A16">
            <w:pPr>
              <w:snapToGrid w:val="0"/>
              <w:spacing w:line="400" w:lineRule="exact"/>
              <w:rPr>
                <w:color w:val="auto"/>
                <w:szCs w:val="21"/>
              </w:rPr>
            </w:pPr>
          </w:p>
          <w:p w14:paraId="3C0F122B">
            <w:pPr>
              <w:snapToGrid w:val="0"/>
              <w:spacing w:line="400" w:lineRule="exact"/>
              <w:jc w:val="right"/>
              <w:rPr>
                <w:color w:val="auto"/>
                <w:szCs w:val="21"/>
              </w:rPr>
            </w:pPr>
            <w:r>
              <w:rPr>
                <w:color w:val="auto"/>
                <w:szCs w:val="21"/>
              </w:rPr>
              <w:t xml:space="preserve"> 年  月  日</w:t>
            </w:r>
          </w:p>
        </w:tc>
      </w:tr>
      <w:tr w14:paraId="46BD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3AA07560">
            <w:pPr>
              <w:snapToGrid w:val="0"/>
              <w:spacing w:line="400" w:lineRule="exact"/>
              <w:rPr>
                <w:color w:val="auto"/>
                <w:szCs w:val="21"/>
              </w:rPr>
            </w:pPr>
            <w:r>
              <w:rPr>
                <w:color w:val="auto"/>
                <w:szCs w:val="21"/>
              </w:rPr>
              <w:t xml:space="preserve">单位地址： </w:t>
            </w:r>
          </w:p>
        </w:tc>
        <w:tc>
          <w:tcPr>
            <w:tcW w:w="4517" w:type="dxa"/>
            <w:vAlign w:val="center"/>
          </w:tcPr>
          <w:p w14:paraId="552C5F99">
            <w:pPr>
              <w:snapToGrid w:val="0"/>
              <w:spacing w:line="400" w:lineRule="exact"/>
              <w:rPr>
                <w:color w:val="auto"/>
                <w:szCs w:val="21"/>
              </w:rPr>
            </w:pPr>
            <w:r>
              <w:rPr>
                <w:color w:val="auto"/>
                <w:szCs w:val="21"/>
              </w:rPr>
              <w:t>单位地址：</w:t>
            </w:r>
          </w:p>
        </w:tc>
      </w:tr>
      <w:tr w14:paraId="11F7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14:paraId="140CDC25">
            <w:pPr>
              <w:snapToGrid w:val="0"/>
              <w:spacing w:line="400" w:lineRule="exact"/>
              <w:rPr>
                <w:color w:val="auto"/>
                <w:szCs w:val="21"/>
              </w:rPr>
            </w:pPr>
            <w:r>
              <w:rPr>
                <w:color w:val="auto"/>
                <w:szCs w:val="21"/>
              </w:rPr>
              <w:t>法定代表人：</w:t>
            </w:r>
          </w:p>
        </w:tc>
        <w:tc>
          <w:tcPr>
            <w:tcW w:w="4517" w:type="dxa"/>
            <w:vAlign w:val="center"/>
          </w:tcPr>
          <w:p w14:paraId="07AB24B8">
            <w:pPr>
              <w:snapToGrid w:val="0"/>
              <w:spacing w:line="400" w:lineRule="exact"/>
              <w:rPr>
                <w:color w:val="auto"/>
                <w:szCs w:val="21"/>
              </w:rPr>
            </w:pPr>
            <w:r>
              <w:rPr>
                <w:color w:val="auto"/>
                <w:szCs w:val="21"/>
              </w:rPr>
              <w:t>法定代表人：</w:t>
            </w:r>
          </w:p>
        </w:tc>
      </w:tr>
      <w:tr w14:paraId="3725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563D0EFB">
            <w:pPr>
              <w:snapToGrid w:val="0"/>
              <w:spacing w:line="400" w:lineRule="exact"/>
              <w:rPr>
                <w:color w:val="auto"/>
                <w:szCs w:val="21"/>
              </w:rPr>
            </w:pPr>
            <w:r>
              <w:rPr>
                <w:color w:val="auto"/>
                <w:szCs w:val="21"/>
              </w:rPr>
              <w:t>委托代理人：</w:t>
            </w:r>
          </w:p>
        </w:tc>
        <w:tc>
          <w:tcPr>
            <w:tcW w:w="4517" w:type="dxa"/>
            <w:vAlign w:val="center"/>
          </w:tcPr>
          <w:p w14:paraId="0A3038A7">
            <w:pPr>
              <w:snapToGrid w:val="0"/>
              <w:spacing w:line="400" w:lineRule="exact"/>
              <w:rPr>
                <w:color w:val="auto"/>
                <w:szCs w:val="21"/>
              </w:rPr>
            </w:pPr>
            <w:r>
              <w:rPr>
                <w:color w:val="auto"/>
                <w:szCs w:val="21"/>
              </w:rPr>
              <w:t>委托代理人</w:t>
            </w:r>
          </w:p>
        </w:tc>
      </w:tr>
      <w:tr w14:paraId="3B01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2B6B0C60">
            <w:pPr>
              <w:snapToGrid w:val="0"/>
              <w:spacing w:line="400" w:lineRule="exact"/>
              <w:rPr>
                <w:color w:val="auto"/>
                <w:szCs w:val="21"/>
              </w:rPr>
            </w:pPr>
            <w:r>
              <w:rPr>
                <w:color w:val="auto"/>
                <w:szCs w:val="21"/>
              </w:rPr>
              <w:t xml:space="preserve">电话： </w:t>
            </w:r>
          </w:p>
        </w:tc>
        <w:tc>
          <w:tcPr>
            <w:tcW w:w="4517" w:type="dxa"/>
            <w:vAlign w:val="center"/>
          </w:tcPr>
          <w:p w14:paraId="080DEB3E">
            <w:pPr>
              <w:snapToGrid w:val="0"/>
              <w:spacing w:line="400" w:lineRule="exact"/>
              <w:rPr>
                <w:color w:val="auto"/>
                <w:szCs w:val="21"/>
              </w:rPr>
            </w:pPr>
            <w:r>
              <w:rPr>
                <w:color w:val="auto"/>
                <w:szCs w:val="21"/>
              </w:rPr>
              <w:t>电话：</w:t>
            </w:r>
          </w:p>
        </w:tc>
      </w:tr>
      <w:tr w14:paraId="7D92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35BA1B0F">
            <w:pPr>
              <w:snapToGrid w:val="0"/>
              <w:spacing w:line="400" w:lineRule="exact"/>
              <w:rPr>
                <w:color w:val="auto"/>
                <w:szCs w:val="21"/>
              </w:rPr>
            </w:pPr>
            <w:r>
              <w:rPr>
                <w:color w:val="auto"/>
                <w:szCs w:val="21"/>
              </w:rPr>
              <w:t>电子邮箱：</w:t>
            </w:r>
          </w:p>
        </w:tc>
        <w:tc>
          <w:tcPr>
            <w:tcW w:w="4517" w:type="dxa"/>
            <w:vAlign w:val="center"/>
          </w:tcPr>
          <w:p w14:paraId="5A32056D">
            <w:pPr>
              <w:snapToGrid w:val="0"/>
              <w:spacing w:line="400" w:lineRule="exact"/>
              <w:rPr>
                <w:color w:val="auto"/>
                <w:szCs w:val="21"/>
              </w:rPr>
            </w:pPr>
            <w:r>
              <w:rPr>
                <w:color w:val="auto"/>
                <w:szCs w:val="21"/>
              </w:rPr>
              <w:t>电子邮箱：</w:t>
            </w:r>
          </w:p>
        </w:tc>
      </w:tr>
      <w:tr w14:paraId="4073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3F188617">
            <w:pPr>
              <w:snapToGrid w:val="0"/>
              <w:spacing w:line="400" w:lineRule="exact"/>
              <w:rPr>
                <w:color w:val="auto"/>
                <w:szCs w:val="21"/>
              </w:rPr>
            </w:pPr>
            <w:r>
              <w:rPr>
                <w:color w:val="auto"/>
                <w:szCs w:val="21"/>
              </w:rPr>
              <w:t xml:space="preserve">开户银行： </w:t>
            </w:r>
          </w:p>
        </w:tc>
        <w:tc>
          <w:tcPr>
            <w:tcW w:w="4517" w:type="dxa"/>
            <w:vAlign w:val="center"/>
          </w:tcPr>
          <w:p w14:paraId="421952A5">
            <w:pPr>
              <w:snapToGrid w:val="0"/>
              <w:spacing w:line="400" w:lineRule="exact"/>
              <w:rPr>
                <w:color w:val="auto"/>
                <w:szCs w:val="21"/>
              </w:rPr>
            </w:pPr>
            <w:r>
              <w:rPr>
                <w:color w:val="auto"/>
                <w:szCs w:val="21"/>
              </w:rPr>
              <w:t>开户银行：</w:t>
            </w:r>
          </w:p>
        </w:tc>
      </w:tr>
      <w:tr w14:paraId="0D0D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516" w:type="dxa"/>
            <w:vAlign w:val="center"/>
          </w:tcPr>
          <w:p w14:paraId="1C6EE048">
            <w:pPr>
              <w:snapToGrid w:val="0"/>
              <w:spacing w:line="400" w:lineRule="exact"/>
              <w:rPr>
                <w:color w:val="auto"/>
                <w:szCs w:val="21"/>
              </w:rPr>
            </w:pPr>
            <w:r>
              <w:rPr>
                <w:color w:val="auto"/>
                <w:szCs w:val="21"/>
              </w:rPr>
              <w:t xml:space="preserve">税号： </w:t>
            </w:r>
          </w:p>
        </w:tc>
        <w:tc>
          <w:tcPr>
            <w:tcW w:w="4517" w:type="dxa"/>
            <w:vAlign w:val="center"/>
          </w:tcPr>
          <w:p w14:paraId="13E886CB">
            <w:pPr>
              <w:snapToGrid w:val="0"/>
              <w:spacing w:line="400" w:lineRule="exact"/>
              <w:rPr>
                <w:color w:val="auto"/>
                <w:szCs w:val="21"/>
              </w:rPr>
            </w:pPr>
            <w:r>
              <w:rPr>
                <w:color w:val="auto"/>
                <w:szCs w:val="21"/>
              </w:rPr>
              <w:t>税号：</w:t>
            </w:r>
          </w:p>
        </w:tc>
      </w:tr>
      <w:tr w14:paraId="6E9C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15F8C79C">
            <w:pPr>
              <w:snapToGrid w:val="0"/>
              <w:spacing w:line="400" w:lineRule="exact"/>
              <w:rPr>
                <w:color w:val="auto"/>
                <w:szCs w:val="21"/>
              </w:rPr>
            </w:pPr>
            <w:r>
              <w:rPr>
                <w:color w:val="auto"/>
                <w:szCs w:val="21"/>
              </w:rPr>
              <w:t xml:space="preserve">账号： </w:t>
            </w:r>
          </w:p>
        </w:tc>
        <w:tc>
          <w:tcPr>
            <w:tcW w:w="4517" w:type="dxa"/>
            <w:vAlign w:val="center"/>
          </w:tcPr>
          <w:p w14:paraId="31491289">
            <w:pPr>
              <w:snapToGrid w:val="0"/>
              <w:spacing w:line="400" w:lineRule="exact"/>
              <w:rPr>
                <w:color w:val="auto"/>
                <w:szCs w:val="21"/>
              </w:rPr>
            </w:pPr>
            <w:r>
              <w:rPr>
                <w:color w:val="auto"/>
                <w:szCs w:val="21"/>
              </w:rPr>
              <w:t>账号：</w:t>
            </w:r>
          </w:p>
        </w:tc>
      </w:tr>
      <w:tr w14:paraId="76C4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05DA0A87">
            <w:pPr>
              <w:snapToGrid w:val="0"/>
              <w:spacing w:line="400" w:lineRule="exact"/>
              <w:rPr>
                <w:color w:val="auto"/>
                <w:szCs w:val="21"/>
              </w:rPr>
            </w:pPr>
            <w:r>
              <w:rPr>
                <w:color w:val="auto"/>
                <w:szCs w:val="21"/>
              </w:rPr>
              <w:t xml:space="preserve">邮政编码： </w:t>
            </w:r>
          </w:p>
        </w:tc>
        <w:tc>
          <w:tcPr>
            <w:tcW w:w="4517" w:type="dxa"/>
            <w:vAlign w:val="center"/>
          </w:tcPr>
          <w:p w14:paraId="518DEEE8">
            <w:pPr>
              <w:snapToGrid w:val="0"/>
              <w:spacing w:line="400" w:lineRule="exact"/>
              <w:rPr>
                <w:color w:val="auto"/>
                <w:szCs w:val="21"/>
              </w:rPr>
            </w:pPr>
            <w:r>
              <w:rPr>
                <w:color w:val="auto"/>
                <w:szCs w:val="21"/>
              </w:rPr>
              <w:t>邮政编码：</w:t>
            </w:r>
          </w:p>
        </w:tc>
      </w:tr>
    </w:tbl>
    <w:p w14:paraId="4E6494A7">
      <w:pPr>
        <w:pStyle w:val="242"/>
        <w:spacing w:line="360" w:lineRule="auto"/>
        <w:ind w:firstLine="399" w:firstLineChars="190"/>
        <w:rPr>
          <w:rFonts w:ascii="Times New Roman" w:hAnsi="宋体" w:cs="宋体"/>
          <w:color w:val="auto"/>
          <w:szCs w:val="21"/>
        </w:rPr>
      </w:pPr>
    </w:p>
    <w:p w14:paraId="2EF91CD6">
      <w:pPr>
        <w:pStyle w:val="242"/>
        <w:spacing w:line="360" w:lineRule="auto"/>
        <w:ind w:firstLine="399" w:firstLineChars="190"/>
        <w:rPr>
          <w:rFonts w:ascii="Times New Roman" w:hAnsi="Times New Roman"/>
          <w:color w:val="auto"/>
          <w:szCs w:val="21"/>
        </w:rPr>
      </w:pPr>
    </w:p>
    <w:p w14:paraId="6FB824A9">
      <w:pPr>
        <w:rPr>
          <w:color w:val="auto"/>
        </w:rPr>
        <w:sectPr>
          <w:headerReference r:id="rId5" w:type="default"/>
          <w:footerReference r:id="rId6" w:type="default"/>
          <w:footerReference r:id="rId7" w:type="even"/>
          <w:pgSz w:w="11906" w:h="16838"/>
          <w:pgMar w:top="1304" w:right="1134" w:bottom="1134" w:left="1304" w:header="851" w:footer="992" w:gutter="0"/>
          <w:cols w:space="720" w:num="1"/>
          <w:docGrid w:linePitch="312" w:charSpace="0"/>
        </w:sectPr>
      </w:pPr>
    </w:p>
    <w:p w14:paraId="189396D3">
      <w:pPr>
        <w:spacing w:line="360" w:lineRule="auto"/>
        <w:jc w:val="left"/>
        <w:rPr>
          <w:rFonts w:ascii="宋体" w:hAnsi="宋体" w:cs="宋体"/>
          <w:b/>
          <w:color w:val="auto"/>
          <w:szCs w:val="21"/>
        </w:rPr>
      </w:pPr>
      <w:bookmarkStart w:id="157" w:name="_Toc351203652"/>
    </w:p>
    <w:p w14:paraId="65205A4D">
      <w:pPr>
        <w:spacing w:line="360" w:lineRule="auto"/>
        <w:jc w:val="left"/>
        <w:rPr>
          <w:rFonts w:ascii="宋体" w:hAnsi="宋体" w:cs="宋体"/>
          <w:b/>
          <w:color w:val="auto"/>
          <w:szCs w:val="21"/>
        </w:rPr>
      </w:pPr>
      <w:r>
        <w:rPr>
          <w:rFonts w:hint="eastAsia" w:ascii="宋体" w:hAnsi="宋体" w:cs="宋体"/>
          <w:b/>
          <w:color w:val="auto"/>
          <w:szCs w:val="21"/>
        </w:rPr>
        <w:t>附件</w:t>
      </w:r>
      <w:bookmarkEnd w:id="157"/>
    </w:p>
    <w:p w14:paraId="1E2B5167">
      <w:pPr>
        <w:spacing w:line="360" w:lineRule="auto"/>
        <w:jc w:val="left"/>
        <w:rPr>
          <w:rFonts w:ascii="宋体" w:hAnsi="宋体" w:cs="宋体"/>
          <w:color w:val="auto"/>
          <w:szCs w:val="21"/>
        </w:rPr>
      </w:pPr>
      <w:r>
        <w:rPr>
          <w:rFonts w:hint="eastAsia" w:ascii="宋体" w:hAnsi="宋体" w:cs="宋体"/>
          <w:color w:val="auto"/>
          <w:szCs w:val="21"/>
        </w:rPr>
        <w:t>附件1：承包人用于本工程施工的机械设备表</w:t>
      </w:r>
    </w:p>
    <w:p w14:paraId="2388EA08">
      <w:pPr>
        <w:spacing w:line="360" w:lineRule="auto"/>
        <w:jc w:val="left"/>
        <w:rPr>
          <w:rFonts w:ascii="宋体" w:hAnsi="宋体" w:cs="宋体"/>
          <w:color w:val="auto"/>
          <w:szCs w:val="21"/>
        </w:rPr>
      </w:pPr>
      <w:r>
        <w:rPr>
          <w:rFonts w:hint="eastAsia" w:ascii="宋体" w:hAnsi="宋体" w:cs="宋体"/>
          <w:color w:val="auto"/>
          <w:szCs w:val="21"/>
        </w:rPr>
        <w:t>附件2：承包人主要施工管理人员表</w:t>
      </w:r>
    </w:p>
    <w:p w14:paraId="33971539">
      <w:pPr>
        <w:spacing w:line="360" w:lineRule="auto"/>
        <w:jc w:val="left"/>
        <w:rPr>
          <w:rFonts w:ascii="宋体" w:hAnsi="宋体" w:cs="宋体"/>
          <w:color w:val="auto"/>
          <w:szCs w:val="21"/>
        </w:rPr>
      </w:pPr>
      <w:r>
        <w:rPr>
          <w:rFonts w:hint="eastAsia" w:ascii="宋体" w:hAnsi="宋体" w:cs="宋体"/>
          <w:color w:val="auto"/>
          <w:szCs w:val="21"/>
        </w:rPr>
        <w:t>附件3：安全生产承诺书</w:t>
      </w:r>
    </w:p>
    <w:p w14:paraId="11E4751C">
      <w:pPr>
        <w:spacing w:line="360" w:lineRule="auto"/>
        <w:jc w:val="left"/>
        <w:rPr>
          <w:rFonts w:ascii="宋体" w:hAnsi="宋体" w:cs="宋体"/>
          <w:color w:val="auto"/>
          <w:szCs w:val="21"/>
        </w:rPr>
      </w:pPr>
      <w:r>
        <w:rPr>
          <w:rFonts w:hint="eastAsia" w:ascii="宋体" w:hAnsi="宋体" w:cs="宋体"/>
          <w:color w:val="auto"/>
          <w:szCs w:val="21"/>
        </w:rPr>
        <w:t>附件4：建设工程廉政责任书</w:t>
      </w:r>
    </w:p>
    <w:p w14:paraId="55437EB4">
      <w:pPr>
        <w:spacing w:line="360" w:lineRule="auto"/>
        <w:jc w:val="left"/>
        <w:rPr>
          <w:rFonts w:ascii="宋体" w:hAnsi="宋体" w:cs="宋体"/>
          <w:color w:val="auto"/>
          <w:szCs w:val="21"/>
        </w:rPr>
        <w:sectPr>
          <w:pgSz w:w="11906" w:h="16838"/>
          <w:pgMar w:top="1304" w:right="1134" w:bottom="1134" w:left="1304" w:header="851" w:footer="992" w:gutter="0"/>
          <w:cols w:space="720" w:num="1"/>
          <w:titlePg/>
          <w:docGrid w:linePitch="312" w:charSpace="0"/>
        </w:sectPr>
      </w:pPr>
    </w:p>
    <w:p w14:paraId="7F8BC3FA">
      <w:pPr>
        <w:spacing w:line="360" w:lineRule="auto"/>
        <w:rPr>
          <w:rFonts w:ascii="宋体" w:hAnsi="宋体" w:cs="宋体"/>
          <w:b/>
          <w:color w:val="auto"/>
          <w:szCs w:val="21"/>
        </w:rPr>
      </w:pPr>
      <w:r>
        <w:rPr>
          <w:rFonts w:hint="eastAsia" w:ascii="宋体" w:hAnsi="宋体" w:cs="宋体"/>
          <w:b/>
          <w:color w:val="auto"/>
          <w:szCs w:val="21"/>
        </w:rPr>
        <w:t>附件1：</w:t>
      </w:r>
    </w:p>
    <w:p w14:paraId="47ADFAD2">
      <w:pPr>
        <w:spacing w:beforeLines="50" w:afterLines="50" w:line="360" w:lineRule="auto"/>
        <w:jc w:val="center"/>
        <w:rPr>
          <w:rFonts w:ascii="宋体" w:hAnsi="宋体" w:cs="宋体"/>
          <w:color w:val="auto"/>
          <w:sz w:val="32"/>
          <w:szCs w:val="32"/>
        </w:rPr>
      </w:pPr>
      <w:r>
        <w:rPr>
          <w:rFonts w:hint="eastAsia" w:ascii="宋体" w:hAnsi="宋体" w:cs="宋体"/>
          <w:color w:val="auto"/>
          <w:sz w:val="32"/>
          <w:szCs w:val="32"/>
        </w:rPr>
        <w:t>承包人用于本工程施工的机械设备表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5"/>
        <w:gridCol w:w="1512"/>
        <w:gridCol w:w="1051"/>
        <w:gridCol w:w="1020"/>
        <w:gridCol w:w="849"/>
        <w:gridCol w:w="1134"/>
        <w:gridCol w:w="1277"/>
        <w:gridCol w:w="1116"/>
        <w:gridCol w:w="756"/>
      </w:tblGrid>
      <w:tr w14:paraId="21876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745" w:type="dxa"/>
            <w:tcBorders>
              <w:top w:val="single" w:color="auto" w:sz="12" w:space="0"/>
              <w:bottom w:val="double" w:color="auto" w:sz="6" w:space="0"/>
            </w:tcBorders>
            <w:vAlign w:val="center"/>
          </w:tcPr>
          <w:p w14:paraId="152791F8">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序号</w:t>
            </w:r>
          </w:p>
        </w:tc>
        <w:tc>
          <w:tcPr>
            <w:tcW w:w="1512" w:type="dxa"/>
            <w:tcBorders>
              <w:top w:val="single" w:color="auto" w:sz="12" w:space="0"/>
              <w:bottom w:val="double" w:color="auto" w:sz="6" w:space="0"/>
            </w:tcBorders>
            <w:vAlign w:val="center"/>
          </w:tcPr>
          <w:p w14:paraId="0EFAB2AC">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机械或     设备名称</w:t>
            </w:r>
          </w:p>
        </w:tc>
        <w:tc>
          <w:tcPr>
            <w:tcW w:w="1051" w:type="dxa"/>
            <w:tcBorders>
              <w:top w:val="single" w:color="auto" w:sz="12" w:space="0"/>
              <w:bottom w:val="double" w:color="auto" w:sz="6" w:space="0"/>
            </w:tcBorders>
            <w:vAlign w:val="center"/>
          </w:tcPr>
          <w:p w14:paraId="665A2372">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规格型号</w:t>
            </w:r>
          </w:p>
        </w:tc>
        <w:tc>
          <w:tcPr>
            <w:tcW w:w="1020" w:type="dxa"/>
            <w:tcBorders>
              <w:top w:val="single" w:color="auto" w:sz="12" w:space="0"/>
              <w:bottom w:val="double" w:color="auto" w:sz="6" w:space="0"/>
            </w:tcBorders>
            <w:vAlign w:val="center"/>
          </w:tcPr>
          <w:p w14:paraId="218C05B1">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数量</w:t>
            </w:r>
          </w:p>
        </w:tc>
        <w:tc>
          <w:tcPr>
            <w:tcW w:w="849" w:type="dxa"/>
            <w:tcBorders>
              <w:top w:val="single" w:color="auto" w:sz="12" w:space="0"/>
              <w:bottom w:val="double" w:color="auto" w:sz="6" w:space="0"/>
            </w:tcBorders>
            <w:vAlign w:val="center"/>
          </w:tcPr>
          <w:p w14:paraId="60FB86E3">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产地</w:t>
            </w:r>
          </w:p>
        </w:tc>
        <w:tc>
          <w:tcPr>
            <w:tcW w:w="1134" w:type="dxa"/>
            <w:tcBorders>
              <w:top w:val="single" w:color="auto" w:sz="12" w:space="0"/>
              <w:bottom w:val="double" w:color="auto" w:sz="6" w:space="0"/>
            </w:tcBorders>
            <w:vAlign w:val="center"/>
          </w:tcPr>
          <w:p w14:paraId="730C691A">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制造年份</w:t>
            </w:r>
          </w:p>
        </w:tc>
        <w:tc>
          <w:tcPr>
            <w:tcW w:w="1277" w:type="dxa"/>
            <w:tcBorders>
              <w:top w:val="single" w:color="auto" w:sz="12" w:space="0"/>
              <w:bottom w:val="double" w:color="auto" w:sz="6" w:space="0"/>
            </w:tcBorders>
            <w:vAlign w:val="center"/>
          </w:tcPr>
          <w:p w14:paraId="6F6D5546">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额定功率(kW)</w:t>
            </w:r>
          </w:p>
        </w:tc>
        <w:tc>
          <w:tcPr>
            <w:tcW w:w="1116" w:type="dxa"/>
            <w:tcBorders>
              <w:top w:val="single" w:color="auto" w:sz="12" w:space="0"/>
              <w:bottom w:val="double" w:color="auto" w:sz="6" w:space="0"/>
            </w:tcBorders>
            <w:vAlign w:val="center"/>
          </w:tcPr>
          <w:p w14:paraId="280F5CB0">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生产能力</w:t>
            </w:r>
          </w:p>
        </w:tc>
        <w:tc>
          <w:tcPr>
            <w:tcW w:w="756" w:type="dxa"/>
            <w:tcBorders>
              <w:top w:val="single" w:color="auto" w:sz="12" w:space="0"/>
              <w:bottom w:val="double" w:color="auto" w:sz="6" w:space="0"/>
            </w:tcBorders>
            <w:vAlign w:val="center"/>
          </w:tcPr>
          <w:p w14:paraId="3C918535">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备注</w:t>
            </w:r>
          </w:p>
        </w:tc>
      </w:tr>
      <w:tr w14:paraId="6351D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tcBorders>
              <w:top w:val="double" w:color="auto" w:sz="6" w:space="0"/>
              <w:bottom w:val="single" w:color="auto" w:sz="6" w:space="0"/>
            </w:tcBorders>
            <w:vAlign w:val="center"/>
          </w:tcPr>
          <w:p w14:paraId="15C560BA">
            <w:pPr>
              <w:spacing w:line="360" w:lineRule="auto"/>
              <w:ind w:leftChars="-35" w:hanging="73" w:hangingChars="35"/>
              <w:jc w:val="center"/>
              <w:rPr>
                <w:rFonts w:ascii="宋体" w:hAnsi="宋体" w:cs="宋体"/>
                <w:color w:val="auto"/>
                <w:szCs w:val="21"/>
              </w:rPr>
            </w:pPr>
          </w:p>
        </w:tc>
        <w:tc>
          <w:tcPr>
            <w:tcW w:w="1512" w:type="dxa"/>
            <w:tcBorders>
              <w:top w:val="double" w:color="auto" w:sz="6" w:space="0"/>
              <w:bottom w:val="single" w:color="auto" w:sz="6" w:space="0"/>
            </w:tcBorders>
            <w:vAlign w:val="center"/>
          </w:tcPr>
          <w:p w14:paraId="6DF90784">
            <w:pPr>
              <w:spacing w:line="360" w:lineRule="auto"/>
              <w:ind w:leftChars="-35" w:hanging="73" w:hangingChars="35"/>
              <w:jc w:val="center"/>
              <w:rPr>
                <w:rFonts w:ascii="宋体" w:hAnsi="宋体" w:cs="宋体"/>
                <w:color w:val="auto"/>
                <w:szCs w:val="21"/>
              </w:rPr>
            </w:pPr>
          </w:p>
        </w:tc>
        <w:tc>
          <w:tcPr>
            <w:tcW w:w="1051" w:type="dxa"/>
            <w:tcBorders>
              <w:top w:val="double" w:color="auto" w:sz="6" w:space="0"/>
              <w:bottom w:val="single" w:color="auto" w:sz="6" w:space="0"/>
            </w:tcBorders>
            <w:vAlign w:val="center"/>
          </w:tcPr>
          <w:p w14:paraId="73AB5270">
            <w:pPr>
              <w:spacing w:line="360" w:lineRule="auto"/>
              <w:ind w:leftChars="-35" w:hanging="73" w:hangingChars="35"/>
              <w:jc w:val="center"/>
              <w:rPr>
                <w:rFonts w:ascii="宋体" w:hAnsi="宋体" w:cs="宋体"/>
                <w:color w:val="auto"/>
                <w:szCs w:val="21"/>
              </w:rPr>
            </w:pPr>
          </w:p>
        </w:tc>
        <w:tc>
          <w:tcPr>
            <w:tcW w:w="1020" w:type="dxa"/>
            <w:tcBorders>
              <w:top w:val="double" w:color="auto" w:sz="6" w:space="0"/>
              <w:bottom w:val="single" w:color="auto" w:sz="6" w:space="0"/>
            </w:tcBorders>
            <w:vAlign w:val="center"/>
          </w:tcPr>
          <w:p w14:paraId="381635B6">
            <w:pPr>
              <w:spacing w:line="360" w:lineRule="auto"/>
              <w:ind w:leftChars="-35" w:hanging="73" w:hangingChars="35"/>
              <w:jc w:val="center"/>
              <w:rPr>
                <w:rFonts w:ascii="宋体" w:hAnsi="宋体" w:cs="宋体"/>
                <w:color w:val="auto"/>
                <w:szCs w:val="21"/>
              </w:rPr>
            </w:pPr>
          </w:p>
        </w:tc>
        <w:tc>
          <w:tcPr>
            <w:tcW w:w="849" w:type="dxa"/>
            <w:tcBorders>
              <w:top w:val="double" w:color="auto" w:sz="6" w:space="0"/>
              <w:bottom w:val="single" w:color="auto" w:sz="6" w:space="0"/>
            </w:tcBorders>
            <w:vAlign w:val="center"/>
          </w:tcPr>
          <w:p w14:paraId="492303D2">
            <w:pPr>
              <w:spacing w:line="360" w:lineRule="auto"/>
              <w:ind w:leftChars="-35" w:hanging="73" w:hangingChars="35"/>
              <w:jc w:val="center"/>
              <w:rPr>
                <w:rFonts w:ascii="宋体" w:hAnsi="宋体" w:cs="宋体"/>
                <w:color w:val="auto"/>
                <w:szCs w:val="21"/>
              </w:rPr>
            </w:pPr>
          </w:p>
        </w:tc>
        <w:tc>
          <w:tcPr>
            <w:tcW w:w="1134" w:type="dxa"/>
            <w:tcBorders>
              <w:top w:val="double" w:color="auto" w:sz="6" w:space="0"/>
              <w:bottom w:val="single" w:color="auto" w:sz="6" w:space="0"/>
            </w:tcBorders>
            <w:vAlign w:val="center"/>
          </w:tcPr>
          <w:p w14:paraId="61162695">
            <w:pPr>
              <w:spacing w:line="360" w:lineRule="auto"/>
              <w:ind w:leftChars="-35" w:hanging="73" w:hangingChars="35"/>
              <w:jc w:val="center"/>
              <w:rPr>
                <w:rFonts w:ascii="宋体" w:hAnsi="宋体" w:cs="宋体"/>
                <w:color w:val="auto"/>
                <w:szCs w:val="21"/>
              </w:rPr>
            </w:pPr>
          </w:p>
        </w:tc>
        <w:tc>
          <w:tcPr>
            <w:tcW w:w="1277" w:type="dxa"/>
            <w:tcBorders>
              <w:top w:val="double" w:color="auto" w:sz="6" w:space="0"/>
              <w:bottom w:val="single" w:color="auto" w:sz="6" w:space="0"/>
            </w:tcBorders>
            <w:vAlign w:val="center"/>
          </w:tcPr>
          <w:p w14:paraId="3A466365">
            <w:pPr>
              <w:spacing w:line="360" w:lineRule="auto"/>
              <w:ind w:leftChars="-35" w:hanging="73" w:hangingChars="35"/>
              <w:jc w:val="center"/>
              <w:rPr>
                <w:rFonts w:ascii="宋体" w:hAnsi="宋体" w:cs="宋体"/>
                <w:color w:val="auto"/>
                <w:szCs w:val="21"/>
              </w:rPr>
            </w:pPr>
          </w:p>
        </w:tc>
        <w:tc>
          <w:tcPr>
            <w:tcW w:w="1116" w:type="dxa"/>
            <w:tcBorders>
              <w:top w:val="double" w:color="auto" w:sz="6" w:space="0"/>
              <w:bottom w:val="single" w:color="auto" w:sz="6" w:space="0"/>
            </w:tcBorders>
            <w:vAlign w:val="center"/>
          </w:tcPr>
          <w:p w14:paraId="4457D848">
            <w:pPr>
              <w:spacing w:line="360" w:lineRule="auto"/>
              <w:ind w:leftChars="-35" w:hanging="73" w:hangingChars="35"/>
              <w:jc w:val="center"/>
              <w:rPr>
                <w:rFonts w:ascii="宋体" w:hAnsi="宋体" w:cs="宋体"/>
                <w:color w:val="auto"/>
                <w:szCs w:val="21"/>
              </w:rPr>
            </w:pPr>
          </w:p>
        </w:tc>
        <w:tc>
          <w:tcPr>
            <w:tcW w:w="756" w:type="dxa"/>
            <w:tcBorders>
              <w:top w:val="double" w:color="auto" w:sz="6" w:space="0"/>
              <w:bottom w:val="single" w:color="auto" w:sz="6" w:space="0"/>
            </w:tcBorders>
            <w:vAlign w:val="center"/>
          </w:tcPr>
          <w:p w14:paraId="2EFC5186">
            <w:pPr>
              <w:spacing w:line="360" w:lineRule="auto"/>
              <w:ind w:leftChars="-35" w:hanging="73" w:hangingChars="35"/>
              <w:jc w:val="center"/>
              <w:rPr>
                <w:rFonts w:ascii="宋体" w:hAnsi="宋体" w:cs="宋体"/>
                <w:color w:val="auto"/>
                <w:szCs w:val="21"/>
              </w:rPr>
            </w:pPr>
          </w:p>
        </w:tc>
      </w:tr>
      <w:tr w14:paraId="2A26C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tcBorders>
              <w:top w:val="nil"/>
            </w:tcBorders>
            <w:vAlign w:val="center"/>
          </w:tcPr>
          <w:p w14:paraId="57CF050A">
            <w:pPr>
              <w:spacing w:line="360" w:lineRule="auto"/>
              <w:ind w:leftChars="-35" w:hanging="73" w:hangingChars="35"/>
              <w:jc w:val="center"/>
              <w:rPr>
                <w:rFonts w:ascii="宋体" w:hAnsi="宋体" w:cs="宋体"/>
                <w:color w:val="auto"/>
                <w:szCs w:val="21"/>
              </w:rPr>
            </w:pPr>
          </w:p>
        </w:tc>
        <w:tc>
          <w:tcPr>
            <w:tcW w:w="1512" w:type="dxa"/>
            <w:tcBorders>
              <w:top w:val="nil"/>
            </w:tcBorders>
            <w:vAlign w:val="center"/>
          </w:tcPr>
          <w:p w14:paraId="725968ED">
            <w:pPr>
              <w:spacing w:line="360" w:lineRule="auto"/>
              <w:ind w:leftChars="-35" w:hanging="73" w:hangingChars="35"/>
              <w:jc w:val="center"/>
              <w:rPr>
                <w:rFonts w:ascii="宋体" w:hAnsi="宋体" w:cs="宋体"/>
                <w:color w:val="auto"/>
                <w:szCs w:val="21"/>
              </w:rPr>
            </w:pPr>
          </w:p>
        </w:tc>
        <w:tc>
          <w:tcPr>
            <w:tcW w:w="1051" w:type="dxa"/>
            <w:tcBorders>
              <w:top w:val="nil"/>
            </w:tcBorders>
            <w:vAlign w:val="center"/>
          </w:tcPr>
          <w:p w14:paraId="659C02A5">
            <w:pPr>
              <w:spacing w:line="360" w:lineRule="auto"/>
              <w:ind w:leftChars="-35" w:hanging="73" w:hangingChars="35"/>
              <w:jc w:val="center"/>
              <w:rPr>
                <w:rFonts w:ascii="宋体" w:hAnsi="宋体" w:cs="宋体"/>
                <w:color w:val="auto"/>
                <w:szCs w:val="21"/>
              </w:rPr>
            </w:pPr>
          </w:p>
        </w:tc>
        <w:tc>
          <w:tcPr>
            <w:tcW w:w="1020" w:type="dxa"/>
            <w:tcBorders>
              <w:top w:val="nil"/>
            </w:tcBorders>
            <w:vAlign w:val="center"/>
          </w:tcPr>
          <w:p w14:paraId="6AFFC306">
            <w:pPr>
              <w:spacing w:line="360" w:lineRule="auto"/>
              <w:ind w:leftChars="-35" w:hanging="73" w:hangingChars="35"/>
              <w:jc w:val="center"/>
              <w:rPr>
                <w:rFonts w:ascii="宋体" w:hAnsi="宋体" w:cs="宋体"/>
                <w:color w:val="auto"/>
                <w:szCs w:val="21"/>
              </w:rPr>
            </w:pPr>
          </w:p>
        </w:tc>
        <w:tc>
          <w:tcPr>
            <w:tcW w:w="849" w:type="dxa"/>
            <w:tcBorders>
              <w:top w:val="nil"/>
            </w:tcBorders>
            <w:vAlign w:val="center"/>
          </w:tcPr>
          <w:p w14:paraId="2F1A16F8">
            <w:pPr>
              <w:spacing w:line="360" w:lineRule="auto"/>
              <w:ind w:leftChars="-35" w:hanging="73" w:hangingChars="35"/>
              <w:jc w:val="center"/>
              <w:rPr>
                <w:rFonts w:ascii="宋体" w:hAnsi="宋体" w:cs="宋体"/>
                <w:color w:val="auto"/>
                <w:szCs w:val="21"/>
              </w:rPr>
            </w:pPr>
          </w:p>
        </w:tc>
        <w:tc>
          <w:tcPr>
            <w:tcW w:w="1134" w:type="dxa"/>
            <w:tcBorders>
              <w:top w:val="nil"/>
            </w:tcBorders>
            <w:vAlign w:val="center"/>
          </w:tcPr>
          <w:p w14:paraId="4C018252">
            <w:pPr>
              <w:spacing w:line="360" w:lineRule="auto"/>
              <w:ind w:leftChars="-35" w:hanging="73" w:hangingChars="35"/>
              <w:jc w:val="center"/>
              <w:rPr>
                <w:rFonts w:ascii="宋体" w:hAnsi="宋体" w:cs="宋体"/>
                <w:color w:val="auto"/>
                <w:szCs w:val="21"/>
              </w:rPr>
            </w:pPr>
          </w:p>
        </w:tc>
        <w:tc>
          <w:tcPr>
            <w:tcW w:w="1277" w:type="dxa"/>
            <w:tcBorders>
              <w:top w:val="nil"/>
            </w:tcBorders>
            <w:vAlign w:val="center"/>
          </w:tcPr>
          <w:p w14:paraId="5BBA8673">
            <w:pPr>
              <w:spacing w:line="360" w:lineRule="auto"/>
              <w:ind w:leftChars="-35" w:hanging="73" w:hangingChars="35"/>
              <w:jc w:val="center"/>
              <w:rPr>
                <w:rFonts w:ascii="宋体" w:hAnsi="宋体" w:cs="宋体"/>
                <w:color w:val="auto"/>
                <w:szCs w:val="21"/>
              </w:rPr>
            </w:pPr>
          </w:p>
        </w:tc>
        <w:tc>
          <w:tcPr>
            <w:tcW w:w="1116" w:type="dxa"/>
            <w:tcBorders>
              <w:top w:val="nil"/>
            </w:tcBorders>
            <w:vAlign w:val="center"/>
          </w:tcPr>
          <w:p w14:paraId="4104993C">
            <w:pPr>
              <w:spacing w:line="360" w:lineRule="auto"/>
              <w:ind w:leftChars="-35" w:hanging="73" w:hangingChars="35"/>
              <w:jc w:val="center"/>
              <w:rPr>
                <w:rFonts w:ascii="宋体" w:hAnsi="宋体" w:cs="宋体"/>
                <w:color w:val="auto"/>
                <w:szCs w:val="21"/>
              </w:rPr>
            </w:pPr>
          </w:p>
        </w:tc>
        <w:tc>
          <w:tcPr>
            <w:tcW w:w="756" w:type="dxa"/>
            <w:tcBorders>
              <w:top w:val="nil"/>
            </w:tcBorders>
            <w:vAlign w:val="center"/>
          </w:tcPr>
          <w:p w14:paraId="24253E49">
            <w:pPr>
              <w:spacing w:line="360" w:lineRule="auto"/>
              <w:ind w:leftChars="-35" w:hanging="73" w:hangingChars="35"/>
              <w:jc w:val="center"/>
              <w:rPr>
                <w:rFonts w:ascii="宋体" w:hAnsi="宋体" w:cs="宋体"/>
                <w:color w:val="auto"/>
                <w:szCs w:val="21"/>
              </w:rPr>
            </w:pPr>
          </w:p>
        </w:tc>
      </w:tr>
      <w:tr w14:paraId="3AE4F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0B61474">
            <w:pPr>
              <w:spacing w:line="360" w:lineRule="auto"/>
              <w:ind w:leftChars="-35" w:hanging="73" w:hangingChars="35"/>
              <w:jc w:val="center"/>
              <w:rPr>
                <w:rFonts w:ascii="宋体" w:hAnsi="宋体" w:cs="宋体"/>
                <w:color w:val="auto"/>
                <w:szCs w:val="21"/>
              </w:rPr>
            </w:pPr>
          </w:p>
        </w:tc>
        <w:tc>
          <w:tcPr>
            <w:tcW w:w="1512" w:type="dxa"/>
            <w:vAlign w:val="center"/>
          </w:tcPr>
          <w:p w14:paraId="5BC7E70C">
            <w:pPr>
              <w:spacing w:line="360" w:lineRule="auto"/>
              <w:ind w:leftChars="-35" w:hanging="73" w:hangingChars="35"/>
              <w:jc w:val="center"/>
              <w:rPr>
                <w:rFonts w:ascii="宋体" w:hAnsi="宋体" w:cs="宋体"/>
                <w:color w:val="auto"/>
                <w:szCs w:val="21"/>
              </w:rPr>
            </w:pPr>
          </w:p>
        </w:tc>
        <w:tc>
          <w:tcPr>
            <w:tcW w:w="1051" w:type="dxa"/>
            <w:vAlign w:val="center"/>
          </w:tcPr>
          <w:p w14:paraId="37BDA17A">
            <w:pPr>
              <w:spacing w:line="360" w:lineRule="auto"/>
              <w:ind w:leftChars="-35" w:hanging="73" w:hangingChars="35"/>
              <w:jc w:val="center"/>
              <w:rPr>
                <w:rFonts w:ascii="宋体" w:hAnsi="宋体" w:cs="宋体"/>
                <w:color w:val="auto"/>
                <w:szCs w:val="21"/>
              </w:rPr>
            </w:pPr>
          </w:p>
        </w:tc>
        <w:tc>
          <w:tcPr>
            <w:tcW w:w="1020" w:type="dxa"/>
            <w:vAlign w:val="center"/>
          </w:tcPr>
          <w:p w14:paraId="458F1D49">
            <w:pPr>
              <w:spacing w:line="360" w:lineRule="auto"/>
              <w:ind w:leftChars="-35" w:hanging="73" w:hangingChars="35"/>
              <w:jc w:val="center"/>
              <w:rPr>
                <w:rFonts w:ascii="宋体" w:hAnsi="宋体" w:cs="宋体"/>
                <w:color w:val="auto"/>
                <w:szCs w:val="21"/>
              </w:rPr>
            </w:pPr>
          </w:p>
        </w:tc>
        <w:tc>
          <w:tcPr>
            <w:tcW w:w="849" w:type="dxa"/>
            <w:vAlign w:val="center"/>
          </w:tcPr>
          <w:p w14:paraId="3D19F18D">
            <w:pPr>
              <w:spacing w:line="360" w:lineRule="auto"/>
              <w:ind w:leftChars="-35" w:hanging="73" w:hangingChars="35"/>
              <w:jc w:val="center"/>
              <w:rPr>
                <w:rFonts w:ascii="宋体" w:hAnsi="宋体" w:cs="宋体"/>
                <w:color w:val="auto"/>
                <w:szCs w:val="21"/>
              </w:rPr>
            </w:pPr>
          </w:p>
        </w:tc>
        <w:tc>
          <w:tcPr>
            <w:tcW w:w="1134" w:type="dxa"/>
            <w:vAlign w:val="center"/>
          </w:tcPr>
          <w:p w14:paraId="34B2B31A">
            <w:pPr>
              <w:spacing w:line="360" w:lineRule="auto"/>
              <w:ind w:leftChars="-35" w:hanging="73" w:hangingChars="35"/>
              <w:jc w:val="center"/>
              <w:rPr>
                <w:rFonts w:ascii="宋体" w:hAnsi="宋体" w:cs="宋体"/>
                <w:color w:val="auto"/>
                <w:szCs w:val="21"/>
              </w:rPr>
            </w:pPr>
          </w:p>
        </w:tc>
        <w:tc>
          <w:tcPr>
            <w:tcW w:w="1277" w:type="dxa"/>
            <w:vAlign w:val="center"/>
          </w:tcPr>
          <w:p w14:paraId="13AA22C7">
            <w:pPr>
              <w:spacing w:line="360" w:lineRule="auto"/>
              <w:ind w:leftChars="-35" w:hanging="73" w:hangingChars="35"/>
              <w:jc w:val="center"/>
              <w:rPr>
                <w:rFonts w:ascii="宋体" w:hAnsi="宋体" w:cs="宋体"/>
                <w:color w:val="auto"/>
                <w:szCs w:val="21"/>
              </w:rPr>
            </w:pPr>
          </w:p>
        </w:tc>
        <w:tc>
          <w:tcPr>
            <w:tcW w:w="1116" w:type="dxa"/>
            <w:vAlign w:val="center"/>
          </w:tcPr>
          <w:p w14:paraId="65015E72">
            <w:pPr>
              <w:spacing w:line="360" w:lineRule="auto"/>
              <w:ind w:leftChars="-35" w:hanging="73" w:hangingChars="35"/>
              <w:jc w:val="center"/>
              <w:rPr>
                <w:rFonts w:ascii="宋体" w:hAnsi="宋体" w:cs="宋体"/>
                <w:color w:val="auto"/>
                <w:szCs w:val="21"/>
              </w:rPr>
            </w:pPr>
          </w:p>
        </w:tc>
        <w:tc>
          <w:tcPr>
            <w:tcW w:w="756" w:type="dxa"/>
            <w:vAlign w:val="center"/>
          </w:tcPr>
          <w:p w14:paraId="15D442B6">
            <w:pPr>
              <w:spacing w:line="360" w:lineRule="auto"/>
              <w:ind w:leftChars="-35" w:hanging="73" w:hangingChars="35"/>
              <w:jc w:val="center"/>
              <w:rPr>
                <w:rFonts w:ascii="宋体" w:hAnsi="宋体" w:cs="宋体"/>
                <w:color w:val="auto"/>
                <w:szCs w:val="21"/>
              </w:rPr>
            </w:pPr>
          </w:p>
        </w:tc>
      </w:tr>
      <w:tr w14:paraId="78758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74813C55">
            <w:pPr>
              <w:spacing w:line="360" w:lineRule="auto"/>
              <w:ind w:leftChars="-35" w:hanging="73" w:hangingChars="35"/>
              <w:jc w:val="center"/>
              <w:rPr>
                <w:rFonts w:ascii="宋体" w:hAnsi="宋体" w:cs="宋体"/>
                <w:color w:val="auto"/>
                <w:szCs w:val="21"/>
              </w:rPr>
            </w:pPr>
          </w:p>
        </w:tc>
        <w:tc>
          <w:tcPr>
            <w:tcW w:w="1512" w:type="dxa"/>
            <w:vAlign w:val="center"/>
          </w:tcPr>
          <w:p w14:paraId="2611B061">
            <w:pPr>
              <w:spacing w:line="360" w:lineRule="auto"/>
              <w:ind w:leftChars="-35" w:hanging="73" w:hangingChars="35"/>
              <w:jc w:val="center"/>
              <w:rPr>
                <w:rFonts w:ascii="宋体" w:hAnsi="宋体" w:cs="宋体"/>
                <w:color w:val="auto"/>
                <w:szCs w:val="21"/>
              </w:rPr>
            </w:pPr>
          </w:p>
        </w:tc>
        <w:tc>
          <w:tcPr>
            <w:tcW w:w="1051" w:type="dxa"/>
            <w:vAlign w:val="center"/>
          </w:tcPr>
          <w:p w14:paraId="443D6F8C">
            <w:pPr>
              <w:spacing w:line="360" w:lineRule="auto"/>
              <w:ind w:leftChars="-35" w:hanging="73" w:hangingChars="35"/>
              <w:jc w:val="center"/>
              <w:rPr>
                <w:rFonts w:ascii="宋体" w:hAnsi="宋体" w:cs="宋体"/>
                <w:color w:val="auto"/>
                <w:szCs w:val="21"/>
              </w:rPr>
            </w:pPr>
          </w:p>
        </w:tc>
        <w:tc>
          <w:tcPr>
            <w:tcW w:w="1020" w:type="dxa"/>
            <w:vAlign w:val="center"/>
          </w:tcPr>
          <w:p w14:paraId="3E555768">
            <w:pPr>
              <w:spacing w:line="360" w:lineRule="auto"/>
              <w:ind w:leftChars="-35" w:hanging="73" w:hangingChars="35"/>
              <w:jc w:val="center"/>
              <w:rPr>
                <w:rFonts w:ascii="宋体" w:hAnsi="宋体" w:cs="宋体"/>
                <w:color w:val="auto"/>
                <w:szCs w:val="21"/>
              </w:rPr>
            </w:pPr>
          </w:p>
        </w:tc>
        <w:tc>
          <w:tcPr>
            <w:tcW w:w="849" w:type="dxa"/>
            <w:vAlign w:val="center"/>
          </w:tcPr>
          <w:p w14:paraId="05453374">
            <w:pPr>
              <w:spacing w:line="360" w:lineRule="auto"/>
              <w:ind w:leftChars="-35" w:hanging="73" w:hangingChars="35"/>
              <w:jc w:val="center"/>
              <w:rPr>
                <w:rFonts w:ascii="宋体" w:hAnsi="宋体" w:cs="宋体"/>
                <w:color w:val="auto"/>
                <w:szCs w:val="21"/>
              </w:rPr>
            </w:pPr>
          </w:p>
        </w:tc>
        <w:tc>
          <w:tcPr>
            <w:tcW w:w="1134" w:type="dxa"/>
            <w:vAlign w:val="center"/>
          </w:tcPr>
          <w:p w14:paraId="2F1BA3B1">
            <w:pPr>
              <w:spacing w:line="360" w:lineRule="auto"/>
              <w:ind w:leftChars="-35" w:hanging="73" w:hangingChars="35"/>
              <w:jc w:val="center"/>
              <w:rPr>
                <w:rFonts w:ascii="宋体" w:hAnsi="宋体" w:cs="宋体"/>
                <w:color w:val="auto"/>
                <w:szCs w:val="21"/>
              </w:rPr>
            </w:pPr>
          </w:p>
        </w:tc>
        <w:tc>
          <w:tcPr>
            <w:tcW w:w="1277" w:type="dxa"/>
            <w:vAlign w:val="center"/>
          </w:tcPr>
          <w:p w14:paraId="25B9D13A">
            <w:pPr>
              <w:spacing w:line="360" w:lineRule="auto"/>
              <w:ind w:leftChars="-35" w:hanging="73" w:hangingChars="35"/>
              <w:jc w:val="center"/>
              <w:rPr>
                <w:rFonts w:ascii="宋体" w:hAnsi="宋体" w:cs="宋体"/>
                <w:color w:val="auto"/>
                <w:szCs w:val="21"/>
              </w:rPr>
            </w:pPr>
          </w:p>
        </w:tc>
        <w:tc>
          <w:tcPr>
            <w:tcW w:w="1116" w:type="dxa"/>
            <w:vAlign w:val="center"/>
          </w:tcPr>
          <w:p w14:paraId="3D625228">
            <w:pPr>
              <w:spacing w:line="360" w:lineRule="auto"/>
              <w:ind w:leftChars="-35" w:hanging="73" w:hangingChars="35"/>
              <w:jc w:val="center"/>
              <w:rPr>
                <w:rFonts w:ascii="宋体" w:hAnsi="宋体" w:cs="宋体"/>
                <w:color w:val="auto"/>
                <w:szCs w:val="21"/>
              </w:rPr>
            </w:pPr>
          </w:p>
        </w:tc>
        <w:tc>
          <w:tcPr>
            <w:tcW w:w="756" w:type="dxa"/>
            <w:vAlign w:val="center"/>
          </w:tcPr>
          <w:p w14:paraId="78C55006">
            <w:pPr>
              <w:spacing w:line="360" w:lineRule="auto"/>
              <w:ind w:leftChars="-35" w:hanging="73" w:hangingChars="35"/>
              <w:jc w:val="center"/>
              <w:rPr>
                <w:rFonts w:ascii="宋体" w:hAnsi="宋体" w:cs="宋体"/>
                <w:color w:val="auto"/>
                <w:szCs w:val="21"/>
              </w:rPr>
            </w:pPr>
          </w:p>
        </w:tc>
      </w:tr>
      <w:tr w14:paraId="06070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F744B9A">
            <w:pPr>
              <w:spacing w:line="360" w:lineRule="auto"/>
              <w:ind w:leftChars="-35" w:hanging="73" w:hangingChars="35"/>
              <w:jc w:val="center"/>
              <w:rPr>
                <w:rFonts w:ascii="宋体" w:hAnsi="宋体" w:cs="宋体"/>
                <w:color w:val="auto"/>
                <w:szCs w:val="21"/>
              </w:rPr>
            </w:pPr>
          </w:p>
        </w:tc>
        <w:tc>
          <w:tcPr>
            <w:tcW w:w="1512" w:type="dxa"/>
            <w:vAlign w:val="center"/>
          </w:tcPr>
          <w:p w14:paraId="54EBBBC3">
            <w:pPr>
              <w:spacing w:line="360" w:lineRule="auto"/>
              <w:ind w:leftChars="-35" w:hanging="73" w:hangingChars="35"/>
              <w:jc w:val="center"/>
              <w:rPr>
                <w:rFonts w:ascii="宋体" w:hAnsi="宋体" w:cs="宋体"/>
                <w:color w:val="auto"/>
                <w:szCs w:val="21"/>
              </w:rPr>
            </w:pPr>
          </w:p>
        </w:tc>
        <w:tc>
          <w:tcPr>
            <w:tcW w:w="1051" w:type="dxa"/>
            <w:vAlign w:val="center"/>
          </w:tcPr>
          <w:p w14:paraId="26FF9D95">
            <w:pPr>
              <w:spacing w:line="360" w:lineRule="auto"/>
              <w:ind w:leftChars="-35" w:hanging="73" w:hangingChars="35"/>
              <w:jc w:val="center"/>
              <w:rPr>
                <w:rFonts w:ascii="宋体" w:hAnsi="宋体" w:cs="宋体"/>
                <w:color w:val="auto"/>
                <w:szCs w:val="21"/>
              </w:rPr>
            </w:pPr>
          </w:p>
        </w:tc>
        <w:tc>
          <w:tcPr>
            <w:tcW w:w="1020" w:type="dxa"/>
            <w:vAlign w:val="center"/>
          </w:tcPr>
          <w:p w14:paraId="5B1197D5">
            <w:pPr>
              <w:spacing w:line="360" w:lineRule="auto"/>
              <w:ind w:leftChars="-35" w:hanging="73" w:hangingChars="35"/>
              <w:jc w:val="center"/>
              <w:rPr>
                <w:rFonts w:ascii="宋体" w:hAnsi="宋体" w:cs="宋体"/>
                <w:color w:val="auto"/>
                <w:szCs w:val="21"/>
              </w:rPr>
            </w:pPr>
          </w:p>
        </w:tc>
        <w:tc>
          <w:tcPr>
            <w:tcW w:w="849" w:type="dxa"/>
            <w:vAlign w:val="center"/>
          </w:tcPr>
          <w:p w14:paraId="356408DD">
            <w:pPr>
              <w:spacing w:line="360" w:lineRule="auto"/>
              <w:ind w:leftChars="-35" w:hanging="73" w:hangingChars="35"/>
              <w:jc w:val="center"/>
              <w:rPr>
                <w:rFonts w:ascii="宋体" w:hAnsi="宋体" w:cs="宋体"/>
                <w:color w:val="auto"/>
                <w:szCs w:val="21"/>
              </w:rPr>
            </w:pPr>
          </w:p>
        </w:tc>
        <w:tc>
          <w:tcPr>
            <w:tcW w:w="1134" w:type="dxa"/>
            <w:vAlign w:val="center"/>
          </w:tcPr>
          <w:p w14:paraId="3C71528C">
            <w:pPr>
              <w:spacing w:line="360" w:lineRule="auto"/>
              <w:ind w:leftChars="-35" w:hanging="73" w:hangingChars="35"/>
              <w:jc w:val="center"/>
              <w:rPr>
                <w:rFonts w:ascii="宋体" w:hAnsi="宋体" w:cs="宋体"/>
                <w:color w:val="auto"/>
                <w:szCs w:val="21"/>
              </w:rPr>
            </w:pPr>
          </w:p>
        </w:tc>
        <w:tc>
          <w:tcPr>
            <w:tcW w:w="1277" w:type="dxa"/>
            <w:vAlign w:val="center"/>
          </w:tcPr>
          <w:p w14:paraId="73B1856D">
            <w:pPr>
              <w:spacing w:line="360" w:lineRule="auto"/>
              <w:ind w:leftChars="-35" w:hanging="73" w:hangingChars="35"/>
              <w:jc w:val="center"/>
              <w:rPr>
                <w:rFonts w:ascii="宋体" w:hAnsi="宋体" w:cs="宋体"/>
                <w:color w:val="auto"/>
                <w:szCs w:val="21"/>
              </w:rPr>
            </w:pPr>
          </w:p>
        </w:tc>
        <w:tc>
          <w:tcPr>
            <w:tcW w:w="1116" w:type="dxa"/>
            <w:vAlign w:val="center"/>
          </w:tcPr>
          <w:p w14:paraId="69E5AE63">
            <w:pPr>
              <w:spacing w:line="360" w:lineRule="auto"/>
              <w:ind w:leftChars="-35" w:hanging="73" w:hangingChars="35"/>
              <w:jc w:val="center"/>
              <w:rPr>
                <w:rFonts w:ascii="宋体" w:hAnsi="宋体" w:cs="宋体"/>
                <w:color w:val="auto"/>
                <w:szCs w:val="21"/>
              </w:rPr>
            </w:pPr>
          </w:p>
        </w:tc>
        <w:tc>
          <w:tcPr>
            <w:tcW w:w="756" w:type="dxa"/>
            <w:vAlign w:val="center"/>
          </w:tcPr>
          <w:p w14:paraId="504707DB">
            <w:pPr>
              <w:spacing w:line="360" w:lineRule="auto"/>
              <w:ind w:leftChars="-35" w:hanging="73" w:hangingChars="35"/>
              <w:jc w:val="center"/>
              <w:rPr>
                <w:rFonts w:ascii="宋体" w:hAnsi="宋体" w:cs="宋体"/>
                <w:color w:val="auto"/>
                <w:szCs w:val="21"/>
              </w:rPr>
            </w:pPr>
          </w:p>
        </w:tc>
      </w:tr>
      <w:tr w14:paraId="639A7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788E1AFB">
            <w:pPr>
              <w:spacing w:line="360" w:lineRule="auto"/>
              <w:ind w:leftChars="-35" w:hanging="73" w:hangingChars="35"/>
              <w:jc w:val="center"/>
              <w:rPr>
                <w:rFonts w:ascii="宋体" w:hAnsi="宋体" w:cs="宋体"/>
                <w:color w:val="auto"/>
                <w:szCs w:val="21"/>
              </w:rPr>
            </w:pPr>
          </w:p>
        </w:tc>
        <w:tc>
          <w:tcPr>
            <w:tcW w:w="1512" w:type="dxa"/>
            <w:vAlign w:val="center"/>
          </w:tcPr>
          <w:p w14:paraId="774DAAB8">
            <w:pPr>
              <w:spacing w:line="360" w:lineRule="auto"/>
              <w:ind w:leftChars="-35" w:hanging="73" w:hangingChars="35"/>
              <w:jc w:val="center"/>
              <w:rPr>
                <w:rFonts w:ascii="宋体" w:hAnsi="宋体" w:cs="宋体"/>
                <w:color w:val="auto"/>
                <w:szCs w:val="21"/>
              </w:rPr>
            </w:pPr>
          </w:p>
        </w:tc>
        <w:tc>
          <w:tcPr>
            <w:tcW w:w="1051" w:type="dxa"/>
            <w:vAlign w:val="center"/>
          </w:tcPr>
          <w:p w14:paraId="363E4818">
            <w:pPr>
              <w:spacing w:line="360" w:lineRule="auto"/>
              <w:ind w:leftChars="-35" w:hanging="73" w:hangingChars="35"/>
              <w:jc w:val="center"/>
              <w:rPr>
                <w:rFonts w:ascii="宋体" w:hAnsi="宋体" w:cs="宋体"/>
                <w:color w:val="auto"/>
                <w:szCs w:val="21"/>
              </w:rPr>
            </w:pPr>
          </w:p>
        </w:tc>
        <w:tc>
          <w:tcPr>
            <w:tcW w:w="1020" w:type="dxa"/>
            <w:vAlign w:val="center"/>
          </w:tcPr>
          <w:p w14:paraId="648C73D9">
            <w:pPr>
              <w:spacing w:line="360" w:lineRule="auto"/>
              <w:ind w:leftChars="-35" w:hanging="73" w:hangingChars="35"/>
              <w:jc w:val="center"/>
              <w:rPr>
                <w:rFonts w:ascii="宋体" w:hAnsi="宋体" w:cs="宋体"/>
                <w:color w:val="auto"/>
                <w:szCs w:val="21"/>
              </w:rPr>
            </w:pPr>
          </w:p>
        </w:tc>
        <w:tc>
          <w:tcPr>
            <w:tcW w:w="849" w:type="dxa"/>
            <w:vAlign w:val="center"/>
          </w:tcPr>
          <w:p w14:paraId="6CC8AA75">
            <w:pPr>
              <w:spacing w:line="360" w:lineRule="auto"/>
              <w:ind w:leftChars="-35" w:hanging="73" w:hangingChars="35"/>
              <w:jc w:val="center"/>
              <w:rPr>
                <w:rFonts w:ascii="宋体" w:hAnsi="宋体" w:cs="宋体"/>
                <w:color w:val="auto"/>
                <w:szCs w:val="21"/>
              </w:rPr>
            </w:pPr>
          </w:p>
        </w:tc>
        <w:tc>
          <w:tcPr>
            <w:tcW w:w="1134" w:type="dxa"/>
            <w:vAlign w:val="center"/>
          </w:tcPr>
          <w:p w14:paraId="7233D337">
            <w:pPr>
              <w:spacing w:line="360" w:lineRule="auto"/>
              <w:ind w:leftChars="-35" w:hanging="73" w:hangingChars="35"/>
              <w:jc w:val="center"/>
              <w:rPr>
                <w:rFonts w:ascii="宋体" w:hAnsi="宋体" w:cs="宋体"/>
                <w:color w:val="auto"/>
                <w:szCs w:val="21"/>
              </w:rPr>
            </w:pPr>
          </w:p>
        </w:tc>
        <w:tc>
          <w:tcPr>
            <w:tcW w:w="1277" w:type="dxa"/>
            <w:vAlign w:val="center"/>
          </w:tcPr>
          <w:p w14:paraId="08A50C65">
            <w:pPr>
              <w:spacing w:line="360" w:lineRule="auto"/>
              <w:ind w:leftChars="-35" w:hanging="73" w:hangingChars="35"/>
              <w:jc w:val="center"/>
              <w:rPr>
                <w:rFonts w:ascii="宋体" w:hAnsi="宋体" w:cs="宋体"/>
                <w:color w:val="auto"/>
                <w:szCs w:val="21"/>
              </w:rPr>
            </w:pPr>
          </w:p>
        </w:tc>
        <w:tc>
          <w:tcPr>
            <w:tcW w:w="1116" w:type="dxa"/>
            <w:vAlign w:val="center"/>
          </w:tcPr>
          <w:p w14:paraId="468FA1BA">
            <w:pPr>
              <w:spacing w:line="360" w:lineRule="auto"/>
              <w:ind w:leftChars="-35" w:hanging="73" w:hangingChars="35"/>
              <w:jc w:val="center"/>
              <w:rPr>
                <w:rFonts w:ascii="宋体" w:hAnsi="宋体" w:cs="宋体"/>
                <w:color w:val="auto"/>
                <w:szCs w:val="21"/>
              </w:rPr>
            </w:pPr>
          </w:p>
        </w:tc>
        <w:tc>
          <w:tcPr>
            <w:tcW w:w="756" w:type="dxa"/>
            <w:vAlign w:val="center"/>
          </w:tcPr>
          <w:p w14:paraId="376765F1">
            <w:pPr>
              <w:spacing w:line="360" w:lineRule="auto"/>
              <w:ind w:leftChars="-35" w:hanging="73" w:hangingChars="35"/>
              <w:jc w:val="center"/>
              <w:rPr>
                <w:rFonts w:ascii="宋体" w:hAnsi="宋体" w:cs="宋体"/>
                <w:color w:val="auto"/>
                <w:szCs w:val="21"/>
              </w:rPr>
            </w:pPr>
          </w:p>
        </w:tc>
      </w:tr>
      <w:tr w14:paraId="7215B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1309A47">
            <w:pPr>
              <w:spacing w:line="360" w:lineRule="auto"/>
              <w:ind w:leftChars="-35" w:hanging="73" w:hangingChars="35"/>
              <w:jc w:val="center"/>
              <w:rPr>
                <w:rFonts w:ascii="宋体" w:hAnsi="宋体" w:cs="宋体"/>
                <w:color w:val="auto"/>
                <w:szCs w:val="21"/>
              </w:rPr>
            </w:pPr>
          </w:p>
        </w:tc>
        <w:tc>
          <w:tcPr>
            <w:tcW w:w="1512" w:type="dxa"/>
            <w:vAlign w:val="center"/>
          </w:tcPr>
          <w:p w14:paraId="5BA1FE8B">
            <w:pPr>
              <w:spacing w:line="360" w:lineRule="auto"/>
              <w:ind w:leftChars="-35" w:hanging="73" w:hangingChars="35"/>
              <w:jc w:val="center"/>
              <w:rPr>
                <w:rFonts w:ascii="宋体" w:hAnsi="宋体" w:cs="宋体"/>
                <w:color w:val="auto"/>
                <w:szCs w:val="21"/>
              </w:rPr>
            </w:pPr>
          </w:p>
        </w:tc>
        <w:tc>
          <w:tcPr>
            <w:tcW w:w="1051" w:type="dxa"/>
            <w:vAlign w:val="center"/>
          </w:tcPr>
          <w:p w14:paraId="482D9904">
            <w:pPr>
              <w:spacing w:line="360" w:lineRule="auto"/>
              <w:ind w:leftChars="-35" w:hanging="73" w:hangingChars="35"/>
              <w:jc w:val="center"/>
              <w:rPr>
                <w:rFonts w:ascii="宋体" w:hAnsi="宋体" w:cs="宋体"/>
                <w:color w:val="auto"/>
                <w:szCs w:val="21"/>
              </w:rPr>
            </w:pPr>
          </w:p>
        </w:tc>
        <w:tc>
          <w:tcPr>
            <w:tcW w:w="1020" w:type="dxa"/>
            <w:vAlign w:val="center"/>
          </w:tcPr>
          <w:p w14:paraId="25BB2EAD">
            <w:pPr>
              <w:spacing w:line="360" w:lineRule="auto"/>
              <w:ind w:leftChars="-35" w:hanging="73" w:hangingChars="35"/>
              <w:jc w:val="center"/>
              <w:rPr>
                <w:rFonts w:ascii="宋体" w:hAnsi="宋体" w:cs="宋体"/>
                <w:color w:val="auto"/>
                <w:szCs w:val="21"/>
              </w:rPr>
            </w:pPr>
          </w:p>
        </w:tc>
        <w:tc>
          <w:tcPr>
            <w:tcW w:w="849" w:type="dxa"/>
            <w:vAlign w:val="center"/>
          </w:tcPr>
          <w:p w14:paraId="70C4E94E">
            <w:pPr>
              <w:spacing w:line="360" w:lineRule="auto"/>
              <w:ind w:leftChars="-35" w:hanging="73" w:hangingChars="35"/>
              <w:jc w:val="center"/>
              <w:rPr>
                <w:rFonts w:ascii="宋体" w:hAnsi="宋体" w:cs="宋体"/>
                <w:color w:val="auto"/>
                <w:szCs w:val="21"/>
              </w:rPr>
            </w:pPr>
          </w:p>
        </w:tc>
        <w:tc>
          <w:tcPr>
            <w:tcW w:w="1134" w:type="dxa"/>
            <w:vAlign w:val="center"/>
          </w:tcPr>
          <w:p w14:paraId="6CB1F638">
            <w:pPr>
              <w:spacing w:line="360" w:lineRule="auto"/>
              <w:ind w:leftChars="-35" w:hanging="73" w:hangingChars="35"/>
              <w:jc w:val="center"/>
              <w:rPr>
                <w:rFonts w:ascii="宋体" w:hAnsi="宋体" w:cs="宋体"/>
                <w:color w:val="auto"/>
                <w:szCs w:val="21"/>
              </w:rPr>
            </w:pPr>
          </w:p>
        </w:tc>
        <w:tc>
          <w:tcPr>
            <w:tcW w:w="1277" w:type="dxa"/>
            <w:vAlign w:val="center"/>
          </w:tcPr>
          <w:p w14:paraId="6D3518A5">
            <w:pPr>
              <w:spacing w:line="360" w:lineRule="auto"/>
              <w:ind w:leftChars="-35" w:hanging="73" w:hangingChars="35"/>
              <w:jc w:val="center"/>
              <w:rPr>
                <w:rFonts w:ascii="宋体" w:hAnsi="宋体" w:cs="宋体"/>
                <w:color w:val="auto"/>
                <w:szCs w:val="21"/>
              </w:rPr>
            </w:pPr>
          </w:p>
        </w:tc>
        <w:tc>
          <w:tcPr>
            <w:tcW w:w="1116" w:type="dxa"/>
            <w:vAlign w:val="center"/>
          </w:tcPr>
          <w:p w14:paraId="2487A015">
            <w:pPr>
              <w:spacing w:line="360" w:lineRule="auto"/>
              <w:ind w:leftChars="-35" w:hanging="73" w:hangingChars="35"/>
              <w:jc w:val="center"/>
              <w:rPr>
                <w:rFonts w:ascii="宋体" w:hAnsi="宋体" w:cs="宋体"/>
                <w:color w:val="auto"/>
                <w:szCs w:val="21"/>
              </w:rPr>
            </w:pPr>
          </w:p>
        </w:tc>
        <w:tc>
          <w:tcPr>
            <w:tcW w:w="756" w:type="dxa"/>
            <w:vAlign w:val="center"/>
          </w:tcPr>
          <w:p w14:paraId="0AB3DF1A">
            <w:pPr>
              <w:spacing w:line="360" w:lineRule="auto"/>
              <w:ind w:leftChars="-35" w:hanging="73" w:hangingChars="35"/>
              <w:jc w:val="center"/>
              <w:rPr>
                <w:rFonts w:ascii="宋体" w:hAnsi="宋体" w:cs="宋体"/>
                <w:color w:val="auto"/>
                <w:szCs w:val="21"/>
              </w:rPr>
            </w:pPr>
          </w:p>
        </w:tc>
      </w:tr>
      <w:tr w14:paraId="11194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5D03C1BE">
            <w:pPr>
              <w:spacing w:line="360" w:lineRule="auto"/>
              <w:ind w:leftChars="-35" w:hanging="73" w:hangingChars="35"/>
              <w:jc w:val="center"/>
              <w:rPr>
                <w:rFonts w:ascii="宋体" w:hAnsi="宋体" w:cs="宋体"/>
                <w:color w:val="auto"/>
                <w:szCs w:val="21"/>
              </w:rPr>
            </w:pPr>
          </w:p>
        </w:tc>
        <w:tc>
          <w:tcPr>
            <w:tcW w:w="1512" w:type="dxa"/>
            <w:vAlign w:val="center"/>
          </w:tcPr>
          <w:p w14:paraId="069EA88C">
            <w:pPr>
              <w:spacing w:line="360" w:lineRule="auto"/>
              <w:ind w:leftChars="-35" w:hanging="73" w:hangingChars="35"/>
              <w:jc w:val="center"/>
              <w:rPr>
                <w:rFonts w:ascii="宋体" w:hAnsi="宋体" w:cs="宋体"/>
                <w:color w:val="auto"/>
                <w:szCs w:val="21"/>
              </w:rPr>
            </w:pPr>
          </w:p>
        </w:tc>
        <w:tc>
          <w:tcPr>
            <w:tcW w:w="1051" w:type="dxa"/>
            <w:vAlign w:val="center"/>
          </w:tcPr>
          <w:p w14:paraId="119A55AA">
            <w:pPr>
              <w:spacing w:line="360" w:lineRule="auto"/>
              <w:ind w:leftChars="-35" w:hanging="73" w:hangingChars="35"/>
              <w:jc w:val="center"/>
              <w:rPr>
                <w:rFonts w:ascii="宋体" w:hAnsi="宋体" w:cs="宋体"/>
                <w:color w:val="auto"/>
                <w:szCs w:val="21"/>
              </w:rPr>
            </w:pPr>
          </w:p>
        </w:tc>
        <w:tc>
          <w:tcPr>
            <w:tcW w:w="1020" w:type="dxa"/>
            <w:vAlign w:val="center"/>
          </w:tcPr>
          <w:p w14:paraId="29AD6769">
            <w:pPr>
              <w:spacing w:line="360" w:lineRule="auto"/>
              <w:ind w:leftChars="-35" w:hanging="73" w:hangingChars="35"/>
              <w:jc w:val="center"/>
              <w:rPr>
                <w:rFonts w:ascii="宋体" w:hAnsi="宋体" w:cs="宋体"/>
                <w:color w:val="auto"/>
                <w:szCs w:val="21"/>
              </w:rPr>
            </w:pPr>
          </w:p>
        </w:tc>
        <w:tc>
          <w:tcPr>
            <w:tcW w:w="849" w:type="dxa"/>
            <w:vAlign w:val="center"/>
          </w:tcPr>
          <w:p w14:paraId="2F85C417">
            <w:pPr>
              <w:spacing w:line="360" w:lineRule="auto"/>
              <w:ind w:leftChars="-35" w:hanging="73" w:hangingChars="35"/>
              <w:jc w:val="center"/>
              <w:rPr>
                <w:rFonts w:ascii="宋体" w:hAnsi="宋体" w:cs="宋体"/>
                <w:color w:val="auto"/>
                <w:szCs w:val="21"/>
              </w:rPr>
            </w:pPr>
          </w:p>
        </w:tc>
        <w:tc>
          <w:tcPr>
            <w:tcW w:w="1134" w:type="dxa"/>
            <w:vAlign w:val="center"/>
          </w:tcPr>
          <w:p w14:paraId="7394C8ED">
            <w:pPr>
              <w:spacing w:line="360" w:lineRule="auto"/>
              <w:ind w:leftChars="-35" w:hanging="73" w:hangingChars="35"/>
              <w:jc w:val="center"/>
              <w:rPr>
                <w:rFonts w:ascii="宋体" w:hAnsi="宋体" w:cs="宋体"/>
                <w:color w:val="auto"/>
                <w:szCs w:val="21"/>
              </w:rPr>
            </w:pPr>
          </w:p>
        </w:tc>
        <w:tc>
          <w:tcPr>
            <w:tcW w:w="1277" w:type="dxa"/>
            <w:vAlign w:val="center"/>
          </w:tcPr>
          <w:p w14:paraId="26B65037">
            <w:pPr>
              <w:spacing w:line="360" w:lineRule="auto"/>
              <w:ind w:leftChars="-35" w:hanging="73" w:hangingChars="35"/>
              <w:jc w:val="center"/>
              <w:rPr>
                <w:rFonts w:ascii="宋体" w:hAnsi="宋体" w:cs="宋体"/>
                <w:color w:val="auto"/>
                <w:szCs w:val="21"/>
              </w:rPr>
            </w:pPr>
          </w:p>
        </w:tc>
        <w:tc>
          <w:tcPr>
            <w:tcW w:w="1116" w:type="dxa"/>
            <w:vAlign w:val="center"/>
          </w:tcPr>
          <w:p w14:paraId="7DCAB786">
            <w:pPr>
              <w:spacing w:line="360" w:lineRule="auto"/>
              <w:ind w:leftChars="-35" w:hanging="73" w:hangingChars="35"/>
              <w:jc w:val="center"/>
              <w:rPr>
                <w:rFonts w:ascii="宋体" w:hAnsi="宋体" w:cs="宋体"/>
                <w:color w:val="auto"/>
                <w:szCs w:val="21"/>
              </w:rPr>
            </w:pPr>
          </w:p>
        </w:tc>
        <w:tc>
          <w:tcPr>
            <w:tcW w:w="756" w:type="dxa"/>
            <w:vAlign w:val="center"/>
          </w:tcPr>
          <w:p w14:paraId="70AE0247">
            <w:pPr>
              <w:spacing w:line="360" w:lineRule="auto"/>
              <w:ind w:leftChars="-35" w:hanging="73" w:hangingChars="35"/>
              <w:jc w:val="center"/>
              <w:rPr>
                <w:rFonts w:ascii="宋体" w:hAnsi="宋体" w:cs="宋体"/>
                <w:color w:val="auto"/>
                <w:szCs w:val="21"/>
              </w:rPr>
            </w:pPr>
          </w:p>
        </w:tc>
      </w:tr>
      <w:tr w14:paraId="4C4B2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7B7CC637">
            <w:pPr>
              <w:spacing w:line="360" w:lineRule="auto"/>
              <w:ind w:leftChars="-35" w:hanging="73" w:hangingChars="35"/>
              <w:jc w:val="center"/>
              <w:rPr>
                <w:rFonts w:ascii="宋体" w:hAnsi="宋体" w:cs="宋体"/>
                <w:color w:val="auto"/>
                <w:szCs w:val="21"/>
              </w:rPr>
            </w:pPr>
          </w:p>
        </w:tc>
        <w:tc>
          <w:tcPr>
            <w:tcW w:w="1512" w:type="dxa"/>
            <w:vAlign w:val="center"/>
          </w:tcPr>
          <w:p w14:paraId="273C30A8">
            <w:pPr>
              <w:spacing w:line="360" w:lineRule="auto"/>
              <w:ind w:leftChars="-35" w:hanging="73" w:hangingChars="35"/>
              <w:jc w:val="center"/>
              <w:rPr>
                <w:rFonts w:ascii="宋体" w:hAnsi="宋体" w:cs="宋体"/>
                <w:color w:val="auto"/>
                <w:szCs w:val="21"/>
              </w:rPr>
            </w:pPr>
          </w:p>
        </w:tc>
        <w:tc>
          <w:tcPr>
            <w:tcW w:w="1051" w:type="dxa"/>
            <w:vAlign w:val="center"/>
          </w:tcPr>
          <w:p w14:paraId="6728E9F5">
            <w:pPr>
              <w:spacing w:line="360" w:lineRule="auto"/>
              <w:ind w:leftChars="-35" w:hanging="73" w:hangingChars="35"/>
              <w:jc w:val="center"/>
              <w:rPr>
                <w:rFonts w:ascii="宋体" w:hAnsi="宋体" w:cs="宋体"/>
                <w:color w:val="auto"/>
                <w:szCs w:val="21"/>
              </w:rPr>
            </w:pPr>
          </w:p>
        </w:tc>
        <w:tc>
          <w:tcPr>
            <w:tcW w:w="1020" w:type="dxa"/>
            <w:vAlign w:val="center"/>
          </w:tcPr>
          <w:p w14:paraId="653A43D3">
            <w:pPr>
              <w:spacing w:line="360" w:lineRule="auto"/>
              <w:ind w:leftChars="-35" w:hanging="73" w:hangingChars="35"/>
              <w:jc w:val="center"/>
              <w:rPr>
                <w:rFonts w:ascii="宋体" w:hAnsi="宋体" w:cs="宋体"/>
                <w:color w:val="auto"/>
                <w:szCs w:val="21"/>
              </w:rPr>
            </w:pPr>
          </w:p>
        </w:tc>
        <w:tc>
          <w:tcPr>
            <w:tcW w:w="849" w:type="dxa"/>
            <w:vAlign w:val="center"/>
          </w:tcPr>
          <w:p w14:paraId="32702882">
            <w:pPr>
              <w:spacing w:line="360" w:lineRule="auto"/>
              <w:ind w:leftChars="-35" w:hanging="73" w:hangingChars="35"/>
              <w:jc w:val="center"/>
              <w:rPr>
                <w:rFonts w:ascii="宋体" w:hAnsi="宋体" w:cs="宋体"/>
                <w:color w:val="auto"/>
                <w:szCs w:val="21"/>
              </w:rPr>
            </w:pPr>
          </w:p>
        </w:tc>
        <w:tc>
          <w:tcPr>
            <w:tcW w:w="1134" w:type="dxa"/>
            <w:vAlign w:val="center"/>
          </w:tcPr>
          <w:p w14:paraId="55B8B82A">
            <w:pPr>
              <w:spacing w:line="360" w:lineRule="auto"/>
              <w:ind w:leftChars="-35" w:hanging="73" w:hangingChars="35"/>
              <w:jc w:val="center"/>
              <w:rPr>
                <w:rFonts w:ascii="宋体" w:hAnsi="宋体" w:cs="宋体"/>
                <w:color w:val="auto"/>
                <w:szCs w:val="21"/>
              </w:rPr>
            </w:pPr>
          </w:p>
        </w:tc>
        <w:tc>
          <w:tcPr>
            <w:tcW w:w="1277" w:type="dxa"/>
            <w:vAlign w:val="center"/>
          </w:tcPr>
          <w:p w14:paraId="231CACC6">
            <w:pPr>
              <w:spacing w:line="360" w:lineRule="auto"/>
              <w:ind w:leftChars="-35" w:hanging="73" w:hangingChars="35"/>
              <w:jc w:val="center"/>
              <w:rPr>
                <w:rFonts w:ascii="宋体" w:hAnsi="宋体" w:cs="宋体"/>
                <w:color w:val="auto"/>
                <w:szCs w:val="21"/>
              </w:rPr>
            </w:pPr>
          </w:p>
        </w:tc>
        <w:tc>
          <w:tcPr>
            <w:tcW w:w="1116" w:type="dxa"/>
            <w:vAlign w:val="center"/>
          </w:tcPr>
          <w:p w14:paraId="6A932111">
            <w:pPr>
              <w:spacing w:line="360" w:lineRule="auto"/>
              <w:ind w:leftChars="-35" w:hanging="73" w:hangingChars="35"/>
              <w:jc w:val="center"/>
              <w:rPr>
                <w:rFonts w:ascii="宋体" w:hAnsi="宋体" w:cs="宋体"/>
                <w:color w:val="auto"/>
                <w:szCs w:val="21"/>
              </w:rPr>
            </w:pPr>
          </w:p>
        </w:tc>
        <w:tc>
          <w:tcPr>
            <w:tcW w:w="756" w:type="dxa"/>
            <w:vAlign w:val="center"/>
          </w:tcPr>
          <w:p w14:paraId="473114D4">
            <w:pPr>
              <w:spacing w:line="360" w:lineRule="auto"/>
              <w:ind w:leftChars="-35" w:hanging="73" w:hangingChars="35"/>
              <w:jc w:val="center"/>
              <w:rPr>
                <w:rFonts w:ascii="宋体" w:hAnsi="宋体" w:cs="宋体"/>
                <w:color w:val="auto"/>
                <w:szCs w:val="21"/>
              </w:rPr>
            </w:pPr>
          </w:p>
        </w:tc>
      </w:tr>
      <w:tr w14:paraId="48D9C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6F030D9">
            <w:pPr>
              <w:spacing w:line="360" w:lineRule="auto"/>
              <w:ind w:leftChars="-35" w:hanging="73" w:hangingChars="35"/>
              <w:jc w:val="center"/>
              <w:rPr>
                <w:rFonts w:ascii="宋体" w:hAnsi="宋体" w:cs="宋体"/>
                <w:color w:val="auto"/>
                <w:szCs w:val="21"/>
              </w:rPr>
            </w:pPr>
          </w:p>
        </w:tc>
        <w:tc>
          <w:tcPr>
            <w:tcW w:w="1512" w:type="dxa"/>
            <w:vAlign w:val="center"/>
          </w:tcPr>
          <w:p w14:paraId="6514D7DF">
            <w:pPr>
              <w:spacing w:line="360" w:lineRule="auto"/>
              <w:ind w:leftChars="-35" w:hanging="73" w:hangingChars="35"/>
              <w:jc w:val="center"/>
              <w:rPr>
                <w:rFonts w:ascii="宋体" w:hAnsi="宋体" w:cs="宋体"/>
                <w:color w:val="auto"/>
                <w:szCs w:val="21"/>
              </w:rPr>
            </w:pPr>
          </w:p>
        </w:tc>
        <w:tc>
          <w:tcPr>
            <w:tcW w:w="1051" w:type="dxa"/>
            <w:vAlign w:val="center"/>
          </w:tcPr>
          <w:p w14:paraId="167A547B">
            <w:pPr>
              <w:spacing w:line="360" w:lineRule="auto"/>
              <w:ind w:leftChars="-35" w:hanging="73" w:hangingChars="35"/>
              <w:jc w:val="center"/>
              <w:rPr>
                <w:rFonts w:ascii="宋体" w:hAnsi="宋体" w:cs="宋体"/>
                <w:color w:val="auto"/>
                <w:szCs w:val="21"/>
              </w:rPr>
            </w:pPr>
          </w:p>
        </w:tc>
        <w:tc>
          <w:tcPr>
            <w:tcW w:w="1020" w:type="dxa"/>
            <w:vAlign w:val="center"/>
          </w:tcPr>
          <w:p w14:paraId="42C1C23B">
            <w:pPr>
              <w:spacing w:line="360" w:lineRule="auto"/>
              <w:ind w:leftChars="-35" w:hanging="73" w:hangingChars="35"/>
              <w:jc w:val="center"/>
              <w:rPr>
                <w:rFonts w:ascii="宋体" w:hAnsi="宋体" w:cs="宋体"/>
                <w:color w:val="auto"/>
                <w:szCs w:val="21"/>
              </w:rPr>
            </w:pPr>
          </w:p>
        </w:tc>
        <w:tc>
          <w:tcPr>
            <w:tcW w:w="849" w:type="dxa"/>
            <w:vAlign w:val="center"/>
          </w:tcPr>
          <w:p w14:paraId="2CC6C587">
            <w:pPr>
              <w:spacing w:line="360" w:lineRule="auto"/>
              <w:ind w:leftChars="-35" w:hanging="73" w:hangingChars="35"/>
              <w:jc w:val="center"/>
              <w:rPr>
                <w:rFonts w:ascii="宋体" w:hAnsi="宋体" w:cs="宋体"/>
                <w:color w:val="auto"/>
                <w:szCs w:val="21"/>
              </w:rPr>
            </w:pPr>
          </w:p>
        </w:tc>
        <w:tc>
          <w:tcPr>
            <w:tcW w:w="1134" w:type="dxa"/>
            <w:vAlign w:val="center"/>
          </w:tcPr>
          <w:p w14:paraId="41DDA294">
            <w:pPr>
              <w:spacing w:line="360" w:lineRule="auto"/>
              <w:ind w:leftChars="-35" w:hanging="73" w:hangingChars="35"/>
              <w:jc w:val="center"/>
              <w:rPr>
                <w:rFonts w:ascii="宋体" w:hAnsi="宋体" w:cs="宋体"/>
                <w:color w:val="auto"/>
                <w:szCs w:val="21"/>
              </w:rPr>
            </w:pPr>
          </w:p>
        </w:tc>
        <w:tc>
          <w:tcPr>
            <w:tcW w:w="1277" w:type="dxa"/>
            <w:vAlign w:val="center"/>
          </w:tcPr>
          <w:p w14:paraId="306987BE">
            <w:pPr>
              <w:spacing w:line="360" w:lineRule="auto"/>
              <w:ind w:leftChars="-35" w:hanging="73" w:hangingChars="35"/>
              <w:jc w:val="center"/>
              <w:rPr>
                <w:rFonts w:ascii="宋体" w:hAnsi="宋体" w:cs="宋体"/>
                <w:color w:val="auto"/>
                <w:szCs w:val="21"/>
              </w:rPr>
            </w:pPr>
          </w:p>
        </w:tc>
        <w:tc>
          <w:tcPr>
            <w:tcW w:w="1116" w:type="dxa"/>
            <w:vAlign w:val="center"/>
          </w:tcPr>
          <w:p w14:paraId="2CA4BA04">
            <w:pPr>
              <w:spacing w:line="360" w:lineRule="auto"/>
              <w:ind w:leftChars="-35" w:hanging="73" w:hangingChars="35"/>
              <w:jc w:val="center"/>
              <w:rPr>
                <w:rFonts w:ascii="宋体" w:hAnsi="宋体" w:cs="宋体"/>
                <w:color w:val="auto"/>
                <w:szCs w:val="21"/>
              </w:rPr>
            </w:pPr>
          </w:p>
        </w:tc>
        <w:tc>
          <w:tcPr>
            <w:tcW w:w="756" w:type="dxa"/>
            <w:vAlign w:val="center"/>
          </w:tcPr>
          <w:p w14:paraId="5C2B851B">
            <w:pPr>
              <w:spacing w:line="360" w:lineRule="auto"/>
              <w:ind w:leftChars="-35" w:hanging="73" w:hangingChars="35"/>
              <w:jc w:val="center"/>
              <w:rPr>
                <w:rFonts w:ascii="宋体" w:hAnsi="宋体" w:cs="宋体"/>
                <w:color w:val="auto"/>
                <w:szCs w:val="21"/>
              </w:rPr>
            </w:pPr>
          </w:p>
        </w:tc>
      </w:tr>
      <w:tr w14:paraId="05091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72E380F9">
            <w:pPr>
              <w:spacing w:line="360" w:lineRule="auto"/>
              <w:ind w:leftChars="-35" w:hanging="73" w:hangingChars="35"/>
              <w:jc w:val="center"/>
              <w:rPr>
                <w:rFonts w:ascii="宋体" w:hAnsi="宋体" w:cs="宋体"/>
                <w:color w:val="auto"/>
                <w:szCs w:val="21"/>
              </w:rPr>
            </w:pPr>
          </w:p>
        </w:tc>
        <w:tc>
          <w:tcPr>
            <w:tcW w:w="1512" w:type="dxa"/>
            <w:vAlign w:val="center"/>
          </w:tcPr>
          <w:p w14:paraId="5C7F9243">
            <w:pPr>
              <w:spacing w:line="360" w:lineRule="auto"/>
              <w:ind w:leftChars="-35" w:hanging="73" w:hangingChars="35"/>
              <w:jc w:val="center"/>
              <w:rPr>
                <w:rFonts w:ascii="宋体" w:hAnsi="宋体" w:cs="宋体"/>
                <w:color w:val="auto"/>
                <w:szCs w:val="21"/>
              </w:rPr>
            </w:pPr>
          </w:p>
        </w:tc>
        <w:tc>
          <w:tcPr>
            <w:tcW w:w="1051" w:type="dxa"/>
            <w:vAlign w:val="center"/>
          </w:tcPr>
          <w:p w14:paraId="4D3A1C87">
            <w:pPr>
              <w:spacing w:line="360" w:lineRule="auto"/>
              <w:ind w:leftChars="-35" w:hanging="73" w:hangingChars="35"/>
              <w:jc w:val="center"/>
              <w:rPr>
                <w:rFonts w:ascii="宋体" w:hAnsi="宋体" w:cs="宋体"/>
                <w:color w:val="auto"/>
                <w:szCs w:val="21"/>
              </w:rPr>
            </w:pPr>
          </w:p>
        </w:tc>
        <w:tc>
          <w:tcPr>
            <w:tcW w:w="1020" w:type="dxa"/>
            <w:vAlign w:val="center"/>
          </w:tcPr>
          <w:p w14:paraId="72024540">
            <w:pPr>
              <w:spacing w:line="360" w:lineRule="auto"/>
              <w:ind w:leftChars="-35" w:hanging="73" w:hangingChars="35"/>
              <w:jc w:val="center"/>
              <w:rPr>
                <w:rFonts w:ascii="宋体" w:hAnsi="宋体" w:cs="宋体"/>
                <w:color w:val="auto"/>
                <w:szCs w:val="21"/>
              </w:rPr>
            </w:pPr>
          </w:p>
        </w:tc>
        <w:tc>
          <w:tcPr>
            <w:tcW w:w="849" w:type="dxa"/>
            <w:vAlign w:val="center"/>
          </w:tcPr>
          <w:p w14:paraId="457B64D7">
            <w:pPr>
              <w:spacing w:line="360" w:lineRule="auto"/>
              <w:ind w:leftChars="-35" w:hanging="73" w:hangingChars="35"/>
              <w:jc w:val="center"/>
              <w:rPr>
                <w:rFonts w:ascii="宋体" w:hAnsi="宋体" w:cs="宋体"/>
                <w:color w:val="auto"/>
                <w:szCs w:val="21"/>
              </w:rPr>
            </w:pPr>
          </w:p>
        </w:tc>
        <w:tc>
          <w:tcPr>
            <w:tcW w:w="1134" w:type="dxa"/>
            <w:vAlign w:val="center"/>
          </w:tcPr>
          <w:p w14:paraId="397BA2B9">
            <w:pPr>
              <w:spacing w:line="360" w:lineRule="auto"/>
              <w:ind w:leftChars="-35" w:hanging="73" w:hangingChars="35"/>
              <w:jc w:val="center"/>
              <w:rPr>
                <w:rFonts w:ascii="宋体" w:hAnsi="宋体" w:cs="宋体"/>
                <w:color w:val="auto"/>
                <w:szCs w:val="21"/>
              </w:rPr>
            </w:pPr>
          </w:p>
        </w:tc>
        <w:tc>
          <w:tcPr>
            <w:tcW w:w="1277" w:type="dxa"/>
            <w:vAlign w:val="center"/>
          </w:tcPr>
          <w:p w14:paraId="0D287D85">
            <w:pPr>
              <w:spacing w:line="360" w:lineRule="auto"/>
              <w:ind w:leftChars="-35" w:hanging="73" w:hangingChars="35"/>
              <w:jc w:val="center"/>
              <w:rPr>
                <w:rFonts w:ascii="宋体" w:hAnsi="宋体" w:cs="宋体"/>
                <w:color w:val="auto"/>
                <w:szCs w:val="21"/>
              </w:rPr>
            </w:pPr>
          </w:p>
        </w:tc>
        <w:tc>
          <w:tcPr>
            <w:tcW w:w="1116" w:type="dxa"/>
            <w:vAlign w:val="center"/>
          </w:tcPr>
          <w:p w14:paraId="424F8118">
            <w:pPr>
              <w:spacing w:line="360" w:lineRule="auto"/>
              <w:ind w:leftChars="-35" w:hanging="73" w:hangingChars="35"/>
              <w:jc w:val="center"/>
              <w:rPr>
                <w:rFonts w:ascii="宋体" w:hAnsi="宋体" w:cs="宋体"/>
                <w:color w:val="auto"/>
                <w:szCs w:val="21"/>
              </w:rPr>
            </w:pPr>
          </w:p>
        </w:tc>
        <w:tc>
          <w:tcPr>
            <w:tcW w:w="756" w:type="dxa"/>
            <w:vAlign w:val="center"/>
          </w:tcPr>
          <w:p w14:paraId="7AB65B6F">
            <w:pPr>
              <w:spacing w:line="360" w:lineRule="auto"/>
              <w:ind w:leftChars="-35" w:hanging="73" w:hangingChars="35"/>
              <w:jc w:val="center"/>
              <w:rPr>
                <w:rFonts w:ascii="宋体" w:hAnsi="宋体" w:cs="宋体"/>
                <w:color w:val="auto"/>
                <w:szCs w:val="21"/>
              </w:rPr>
            </w:pPr>
          </w:p>
        </w:tc>
      </w:tr>
      <w:tr w14:paraId="567A37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A0F4186">
            <w:pPr>
              <w:spacing w:line="360" w:lineRule="auto"/>
              <w:ind w:leftChars="-35" w:hanging="73" w:hangingChars="35"/>
              <w:jc w:val="center"/>
              <w:rPr>
                <w:rFonts w:ascii="宋体" w:hAnsi="宋体" w:cs="宋体"/>
                <w:color w:val="auto"/>
                <w:szCs w:val="21"/>
              </w:rPr>
            </w:pPr>
          </w:p>
        </w:tc>
        <w:tc>
          <w:tcPr>
            <w:tcW w:w="1512" w:type="dxa"/>
            <w:vAlign w:val="center"/>
          </w:tcPr>
          <w:p w14:paraId="6AF3203C">
            <w:pPr>
              <w:spacing w:line="360" w:lineRule="auto"/>
              <w:ind w:leftChars="-35" w:hanging="73" w:hangingChars="35"/>
              <w:jc w:val="center"/>
              <w:rPr>
                <w:rFonts w:ascii="宋体" w:hAnsi="宋体" w:cs="宋体"/>
                <w:color w:val="auto"/>
                <w:szCs w:val="21"/>
              </w:rPr>
            </w:pPr>
          </w:p>
        </w:tc>
        <w:tc>
          <w:tcPr>
            <w:tcW w:w="1051" w:type="dxa"/>
            <w:vAlign w:val="center"/>
          </w:tcPr>
          <w:p w14:paraId="58F3B4A8">
            <w:pPr>
              <w:spacing w:line="360" w:lineRule="auto"/>
              <w:ind w:leftChars="-35" w:hanging="73" w:hangingChars="35"/>
              <w:jc w:val="center"/>
              <w:rPr>
                <w:rFonts w:ascii="宋体" w:hAnsi="宋体" w:cs="宋体"/>
                <w:color w:val="auto"/>
                <w:szCs w:val="21"/>
              </w:rPr>
            </w:pPr>
          </w:p>
        </w:tc>
        <w:tc>
          <w:tcPr>
            <w:tcW w:w="1020" w:type="dxa"/>
            <w:vAlign w:val="center"/>
          </w:tcPr>
          <w:p w14:paraId="0C79860E">
            <w:pPr>
              <w:spacing w:line="360" w:lineRule="auto"/>
              <w:ind w:leftChars="-35" w:hanging="73" w:hangingChars="35"/>
              <w:jc w:val="center"/>
              <w:rPr>
                <w:rFonts w:ascii="宋体" w:hAnsi="宋体" w:cs="宋体"/>
                <w:color w:val="auto"/>
                <w:szCs w:val="21"/>
              </w:rPr>
            </w:pPr>
          </w:p>
        </w:tc>
        <w:tc>
          <w:tcPr>
            <w:tcW w:w="849" w:type="dxa"/>
            <w:vAlign w:val="center"/>
          </w:tcPr>
          <w:p w14:paraId="13A0448E">
            <w:pPr>
              <w:spacing w:line="360" w:lineRule="auto"/>
              <w:ind w:leftChars="-35" w:hanging="73" w:hangingChars="35"/>
              <w:jc w:val="center"/>
              <w:rPr>
                <w:rFonts w:ascii="宋体" w:hAnsi="宋体" w:cs="宋体"/>
                <w:color w:val="auto"/>
                <w:szCs w:val="21"/>
              </w:rPr>
            </w:pPr>
          </w:p>
        </w:tc>
        <w:tc>
          <w:tcPr>
            <w:tcW w:w="1134" w:type="dxa"/>
            <w:vAlign w:val="center"/>
          </w:tcPr>
          <w:p w14:paraId="2D88B868">
            <w:pPr>
              <w:spacing w:line="360" w:lineRule="auto"/>
              <w:ind w:leftChars="-35" w:hanging="73" w:hangingChars="35"/>
              <w:jc w:val="center"/>
              <w:rPr>
                <w:rFonts w:ascii="宋体" w:hAnsi="宋体" w:cs="宋体"/>
                <w:color w:val="auto"/>
                <w:szCs w:val="21"/>
              </w:rPr>
            </w:pPr>
          </w:p>
        </w:tc>
        <w:tc>
          <w:tcPr>
            <w:tcW w:w="1277" w:type="dxa"/>
            <w:vAlign w:val="center"/>
          </w:tcPr>
          <w:p w14:paraId="0AD61C75">
            <w:pPr>
              <w:spacing w:line="360" w:lineRule="auto"/>
              <w:ind w:leftChars="-35" w:hanging="73" w:hangingChars="35"/>
              <w:jc w:val="center"/>
              <w:rPr>
                <w:rFonts w:ascii="宋体" w:hAnsi="宋体" w:cs="宋体"/>
                <w:color w:val="auto"/>
                <w:szCs w:val="21"/>
              </w:rPr>
            </w:pPr>
          </w:p>
        </w:tc>
        <w:tc>
          <w:tcPr>
            <w:tcW w:w="1116" w:type="dxa"/>
            <w:vAlign w:val="center"/>
          </w:tcPr>
          <w:p w14:paraId="3B8827CA">
            <w:pPr>
              <w:spacing w:line="360" w:lineRule="auto"/>
              <w:ind w:leftChars="-35" w:hanging="73" w:hangingChars="35"/>
              <w:jc w:val="center"/>
              <w:rPr>
                <w:rFonts w:ascii="宋体" w:hAnsi="宋体" w:cs="宋体"/>
                <w:color w:val="auto"/>
                <w:szCs w:val="21"/>
              </w:rPr>
            </w:pPr>
          </w:p>
        </w:tc>
        <w:tc>
          <w:tcPr>
            <w:tcW w:w="756" w:type="dxa"/>
            <w:vAlign w:val="center"/>
          </w:tcPr>
          <w:p w14:paraId="01C13133">
            <w:pPr>
              <w:spacing w:line="360" w:lineRule="auto"/>
              <w:ind w:leftChars="-35" w:hanging="73" w:hangingChars="35"/>
              <w:jc w:val="center"/>
              <w:rPr>
                <w:rFonts w:ascii="宋体" w:hAnsi="宋体" w:cs="宋体"/>
                <w:color w:val="auto"/>
                <w:szCs w:val="21"/>
              </w:rPr>
            </w:pPr>
          </w:p>
        </w:tc>
      </w:tr>
      <w:tr w14:paraId="20451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0D264B2">
            <w:pPr>
              <w:spacing w:line="360" w:lineRule="auto"/>
              <w:ind w:leftChars="-35" w:hanging="73" w:hangingChars="35"/>
              <w:jc w:val="center"/>
              <w:rPr>
                <w:rFonts w:ascii="宋体" w:hAnsi="宋体" w:cs="宋体"/>
                <w:color w:val="auto"/>
                <w:szCs w:val="21"/>
              </w:rPr>
            </w:pPr>
          </w:p>
        </w:tc>
        <w:tc>
          <w:tcPr>
            <w:tcW w:w="1512" w:type="dxa"/>
            <w:vAlign w:val="center"/>
          </w:tcPr>
          <w:p w14:paraId="492753E6">
            <w:pPr>
              <w:spacing w:line="360" w:lineRule="auto"/>
              <w:ind w:leftChars="-35" w:hanging="73" w:hangingChars="35"/>
              <w:jc w:val="center"/>
              <w:rPr>
                <w:rFonts w:ascii="宋体" w:hAnsi="宋体" w:cs="宋体"/>
                <w:color w:val="auto"/>
                <w:szCs w:val="21"/>
              </w:rPr>
            </w:pPr>
          </w:p>
        </w:tc>
        <w:tc>
          <w:tcPr>
            <w:tcW w:w="1051" w:type="dxa"/>
            <w:vAlign w:val="center"/>
          </w:tcPr>
          <w:p w14:paraId="595574AB">
            <w:pPr>
              <w:spacing w:line="360" w:lineRule="auto"/>
              <w:ind w:leftChars="-35" w:hanging="73" w:hangingChars="35"/>
              <w:jc w:val="center"/>
              <w:rPr>
                <w:rFonts w:ascii="宋体" w:hAnsi="宋体" w:cs="宋体"/>
                <w:color w:val="auto"/>
                <w:szCs w:val="21"/>
              </w:rPr>
            </w:pPr>
          </w:p>
        </w:tc>
        <w:tc>
          <w:tcPr>
            <w:tcW w:w="1020" w:type="dxa"/>
            <w:vAlign w:val="center"/>
          </w:tcPr>
          <w:p w14:paraId="37280273">
            <w:pPr>
              <w:spacing w:line="360" w:lineRule="auto"/>
              <w:ind w:leftChars="-35" w:hanging="73" w:hangingChars="35"/>
              <w:jc w:val="center"/>
              <w:rPr>
                <w:rFonts w:ascii="宋体" w:hAnsi="宋体" w:cs="宋体"/>
                <w:color w:val="auto"/>
                <w:szCs w:val="21"/>
              </w:rPr>
            </w:pPr>
          </w:p>
        </w:tc>
        <w:tc>
          <w:tcPr>
            <w:tcW w:w="849" w:type="dxa"/>
            <w:vAlign w:val="center"/>
          </w:tcPr>
          <w:p w14:paraId="11F5CB0F">
            <w:pPr>
              <w:spacing w:line="360" w:lineRule="auto"/>
              <w:ind w:leftChars="-35" w:hanging="73" w:hangingChars="35"/>
              <w:jc w:val="center"/>
              <w:rPr>
                <w:rFonts w:ascii="宋体" w:hAnsi="宋体" w:cs="宋体"/>
                <w:color w:val="auto"/>
                <w:szCs w:val="21"/>
              </w:rPr>
            </w:pPr>
          </w:p>
        </w:tc>
        <w:tc>
          <w:tcPr>
            <w:tcW w:w="1134" w:type="dxa"/>
            <w:vAlign w:val="center"/>
          </w:tcPr>
          <w:p w14:paraId="2A27570F">
            <w:pPr>
              <w:spacing w:line="360" w:lineRule="auto"/>
              <w:ind w:leftChars="-35" w:hanging="73" w:hangingChars="35"/>
              <w:jc w:val="center"/>
              <w:rPr>
                <w:rFonts w:ascii="宋体" w:hAnsi="宋体" w:cs="宋体"/>
                <w:color w:val="auto"/>
                <w:szCs w:val="21"/>
              </w:rPr>
            </w:pPr>
          </w:p>
        </w:tc>
        <w:tc>
          <w:tcPr>
            <w:tcW w:w="1277" w:type="dxa"/>
            <w:vAlign w:val="center"/>
          </w:tcPr>
          <w:p w14:paraId="4F051BC8">
            <w:pPr>
              <w:spacing w:line="360" w:lineRule="auto"/>
              <w:ind w:leftChars="-35" w:hanging="73" w:hangingChars="35"/>
              <w:jc w:val="center"/>
              <w:rPr>
                <w:rFonts w:ascii="宋体" w:hAnsi="宋体" w:cs="宋体"/>
                <w:color w:val="auto"/>
                <w:szCs w:val="21"/>
              </w:rPr>
            </w:pPr>
          </w:p>
        </w:tc>
        <w:tc>
          <w:tcPr>
            <w:tcW w:w="1116" w:type="dxa"/>
            <w:vAlign w:val="center"/>
          </w:tcPr>
          <w:p w14:paraId="172ACC54">
            <w:pPr>
              <w:spacing w:line="360" w:lineRule="auto"/>
              <w:ind w:leftChars="-35" w:hanging="73" w:hangingChars="35"/>
              <w:jc w:val="center"/>
              <w:rPr>
                <w:rFonts w:ascii="宋体" w:hAnsi="宋体" w:cs="宋体"/>
                <w:color w:val="auto"/>
                <w:szCs w:val="21"/>
              </w:rPr>
            </w:pPr>
          </w:p>
        </w:tc>
        <w:tc>
          <w:tcPr>
            <w:tcW w:w="756" w:type="dxa"/>
            <w:vAlign w:val="center"/>
          </w:tcPr>
          <w:p w14:paraId="4FAEC879">
            <w:pPr>
              <w:spacing w:line="360" w:lineRule="auto"/>
              <w:ind w:leftChars="-35" w:hanging="73" w:hangingChars="35"/>
              <w:jc w:val="center"/>
              <w:rPr>
                <w:rFonts w:ascii="宋体" w:hAnsi="宋体" w:cs="宋体"/>
                <w:color w:val="auto"/>
                <w:szCs w:val="21"/>
              </w:rPr>
            </w:pPr>
          </w:p>
        </w:tc>
      </w:tr>
      <w:tr w14:paraId="3971A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9F9D428">
            <w:pPr>
              <w:spacing w:line="360" w:lineRule="auto"/>
              <w:ind w:leftChars="-35" w:hanging="73" w:hangingChars="35"/>
              <w:jc w:val="center"/>
              <w:rPr>
                <w:rFonts w:ascii="宋体" w:hAnsi="宋体" w:cs="宋体"/>
                <w:color w:val="auto"/>
                <w:szCs w:val="21"/>
              </w:rPr>
            </w:pPr>
          </w:p>
        </w:tc>
        <w:tc>
          <w:tcPr>
            <w:tcW w:w="1512" w:type="dxa"/>
            <w:vAlign w:val="center"/>
          </w:tcPr>
          <w:p w14:paraId="74744DE4">
            <w:pPr>
              <w:spacing w:line="360" w:lineRule="auto"/>
              <w:ind w:leftChars="-35" w:hanging="73" w:hangingChars="35"/>
              <w:jc w:val="center"/>
              <w:rPr>
                <w:rFonts w:ascii="宋体" w:hAnsi="宋体" w:cs="宋体"/>
                <w:color w:val="auto"/>
                <w:szCs w:val="21"/>
              </w:rPr>
            </w:pPr>
          </w:p>
        </w:tc>
        <w:tc>
          <w:tcPr>
            <w:tcW w:w="1051" w:type="dxa"/>
            <w:vAlign w:val="center"/>
          </w:tcPr>
          <w:p w14:paraId="463F28A2">
            <w:pPr>
              <w:spacing w:line="360" w:lineRule="auto"/>
              <w:ind w:leftChars="-35" w:hanging="73" w:hangingChars="35"/>
              <w:jc w:val="center"/>
              <w:rPr>
                <w:rFonts w:ascii="宋体" w:hAnsi="宋体" w:cs="宋体"/>
                <w:color w:val="auto"/>
                <w:szCs w:val="21"/>
              </w:rPr>
            </w:pPr>
          </w:p>
        </w:tc>
        <w:tc>
          <w:tcPr>
            <w:tcW w:w="1020" w:type="dxa"/>
            <w:vAlign w:val="center"/>
          </w:tcPr>
          <w:p w14:paraId="76033AF1">
            <w:pPr>
              <w:spacing w:line="360" w:lineRule="auto"/>
              <w:ind w:leftChars="-35" w:hanging="73" w:hangingChars="35"/>
              <w:jc w:val="center"/>
              <w:rPr>
                <w:rFonts w:ascii="宋体" w:hAnsi="宋体" w:cs="宋体"/>
                <w:color w:val="auto"/>
                <w:szCs w:val="21"/>
              </w:rPr>
            </w:pPr>
          </w:p>
        </w:tc>
        <w:tc>
          <w:tcPr>
            <w:tcW w:w="849" w:type="dxa"/>
            <w:vAlign w:val="center"/>
          </w:tcPr>
          <w:p w14:paraId="74AEE127">
            <w:pPr>
              <w:spacing w:line="360" w:lineRule="auto"/>
              <w:ind w:leftChars="-35" w:hanging="73" w:hangingChars="35"/>
              <w:jc w:val="center"/>
              <w:rPr>
                <w:rFonts w:ascii="宋体" w:hAnsi="宋体" w:cs="宋体"/>
                <w:color w:val="auto"/>
                <w:szCs w:val="21"/>
              </w:rPr>
            </w:pPr>
          </w:p>
        </w:tc>
        <w:tc>
          <w:tcPr>
            <w:tcW w:w="1134" w:type="dxa"/>
            <w:vAlign w:val="center"/>
          </w:tcPr>
          <w:p w14:paraId="7164A15B">
            <w:pPr>
              <w:spacing w:line="360" w:lineRule="auto"/>
              <w:ind w:leftChars="-35" w:hanging="73" w:hangingChars="35"/>
              <w:jc w:val="center"/>
              <w:rPr>
                <w:rFonts w:ascii="宋体" w:hAnsi="宋体" w:cs="宋体"/>
                <w:color w:val="auto"/>
                <w:szCs w:val="21"/>
              </w:rPr>
            </w:pPr>
          </w:p>
        </w:tc>
        <w:tc>
          <w:tcPr>
            <w:tcW w:w="1277" w:type="dxa"/>
            <w:vAlign w:val="center"/>
          </w:tcPr>
          <w:p w14:paraId="5938D17B">
            <w:pPr>
              <w:spacing w:line="360" w:lineRule="auto"/>
              <w:ind w:leftChars="-35" w:hanging="73" w:hangingChars="35"/>
              <w:jc w:val="center"/>
              <w:rPr>
                <w:rFonts w:ascii="宋体" w:hAnsi="宋体" w:cs="宋体"/>
                <w:color w:val="auto"/>
                <w:szCs w:val="21"/>
              </w:rPr>
            </w:pPr>
          </w:p>
        </w:tc>
        <w:tc>
          <w:tcPr>
            <w:tcW w:w="1116" w:type="dxa"/>
            <w:vAlign w:val="center"/>
          </w:tcPr>
          <w:p w14:paraId="3A3C466E">
            <w:pPr>
              <w:spacing w:line="360" w:lineRule="auto"/>
              <w:ind w:leftChars="-35" w:hanging="73" w:hangingChars="35"/>
              <w:jc w:val="center"/>
              <w:rPr>
                <w:rFonts w:ascii="宋体" w:hAnsi="宋体" w:cs="宋体"/>
                <w:color w:val="auto"/>
                <w:szCs w:val="21"/>
              </w:rPr>
            </w:pPr>
          </w:p>
        </w:tc>
        <w:tc>
          <w:tcPr>
            <w:tcW w:w="756" w:type="dxa"/>
            <w:vAlign w:val="center"/>
          </w:tcPr>
          <w:p w14:paraId="2AD6F98C">
            <w:pPr>
              <w:spacing w:line="360" w:lineRule="auto"/>
              <w:ind w:leftChars="-35" w:hanging="73" w:hangingChars="35"/>
              <w:jc w:val="center"/>
              <w:rPr>
                <w:rFonts w:ascii="宋体" w:hAnsi="宋体" w:cs="宋体"/>
                <w:color w:val="auto"/>
                <w:szCs w:val="21"/>
              </w:rPr>
            </w:pPr>
          </w:p>
        </w:tc>
      </w:tr>
      <w:tr w14:paraId="7EC63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40117C3B">
            <w:pPr>
              <w:spacing w:line="360" w:lineRule="auto"/>
              <w:ind w:leftChars="-35" w:hanging="73" w:hangingChars="35"/>
              <w:jc w:val="center"/>
              <w:rPr>
                <w:rFonts w:ascii="宋体" w:hAnsi="宋体" w:cs="宋体"/>
                <w:color w:val="auto"/>
                <w:szCs w:val="21"/>
              </w:rPr>
            </w:pPr>
          </w:p>
        </w:tc>
        <w:tc>
          <w:tcPr>
            <w:tcW w:w="1512" w:type="dxa"/>
            <w:vAlign w:val="center"/>
          </w:tcPr>
          <w:p w14:paraId="10F54BE8">
            <w:pPr>
              <w:spacing w:line="360" w:lineRule="auto"/>
              <w:ind w:leftChars="-35" w:hanging="73" w:hangingChars="35"/>
              <w:jc w:val="center"/>
              <w:rPr>
                <w:rFonts w:ascii="宋体" w:hAnsi="宋体" w:cs="宋体"/>
                <w:color w:val="auto"/>
                <w:szCs w:val="21"/>
              </w:rPr>
            </w:pPr>
          </w:p>
        </w:tc>
        <w:tc>
          <w:tcPr>
            <w:tcW w:w="1051" w:type="dxa"/>
            <w:vAlign w:val="center"/>
          </w:tcPr>
          <w:p w14:paraId="7AE1837C">
            <w:pPr>
              <w:spacing w:line="360" w:lineRule="auto"/>
              <w:ind w:leftChars="-35" w:hanging="73" w:hangingChars="35"/>
              <w:jc w:val="center"/>
              <w:rPr>
                <w:rFonts w:ascii="宋体" w:hAnsi="宋体" w:cs="宋体"/>
                <w:color w:val="auto"/>
                <w:szCs w:val="21"/>
              </w:rPr>
            </w:pPr>
          </w:p>
        </w:tc>
        <w:tc>
          <w:tcPr>
            <w:tcW w:w="1020" w:type="dxa"/>
            <w:vAlign w:val="center"/>
          </w:tcPr>
          <w:p w14:paraId="5B3CFF67">
            <w:pPr>
              <w:spacing w:line="360" w:lineRule="auto"/>
              <w:ind w:leftChars="-35" w:hanging="73" w:hangingChars="35"/>
              <w:jc w:val="center"/>
              <w:rPr>
                <w:rFonts w:ascii="宋体" w:hAnsi="宋体" w:cs="宋体"/>
                <w:color w:val="auto"/>
                <w:szCs w:val="21"/>
              </w:rPr>
            </w:pPr>
          </w:p>
        </w:tc>
        <w:tc>
          <w:tcPr>
            <w:tcW w:w="849" w:type="dxa"/>
            <w:vAlign w:val="center"/>
          </w:tcPr>
          <w:p w14:paraId="7B1350AD">
            <w:pPr>
              <w:spacing w:line="360" w:lineRule="auto"/>
              <w:ind w:leftChars="-35" w:hanging="73" w:hangingChars="35"/>
              <w:jc w:val="center"/>
              <w:rPr>
                <w:rFonts w:ascii="宋体" w:hAnsi="宋体" w:cs="宋体"/>
                <w:color w:val="auto"/>
                <w:szCs w:val="21"/>
              </w:rPr>
            </w:pPr>
          </w:p>
        </w:tc>
        <w:tc>
          <w:tcPr>
            <w:tcW w:w="1134" w:type="dxa"/>
            <w:vAlign w:val="center"/>
          </w:tcPr>
          <w:p w14:paraId="6D893F0D">
            <w:pPr>
              <w:spacing w:line="360" w:lineRule="auto"/>
              <w:ind w:leftChars="-35" w:hanging="73" w:hangingChars="35"/>
              <w:jc w:val="center"/>
              <w:rPr>
                <w:rFonts w:ascii="宋体" w:hAnsi="宋体" w:cs="宋体"/>
                <w:color w:val="auto"/>
                <w:szCs w:val="21"/>
              </w:rPr>
            </w:pPr>
          </w:p>
        </w:tc>
        <w:tc>
          <w:tcPr>
            <w:tcW w:w="1277" w:type="dxa"/>
            <w:vAlign w:val="center"/>
          </w:tcPr>
          <w:p w14:paraId="66919851">
            <w:pPr>
              <w:spacing w:line="360" w:lineRule="auto"/>
              <w:ind w:leftChars="-35" w:hanging="73" w:hangingChars="35"/>
              <w:jc w:val="center"/>
              <w:rPr>
                <w:rFonts w:ascii="宋体" w:hAnsi="宋体" w:cs="宋体"/>
                <w:color w:val="auto"/>
                <w:szCs w:val="21"/>
              </w:rPr>
            </w:pPr>
          </w:p>
        </w:tc>
        <w:tc>
          <w:tcPr>
            <w:tcW w:w="1116" w:type="dxa"/>
            <w:vAlign w:val="center"/>
          </w:tcPr>
          <w:p w14:paraId="6D04AA36">
            <w:pPr>
              <w:spacing w:line="360" w:lineRule="auto"/>
              <w:ind w:leftChars="-35" w:hanging="73" w:hangingChars="35"/>
              <w:jc w:val="center"/>
              <w:rPr>
                <w:rFonts w:ascii="宋体" w:hAnsi="宋体" w:cs="宋体"/>
                <w:color w:val="auto"/>
                <w:szCs w:val="21"/>
              </w:rPr>
            </w:pPr>
          </w:p>
        </w:tc>
        <w:tc>
          <w:tcPr>
            <w:tcW w:w="756" w:type="dxa"/>
            <w:vAlign w:val="center"/>
          </w:tcPr>
          <w:p w14:paraId="672A1DA4">
            <w:pPr>
              <w:spacing w:line="360" w:lineRule="auto"/>
              <w:ind w:leftChars="-35" w:hanging="73" w:hangingChars="35"/>
              <w:jc w:val="center"/>
              <w:rPr>
                <w:rFonts w:ascii="宋体" w:hAnsi="宋体" w:cs="宋体"/>
                <w:color w:val="auto"/>
                <w:szCs w:val="21"/>
              </w:rPr>
            </w:pPr>
          </w:p>
        </w:tc>
      </w:tr>
      <w:tr w14:paraId="02BEA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71A2DF1E">
            <w:pPr>
              <w:spacing w:line="360" w:lineRule="auto"/>
              <w:ind w:leftChars="-35" w:hanging="73" w:hangingChars="35"/>
              <w:jc w:val="center"/>
              <w:rPr>
                <w:rFonts w:ascii="宋体" w:hAnsi="宋体" w:cs="宋体"/>
                <w:color w:val="auto"/>
                <w:szCs w:val="21"/>
              </w:rPr>
            </w:pPr>
          </w:p>
        </w:tc>
        <w:tc>
          <w:tcPr>
            <w:tcW w:w="1512" w:type="dxa"/>
            <w:vAlign w:val="center"/>
          </w:tcPr>
          <w:p w14:paraId="35EEBB0A">
            <w:pPr>
              <w:spacing w:line="360" w:lineRule="auto"/>
              <w:ind w:leftChars="-35" w:hanging="73" w:hangingChars="35"/>
              <w:jc w:val="center"/>
              <w:rPr>
                <w:rFonts w:ascii="宋体" w:hAnsi="宋体" w:cs="宋体"/>
                <w:color w:val="auto"/>
                <w:szCs w:val="21"/>
              </w:rPr>
            </w:pPr>
          </w:p>
        </w:tc>
        <w:tc>
          <w:tcPr>
            <w:tcW w:w="1051" w:type="dxa"/>
            <w:vAlign w:val="center"/>
          </w:tcPr>
          <w:p w14:paraId="5E46F303">
            <w:pPr>
              <w:spacing w:line="360" w:lineRule="auto"/>
              <w:ind w:leftChars="-35" w:hanging="73" w:hangingChars="35"/>
              <w:jc w:val="center"/>
              <w:rPr>
                <w:rFonts w:ascii="宋体" w:hAnsi="宋体" w:cs="宋体"/>
                <w:color w:val="auto"/>
                <w:szCs w:val="21"/>
              </w:rPr>
            </w:pPr>
          </w:p>
        </w:tc>
        <w:tc>
          <w:tcPr>
            <w:tcW w:w="1020" w:type="dxa"/>
            <w:vAlign w:val="center"/>
          </w:tcPr>
          <w:p w14:paraId="4CE770E9">
            <w:pPr>
              <w:spacing w:line="360" w:lineRule="auto"/>
              <w:ind w:leftChars="-35" w:hanging="73" w:hangingChars="35"/>
              <w:jc w:val="center"/>
              <w:rPr>
                <w:rFonts w:ascii="宋体" w:hAnsi="宋体" w:cs="宋体"/>
                <w:color w:val="auto"/>
                <w:szCs w:val="21"/>
              </w:rPr>
            </w:pPr>
          </w:p>
        </w:tc>
        <w:tc>
          <w:tcPr>
            <w:tcW w:w="849" w:type="dxa"/>
            <w:vAlign w:val="center"/>
          </w:tcPr>
          <w:p w14:paraId="734CA3E0">
            <w:pPr>
              <w:spacing w:line="360" w:lineRule="auto"/>
              <w:ind w:leftChars="-35" w:hanging="73" w:hangingChars="35"/>
              <w:jc w:val="center"/>
              <w:rPr>
                <w:rFonts w:ascii="宋体" w:hAnsi="宋体" w:cs="宋体"/>
                <w:color w:val="auto"/>
                <w:szCs w:val="21"/>
              </w:rPr>
            </w:pPr>
          </w:p>
        </w:tc>
        <w:tc>
          <w:tcPr>
            <w:tcW w:w="1134" w:type="dxa"/>
            <w:vAlign w:val="center"/>
          </w:tcPr>
          <w:p w14:paraId="3E9CC746">
            <w:pPr>
              <w:spacing w:line="360" w:lineRule="auto"/>
              <w:ind w:leftChars="-35" w:hanging="73" w:hangingChars="35"/>
              <w:jc w:val="center"/>
              <w:rPr>
                <w:rFonts w:ascii="宋体" w:hAnsi="宋体" w:cs="宋体"/>
                <w:color w:val="auto"/>
                <w:szCs w:val="21"/>
              </w:rPr>
            </w:pPr>
          </w:p>
        </w:tc>
        <w:tc>
          <w:tcPr>
            <w:tcW w:w="1277" w:type="dxa"/>
            <w:vAlign w:val="center"/>
          </w:tcPr>
          <w:p w14:paraId="1D247DEF">
            <w:pPr>
              <w:spacing w:line="360" w:lineRule="auto"/>
              <w:ind w:leftChars="-35" w:hanging="73" w:hangingChars="35"/>
              <w:jc w:val="center"/>
              <w:rPr>
                <w:rFonts w:ascii="宋体" w:hAnsi="宋体" w:cs="宋体"/>
                <w:color w:val="auto"/>
                <w:szCs w:val="21"/>
              </w:rPr>
            </w:pPr>
          </w:p>
        </w:tc>
        <w:tc>
          <w:tcPr>
            <w:tcW w:w="1116" w:type="dxa"/>
            <w:vAlign w:val="center"/>
          </w:tcPr>
          <w:p w14:paraId="1A65A70B">
            <w:pPr>
              <w:spacing w:line="360" w:lineRule="auto"/>
              <w:ind w:leftChars="-35" w:hanging="73" w:hangingChars="35"/>
              <w:jc w:val="center"/>
              <w:rPr>
                <w:rFonts w:ascii="宋体" w:hAnsi="宋体" w:cs="宋体"/>
                <w:color w:val="auto"/>
                <w:szCs w:val="21"/>
              </w:rPr>
            </w:pPr>
          </w:p>
        </w:tc>
        <w:tc>
          <w:tcPr>
            <w:tcW w:w="756" w:type="dxa"/>
            <w:vAlign w:val="center"/>
          </w:tcPr>
          <w:p w14:paraId="6993477B">
            <w:pPr>
              <w:spacing w:line="360" w:lineRule="auto"/>
              <w:ind w:leftChars="-35" w:hanging="73" w:hangingChars="35"/>
              <w:jc w:val="center"/>
              <w:rPr>
                <w:rFonts w:ascii="宋体" w:hAnsi="宋体" w:cs="宋体"/>
                <w:color w:val="auto"/>
                <w:szCs w:val="21"/>
              </w:rPr>
            </w:pPr>
          </w:p>
        </w:tc>
      </w:tr>
      <w:tr w14:paraId="74869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F978CA7">
            <w:pPr>
              <w:spacing w:line="360" w:lineRule="auto"/>
              <w:ind w:leftChars="-35" w:hanging="73" w:hangingChars="35"/>
              <w:jc w:val="center"/>
              <w:rPr>
                <w:rFonts w:ascii="宋体" w:hAnsi="宋体" w:cs="宋体"/>
                <w:color w:val="auto"/>
                <w:szCs w:val="21"/>
              </w:rPr>
            </w:pPr>
          </w:p>
        </w:tc>
        <w:tc>
          <w:tcPr>
            <w:tcW w:w="1512" w:type="dxa"/>
            <w:vAlign w:val="center"/>
          </w:tcPr>
          <w:p w14:paraId="3E0DB3CB">
            <w:pPr>
              <w:spacing w:line="360" w:lineRule="auto"/>
              <w:ind w:leftChars="-35" w:hanging="73" w:hangingChars="35"/>
              <w:jc w:val="center"/>
              <w:rPr>
                <w:rFonts w:ascii="宋体" w:hAnsi="宋体" w:cs="宋体"/>
                <w:color w:val="auto"/>
                <w:szCs w:val="21"/>
              </w:rPr>
            </w:pPr>
          </w:p>
        </w:tc>
        <w:tc>
          <w:tcPr>
            <w:tcW w:w="1051" w:type="dxa"/>
            <w:vAlign w:val="center"/>
          </w:tcPr>
          <w:p w14:paraId="2936398F">
            <w:pPr>
              <w:spacing w:line="360" w:lineRule="auto"/>
              <w:ind w:leftChars="-35" w:hanging="73" w:hangingChars="35"/>
              <w:jc w:val="center"/>
              <w:rPr>
                <w:rFonts w:ascii="宋体" w:hAnsi="宋体" w:cs="宋体"/>
                <w:color w:val="auto"/>
                <w:szCs w:val="21"/>
              </w:rPr>
            </w:pPr>
          </w:p>
        </w:tc>
        <w:tc>
          <w:tcPr>
            <w:tcW w:w="1020" w:type="dxa"/>
            <w:vAlign w:val="center"/>
          </w:tcPr>
          <w:p w14:paraId="72D899FD">
            <w:pPr>
              <w:spacing w:line="360" w:lineRule="auto"/>
              <w:ind w:leftChars="-35" w:hanging="73" w:hangingChars="35"/>
              <w:jc w:val="center"/>
              <w:rPr>
                <w:rFonts w:ascii="宋体" w:hAnsi="宋体" w:cs="宋体"/>
                <w:color w:val="auto"/>
                <w:szCs w:val="21"/>
              </w:rPr>
            </w:pPr>
          </w:p>
        </w:tc>
        <w:tc>
          <w:tcPr>
            <w:tcW w:w="849" w:type="dxa"/>
            <w:vAlign w:val="center"/>
          </w:tcPr>
          <w:p w14:paraId="4EDBC73D">
            <w:pPr>
              <w:spacing w:line="360" w:lineRule="auto"/>
              <w:ind w:leftChars="-35" w:hanging="73" w:hangingChars="35"/>
              <w:jc w:val="center"/>
              <w:rPr>
                <w:rFonts w:ascii="宋体" w:hAnsi="宋体" w:cs="宋体"/>
                <w:color w:val="auto"/>
                <w:szCs w:val="21"/>
              </w:rPr>
            </w:pPr>
          </w:p>
        </w:tc>
        <w:tc>
          <w:tcPr>
            <w:tcW w:w="1134" w:type="dxa"/>
            <w:vAlign w:val="center"/>
          </w:tcPr>
          <w:p w14:paraId="5DB602E4">
            <w:pPr>
              <w:spacing w:line="360" w:lineRule="auto"/>
              <w:ind w:leftChars="-35" w:hanging="73" w:hangingChars="35"/>
              <w:jc w:val="center"/>
              <w:rPr>
                <w:rFonts w:ascii="宋体" w:hAnsi="宋体" w:cs="宋体"/>
                <w:color w:val="auto"/>
                <w:szCs w:val="21"/>
              </w:rPr>
            </w:pPr>
          </w:p>
        </w:tc>
        <w:tc>
          <w:tcPr>
            <w:tcW w:w="1277" w:type="dxa"/>
            <w:vAlign w:val="center"/>
          </w:tcPr>
          <w:p w14:paraId="10821288">
            <w:pPr>
              <w:spacing w:line="360" w:lineRule="auto"/>
              <w:ind w:leftChars="-35" w:hanging="73" w:hangingChars="35"/>
              <w:jc w:val="center"/>
              <w:rPr>
                <w:rFonts w:ascii="宋体" w:hAnsi="宋体" w:cs="宋体"/>
                <w:color w:val="auto"/>
                <w:szCs w:val="21"/>
              </w:rPr>
            </w:pPr>
          </w:p>
        </w:tc>
        <w:tc>
          <w:tcPr>
            <w:tcW w:w="1116" w:type="dxa"/>
            <w:vAlign w:val="center"/>
          </w:tcPr>
          <w:p w14:paraId="2052F3FD">
            <w:pPr>
              <w:spacing w:line="360" w:lineRule="auto"/>
              <w:ind w:leftChars="-35" w:hanging="73" w:hangingChars="35"/>
              <w:jc w:val="center"/>
              <w:rPr>
                <w:rFonts w:ascii="宋体" w:hAnsi="宋体" w:cs="宋体"/>
                <w:color w:val="auto"/>
                <w:szCs w:val="21"/>
              </w:rPr>
            </w:pPr>
          </w:p>
        </w:tc>
        <w:tc>
          <w:tcPr>
            <w:tcW w:w="756" w:type="dxa"/>
            <w:vAlign w:val="center"/>
          </w:tcPr>
          <w:p w14:paraId="27DAAAFA">
            <w:pPr>
              <w:spacing w:line="360" w:lineRule="auto"/>
              <w:ind w:leftChars="-35" w:hanging="73" w:hangingChars="35"/>
              <w:jc w:val="center"/>
              <w:rPr>
                <w:rFonts w:ascii="宋体" w:hAnsi="宋体" w:cs="宋体"/>
                <w:color w:val="auto"/>
                <w:szCs w:val="21"/>
              </w:rPr>
            </w:pPr>
          </w:p>
        </w:tc>
      </w:tr>
      <w:tr w14:paraId="2AC3B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AE22735">
            <w:pPr>
              <w:spacing w:line="360" w:lineRule="auto"/>
              <w:ind w:leftChars="-35" w:hanging="73" w:hangingChars="35"/>
              <w:jc w:val="center"/>
              <w:rPr>
                <w:rFonts w:ascii="宋体" w:hAnsi="宋体" w:cs="宋体"/>
                <w:color w:val="auto"/>
                <w:szCs w:val="21"/>
              </w:rPr>
            </w:pPr>
          </w:p>
        </w:tc>
        <w:tc>
          <w:tcPr>
            <w:tcW w:w="1512" w:type="dxa"/>
            <w:vAlign w:val="center"/>
          </w:tcPr>
          <w:p w14:paraId="2408019C">
            <w:pPr>
              <w:spacing w:line="360" w:lineRule="auto"/>
              <w:ind w:leftChars="-35" w:hanging="73" w:hangingChars="35"/>
              <w:jc w:val="center"/>
              <w:rPr>
                <w:rFonts w:ascii="宋体" w:hAnsi="宋体" w:cs="宋体"/>
                <w:color w:val="auto"/>
                <w:szCs w:val="21"/>
              </w:rPr>
            </w:pPr>
          </w:p>
        </w:tc>
        <w:tc>
          <w:tcPr>
            <w:tcW w:w="1051" w:type="dxa"/>
            <w:vAlign w:val="center"/>
          </w:tcPr>
          <w:p w14:paraId="4F688770">
            <w:pPr>
              <w:spacing w:line="360" w:lineRule="auto"/>
              <w:ind w:leftChars="-35" w:hanging="73" w:hangingChars="35"/>
              <w:jc w:val="center"/>
              <w:rPr>
                <w:rFonts w:ascii="宋体" w:hAnsi="宋体" w:cs="宋体"/>
                <w:color w:val="auto"/>
                <w:szCs w:val="21"/>
              </w:rPr>
            </w:pPr>
          </w:p>
        </w:tc>
        <w:tc>
          <w:tcPr>
            <w:tcW w:w="1020" w:type="dxa"/>
            <w:vAlign w:val="center"/>
          </w:tcPr>
          <w:p w14:paraId="1A320300">
            <w:pPr>
              <w:spacing w:line="360" w:lineRule="auto"/>
              <w:ind w:leftChars="-35" w:hanging="73" w:hangingChars="35"/>
              <w:jc w:val="center"/>
              <w:rPr>
                <w:rFonts w:ascii="宋体" w:hAnsi="宋体" w:cs="宋体"/>
                <w:color w:val="auto"/>
                <w:szCs w:val="21"/>
              </w:rPr>
            </w:pPr>
          </w:p>
        </w:tc>
        <w:tc>
          <w:tcPr>
            <w:tcW w:w="849" w:type="dxa"/>
            <w:vAlign w:val="center"/>
          </w:tcPr>
          <w:p w14:paraId="2993A7C3">
            <w:pPr>
              <w:spacing w:line="360" w:lineRule="auto"/>
              <w:ind w:leftChars="-35" w:hanging="73" w:hangingChars="35"/>
              <w:jc w:val="center"/>
              <w:rPr>
                <w:rFonts w:ascii="宋体" w:hAnsi="宋体" w:cs="宋体"/>
                <w:color w:val="auto"/>
                <w:szCs w:val="21"/>
              </w:rPr>
            </w:pPr>
          </w:p>
        </w:tc>
        <w:tc>
          <w:tcPr>
            <w:tcW w:w="1134" w:type="dxa"/>
            <w:vAlign w:val="center"/>
          </w:tcPr>
          <w:p w14:paraId="10A19840">
            <w:pPr>
              <w:spacing w:line="360" w:lineRule="auto"/>
              <w:ind w:leftChars="-35" w:hanging="73" w:hangingChars="35"/>
              <w:jc w:val="center"/>
              <w:rPr>
                <w:rFonts w:ascii="宋体" w:hAnsi="宋体" w:cs="宋体"/>
                <w:color w:val="auto"/>
                <w:szCs w:val="21"/>
              </w:rPr>
            </w:pPr>
          </w:p>
        </w:tc>
        <w:tc>
          <w:tcPr>
            <w:tcW w:w="1277" w:type="dxa"/>
            <w:vAlign w:val="center"/>
          </w:tcPr>
          <w:p w14:paraId="1366D219">
            <w:pPr>
              <w:spacing w:line="360" w:lineRule="auto"/>
              <w:ind w:leftChars="-35" w:hanging="73" w:hangingChars="35"/>
              <w:jc w:val="center"/>
              <w:rPr>
                <w:rFonts w:ascii="宋体" w:hAnsi="宋体" w:cs="宋体"/>
                <w:color w:val="auto"/>
                <w:szCs w:val="21"/>
              </w:rPr>
            </w:pPr>
          </w:p>
        </w:tc>
        <w:tc>
          <w:tcPr>
            <w:tcW w:w="1116" w:type="dxa"/>
            <w:vAlign w:val="center"/>
          </w:tcPr>
          <w:p w14:paraId="6406606F">
            <w:pPr>
              <w:spacing w:line="360" w:lineRule="auto"/>
              <w:ind w:leftChars="-35" w:hanging="73" w:hangingChars="35"/>
              <w:jc w:val="center"/>
              <w:rPr>
                <w:rFonts w:ascii="宋体" w:hAnsi="宋体" w:cs="宋体"/>
                <w:color w:val="auto"/>
                <w:szCs w:val="21"/>
              </w:rPr>
            </w:pPr>
          </w:p>
        </w:tc>
        <w:tc>
          <w:tcPr>
            <w:tcW w:w="756" w:type="dxa"/>
            <w:vAlign w:val="center"/>
          </w:tcPr>
          <w:p w14:paraId="0185C0C1">
            <w:pPr>
              <w:spacing w:line="360" w:lineRule="auto"/>
              <w:ind w:leftChars="-35" w:hanging="73" w:hangingChars="35"/>
              <w:jc w:val="center"/>
              <w:rPr>
                <w:rFonts w:ascii="宋体" w:hAnsi="宋体" w:cs="宋体"/>
                <w:color w:val="auto"/>
                <w:szCs w:val="21"/>
              </w:rPr>
            </w:pPr>
          </w:p>
        </w:tc>
      </w:tr>
      <w:tr w14:paraId="4C640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vAlign w:val="center"/>
          </w:tcPr>
          <w:p w14:paraId="23B75302">
            <w:pPr>
              <w:spacing w:line="360" w:lineRule="auto"/>
              <w:ind w:leftChars="-35" w:hanging="73" w:hangingChars="35"/>
              <w:jc w:val="center"/>
              <w:rPr>
                <w:rFonts w:ascii="宋体" w:hAnsi="宋体" w:cs="宋体"/>
                <w:color w:val="auto"/>
                <w:szCs w:val="21"/>
              </w:rPr>
            </w:pPr>
          </w:p>
        </w:tc>
        <w:tc>
          <w:tcPr>
            <w:tcW w:w="1512" w:type="dxa"/>
            <w:vAlign w:val="center"/>
          </w:tcPr>
          <w:p w14:paraId="55757126">
            <w:pPr>
              <w:spacing w:line="360" w:lineRule="auto"/>
              <w:ind w:leftChars="-35" w:hanging="73" w:hangingChars="35"/>
              <w:jc w:val="center"/>
              <w:rPr>
                <w:rFonts w:ascii="宋体" w:hAnsi="宋体" w:cs="宋体"/>
                <w:color w:val="auto"/>
                <w:szCs w:val="21"/>
              </w:rPr>
            </w:pPr>
          </w:p>
        </w:tc>
        <w:tc>
          <w:tcPr>
            <w:tcW w:w="1051" w:type="dxa"/>
            <w:vAlign w:val="center"/>
          </w:tcPr>
          <w:p w14:paraId="4B09C468">
            <w:pPr>
              <w:spacing w:line="360" w:lineRule="auto"/>
              <w:ind w:leftChars="-35" w:hanging="73" w:hangingChars="35"/>
              <w:jc w:val="center"/>
              <w:rPr>
                <w:rFonts w:ascii="宋体" w:hAnsi="宋体" w:cs="宋体"/>
                <w:color w:val="auto"/>
                <w:szCs w:val="21"/>
              </w:rPr>
            </w:pPr>
          </w:p>
        </w:tc>
        <w:tc>
          <w:tcPr>
            <w:tcW w:w="1020" w:type="dxa"/>
            <w:vAlign w:val="center"/>
          </w:tcPr>
          <w:p w14:paraId="055E5C3A">
            <w:pPr>
              <w:spacing w:line="360" w:lineRule="auto"/>
              <w:ind w:leftChars="-35" w:hanging="73" w:hangingChars="35"/>
              <w:jc w:val="center"/>
              <w:rPr>
                <w:rFonts w:ascii="宋体" w:hAnsi="宋体" w:cs="宋体"/>
                <w:color w:val="auto"/>
                <w:szCs w:val="21"/>
              </w:rPr>
            </w:pPr>
          </w:p>
        </w:tc>
        <w:tc>
          <w:tcPr>
            <w:tcW w:w="849" w:type="dxa"/>
            <w:vAlign w:val="center"/>
          </w:tcPr>
          <w:p w14:paraId="7F1E93B1">
            <w:pPr>
              <w:spacing w:line="360" w:lineRule="auto"/>
              <w:ind w:leftChars="-35" w:hanging="73" w:hangingChars="35"/>
              <w:jc w:val="center"/>
              <w:rPr>
                <w:rFonts w:ascii="宋体" w:hAnsi="宋体" w:cs="宋体"/>
                <w:color w:val="auto"/>
                <w:szCs w:val="21"/>
              </w:rPr>
            </w:pPr>
          </w:p>
        </w:tc>
        <w:tc>
          <w:tcPr>
            <w:tcW w:w="1134" w:type="dxa"/>
            <w:vAlign w:val="center"/>
          </w:tcPr>
          <w:p w14:paraId="4F938F4F">
            <w:pPr>
              <w:spacing w:line="360" w:lineRule="auto"/>
              <w:ind w:leftChars="-35" w:hanging="73" w:hangingChars="35"/>
              <w:jc w:val="center"/>
              <w:rPr>
                <w:rFonts w:ascii="宋体" w:hAnsi="宋体" w:cs="宋体"/>
                <w:color w:val="auto"/>
                <w:szCs w:val="21"/>
              </w:rPr>
            </w:pPr>
          </w:p>
        </w:tc>
        <w:tc>
          <w:tcPr>
            <w:tcW w:w="1277" w:type="dxa"/>
            <w:vAlign w:val="center"/>
          </w:tcPr>
          <w:p w14:paraId="4A148D07">
            <w:pPr>
              <w:spacing w:line="360" w:lineRule="auto"/>
              <w:ind w:leftChars="-35" w:hanging="73" w:hangingChars="35"/>
              <w:jc w:val="center"/>
              <w:rPr>
                <w:rFonts w:ascii="宋体" w:hAnsi="宋体" w:cs="宋体"/>
                <w:color w:val="auto"/>
                <w:szCs w:val="21"/>
              </w:rPr>
            </w:pPr>
          </w:p>
        </w:tc>
        <w:tc>
          <w:tcPr>
            <w:tcW w:w="1116" w:type="dxa"/>
            <w:vAlign w:val="center"/>
          </w:tcPr>
          <w:p w14:paraId="4DB44EE0">
            <w:pPr>
              <w:spacing w:line="360" w:lineRule="auto"/>
              <w:ind w:leftChars="-35" w:hanging="73" w:hangingChars="35"/>
              <w:jc w:val="center"/>
              <w:rPr>
                <w:rFonts w:ascii="宋体" w:hAnsi="宋体" w:cs="宋体"/>
                <w:color w:val="auto"/>
                <w:szCs w:val="21"/>
              </w:rPr>
            </w:pPr>
          </w:p>
        </w:tc>
        <w:tc>
          <w:tcPr>
            <w:tcW w:w="756" w:type="dxa"/>
            <w:vAlign w:val="center"/>
          </w:tcPr>
          <w:p w14:paraId="198F64F8">
            <w:pPr>
              <w:spacing w:line="360" w:lineRule="auto"/>
              <w:ind w:leftChars="-35" w:hanging="73" w:hangingChars="35"/>
              <w:jc w:val="center"/>
              <w:rPr>
                <w:rFonts w:ascii="宋体" w:hAnsi="宋体" w:cs="宋体"/>
                <w:color w:val="auto"/>
                <w:szCs w:val="21"/>
              </w:rPr>
            </w:pPr>
          </w:p>
        </w:tc>
      </w:tr>
    </w:tbl>
    <w:p w14:paraId="025F837D">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543C4763">
      <w:pPr>
        <w:jc w:val="left"/>
        <w:rPr>
          <w:bCs/>
          <w:color w:val="auto"/>
          <w:spacing w:val="10"/>
          <w:sz w:val="24"/>
        </w:rPr>
      </w:pPr>
    </w:p>
    <w:p w14:paraId="086FF9DF">
      <w:pPr>
        <w:spacing w:line="360" w:lineRule="auto"/>
        <w:rPr>
          <w:rFonts w:ascii="宋体" w:hAnsi="宋体" w:cs="宋体"/>
          <w:b/>
          <w:color w:val="auto"/>
          <w:szCs w:val="21"/>
        </w:rPr>
      </w:pPr>
      <w:r>
        <w:rPr>
          <w:rFonts w:hint="eastAsia" w:ascii="宋体" w:hAnsi="宋体" w:cs="宋体"/>
          <w:b/>
          <w:color w:val="auto"/>
          <w:szCs w:val="21"/>
        </w:rPr>
        <w:t>附件2：</w:t>
      </w:r>
    </w:p>
    <w:p w14:paraId="10286B6F">
      <w:pPr>
        <w:spacing w:beforeLines="50" w:afterLines="50" w:line="360" w:lineRule="auto"/>
        <w:jc w:val="center"/>
        <w:rPr>
          <w:rFonts w:ascii="宋体" w:hAnsi="宋体" w:cs="宋体"/>
          <w:color w:val="auto"/>
          <w:sz w:val="32"/>
          <w:szCs w:val="32"/>
        </w:rPr>
      </w:pPr>
      <w:r>
        <w:rPr>
          <w:rFonts w:hint="eastAsia" w:ascii="宋体" w:hAnsi="宋体" w:cs="宋体"/>
          <w:color w:val="auto"/>
          <w:sz w:val="32"/>
          <w:szCs w:val="32"/>
        </w:rPr>
        <w:t>承包人主要施工管理人员表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95"/>
        <w:gridCol w:w="1094"/>
        <w:gridCol w:w="1434"/>
        <w:gridCol w:w="1433"/>
        <w:gridCol w:w="3584"/>
      </w:tblGrid>
      <w:tr w14:paraId="3F98A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5" w:hRule="atLeast"/>
          <w:jc w:val="center"/>
        </w:trPr>
        <w:tc>
          <w:tcPr>
            <w:tcW w:w="1895" w:type="dxa"/>
            <w:tcBorders>
              <w:top w:val="single" w:color="auto" w:sz="12" w:space="0"/>
              <w:bottom w:val="double" w:color="auto" w:sz="6" w:space="0"/>
            </w:tcBorders>
            <w:vAlign w:val="center"/>
          </w:tcPr>
          <w:p w14:paraId="4931BCD3">
            <w:pPr>
              <w:keepNext/>
              <w:spacing w:after="120" w:line="360" w:lineRule="auto"/>
              <w:ind w:left="63" w:right="63"/>
              <w:rPr>
                <w:rFonts w:ascii="宋体" w:hAnsi="宋体" w:cs="宋体"/>
                <w:color w:val="auto"/>
                <w:szCs w:val="21"/>
              </w:rPr>
            </w:pPr>
            <w:r>
              <w:rPr>
                <w:rFonts w:hint="eastAsia" w:ascii="宋体" w:hAnsi="宋体" w:cs="宋体"/>
                <w:color w:val="auto"/>
                <w:szCs w:val="21"/>
              </w:rPr>
              <w:t>名    称</w:t>
            </w:r>
          </w:p>
        </w:tc>
        <w:tc>
          <w:tcPr>
            <w:tcW w:w="1094" w:type="dxa"/>
            <w:tcBorders>
              <w:top w:val="single" w:color="auto" w:sz="12" w:space="0"/>
              <w:bottom w:val="double" w:color="auto" w:sz="6" w:space="0"/>
            </w:tcBorders>
            <w:vAlign w:val="center"/>
          </w:tcPr>
          <w:p w14:paraId="3A3EDCA0">
            <w:pPr>
              <w:keepNext/>
              <w:spacing w:after="120" w:line="360" w:lineRule="auto"/>
              <w:ind w:left="63" w:right="63"/>
              <w:rPr>
                <w:rFonts w:ascii="宋体" w:hAnsi="宋体" w:cs="宋体"/>
                <w:color w:val="auto"/>
                <w:szCs w:val="21"/>
              </w:rPr>
            </w:pPr>
            <w:r>
              <w:rPr>
                <w:rFonts w:hint="eastAsia" w:ascii="宋体" w:hAnsi="宋体" w:cs="宋体"/>
                <w:color w:val="auto"/>
                <w:szCs w:val="21"/>
              </w:rPr>
              <w:t>姓名</w:t>
            </w:r>
          </w:p>
        </w:tc>
        <w:tc>
          <w:tcPr>
            <w:tcW w:w="1434" w:type="dxa"/>
            <w:tcBorders>
              <w:top w:val="single" w:color="auto" w:sz="12" w:space="0"/>
              <w:bottom w:val="double" w:color="auto" w:sz="6" w:space="0"/>
            </w:tcBorders>
            <w:vAlign w:val="center"/>
          </w:tcPr>
          <w:p w14:paraId="026ECA5E">
            <w:pPr>
              <w:keepNext/>
              <w:spacing w:after="120" w:line="360" w:lineRule="auto"/>
              <w:ind w:left="63" w:right="63"/>
              <w:rPr>
                <w:rFonts w:ascii="宋体" w:hAnsi="宋体" w:cs="宋体"/>
                <w:color w:val="auto"/>
                <w:szCs w:val="21"/>
              </w:rPr>
            </w:pPr>
            <w:r>
              <w:rPr>
                <w:rFonts w:hint="eastAsia" w:ascii="宋体" w:hAnsi="宋体" w:cs="宋体"/>
                <w:color w:val="auto"/>
                <w:szCs w:val="21"/>
              </w:rPr>
              <w:t>职务</w:t>
            </w:r>
          </w:p>
        </w:tc>
        <w:tc>
          <w:tcPr>
            <w:tcW w:w="1433" w:type="dxa"/>
            <w:tcBorders>
              <w:top w:val="single" w:color="auto" w:sz="12" w:space="0"/>
              <w:bottom w:val="double" w:color="auto" w:sz="6" w:space="0"/>
            </w:tcBorders>
            <w:vAlign w:val="center"/>
          </w:tcPr>
          <w:p w14:paraId="33F6EAC9">
            <w:pPr>
              <w:keepNext/>
              <w:spacing w:after="120" w:line="360" w:lineRule="auto"/>
              <w:ind w:left="63" w:right="63"/>
              <w:rPr>
                <w:rFonts w:ascii="宋体" w:hAnsi="宋体" w:cs="宋体"/>
                <w:color w:val="auto"/>
                <w:szCs w:val="21"/>
              </w:rPr>
            </w:pPr>
            <w:r>
              <w:rPr>
                <w:rFonts w:hint="eastAsia" w:ascii="宋体" w:hAnsi="宋体" w:cs="宋体"/>
                <w:color w:val="auto"/>
                <w:szCs w:val="21"/>
              </w:rPr>
              <w:t>职称</w:t>
            </w:r>
          </w:p>
        </w:tc>
        <w:tc>
          <w:tcPr>
            <w:tcW w:w="3584" w:type="dxa"/>
            <w:tcBorders>
              <w:top w:val="single" w:color="auto" w:sz="12" w:space="0"/>
              <w:bottom w:val="double" w:color="auto" w:sz="6" w:space="0"/>
            </w:tcBorders>
            <w:vAlign w:val="center"/>
          </w:tcPr>
          <w:p w14:paraId="34378077">
            <w:pPr>
              <w:keepNext/>
              <w:spacing w:after="120" w:line="360" w:lineRule="auto"/>
              <w:ind w:left="63" w:right="63"/>
              <w:rPr>
                <w:rFonts w:ascii="宋体" w:hAnsi="宋体" w:cs="宋体"/>
                <w:color w:val="auto"/>
                <w:szCs w:val="21"/>
              </w:rPr>
            </w:pPr>
            <w:r>
              <w:rPr>
                <w:rFonts w:hint="eastAsia" w:ascii="宋体" w:hAnsi="宋体" w:cs="宋体"/>
                <w:color w:val="auto"/>
                <w:szCs w:val="21"/>
              </w:rPr>
              <w:t>主要资历、经验及承担过的项目</w:t>
            </w:r>
          </w:p>
        </w:tc>
      </w:tr>
      <w:tr w14:paraId="211FD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7" w:hRule="atLeast"/>
          <w:jc w:val="center"/>
        </w:trPr>
        <w:tc>
          <w:tcPr>
            <w:tcW w:w="9440" w:type="dxa"/>
            <w:gridSpan w:val="5"/>
            <w:tcBorders>
              <w:top w:val="double" w:color="auto" w:sz="6" w:space="0"/>
              <w:bottom w:val="single" w:color="auto" w:sz="6" w:space="0"/>
            </w:tcBorders>
            <w:vAlign w:val="center"/>
          </w:tcPr>
          <w:p w14:paraId="54E35B9C">
            <w:pPr>
              <w:keepNext/>
              <w:spacing w:after="120" w:line="360" w:lineRule="auto"/>
              <w:ind w:left="63" w:right="63"/>
              <w:rPr>
                <w:rFonts w:ascii="宋体" w:hAnsi="宋体" w:cs="宋体"/>
                <w:color w:val="auto"/>
                <w:szCs w:val="21"/>
              </w:rPr>
            </w:pPr>
            <w:r>
              <w:rPr>
                <w:rFonts w:hint="eastAsia" w:ascii="宋体" w:hAnsi="宋体" w:cs="宋体"/>
                <w:color w:val="auto"/>
                <w:szCs w:val="21"/>
              </w:rPr>
              <w:t>一、总部人员</w:t>
            </w:r>
          </w:p>
        </w:tc>
      </w:tr>
      <w:tr w14:paraId="67377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797D952D">
            <w:pPr>
              <w:keepNext/>
              <w:spacing w:after="120" w:line="360" w:lineRule="auto"/>
              <w:ind w:left="63" w:right="63"/>
              <w:rPr>
                <w:rFonts w:ascii="宋体" w:hAnsi="宋体" w:cs="宋体"/>
                <w:color w:val="auto"/>
                <w:szCs w:val="21"/>
              </w:rPr>
            </w:pPr>
            <w:r>
              <w:rPr>
                <w:rFonts w:hint="eastAsia" w:ascii="宋体" w:hAnsi="宋体" w:cs="宋体"/>
                <w:color w:val="auto"/>
                <w:szCs w:val="21"/>
              </w:rPr>
              <w:t>项目主管</w:t>
            </w:r>
          </w:p>
        </w:tc>
        <w:tc>
          <w:tcPr>
            <w:tcW w:w="1094" w:type="dxa"/>
            <w:tcBorders>
              <w:top w:val="nil"/>
            </w:tcBorders>
            <w:vAlign w:val="center"/>
          </w:tcPr>
          <w:p w14:paraId="2C051888">
            <w:pPr>
              <w:keepNext/>
              <w:spacing w:after="120" w:line="360" w:lineRule="auto"/>
              <w:ind w:left="63" w:right="63"/>
              <w:rPr>
                <w:rFonts w:ascii="宋体" w:hAnsi="宋体" w:cs="宋体"/>
                <w:color w:val="auto"/>
                <w:szCs w:val="21"/>
              </w:rPr>
            </w:pPr>
          </w:p>
        </w:tc>
        <w:tc>
          <w:tcPr>
            <w:tcW w:w="1434" w:type="dxa"/>
            <w:tcBorders>
              <w:top w:val="nil"/>
            </w:tcBorders>
            <w:vAlign w:val="center"/>
          </w:tcPr>
          <w:p w14:paraId="4038BDD1">
            <w:pPr>
              <w:keepNext/>
              <w:spacing w:after="120" w:line="360" w:lineRule="auto"/>
              <w:ind w:left="63" w:right="63"/>
              <w:rPr>
                <w:rFonts w:ascii="宋体" w:hAnsi="宋体" w:cs="宋体"/>
                <w:color w:val="auto"/>
                <w:szCs w:val="21"/>
              </w:rPr>
            </w:pPr>
          </w:p>
        </w:tc>
        <w:tc>
          <w:tcPr>
            <w:tcW w:w="1433" w:type="dxa"/>
            <w:tcBorders>
              <w:top w:val="nil"/>
            </w:tcBorders>
            <w:vAlign w:val="center"/>
          </w:tcPr>
          <w:p w14:paraId="2CD87A4F">
            <w:pPr>
              <w:keepNext/>
              <w:spacing w:after="120" w:line="360" w:lineRule="auto"/>
              <w:ind w:left="63" w:right="63"/>
              <w:rPr>
                <w:rFonts w:ascii="宋体" w:hAnsi="宋体" w:cs="宋体"/>
                <w:color w:val="auto"/>
                <w:szCs w:val="21"/>
              </w:rPr>
            </w:pPr>
          </w:p>
        </w:tc>
        <w:tc>
          <w:tcPr>
            <w:tcW w:w="3584" w:type="dxa"/>
            <w:tcBorders>
              <w:top w:val="nil"/>
            </w:tcBorders>
            <w:vAlign w:val="center"/>
          </w:tcPr>
          <w:p w14:paraId="3239027A">
            <w:pPr>
              <w:keepNext/>
              <w:spacing w:after="120" w:line="360" w:lineRule="auto"/>
              <w:ind w:left="63" w:right="63"/>
              <w:rPr>
                <w:rFonts w:ascii="宋体" w:hAnsi="宋体" w:cs="宋体"/>
                <w:color w:val="auto"/>
                <w:szCs w:val="21"/>
              </w:rPr>
            </w:pPr>
          </w:p>
        </w:tc>
      </w:tr>
      <w:tr w14:paraId="5FCDC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nil"/>
            </w:tcBorders>
            <w:vAlign w:val="center"/>
          </w:tcPr>
          <w:p w14:paraId="4A14B9F4">
            <w:pPr>
              <w:keepNext/>
              <w:spacing w:after="120" w:line="360" w:lineRule="auto"/>
              <w:ind w:left="63" w:right="63"/>
              <w:rPr>
                <w:rFonts w:ascii="宋体" w:hAnsi="宋体" w:cs="宋体"/>
                <w:color w:val="auto"/>
                <w:szCs w:val="21"/>
              </w:rPr>
            </w:pPr>
          </w:p>
        </w:tc>
        <w:tc>
          <w:tcPr>
            <w:tcW w:w="1094" w:type="dxa"/>
            <w:vAlign w:val="center"/>
          </w:tcPr>
          <w:p w14:paraId="1F43B7E8">
            <w:pPr>
              <w:keepNext/>
              <w:spacing w:after="120" w:line="360" w:lineRule="auto"/>
              <w:ind w:left="63" w:right="63"/>
              <w:rPr>
                <w:rFonts w:ascii="宋体" w:hAnsi="宋体" w:cs="宋体"/>
                <w:color w:val="auto"/>
                <w:szCs w:val="21"/>
              </w:rPr>
            </w:pPr>
          </w:p>
        </w:tc>
        <w:tc>
          <w:tcPr>
            <w:tcW w:w="1434" w:type="dxa"/>
            <w:vAlign w:val="center"/>
          </w:tcPr>
          <w:p w14:paraId="1A2168E8">
            <w:pPr>
              <w:keepNext/>
              <w:spacing w:after="120" w:line="360" w:lineRule="auto"/>
              <w:ind w:left="63" w:right="63"/>
              <w:rPr>
                <w:rFonts w:ascii="宋体" w:hAnsi="宋体" w:cs="宋体"/>
                <w:color w:val="auto"/>
                <w:szCs w:val="21"/>
              </w:rPr>
            </w:pPr>
          </w:p>
        </w:tc>
        <w:tc>
          <w:tcPr>
            <w:tcW w:w="1433" w:type="dxa"/>
            <w:vAlign w:val="center"/>
          </w:tcPr>
          <w:p w14:paraId="5FF52959">
            <w:pPr>
              <w:keepNext/>
              <w:spacing w:after="120" w:line="360" w:lineRule="auto"/>
              <w:ind w:left="63" w:right="63"/>
              <w:rPr>
                <w:rFonts w:ascii="宋体" w:hAnsi="宋体" w:cs="宋体"/>
                <w:color w:val="auto"/>
                <w:szCs w:val="21"/>
              </w:rPr>
            </w:pPr>
          </w:p>
        </w:tc>
        <w:tc>
          <w:tcPr>
            <w:tcW w:w="3584" w:type="dxa"/>
            <w:vAlign w:val="center"/>
          </w:tcPr>
          <w:p w14:paraId="086FA222">
            <w:pPr>
              <w:keepNext/>
              <w:spacing w:after="120" w:line="360" w:lineRule="auto"/>
              <w:ind w:left="63" w:right="63"/>
              <w:rPr>
                <w:rFonts w:ascii="宋体" w:hAnsi="宋体" w:cs="宋体"/>
                <w:color w:val="auto"/>
                <w:szCs w:val="21"/>
              </w:rPr>
            </w:pPr>
          </w:p>
        </w:tc>
      </w:tr>
      <w:tr w14:paraId="3FD36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5107B933">
            <w:pPr>
              <w:keepNext/>
              <w:spacing w:after="120" w:line="360" w:lineRule="auto"/>
              <w:ind w:left="63" w:right="63"/>
              <w:rPr>
                <w:rFonts w:ascii="宋体" w:hAnsi="宋体" w:cs="宋体"/>
                <w:color w:val="auto"/>
                <w:szCs w:val="21"/>
              </w:rPr>
            </w:pPr>
            <w:r>
              <w:rPr>
                <w:rFonts w:hint="eastAsia" w:ascii="宋体" w:hAnsi="宋体" w:cs="宋体"/>
                <w:color w:val="auto"/>
                <w:szCs w:val="21"/>
              </w:rPr>
              <w:t>其他人员</w:t>
            </w:r>
          </w:p>
        </w:tc>
        <w:tc>
          <w:tcPr>
            <w:tcW w:w="1094" w:type="dxa"/>
            <w:vAlign w:val="center"/>
          </w:tcPr>
          <w:p w14:paraId="7FC9C5EA">
            <w:pPr>
              <w:keepNext/>
              <w:spacing w:after="120" w:line="360" w:lineRule="auto"/>
              <w:ind w:left="63" w:right="63"/>
              <w:rPr>
                <w:rFonts w:ascii="宋体" w:hAnsi="宋体" w:cs="宋体"/>
                <w:color w:val="auto"/>
                <w:szCs w:val="21"/>
              </w:rPr>
            </w:pPr>
          </w:p>
        </w:tc>
        <w:tc>
          <w:tcPr>
            <w:tcW w:w="1434" w:type="dxa"/>
            <w:vAlign w:val="center"/>
          </w:tcPr>
          <w:p w14:paraId="3B611342">
            <w:pPr>
              <w:keepNext/>
              <w:spacing w:after="120" w:line="360" w:lineRule="auto"/>
              <w:ind w:left="63" w:right="63"/>
              <w:rPr>
                <w:rFonts w:ascii="宋体" w:hAnsi="宋体" w:cs="宋体"/>
                <w:color w:val="auto"/>
                <w:szCs w:val="21"/>
              </w:rPr>
            </w:pPr>
          </w:p>
        </w:tc>
        <w:tc>
          <w:tcPr>
            <w:tcW w:w="1433" w:type="dxa"/>
            <w:vAlign w:val="center"/>
          </w:tcPr>
          <w:p w14:paraId="4D5E120E">
            <w:pPr>
              <w:keepNext/>
              <w:spacing w:after="120" w:line="360" w:lineRule="auto"/>
              <w:ind w:left="63" w:right="63"/>
              <w:rPr>
                <w:rFonts w:ascii="宋体" w:hAnsi="宋体" w:cs="宋体"/>
                <w:color w:val="auto"/>
                <w:szCs w:val="21"/>
              </w:rPr>
            </w:pPr>
          </w:p>
        </w:tc>
        <w:tc>
          <w:tcPr>
            <w:tcW w:w="3584" w:type="dxa"/>
            <w:vAlign w:val="center"/>
          </w:tcPr>
          <w:p w14:paraId="017AD11B">
            <w:pPr>
              <w:keepNext/>
              <w:spacing w:after="120" w:line="360" w:lineRule="auto"/>
              <w:ind w:left="63" w:right="63"/>
              <w:rPr>
                <w:rFonts w:ascii="宋体" w:hAnsi="宋体" w:cs="宋体"/>
                <w:color w:val="auto"/>
                <w:szCs w:val="21"/>
              </w:rPr>
            </w:pPr>
          </w:p>
        </w:tc>
      </w:tr>
      <w:tr w14:paraId="47CEE5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7043A1C7">
            <w:pPr>
              <w:keepNext/>
              <w:spacing w:after="120" w:line="360" w:lineRule="auto"/>
              <w:ind w:left="63" w:right="63"/>
              <w:rPr>
                <w:rFonts w:ascii="宋体" w:hAnsi="宋体" w:cs="宋体"/>
                <w:color w:val="auto"/>
                <w:szCs w:val="21"/>
              </w:rPr>
            </w:pPr>
          </w:p>
        </w:tc>
        <w:tc>
          <w:tcPr>
            <w:tcW w:w="1094" w:type="dxa"/>
            <w:vAlign w:val="center"/>
          </w:tcPr>
          <w:p w14:paraId="06FE0F65">
            <w:pPr>
              <w:keepNext/>
              <w:spacing w:after="120" w:line="360" w:lineRule="auto"/>
              <w:ind w:left="63" w:right="63"/>
              <w:rPr>
                <w:rFonts w:ascii="宋体" w:hAnsi="宋体" w:cs="宋体"/>
                <w:color w:val="auto"/>
                <w:szCs w:val="21"/>
              </w:rPr>
            </w:pPr>
          </w:p>
        </w:tc>
        <w:tc>
          <w:tcPr>
            <w:tcW w:w="1434" w:type="dxa"/>
            <w:vAlign w:val="center"/>
          </w:tcPr>
          <w:p w14:paraId="47340901">
            <w:pPr>
              <w:keepNext/>
              <w:spacing w:after="120" w:line="360" w:lineRule="auto"/>
              <w:ind w:left="63" w:right="63"/>
              <w:rPr>
                <w:rFonts w:ascii="宋体" w:hAnsi="宋体" w:cs="宋体"/>
                <w:color w:val="auto"/>
                <w:szCs w:val="21"/>
              </w:rPr>
            </w:pPr>
          </w:p>
        </w:tc>
        <w:tc>
          <w:tcPr>
            <w:tcW w:w="1433" w:type="dxa"/>
            <w:vAlign w:val="center"/>
          </w:tcPr>
          <w:p w14:paraId="55A13580">
            <w:pPr>
              <w:keepNext/>
              <w:spacing w:after="120" w:line="360" w:lineRule="auto"/>
              <w:ind w:left="63" w:right="63"/>
              <w:rPr>
                <w:rFonts w:ascii="宋体" w:hAnsi="宋体" w:cs="宋体"/>
                <w:color w:val="auto"/>
                <w:szCs w:val="21"/>
              </w:rPr>
            </w:pPr>
          </w:p>
        </w:tc>
        <w:tc>
          <w:tcPr>
            <w:tcW w:w="3584" w:type="dxa"/>
            <w:vAlign w:val="center"/>
          </w:tcPr>
          <w:p w14:paraId="47B5865C">
            <w:pPr>
              <w:keepNext/>
              <w:spacing w:after="120" w:line="360" w:lineRule="auto"/>
              <w:ind w:left="63" w:right="63"/>
              <w:rPr>
                <w:rFonts w:ascii="宋体" w:hAnsi="宋体" w:cs="宋体"/>
                <w:color w:val="auto"/>
                <w:szCs w:val="21"/>
              </w:rPr>
            </w:pPr>
          </w:p>
        </w:tc>
      </w:tr>
      <w:tr w14:paraId="70F26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9440" w:type="dxa"/>
            <w:gridSpan w:val="5"/>
            <w:tcBorders>
              <w:top w:val="single" w:color="auto" w:sz="6" w:space="0"/>
              <w:bottom w:val="single" w:color="auto" w:sz="6" w:space="0"/>
            </w:tcBorders>
            <w:vAlign w:val="center"/>
          </w:tcPr>
          <w:p w14:paraId="02C92557">
            <w:pPr>
              <w:keepNext/>
              <w:spacing w:after="120" w:line="360" w:lineRule="auto"/>
              <w:ind w:left="63" w:right="63"/>
              <w:rPr>
                <w:rFonts w:ascii="宋体" w:hAnsi="宋体" w:cs="宋体"/>
                <w:color w:val="auto"/>
                <w:szCs w:val="21"/>
              </w:rPr>
            </w:pPr>
            <w:r>
              <w:rPr>
                <w:rFonts w:hint="eastAsia" w:ascii="宋体" w:hAnsi="宋体" w:cs="宋体"/>
                <w:color w:val="auto"/>
                <w:szCs w:val="21"/>
              </w:rPr>
              <w:t>二、现场人员</w:t>
            </w:r>
          </w:p>
        </w:tc>
      </w:tr>
      <w:tr w14:paraId="28385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2DCC0BE7">
            <w:pPr>
              <w:keepNext/>
              <w:spacing w:after="120" w:line="360" w:lineRule="auto"/>
              <w:ind w:left="63" w:right="63"/>
              <w:rPr>
                <w:rFonts w:ascii="宋体" w:hAnsi="宋体" w:cs="宋体"/>
                <w:color w:val="auto"/>
                <w:szCs w:val="21"/>
              </w:rPr>
            </w:pPr>
          </w:p>
        </w:tc>
        <w:tc>
          <w:tcPr>
            <w:tcW w:w="1094" w:type="dxa"/>
            <w:vAlign w:val="center"/>
          </w:tcPr>
          <w:p w14:paraId="7663D32B">
            <w:pPr>
              <w:keepNext/>
              <w:spacing w:after="120" w:line="360" w:lineRule="auto"/>
              <w:ind w:left="63" w:right="63"/>
              <w:rPr>
                <w:rFonts w:ascii="宋体" w:hAnsi="宋体" w:cs="宋体"/>
                <w:color w:val="auto"/>
                <w:szCs w:val="21"/>
              </w:rPr>
            </w:pPr>
          </w:p>
        </w:tc>
        <w:tc>
          <w:tcPr>
            <w:tcW w:w="1434" w:type="dxa"/>
            <w:vAlign w:val="center"/>
          </w:tcPr>
          <w:p w14:paraId="7CCFBDC7">
            <w:pPr>
              <w:keepNext/>
              <w:spacing w:after="120" w:line="360" w:lineRule="auto"/>
              <w:ind w:left="63" w:right="63"/>
              <w:rPr>
                <w:rFonts w:ascii="宋体" w:hAnsi="宋体" w:cs="宋体"/>
                <w:color w:val="auto"/>
                <w:szCs w:val="21"/>
              </w:rPr>
            </w:pPr>
          </w:p>
        </w:tc>
        <w:tc>
          <w:tcPr>
            <w:tcW w:w="1433" w:type="dxa"/>
            <w:vAlign w:val="center"/>
          </w:tcPr>
          <w:p w14:paraId="1E6459B1">
            <w:pPr>
              <w:keepNext/>
              <w:spacing w:after="120" w:line="360" w:lineRule="auto"/>
              <w:ind w:left="63" w:right="63"/>
              <w:rPr>
                <w:rFonts w:ascii="宋体" w:hAnsi="宋体" w:cs="宋体"/>
                <w:color w:val="auto"/>
                <w:szCs w:val="21"/>
              </w:rPr>
            </w:pPr>
          </w:p>
        </w:tc>
        <w:tc>
          <w:tcPr>
            <w:tcW w:w="3584" w:type="dxa"/>
            <w:vAlign w:val="center"/>
          </w:tcPr>
          <w:p w14:paraId="771BF075">
            <w:pPr>
              <w:keepNext/>
              <w:spacing w:after="120" w:line="360" w:lineRule="auto"/>
              <w:ind w:left="63" w:right="63"/>
              <w:rPr>
                <w:rFonts w:ascii="宋体" w:hAnsi="宋体" w:cs="宋体"/>
                <w:color w:val="auto"/>
                <w:szCs w:val="21"/>
              </w:rPr>
            </w:pPr>
          </w:p>
        </w:tc>
      </w:tr>
      <w:tr w14:paraId="04E96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6AC39457">
            <w:pPr>
              <w:keepNext/>
              <w:spacing w:after="120" w:line="360" w:lineRule="auto"/>
              <w:ind w:left="63" w:right="63"/>
              <w:rPr>
                <w:rFonts w:ascii="宋体" w:hAnsi="宋体" w:cs="宋体"/>
                <w:color w:val="auto"/>
                <w:szCs w:val="21"/>
              </w:rPr>
            </w:pPr>
          </w:p>
        </w:tc>
        <w:tc>
          <w:tcPr>
            <w:tcW w:w="1094" w:type="dxa"/>
            <w:vAlign w:val="center"/>
          </w:tcPr>
          <w:p w14:paraId="244A2854">
            <w:pPr>
              <w:keepNext/>
              <w:spacing w:after="120" w:line="360" w:lineRule="auto"/>
              <w:ind w:left="63" w:right="63"/>
              <w:rPr>
                <w:rFonts w:ascii="宋体" w:hAnsi="宋体" w:cs="宋体"/>
                <w:color w:val="auto"/>
                <w:szCs w:val="21"/>
              </w:rPr>
            </w:pPr>
          </w:p>
        </w:tc>
        <w:tc>
          <w:tcPr>
            <w:tcW w:w="1434" w:type="dxa"/>
            <w:vAlign w:val="center"/>
          </w:tcPr>
          <w:p w14:paraId="5325CD15">
            <w:pPr>
              <w:keepNext/>
              <w:spacing w:after="120" w:line="360" w:lineRule="auto"/>
              <w:ind w:left="63" w:right="63"/>
              <w:rPr>
                <w:rFonts w:ascii="宋体" w:hAnsi="宋体" w:cs="宋体"/>
                <w:color w:val="auto"/>
                <w:szCs w:val="21"/>
              </w:rPr>
            </w:pPr>
          </w:p>
        </w:tc>
        <w:tc>
          <w:tcPr>
            <w:tcW w:w="1433" w:type="dxa"/>
            <w:vAlign w:val="center"/>
          </w:tcPr>
          <w:p w14:paraId="42D1CE9E">
            <w:pPr>
              <w:keepNext/>
              <w:spacing w:after="120" w:line="360" w:lineRule="auto"/>
              <w:ind w:left="63" w:right="63"/>
              <w:rPr>
                <w:rFonts w:ascii="宋体" w:hAnsi="宋体" w:cs="宋体"/>
                <w:color w:val="auto"/>
                <w:szCs w:val="21"/>
              </w:rPr>
            </w:pPr>
          </w:p>
        </w:tc>
        <w:tc>
          <w:tcPr>
            <w:tcW w:w="3584" w:type="dxa"/>
            <w:vAlign w:val="center"/>
          </w:tcPr>
          <w:p w14:paraId="2DCF48F9">
            <w:pPr>
              <w:keepNext/>
              <w:spacing w:after="120" w:line="360" w:lineRule="auto"/>
              <w:ind w:left="63" w:right="63"/>
              <w:rPr>
                <w:rFonts w:ascii="宋体" w:hAnsi="宋体" w:cs="宋体"/>
                <w:color w:val="auto"/>
                <w:szCs w:val="21"/>
              </w:rPr>
            </w:pPr>
          </w:p>
        </w:tc>
      </w:tr>
      <w:tr w14:paraId="02BD5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75876A9B">
            <w:pPr>
              <w:keepNext/>
              <w:spacing w:after="120" w:line="360" w:lineRule="auto"/>
              <w:ind w:left="63" w:right="63"/>
              <w:rPr>
                <w:rFonts w:ascii="宋体" w:hAnsi="宋体" w:cs="宋体"/>
                <w:color w:val="auto"/>
                <w:szCs w:val="21"/>
              </w:rPr>
            </w:pPr>
          </w:p>
        </w:tc>
        <w:tc>
          <w:tcPr>
            <w:tcW w:w="1094" w:type="dxa"/>
            <w:vAlign w:val="center"/>
          </w:tcPr>
          <w:p w14:paraId="7B8C46A8">
            <w:pPr>
              <w:keepNext/>
              <w:spacing w:after="120" w:line="360" w:lineRule="auto"/>
              <w:ind w:left="63" w:right="63"/>
              <w:rPr>
                <w:rFonts w:ascii="宋体" w:hAnsi="宋体" w:cs="宋体"/>
                <w:color w:val="auto"/>
                <w:szCs w:val="21"/>
              </w:rPr>
            </w:pPr>
          </w:p>
        </w:tc>
        <w:tc>
          <w:tcPr>
            <w:tcW w:w="1434" w:type="dxa"/>
            <w:vAlign w:val="center"/>
          </w:tcPr>
          <w:p w14:paraId="710E3EBD">
            <w:pPr>
              <w:keepNext/>
              <w:spacing w:after="120" w:line="360" w:lineRule="auto"/>
              <w:ind w:left="63" w:right="63"/>
              <w:rPr>
                <w:rFonts w:ascii="宋体" w:hAnsi="宋体" w:cs="宋体"/>
                <w:color w:val="auto"/>
                <w:szCs w:val="21"/>
              </w:rPr>
            </w:pPr>
          </w:p>
        </w:tc>
        <w:tc>
          <w:tcPr>
            <w:tcW w:w="1433" w:type="dxa"/>
            <w:vAlign w:val="center"/>
          </w:tcPr>
          <w:p w14:paraId="4D4397ED">
            <w:pPr>
              <w:keepNext/>
              <w:spacing w:after="120" w:line="360" w:lineRule="auto"/>
              <w:ind w:left="63" w:right="63"/>
              <w:rPr>
                <w:rFonts w:ascii="宋体" w:hAnsi="宋体" w:cs="宋体"/>
                <w:color w:val="auto"/>
                <w:szCs w:val="21"/>
              </w:rPr>
            </w:pPr>
          </w:p>
        </w:tc>
        <w:tc>
          <w:tcPr>
            <w:tcW w:w="3584" w:type="dxa"/>
            <w:vAlign w:val="center"/>
          </w:tcPr>
          <w:p w14:paraId="131C2B13">
            <w:pPr>
              <w:keepNext/>
              <w:spacing w:after="120" w:line="360" w:lineRule="auto"/>
              <w:ind w:left="63" w:right="63"/>
              <w:rPr>
                <w:rFonts w:ascii="宋体" w:hAnsi="宋体" w:cs="宋体"/>
                <w:color w:val="auto"/>
                <w:szCs w:val="21"/>
              </w:rPr>
            </w:pPr>
          </w:p>
        </w:tc>
      </w:tr>
      <w:tr w14:paraId="19340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7C8A32B2">
            <w:pPr>
              <w:keepNext/>
              <w:spacing w:after="120" w:line="360" w:lineRule="auto"/>
              <w:ind w:left="63" w:right="63"/>
              <w:rPr>
                <w:rFonts w:ascii="宋体" w:hAnsi="宋体" w:cs="宋体"/>
                <w:color w:val="auto"/>
                <w:szCs w:val="21"/>
              </w:rPr>
            </w:pPr>
          </w:p>
        </w:tc>
        <w:tc>
          <w:tcPr>
            <w:tcW w:w="1094" w:type="dxa"/>
            <w:vAlign w:val="center"/>
          </w:tcPr>
          <w:p w14:paraId="787090D5">
            <w:pPr>
              <w:keepNext/>
              <w:spacing w:after="120" w:line="360" w:lineRule="auto"/>
              <w:ind w:left="63" w:right="63"/>
              <w:rPr>
                <w:rFonts w:ascii="宋体" w:hAnsi="宋体" w:cs="宋体"/>
                <w:color w:val="auto"/>
                <w:szCs w:val="21"/>
              </w:rPr>
            </w:pPr>
          </w:p>
        </w:tc>
        <w:tc>
          <w:tcPr>
            <w:tcW w:w="1434" w:type="dxa"/>
            <w:vAlign w:val="center"/>
          </w:tcPr>
          <w:p w14:paraId="6A145FBD">
            <w:pPr>
              <w:keepNext/>
              <w:spacing w:after="120" w:line="360" w:lineRule="auto"/>
              <w:ind w:left="63" w:right="63"/>
              <w:rPr>
                <w:rFonts w:ascii="宋体" w:hAnsi="宋体" w:cs="宋体"/>
                <w:color w:val="auto"/>
                <w:szCs w:val="21"/>
              </w:rPr>
            </w:pPr>
          </w:p>
        </w:tc>
        <w:tc>
          <w:tcPr>
            <w:tcW w:w="1433" w:type="dxa"/>
            <w:vAlign w:val="center"/>
          </w:tcPr>
          <w:p w14:paraId="65779436">
            <w:pPr>
              <w:keepNext/>
              <w:spacing w:after="120" w:line="360" w:lineRule="auto"/>
              <w:ind w:left="63" w:right="63"/>
              <w:rPr>
                <w:rFonts w:ascii="宋体" w:hAnsi="宋体" w:cs="宋体"/>
                <w:color w:val="auto"/>
                <w:szCs w:val="21"/>
              </w:rPr>
            </w:pPr>
          </w:p>
        </w:tc>
        <w:tc>
          <w:tcPr>
            <w:tcW w:w="3584" w:type="dxa"/>
            <w:vAlign w:val="center"/>
          </w:tcPr>
          <w:p w14:paraId="3D41D52D">
            <w:pPr>
              <w:keepNext/>
              <w:spacing w:after="120" w:line="360" w:lineRule="auto"/>
              <w:ind w:left="63" w:right="63"/>
              <w:rPr>
                <w:rFonts w:ascii="宋体" w:hAnsi="宋体" w:cs="宋体"/>
                <w:color w:val="auto"/>
                <w:szCs w:val="21"/>
              </w:rPr>
            </w:pPr>
          </w:p>
        </w:tc>
      </w:tr>
      <w:tr w14:paraId="616DA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42274A72">
            <w:pPr>
              <w:keepNext/>
              <w:spacing w:after="120" w:line="360" w:lineRule="auto"/>
              <w:ind w:left="63" w:right="63"/>
              <w:rPr>
                <w:rFonts w:ascii="宋体" w:hAnsi="宋体" w:cs="宋体"/>
                <w:color w:val="auto"/>
                <w:szCs w:val="21"/>
              </w:rPr>
            </w:pPr>
          </w:p>
        </w:tc>
        <w:tc>
          <w:tcPr>
            <w:tcW w:w="1094" w:type="dxa"/>
            <w:vAlign w:val="center"/>
          </w:tcPr>
          <w:p w14:paraId="3CAF3C63">
            <w:pPr>
              <w:keepNext/>
              <w:spacing w:after="120" w:line="360" w:lineRule="auto"/>
              <w:ind w:left="63" w:right="63"/>
              <w:rPr>
                <w:rFonts w:ascii="宋体" w:hAnsi="宋体" w:cs="宋体"/>
                <w:color w:val="auto"/>
                <w:szCs w:val="21"/>
              </w:rPr>
            </w:pPr>
          </w:p>
        </w:tc>
        <w:tc>
          <w:tcPr>
            <w:tcW w:w="1434" w:type="dxa"/>
            <w:vAlign w:val="center"/>
          </w:tcPr>
          <w:p w14:paraId="11B9E0B5">
            <w:pPr>
              <w:keepNext/>
              <w:spacing w:after="120" w:line="360" w:lineRule="auto"/>
              <w:ind w:left="63" w:right="63"/>
              <w:rPr>
                <w:rFonts w:ascii="宋体" w:hAnsi="宋体" w:cs="宋体"/>
                <w:color w:val="auto"/>
                <w:szCs w:val="21"/>
              </w:rPr>
            </w:pPr>
          </w:p>
        </w:tc>
        <w:tc>
          <w:tcPr>
            <w:tcW w:w="1433" w:type="dxa"/>
            <w:vAlign w:val="center"/>
          </w:tcPr>
          <w:p w14:paraId="3D8C810D">
            <w:pPr>
              <w:keepNext/>
              <w:spacing w:after="120" w:line="360" w:lineRule="auto"/>
              <w:ind w:left="63" w:right="63"/>
              <w:rPr>
                <w:rFonts w:ascii="宋体" w:hAnsi="宋体" w:cs="宋体"/>
                <w:color w:val="auto"/>
                <w:szCs w:val="21"/>
              </w:rPr>
            </w:pPr>
          </w:p>
        </w:tc>
        <w:tc>
          <w:tcPr>
            <w:tcW w:w="3584" w:type="dxa"/>
            <w:vAlign w:val="center"/>
          </w:tcPr>
          <w:p w14:paraId="7E91460C">
            <w:pPr>
              <w:keepNext/>
              <w:spacing w:after="120" w:line="360" w:lineRule="auto"/>
              <w:ind w:left="63" w:right="63"/>
              <w:rPr>
                <w:rFonts w:ascii="宋体" w:hAnsi="宋体" w:cs="宋体"/>
                <w:color w:val="auto"/>
                <w:szCs w:val="21"/>
              </w:rPr>
            </w:pPr>
          </w:p>
        </w:tc>
      </w:tr>
      <w:tr w14:paraId="395C7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20BDC943">
            <w:pPr>
              <w:keepNext/>
              <w:spacing w:after="120" w:line="360" w:lineRule="auto"/>
              <w:ind w:left="63" w:right="63"/>
              <w:rPr>
                <w:rFonts w:ascii="宋体" w:hAnsi="宋体" w:cs="宋体"/>
                <w:color w:val="auto"/>
                <w:szCs w:val="21"/>
              </w:rPr>
            </w:pPr>
          </w:p>
        </w:tc>
        <w:tc>
          <w:tcPr>
            <w:tcW w:w="1094" w:type="dxa"/>
            <w:vAlign w:val="center"/>
          </w:tcPr>
          <w:p w14:paraId="0B5D99C0">
            <w:pPr>
              <w:keepNext/>
              <w:spacing w:after="120" w:line="360" w:lineRule="auto"/>
              <w:ind w:left="63" w:right="63"/>
              <w:rPr>
                <w:rFonts w:ascii="宋体" w:hAnsi="宋体" w:cs="宋体"/>
                <w:color w:val="auto"/>
                <w:szCs w:val="21"/>
              </w:rPr>
            </w:pPr>
          </w:p>
        </w:tc>
        <w:tc>
          <w:tcPr>
            <w:tcW w:w="1434" w:type="dxa"/>
            <w:vAlign w:val="center"/>
          </w:tcPr>
          <w:p w14:paraId="37EA221D">
            <w:pPr>
              <w:keepNext/>
              <w:spacing w:after="120" w:line="360" w:lineRule="auto"/>
              <w:ind w:left="63" w:right="63"/>
              <w:rPr>
                <w:rFonts w:ascii="宋体" w:hAnsi="宋体" w:cs="宋体"/>
                <w:color w:val="auto"/>
                <w:szCs w:val="21"/>
              </w:rPr>
            </w:pPr>
          </w:p>
        </w:tc>
        <w:tc>
          <w:tcPr>
            <w:tcW w:w="1433" w:type="dxa"/>
            <w:vAlign w:val="center"/>
          </w:tcPr>
          <w:p w14:paraId="34409199">
            <w:pPr>
              <w:keepNext/>
              <w:spacing w:after="120" w:line="360" w:lineRule="auto"/>
              <w:ind w:left="63" w:right="63"/>
              <w:rPr>
                <w:rFonts w:ascii="宋体" w:hAnsi="宋体" w:cs="宋体"/>
                <w:color w:val="auto"/>
                <w:szCs w:val="21"/>
              </w:rPr>
            </w:pPr>
          </w:p>
        </w:tc>
        <w:tc>
          <w:tcPr>
            <w:tcW w:w="3584" w:type="dxa"/>
            <w:vAlign w:val="center"/>
          </w:tcPr>
          <w:p w14:paraId="75603D25">
            <w:pPr>
              <w:keepNext/>
              <w:spacing w:after="120" w:line="360" w:lineRule="auto"/>
              <w:ind w:left="63" w:right="63"/>
              <w:rPr>
                <w:rFonts w:ascii="宋体" w:hAnsi="宋体" w:cs="宋体"/>
                <w:color w:val="auto"/>
                <w:szCs w:val="21"/>
              </w:rPr>
            </w:pPr>
          </w:p>
        </w:tc>
      </w:tr>
      <w:tr w14:paraId="2024F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6CA46C89">
            <w:pPr>
              <w:keepNext/>
              <w:spacing w:after="120" w:line="360" w:lineRule="auto"/>
              <w:ind w:left="63" w:right="63"/>
              <w:rPr>
                <w:rFonts w:ascii="宋体" w:hAnsi="宋体" w:cs="宋体"/>
                <w:color w:val="auto"/>
                <w:szCs w:val="21"/>
              </w:rPr>
            </w:pPr>
          </w:p>
        </w:tc>
        <w:tc>
          <w:tcPr>
            <w:tcW w:w="1094" w:type="dxa"/>
            <w:vAlign w:val="center"/>
          </w:tcPr>
          <w:p w14:paraId="2C193E08">
            <w:pPr>
              <w:keepNext/>
              <w:spacing w:after="120" w:line="360" w:lineRule="auto"/>
              <w:ind w:left="63" w:right="63"/>
              <w:rPr>
                <w:rFonts w:ascii="宋体" w:hAnsi="宋体" w:cs="宋体"/>
                <w:color w:val="auto"/>
                <w:szCs w:val="21"/>
              </w:rPr>
            </w:pPr>
          </w:p>
        </w:tc>
        <w:tc>
          <w:tcPr>
            <w:tcW w:w="1434" w:type="dxa"/>
            <w:vAlign w:val="center"/>
          </w:tcPr>
          <w:p w14:paraId="5D14205F">
            <w:pPr>
              <w:keepNext/>
              <w:spacing w:after="120" w:line="360" w:lineRule="auto"/>
              <w:ind w:left="63" w:right="63"/>
              <w:rPr>
                <w:rFonts w:ascii="宋体" w:hAnsi="宋体" w:cs="宋体"/>
                <w:color w:val="auto"/>
                <w:szCs w:val="21"/>
              </w:rPr>
            </w:pPr>
          </w:p>
        </w:tc>
        <w:tc>
          <w:tcPr>
            <w:tcW w:w="1433" w:type="dxa"/>
            <w:vAlign w:val="center"/>
          </w:tcPr>
          <w:p w14:paraId="4642F2EE">
            <w:pPr>
              <w:keepNext/>
              <w:spacing w:after="120" w:line="360" w:lineRule="auto"/>
              <w:ind w:left="63" w:right="63"/>
              <w:rPr>
                <w:rFonts w:ascii="宋体" w:hAnsi="宋体" w:cs="宋体"/>
                <w:color w:val="auto"/>
                <w:szCs w:val="21"/>
              </w:rPr>
            </w:pPr>
          </w:p>
        </w:tc>
        <w:tc>
          <w:tcPr>
            <w:tcW w:w="3584" w:type="dxa"/>
            <w:vAlign w:val="center"/>
          </w:tcPr>
          <w:p w14:paraId="59437592">
            <w:pPr>
              <w:keepNext/>
              <w:spacing w:after="120" w:line="360" w:lineRule="auto"/>
              <w:ind w:left="63" w:right="63"/>
              <w:rPr>
                <w:rFonts w:ascii="宋体" w:hAnsi="宋体" w:cs="宋体"/>
                <w:color w:val="auto"/>
                <w:szCs w:val="21"/>
              </w:rPr>
            </w:pPr>
          </w:p>
        </w:tc>
      </w:tr>
      <w:tr w14:paraId="42BE5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3BC185CA">
            <w:pPr>
              <w:keepNext/>
              <w:spacing w:after="120" w:line="360" w:lineRule="auto"/>
              <w:ind w:left="63" w:right="63"/>
              <w:rPr>
                <w:rFonts w:ascii="宋体" w:hAnsi="宋体" w:cs="宋体"/>
                <w:color w:val="auto"/>
                <w:szCs w:val="21"/>
              </w:rPr>
            </w:pPr>
          </w:p>
        </w:tc>
        <w:tc>
          <w:tcPr>
            <w:tcW w:w="1094" w:type="dxa"/>
            <w:vAlign w:val="center"/>
          </w:tcPr>
          <w:p w14:paraId="1EB2E03D">
            <w:pPr>
              <w:keepNext/>
              <w:spacing w:after="120" w:line="360" w:lineRule="auto"/>
              <w:ind w:left="63" w:right="63"/>
              <w:rPr>
                <w:rFonts w:ascii="宋体" w:hAnsi="宋体" w:cs="宋体"/>
                <w:color w:val="auto"/>
                <w:szCs w:val="21"/>
              </w:rPr>
            </w:pPr>
          </w:p>
        </w:tc>
        <w:tc>
          <w:tcPr>
            <w:tcW w:w="1434" w:type="dxa"/>
            <w:vAlign w:val="center"/>
          </w:tcPr>
          <w:p w14:paraId="770243B0">
            <w:pPr>
              <w:keepNext/>
              <w:spacing w:after="120" w:line="360" w:lineRule="auto"/>
              <w:ind w:left="63" w:right="63"/>
              <w:rPr>
                <w:rFonts w:ascii="宋体" w:hAnsi="宋体" w:cs="宋体"/>
                <w:color w:val="auto"/>
                <w:szCs w:val="21"/>
              </w:rPr>
            </w:pPr>
          </w:p>
        </w:tc>
        <w:tc>
          <w:tcPr>
            <w:tcW w:w="1433" w:type="dxa"/>
            <w:vAlign w:val="center"/>
          </w:tcPr>
          <w:p w14:paraId="32716094">
            <w:pPr>
              <w:keepNext/>
              <w:spacing w:after="120" w:line="360" w:lineRule="auto"/>
              <w:ind w:left="63" w:right="63"/>
              <w:rPr>
                <w:rFonts w:ascii="宋体" w:hAnsi="宋体" w:cs="宋体"/>
                <w:color w:val="auto"/>
                <w:szCs w:val="21"/>
              </w:rPr>
            </w:pPr>
          </w:p>
        </w:tc>
        <w:tc>
          <w:tcPr>
            <w:tcW w:w="3584" w:type="dxa"/>
            <w:vAlign w:val="center"/>
          </w:tcPr>
          <w:p w14:paraId="0382DF14">
            <w:pPr>
              <w:keepNext/>
              <w:spacing w:after="120" w:line="360" w:lineRule="auto"/>
              <w:ind w:left="63" w:right="63"/>
              <w:rPr>
                <w:rFonts w:ascii="宋体" w:hAnsi="宋体" w:cs="宋体"/>
                <w:color w:val="auto"/>
                <w:szCs w:val="21"/>
              </w:rPr>
            </w:pPr>
          </w:p>
        </w:tc>
      </w:tr>
    </w:tbl>
    <w:p w14:paraId="150483F6">
      <w:pPr>
        <w:spacing w:line="360" w:lineRule="auto"/>
        <w:rPr>
          <w:rFonts w:ascii="宋体" w:hAnsi="宋体" w:cs="宋体"/>
          <w:color w:val="auto"/>
          <w:szCs w:val="21"/>
        </w:rPr>
      </w:pPr>
    </w:p>
    <w:p w14:paraId="0DFD52B2">
      <w:pPr>
        <w:spacing w:line="360" w:lineRule="auto"/>
        <w:rPr>
          <w:rFonts w:ascii="宋体" w:hAnsi="宋体" w:cs="宋体"/>
          <w:b/>
          <w:color w:val="auto"/>
          <w:szCs w:val="21"/>
        </w:rPr>
      </w:pPr>
    </w:p>
    <w:p w14:paraId="30E7034D">
      <w:pPr>
        <w:spacing w:line="360" w:lineRule="auto"/>
        <w:rPr>
          <w:rFonts w:ascii="宋体" w:hAnsi="宋体" w:cs="宋体"/>
          <w:b/>
          <w:color w:val="auto"/>
          <w:szCs w:val="21"/>
        </w:rPr>
      </w:pPr>
    </w:p>
    <w:p w14:paraId="196A117D">
      <w:pPr>
        <w:spacing w:line="360" w:lineRule="auto"/>
        <w:rPr>
          <w:rFonts w:ascii="宋体" w:hAnsi="宋体" w:cs="宋体"/>
          <w:b/>
          <w:color w:val="auto"/>
          <w:szCs w:val="21"/>
        </w:rPr>
      </w:pPr>
    </w:p>
    <w:p w14:paraId="3003739A">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5B29B6F5">
      <w:pPr>
        <w:spacing w:line="360" w:lineRule="auto"/>
        <w:rPr>
          <w:rFonts w:ascii="宋体" w:hAnsi="宋体" w:cs="宋体"/>
          <w:b/>
          <w:color w:val="auto"/>
          <w:szCs w:val="21"/>
        </w:rPr>
      </w:pPr>
    </w:p>
    <w:p w14:paraId="5BEFA886">
      <w:pPr>
        <w:spacing w:line="360" w:lineRule="auto"/>
        <w:rPr>
          <w:rFonts w:ascii="宋体" w:hAnsi="宋体" w:cs="宋体"/>
          <w:color w:val="auto"/>
          <w:szCs w:val="21"/>
        </w:rPr>
      </w:pPr>
      <w:r>
        <w:rPr>
          <w:rFonts w:hint="eastAsia" w:ascii="宋体" w:hAnsi="宋体" w:cs="宋体"/>
          <w:b/>
          <w:bCs/>
          <w:color w:val="auto"/>
          <w:szCs w:val="21"/>
        </w:rPr>
        <w:t>附件3：</w:t>
      </w:r>
    </w:p>
    <w:p w14:paraId="78E1FA3D">
      <w:pPr>
        <w:spacing w:line="360" w:lineRule="auto"/>
        <w:jc w:val="center"/>
        <w:rPr>
          <w:rFonts w:ascii="宋体" w:hAnsi="宋体" w:cs="宋体"/>
          <w:b/>
          <w:color w:val="auto"/>
          <w:szCs w:val="21"/>
        </w:rPr>
      </w:pPr>
      <w:r>
        <w:rPr>
          <w:rFonts w:hint="eastAsia" w:ascii="宋体" w:hAnsi="宋体" w:cs="宋体"/>
          <w:b/>
          <w:color w:val="auto"/>
          <w:szCs w:val="21"/>
        </w:rPr>
        <w:t>安全生产承诺书</w:t>
      </w:r>
    </w:p>
    <w:p w14:paraId="7539F93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根据《中华人民共和国安全生产法》、《中华人民共和国建筑法》、《建筑工程安全生产管理条例》和《建筑工程安全生产监督管理工作导则》及与</w:t>
      </w:r>
      <w:r>
        <w:rPr>
          <w:rFonts w:hint="eastAsia" w:ascii="宋体" w:hAnsi="宋体" w:cs="宋体"/>
          <w:color w:val="auto"/>
          <w:szCs w:val="21"/>
          <w:u w:val="single"/>
        </w:rPr>
        <w:t xml:space="preserve">         　</w:t>
      </w:r>
      <w:r>
        <w:rPr>
          <w:rFonts w:hint="eastAsia" w:ascii="宋体" w:hAnsi="宋体" w:cs="宋体"/>
          <w:color w:val="auto"/>
          <w:szCs w:val="21"/>
        </w:rPr>
        <w:t>签订的施工合同的相关约定，我公司将对工程中的安全生产实施全过程全方位的管理，加大检查力度，增加安全投入，消除各类安全隐患，认真履行以下安全生产管理责任：</w:t>
      </w:r>
    </w:p>
    <w:p w14:paraId="5D947BB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1、严格按合同约定（符合国家相关规定）计取安全生产费，并保证此项经费专户核算、按施工进度使用，同时还自愿接受</w:t>
      </w:r>
      <w:r>
        <w:rPr>
          <w:rFonts w:hint="eastAsia" w:ascii="宋体" w:hAnsi="宋体" w:cs="宋体"/>
          <w:color w:val="auto"/>
          <w:szCs w:val="21"/>
          <w:u w:val="single"/>
        </w:rPr>
        <w:t xml:space="preserve">             　</w:t>
      </w:r>
      <w:r>
        <w:rPr>
          <w:rFonts w:hint="eastAsia" w:ascii="宋体" w:hAnsi="宋体" w:cs="宋体"/>
          <w:color w:val="auto"/>
          <w:szCs w:val="21"/>
        </w:rPr>
        <w:t>和监理单位对此项费用的使用进行监督。</w:t>
      </w:r>
    </w:p>
    <w:p w14:paraId="4FCA1CA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 建立安全生产责任制度和安全生产教育培训制度，制定安全生产规章制度、安全生产检查制度和操作规程，保证对该工程定期进行专项安全检查，并做好安全检查记录。现委托项目经理（注册证号：）对该工程项目的安全施工负责，落实安全生产责任制度、安全生产规章制度和操作规程，确保安全生产费用的有效使用，并根据工程的特点组织制定安全施工措施。消除安全事故隐患，及时、如实报告生产安全事故，并保证每周在施工现场履职时间按招投标合同中的要求执行。</w:t>
      </w:r>
    </w:p>
    <w:p w14:paraId="68CAE79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3、委派同志（证书编号： ）担任该工程的专职安全生产管理人员，负责对安全生产进行现场监督检查。发现安全事故隐患，应当及时向项目经理和安全生产管理机构报告；对违章指挥、违章操作的，应当立即制止，且保证其每周常驻现场不少于6天。电工、电焊工、塔吊司机、垂直运输机械作业人员、安装拆卸工、起重信号工、登高架设作业人员等特种作业人员持有特种作业操作资格证书，方允许其上岗作业。</w:t>
      </w:r>
    </w:p>
    <w:p w14:paraId="4FE802E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按照建设部“建质[2009]87号”规定，对施工过程中含有危险性较（重）大的分部（分项）工程，必须严格执行专项施工方案的编制、审核、审批程序，在施工时还应做好安全技术交底和检查验收工作。对危险性重大工程（重大危险源工程）的专项施工方案，还应组织不少于5人（本专业工程的高级工程师）的专家组对已编制的方案进行论证审查，且要有专家组作出书面论证的审查报告后，方可进行施工。</w:t>
      </w:r>
    </w:p>
    <w:p w14:paraId="373B53C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该工程施工前，我公司负责项目管理的技术人员对有关安全施工的技术要求向施工作业班组、作业人员作出详细说明，并由双方签字确认。对该工程施工现场的出入口处、施工起重机械、临时用电设施、脚手架、出入通道口、楼梯口、电梯井口、孔洞口、基坑边沿等危险部位，设置安全防护和明显的安全警示标志，安全警示标志的设置必须符合有关标准。</w:t>
      </w:r>
    </w:p>
    <w:p w14:paraId="484A63C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施工现场的办公、生活区与作业区做到分开设置，并保持安全距离；办公区、生活区的选址必须符合相关安全性规定要求。职工的伙食、饮水和休息场所应当符合卫生标准。坚决杜绝在尚未竣工的建筑物内设置员工集体宿舍。施工现场临时搭建的建筑物和施工场地、道路及施工围墙的设置必须符合相关安全性规定要求。</w:t>
      </w:r>
    </w:p>
    <w:p w14:paraId="657004D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对因施工可能造成损害的毗邻建筑物、构筑物和地下管线等应当采取专项防护措施，并遵守环境保护有关的法律法规。在施工现场采取措施，防止或者减少粉尘、废气、废水、固体废物、噪声和施工照明对人和环境造成的危害和污染。在施工现场建立消防安全责任制度，确定消防安全责任人，制定用火、用电、使用易燃易爆材料等各项消防安全管理制度和操作规程，设置消防通道、储备消防水源、配备消防设施和器材，并在施工现场作业区设置明显标志。</w:t>
      </w:r>
    </w:p>
    <w:p w14:paraId="591CDA7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认真做好“三级”安全教育工作，作业人员进入新的岗位或者新的施工项目开工前，必须接受安全生产教育培训。未经教育培训或者教育培训考核不合格的人员不得上岗作业；同时要向作业人员提供必要的安全生产防护用具和用品，并告知危险岗位的操作规程和违章操作的危害。一旦在施工中发生危及人身安全的紧急情况时，立即停止作业，采取必要的应急措施或撤离危险区域。教育施工作业人员遵守安全施工的强制性标准、规章制度和操作规程，正确使用安全防护用具、机械设备等。在采用新技术、新工艺、新设备、新材料时，也要对作业人员进行相应的安全生产教育培训。</w:t>
      </w:r>
    </w:p>
    <w:p w14:paraId="2AFB622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9、采购、租赁的安全防护用具、机械设备、施工机具及配件，应具有生产（制造）许可证、产品合格证，并在进入施工现场前进行查验。施工现场的安全防护用具、机械设备、施工机具及配件等由专人管理，定期进行检查、维修和保养，确保其性能指标处于良好的工作状态。</w:t>
      </w:r>
    </w:p>
    <w:p w14:paraId="4C1803E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10、所使用的各种施工起重机械和整体提升（自升式）脚手架、模板等危险性较大工程（设备）在安装、搭设、使用前，应组织有关单位对其安全性能进行验收，或委托具有相应资质的检验检测机构进行验收；使用承租的机械设备和施工机具及配件的，由施工总承包单位、分包单位、出租单位和安装单位共同进行安全性能验收。验收合格后方可使用，并按相关规定做好登记备案工作。</w:t>
      </w:r>
    </w:p>
    <w:p w14:paraId="5005115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11、认真抓好</w:t>
      </w:r>
      <w:r>
        <w:rPr>
          <w:rFonts w:hint="eastAsia" w:ascii="宋体" w:hAnsi="宋体" w:cs="宋体"/>
          <w:color w:val="auto"/>
          <w:szCs w:val="21"/>
          <w:u w:val="single"/>
        </w:rPr>
        <w:t xml:space="preserve">          　</w:t>
      </w:r>
      <w:r>
        <w:rPr>
          <w:rFonts w:hint="eastAsia" w:ascii="宋体" w:hAnsi="宋体" w:cs="宋体"/>
          <w:color w:val="auto"/>
          <w:szCs w:val="21"/>
        </w:rPr>
        <w:t>安全生产监督部门对该项工程存在事故隐患下达的限期安全整改通知单的整改、复查及回复工作，坚决做到令行禁止，不违法违规施工。</w:t>
      </w:r>
    </w:p>
    <w:p w14:paraId="0F33531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12、扎实做好该项目部所有从业人员的维权工作，保证所有从业人员的工资按合同约定及时、足额发放。</w:t>
      </w:r>
    </w:p>
    <w:p w14:paraId="4FB54C3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我代表公司承诺：严格执行上述内容及标准抓好该项工程的安全管理，随时接受</w:t>
      </w:r>
      <w:r>
        <w:rPr>
          <w:rFonts w:hint="eastAsia" w:ascii="宋体" w:hAnsi="宋体" w:cs="宋体"/>
          <w:color w:val="auto"/>
          <w:szCs w:val="21"/>
          <w:u w:val="single"/>
        </w:rPr>
        <w:t xml:space="preserve">     　</w:t>
      </w:r>
      <w:r>
        <w:rPr>
          <w:rFonts w:hint="eastAsia" w:ascii="宋体" w:hAnsi="宋体" w:cs="宋体"/>
          <w:color w:val="auto"/>
          <w:szCs w:val="21"/>
        </w:rPr>
        <w:t>安全生产监督部门的监督。如果违反相关法律法规的条款造成不良社会影响或者严重后果的，本公司自愿接受</w:t>
      </w:r>
      <w:r>
        <w:rPr>
          <w:rFonts w:hint="eastAsia" w:ascii="宋体" w:hAnsi="宋体" w:cs="宋体"/>
          <w:color w:val="auto"/>
          <w:szCs w:val="21"/>
          <w:u w:val="single"/>
        </w:rPr>
        <w:t xml:space="preserve">                　</w:t>
      </w:r>
      <w:r>
        <w:rPr>
          <w:rFonts w:hint="eastAsia" w:ascii="宋体" w:hAnsi="宋体" w:cs="宋体"/>
          <w:color w:val="auto"/>
          <w:szCs w:val="21"/>
        </w:rPr>
        <w:t>参照双方签订的施工合同中约定的相关条款实施的各项处罚。</w:t>
      </w:r>
    </w:p>
    <w:p w14:paraId="592F3817">
      <w:pPr>
        <w:adjustRightInd w:val="0"/>
        <w:snapToGrid w:val="0"/>
        <w:spacing w:line="360" w:lineRule="auto"/>
        <w:ind w:firstLine="420" w:firstLineChars="200"/>
        <w:rPr>
          <w:rFonts w:ascii="宋体" w:hAnsi="宋体" w:cs="宋体"/>
          <w:color w:val="auto"/>
          <w:szCs w:val="21"/>
        </w:rPr>
      </w:pPr>
    </w:p>
    <w:p w14:paraId="2201C289">
      <w:pPr>
        <w:adjustRightInd w:val="0"/>
        <w:snapToGrid w:val="0"/>
        <w:spacing w:line="360" w:lineRule="auto"/>
        <w:ind w:firstLine="420" w:firstLineChars="200"/>
        <w:rPr>
          <w:rFonts w:ascii="宋体" w:hAnsi="宋体" w:cs="宋体"/>
          <w:color w:val="auto"/>
          <w:szCs w:val="21"/>
        </w:rPr>
      </w:pPr>
    </w:p>
    <w:p w14:paraId="74AEAC4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发包人：（盖章）                     承包人：（盖章）</w:t>
      </w:r>
    </w:p>
    <w:p w14:paraId="737C156D">
      <w:pPr>
        <w:adjustRightInd w:val="0"/>
        <w:snapToGrid w:val="0"/>
        <w:spacing w:line="360" w:lineRule="auto"/>
        <w:ind w:firstLine="420" w:firstLineChars="200"/>
        <w:rPr>
          <w:rFonts w:ascii="宋体" w:hAnsi="宋体" w:cs="宋体"/>
          <w:color w:val="auto"/>
          <w:szCs w:val="21"/>
        </w:rPr>
      </w:pPr>
    </w:p>
    <w:p w14:paraId="06636CF0">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   年    月      日                     年    月      日  </w:t>
      </w:r>
    </w:p>
    <w:p w14:paraId="621B19FB">
      <w:pPr>
        <w:adjustRightInd w:val="0"/>
        <w:snapToGrid w:val="0"/>
        <w:spacing w:line="360" w:lineRule="auto"/>
        <w:rPr>
          <w:rFonts w:ascii="宋体" w:hAnsi="宋体" w:cs="宋体"/>
          <w:color w:val="auto"/>
          <w:szCs w:val="21"/>
        </w:rPr>
      </w:pPr>
    </w:p>
    <w:p w14:paraId="2542CF4B">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1039BE56">
      <w:pPr>
        <w:spacing w:line="360" w:lineRule="auto"/>
        <w:rPr>
          <w:rFonts w:ascii="宋体" w:hAnsi="宋体" w:cs="宋体"/>
          <w:b/>
          <w:color w:val="auto"/>
          <w:szCs w:val="21"/>
        </w:rPr>
      </w:pPr>
    </w:p>
    <w:p w14:paraId="453CD921">
      <w:pPr>
        <w:spacing w:line="360" w:lineRule="auto"/>
        <w:rPr>
          <w:rFonts w:ascii="宋体" w:hAnsi="宋体" w:cs="宋体"/>
          <w:b/>
          <w:color w:val="auto"/>
          <w:szCs w:val="21"/>
        </w:rPr>
      </w:pPr>
      <w:r>
        <w:rPr>
          <w:rFonts w:hint="eastAsia" w:ascii="宋体" w:hAnsi="宋体" w:cs="宋体"/>
          <w:b/>
          <w:color w:val="auto"/>
          <w:szCs w:val="21"/>
        </w:rPr>
        <w:t>附件4：</w:t>
      </w:r>
    </w:p>
    <w:p w14:paraId="3814A88C">
      <w:pPr>
        <w:spacing w:line="360" w:lineRule="auto"/>
        <w:jc w:val="center"/>
        <w:rPr>
          <w:rFonts w:ascii="宋体" w:hAnsi="宋体" w:cs="宋体"/>
          <w:color w:val="auto"/>
          <w:sz w:val="32"/>
          <w:szCs w:val="32"/>
        </w:rPr>
      </w:pPr>
      <w:r>
        <w:rPr>
          <w:rFonts w:hint="eastAsia" w:ascii="宋体" w:hAnsi="宋体" w:cs="宋体"/>
          <w:color w:val="auto"/>
          <w:sz w:val="32"/>
          <w:szCs w:val="32"/>
        </w:rPr>
        <w:t>工程建设项目廉政责任书</w:t>
      </w:r>
    </w:p>
    <w:p w14:paraId="5B12C277">
      <w:pPr>
        <w:adjustRightInd w:val="0"/>
        <w:snapToGrid w:val="0"/>
        <w:spacing w:line="360" w:lineRule="auto"/>
        <w:rPr>
          <w:rFonts w:ascii="宋体" w:hAnsi="宋体" w:cs="宋体"/>
          <w:color w:val="auto"/>
          <w:szCs w:val="21"/>
        </w:rPr>
      </w:pPr>
      <w:r>
        <w:rPr>
          <w:rFonts w:hint="eastAsia" w:ascii="宋体" w:hAnsi="宋体" w:cs="宋体"/>
          <w:color w:val="auto"/>
          <w:szCs w:val="21"/>
        </w:rPr>
        <w:t>工程项目名称：</w:t>
      </w:r>
    </w:p>
    <w:p w14:paraId="77F12A1B">
      <w:pPr>
        <w:adjustRightInd w:val="0"/>
        <w:snapToGrid w:val="0"/>
        <w:spacing w:line="360" w:lineRule="auto"/>
        <w:rPr>
          <w:rFonts w:ascii="宋体" w:hAnsi="宋体" w:cs="宋体"/>
          <w:b/>
          <w:color w:val="auto"/>
          <w:szCs w:val="21"/>
        </w:rPr>
      </w:pPr>
      <w:r>
        <w:rPr>
          <w:rFonts w:hint="eastAsia" w:ascii="宋体" w:hAnsi="宋体" w:cs="宋体"/>
          <w:color w:val="auto"/>
          <w:szCs w:val="21"/>
        </w:rPr>
        <w:t>工程项目地址：</w:t>
      </w:r>
    </w:p>
    <w:p w14:paraId="24200C24">
      <w:pPr>
        <w:adjustRightInd w:val="0"/>
        <w:snapToGrid w:val="0"/>
        <w:spacing w:line="360" w:lineRule="auto"/>
        <w:rPr>
          <w:rFonts w:ascii="宋体" w:hAnsi="宋体" w:cs="宋体"/>
          <w:color w:val="auto"/>
          <w:szCs w:val="21"/>
        </w:rPr>
      </w:pPr>
      <w:r>
        <w:rPr>
          <w:rFonts w:hint="eastAsia" w:ascii="宋体" w:hAnsi="宋体" w:cs="宋体"/>
          <w:color w:val="auto"/>
          <w:szCs w:val="21"/>
        </w:rPr>
        <w:t>建设单位（甲方）：</w:t>
      </w:r>
      <w:r>
        <w:rPr>
          <w:rFonts w:hint="eastAsia" w:ascii="宋体" w:hAnsi="宋体" w:cs="宋体"/>
          <w:color w:val="auto"/>
          <w:szCs w:val="21"/>
          <w:u w:val="single"/>
        </w:rPr>
        <w:t xml:space="preserve">                       　</w:t>
      </w:r>
    </w:p>
    <w:p w14:paraId="30665424">
      <w:pPr>
        <w:spacing w:line="360" w:lineRule="auto"/>
        <w:rPr>
          <w:rFonts w:ascii="宋体" w:hAnsi="宋体" w:cs="宋体"/>
          <w:color w:val="auto"/>
          <w:szCs w:val="21"/>
        </w:rPr>
      </w:pPr>
      <w:r>
        <w:rPr>
          <w:rFonts w:hint="eastAsia" w:ascii="宋体" w:hAnsi="宋体" w:cs="宋体"/>
          <w:color w:val="auto"/>
          <w:szCs w:val="21"/>
        </w:rPr>
        <w:t>施工单位（乙方）：</w:t>
      </w:r>
    </w:p>
    <w:p w14:paraId="0296F67D">
      <w:pPr>
        <w:adjustRightInd w:val="0"/>
        <w:snapToGrid w:val="0"/>
        <w:spacing w:line="360" w:lineRule="auto"/>
        <w:ind w:firstLine="315" w:firstLineChars="150"/>
        <w:rPr>
          <w:rFonts w:ascii="宋体" w:hAnsi="宋体" w:cs="宋体"/>
          <w:color w:val="auto"/>
          <w:szCs w:val="21"/>
        </w:rPr>
      </w:pPr>
      <w:r>
        <w:rPr>
          <w:rFonts w:hint="eastAsia" w:ascii="宋体" w:hAnsi="宋体" w:cs="宋体"/>
          <w:color w:val="auto"/>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3FA0B1F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第一条  甲乙方双方的责任</w:t>
      </w:r>
    </w:p>
    <w:p w14:paraId="7FA0AA0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（一）应严格遵守国家关于市场准入、项目招标投标、工程建设、施工安装和市场活动等有关法律、法规、相关政策，以及廉政建设的各项规定。</w:t>
      </w:r>
    </w:p>
    <w:p w14:paraId="223FE45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（二）严格执行建设工程项目承发包合同文件，自觉按合同办事。</w:t>
      </w:r>
    </w:p>
    <w:p w14:paraId="769DFAD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（三）业务活动必须坚持公开、公平、公正、诚信、透明的原则（除法律法规另有规定者外），不得为获取不正当的利益，损害国家、集体和对方利益，不得违反工程建设管理、施工安装的规章制度。</w:t>
      </w:r>
    </w:p>
    <w:p w14:paraId="76D1A40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（四）发现对方在业务活动中有违规、违纪、违法行为的，应及时提醒对方，情节严重的，应向其上级主管部门或纪检监察、司法等有关机关举报。</w:t>
      </w:r>
    </w:p>
    <w:p w14:paraId="52A2E75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第二条  甲方相关人员的责任</w:t>
      </w:r>
    </w:p>
    <w:p w14:paraId="315835C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甲方的领导和从事该建设工程项目的工作人员，在工程建设的事前、事中、事后应遵守以下规定：</w:t>
      </w:r>
    </w:p>
    <w:p w14:paraId="6EDFCA2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（一）不准向乙方和相关单位索要或接受回扣、礼金、有价证券、贵重物品和好处费、感谢费等。</w:t>
      </w:r>
    </w:p>
    <w:p w14:paraId="671D264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（二）不准在乙方和相关单位报销任何应由甲方或个人支付的费用。</w:t>
      </w:r>
    </w:p>
    <w:p w14:paraId="595AECC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（三）不准要求、暗示和接受乙方和相关单位为个人装修住房、婚丧嫁娶、配偶子女的工作安排以及出国（境）、旅游等提供方便。</w:t>
      </w:r>
    </w:p>
    <w:p w14:paraId="68201109">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（四）不准参加有可能影响公正执行公务的乙方和相关单位的宴请和健身、娱乐等活动。</w:t>
      </w:r>
    </w:p>
    <w:p w14:paraId="0D94A94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65544E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第三条  乙方相关人员的责任</w:t>
      </w:r>
    </w:p>
    <w:p w14:paraId="0852C4A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应与甲方保持正常的业务交往，按照有关法律法规和程序开展业务工作，严格执行工程建设的有关方针、政策，尤其是有关建筑施工安装的强制性标准和规范，并遵守以下规定：</w:t>
      </w:r>
    </w:p>
    <w:p w14:paraId="32EB947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（一）不准以任何理由向甲方、相关单位及其工作人员索要、接受或赠送礼金、有价证券、贵重物品和回扣、好处费、感谢费等。</w:t>
      </w:r>
    </w:p>
    <w:p w14:paraId="3157F63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（二）不准以任何理由为甲方和相关单位报销应由对方或个人支付的费用。</w:t>
      </w:r>
    </w:p>
    <w:p w14:paraId="185B040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（三）不准接受或暗示为甲方、相关单位或个人装修住房、婚丧嫁娶、配偶子女的工作安排以及出国（境）、旅游等提供方便。</w:t>
      </w:r>
    </w:p>
    <w:p w14:paraId="1A4A2E1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（四）不准以任何理由为甲方、相关单位或个人组织有可能影响公正执行公务的宴请和健身、娱乐等活动。</w:t>
      </w:r>
    </w:p>
    <w:p w14:paraId="367FAE9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第四条  违约责任</w:t>
      </w:r>
    </w:p>
    <w:p w14:paraId="4D58F83B">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甲方工作人员有违反本责任书第一、二条责任行为的，按照管理权限，依据有关法律法规和规定给予党纪、政纪处分或组织处理；涉嫌犯罪的，移交司法机关追究刑事责任；给乙方单位造成经济损失的，应予赔偿。</w:t>
      </w:r>
    </w:p>
    <w:p w14:paraId="30EBD3F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乙方工作人员有违反本责任书第一、三条责任行为的，按照管理权限，依据有关法律法规和规定给予党纪、政纪处分或组织处理；涉嫌犯罪的，移交司法机关追究刑事责任；给甲方单位造成经济损失的，应予赔偿。</w:t>
      </w:r>
    </w:p>
    <w:p w14:paraId="7795B80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第五条  本责任书为工程施工合同的附件，与工程施工合同具有同等法律效力。经双方签署后立即生效。</w:t>
      </w:r>
    </w:p>
    <w:p w14:paraId="62D85E5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第六条  本责任书的有效期为双方签署之日起至该工程项目竣工验收合格时止。</w:t>
      </w:r>
    </w:p>
    <w:p w14:paraId="53F877CB">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第七条  本责任书份数与合同协议书一致。</w:t>
      </w:r>
    </w:p>
    <w:p w14:paraId="07455541">
      <w:pPr>
        <w:adjustRightInd w:val="0"/>
        <w:snapToGrid w:val="0"/>
        <w:spacing w:line="360" w:lineRule="auto"/>
        <w:rPr>
          <w:rFonts w:ascii="宋体" w:hAnsi="宋体" w:cs="宋体"/>
          <w:color w:val="auto"/>
          <w:szCs w:val="21"/>
        </w:rPr>
      </w:pPr>
    </w:p>
    <w:tbl>
      <w:tblPr>
        <w:tblStyle w:val="45"/>
        <w:tblpPr w:leftFromText="180" w:rightFromText="180" w:vertAnchor="text" w:horzAnchor="page" w:tblpX="1393" w:tblpY="245"/>
        <w:tblOverlap w:val="never"/>
        <w:tblW w:w="0" w:type="auto"/>
        <w:tblInd w:w="0" w:type="dxa"/>
        <w:tblLayout w:type="fixed"/>
        <w:tblCellMar>
          <w:top w:w="0" w:type="dxa"/>
          <w:left w:w="0" w:type="dxa"/>
          <w:bottom w:w="0" w:type="dxa"/>
          <w:right w:w="0" w:type="dxa"/>
        </w:tblCellMar>
      </w:tblPr>
      <w:tblGrid>
        <w:gridCol w:w="4753"/>
        <w:gridCol w:w="4744"/>
      </w:tblGrid>
      <w:tr w14:paraId="539CE406">
        <w:tblPrEx>
          <w:tblCellMar>
            <w:top w:w="0" w:type="dxa"/>
            <w:left w:w="0" w:type="dxa"/>
            <w:bottom w:w="0" w:type="dxa"/>
            <w:right w:w="0" w:type="dxa"/>
          </w:tblCellMar>
        </w:tblPrEx>
        <w:trPr>
          <w:trHeight w:val="330" w:hRule="atLeast"/>
        </w:trPr>
        <w:tc>
          <w:tcPr>
            <w:tcW w:w="4753" w:type="dxa"/>
          </w:tcPr>
          <w:p w14:paraId="6B90C940">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发 包 人（盖章）：</w:t>
            </w:r>
          </w:p>
        </w:tc>
        <w:tc>
          <w:tcPr>
            <w:tcW w:w="4744" w:type="dxa"/>
            <w:tcMar>
              <w:right w:w="0" w:type="dxa"/>
            </w:tcMar>
          </w:tcPr>
          <w:p w14:paraId="7E4C9301">
            <w:pPr>
              <w:spacing w:line="360" w:lineRule="auto"/>
              <w:ind w:right="-11"/>
              <w:jc w:val="left"/>
              <w:rPr>
                <w:rFonts w:ascii="宋体" w:hAnsi="宋体" w:cs="宋体"/>
                <w:color w:val="auto"/>
                <w:kern w:val="0"/>
              </w:rPr>
            </w:pPr>
            <w:r>
              <w:rPr>
                <w:rFonts w:hint="eastAsia" w:ascii="宋体" w:hAnsi="宋体" w:cs="宋体"/>
                <w:color w:val="auto"/>
                <w:kern w:val="0"/>
              </w:rPr>
              <w:t xml:space="preserve">   承 包 人（盖章）：</w:t>
            </w:r>
          </w:p>
          <w:p w14:paraId="101C610B">
            <w:pPr>
              <w:spacing w:line="360" w:lineRule="auto"/>
              <w:ind w:right="-11" w:firstLine="1995" w:firstLineChars="950"/>
              <w:jc w:val="left"/>
              <w:rPr>
                <w:rFonts w:ascii="宋体" w:hAnsi="宋体" w:cs="宋体"/>
                <w:color w:val="auto"/>
                <w:kern w:val="0"/>
              </w:rPr>
            </w:pPr>
          </w:p>
        </w:tc>
      </w:tr>
      <w:tr w14:paraId="1E095D2B">
        <w:tblPrEx>
          <w:tblCellMar>
            <w:top w:w="0" w:type="dxa"/>
            <w:left w:w="0" w:type="dxa"/>
            <w:bottom w:w="0" w:type="dxa"/>
            <w:right w:w="0" w:type="dxa"/>
          </w:tblCellMar>
        </w:tblPrEx>
        <w:tc>
          <w:tcPr>
            <w:tcW w:w="4753" w:type="dxa"/>
          </w:tcPr>
          <w:p w14:paraId="03DD9A3C">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法定代表人：</w:t>
            </w:r>
          </w:p>
          <w:p w14:paraId="721849BB">
            <w:pPr>
              <w:spacing w:line="360" w:lineRule="auto"/>
              <w:ind w:right="-11" w:firstLine="735" w:firstLineChars="350"/>
              <w:jc w:val="left"/>
              <w:rPr>
                <w:rFonts w:ascii="宋体" w:hAnsi="宋体" w:cs="宋体"/>
                <w:color w:val="auto"/>
                <w:kern w:val="0"/>
              </w:rPr>
            </w:pPr>
            <w:r>
              <w:rPr>
                <w:rFonts w:hint="eastAsia" w:ascii="宋体" w:hAnsi="宋体" w:cs="宋体"/>
                <w:color w:val="auto"/>
                <w:kern w:val="0"/>
              </w:rPr>
              <w:t>（签字或盖章）</w:t>
            </w:r>
          </w:p>
        </w:tc>
        <w:tc>
          <w:tcPr>
            <w:tcW w:w="4744" w:type="dxa"/>
            <w:tcMar>
              <w:right w:w="0" w:type="dxa"/>
            </w:tcMar>
          </w:tcPr>
          <w:p w14:paraId="22BF370C">
            <w:pPr>
              <w:spacing w:line="360" w:lineRule="auto"/>
              <w:ind w:right="-11"/>
              <w:jc w:val="left"/>
              <w:rPr>
                <w:rFonts w:ascii="宋体" w:hAnsi="宋体" w:cs="宋体"/>
                <w:color w:val="auto"/>
                <w:kern w:val="0"/>
              </w:rPr>
            </w:pPr>
            <w:r>
              <w:rPr>
                <w:rFonts w:hint="eastAsia" w:ascii="宋体" w:hAnsi="宋体" w:cs="宋体"/>
                <w:color w:val="auto"/>
                <w:kern w:val="0"/>
              </w:rPr>
              <w:t xml:space="preserve">   法定代表人：</w:t>
            </w:r>
          </w:p>
          <w:p w14:paraId="7B482652">
            <w:pPr>
              <w:spacing w:line="360" w:lineRule="auto"/>
              <w:ind w:right="-11" w:firstLine="210" w:firstLineChars="100"/>
              <w:jc w:val="left"/>
              <w:rPr>
                <w:rFonts w:ascii="宋体" w:hAnsi="宋体" w:cs="宋体"/>
                <w:color w:val="auto"/>
                <w:kern w:val="0"/>
              </w:rPr>
            </w:pPr>
            <w:r>
              <w:rPr>
                <w:rFonts w:hint="eastAsia" w:ascii="宋体" w:hAnsi="宋体" w:cs="宋体"/>
                <w:color w:val="auto"/>
                <w:kern w:val="0"/>
              </w:rPr>
              <w:t>（签字或盖章）</w:t>
            </w:r>
          </w:p>
          <w:p w14:paraId="23725724">
            <w:pPr>
              <w:spacing w:line="360" w:lineRule="auto"/>
              <w:ind w:right="-11"/>
              <w:jc w:val="left"/>
              <w:rPr>
                <w:rFonts w:ascii="宋体" w:hAnsi="宋体" w:cs="宋体"/>
                <w:color w:val="auto"/>
                <w:kern w:val="0"/>
              </w:rPr>
            </w:pPr>
          </w:p>
        </w:tc>
      </w:tr>
    </w:tbl>
    <w:p w14:paraId="4F24BFDE">
      <w:pPr>
        <w:spacing w:line="360" w:lineRule="auto"/>
        <w:rPr>
          <w:rFonts w:ascii="宋体" w:hAnsi="宋体" w:cs="宋体"/>
          <w:color w:val="auto"/>
          <w:szCs w:val="21"/>
        </w:rPr>
      </w:pPr>
    </w:p>
    <w:p w14:paraId="06B9DE68">
      <w:pPr>
        <w:spacing w:line="360" w:lineRule="auto"/>
        <w:rPr>
          <w:rFonts w:ascii="宋体" w:hAnsi="宋体" w:cs="宋体"/>
          <w:color w:val="auto"/>
          <w:szCs w:val="21"/>
        </w:rPr>
      </w:pPr>
    </w:p>
    <w:p w14:paraId="725759D7">
      <w:pPr>
        <w:spacing w:line="360" w:lineRule="auto"/>
        <w:rPr>
          <w:rFonts w:ascii="宋体" w:hAnsi="宋体" w:cs="宋体"/>
          <w:color w:val="auto"/>
          <w:szCs w:val="21"/>
        </w:rPr>
      </w:pPr>
    </w:p>
    <w:p w14:paraId="039C2B3B">
      <w:pPr>
        <w:spacing w:line="360" w:lineRule="auto"/>
        <w:rPr>
          <w:rFonts w:ascii="宋体" w:hAnsi="宋体" w:cs="宋体"/>
          <w:color w:val="auto"/>
          <w:szCs w:val="21"/>
        </w:rPr>
      </w:pPr>
    </w:p>
    <w:p w14:paraId="7C456F8F">
      <w:pPr>
        <w:tabs>
          <w:tab w:val="left" w:pos="1080"/>
        </w:tabs>
        <w:spacing w:line="360" w:lineRule="auto"/>
        <w:rPr>
          <w:rFonts w:ascii="宋体" w:hAnsi="宋体"/>
          <w:b/>
          <w:color w:val="auto"/>
          <w:sz w:val="24"/>
        </w:rPr>
      </w:pPr>
    </w:p>
    <w:p w14:paraId="69DB413F">
      <w:pPr>
        <w:rPr>
          <w:rFonts w:ascii="宋体" w:hAnsi="宋体"/>
          <w:b/>
          <w:color w:val="auto"/>
          <w:sz w:val="32"/>
          <w:szCs w:val="32"/>
        </w:rPr>
      </w:pPr>
    </w:p>
    <w:p w14:paraId="4D93FDA0">
      <w:pPr>
        <w:rPr>
          <w:rFonts w:ascii="宋体" w:hAnsi="宋体"/>
          <w:b/>
          <w:color w:val="auto"/>
          <w:sz w:val="32"/>
          <w:szCs w:val="32"/>
        </w:rPr>
      </w:pPr>
      <w:r>
        <w:rPr>
          <w:rFonts w:ascii="宋体" w:hAnsi="宋体"/>
          <w:b/>
          <w:color w:val="auto"/>
          <w:sz w:val="32"/>
          <w:szCs w:val="32"/>
        </w:rPr>
        <w:br w:type="page"/>
      </w:r>
    </w:p>
    <w:p w14:paraId="4B6CD269">
      <w:pPr>
        <w:pStyle w:val="2"/>
        <w:spacing w:line="500" w:lineRule="exact"/>
        <w:jc w:val="center"/>
        <w:rPr>
          <w:rFonts w:ascii="宋体" w:hAnsi="宋体" w:cs="宋体"/>
          <w:color w:val="auto"/>
          <w:sz w:val="32"/>
        </w:rPr>
      </w:pPr>
      <w:bookmarkStart w:id="158" w:name="_Toc80818641"/>
      <w:r>
        <w:rPr>
          <w:rFonts w:hint="eastAsia" w:ascii="宋体" w:hAnsi="宋体" w:cs="宋体"/>
          <w:color w:val="auto"/>
          <w:sz w:val="32"/>
        </w:rPr>
        <w:t>第四章  图纸</w:t>
      </w:r>
      <w:bookmarkEnd w:id="128"/>
      <w:bookmarkEnd w:id="158"/>
    </w:p>
    <w:p w14:paraId="597CB10B">
      <w:pPr>
        <w:jc w:val="center"/>
        <w:rPr>
          <w:rFonts w:hint="eastAsia" w:eastAsia="宋体"/>
          <w:color w:val="auto"/>
          <w:lang w:eastAsia="zh-CN"/>
        </w:rPr>
      </w:pPr>
      <w:r>
        <w:rPr>
          <w:rFonts w:hint="eastAsia" w:ascii="宋体" w:hAnsi="宋体"/>
          <w:b w:val="0"/>
          <w:color w:val="auto"/>
          <w:sz w:val="32"/>
          <w:szCs w:val="32"/>
          <w:lang w:eastAsia="zh-CN"/>
        </w:rPr>
        <w:t>本项目不提供图纸。</w:t>
      </w:r>
    </w:p>
    <w:p w14:paraId="4C206930">
      <w:pPr>
        <w:rPr>
          <w:color w:val="auto"/>
        </w:rPr>
      </w:pPr>
    </w:p>
    <w:p w14:paraId="6E10B06D">
      <w:pPr>
        <w:rPr>
          <w:color w:val="auto"/>
        </w:rPr>
      </w:pPr>
    </w:p>
    <w:p w14:paraId="3272F444">
      <w:pPr>
        <w:rPr>
          <w:color w:val="auto"/>
        </w:rPr>
      </w:pPr>
    </w:p>
    <w:p w14:paraId="6004BDD8">
      <w:pPr>
        <w:rPr>
          <w:color w:val="auto"/>
        </w:rPr>
      </w:pPr>
    </w:p>
    <w:p w14:paraId="48B6DF4D">
      <w:pPr>
        <w:pStyle w:val="2"/>
        <w:jc w:val="center"/>
        <w:rPr>
          <w:rFonts w:ascii="宋体" w:hAnsi="宋体"/>
          <w:color w:val="auto"/>
          <w:sz w:val="32"/>
          <w:szCs w:val="32"/>
        </w:rPr>
      </w:pPr>
      <w:bookmarkStart w:id="159" w:name="_Toc80818643"/>
      <w:r>
        <w:rPr>
          <w:rFonts w:hint="eastAsia" w:ascii="宋体" w:hAnsi="宋体"/>
          <w:color w:val="auto"/>
          <w:sz w:val="32"/>
          <w:szCs w:val="32"/>
        </w:rPr>
        <w:t>第五章  技术规范</w:t>
      </w:r>
      <w:bookmarkEnd w:id="159"/>
    </w:p>
    <w:p w14:paraId="375BC0FC">
      <w:pPr>
        <w:jc w:val="center"/>
        <w:rPr>
          <w:color w:val="auto"/>
        </w:rPr>
      </w:pPr>
      <w:r>
        <w:rPr>
          <w:rFonts w:hint="eastAsia" w:ascii="宋体" w:hAnsi="宋体" w:cs="宋体"/>
          <w:color w:val="auto"/>
          <w:sz w:val="28"/>
          <w:szCs w:val="28"/>
        </w:rPr>
        <w:t>按国家行业和地方现行标准、规范和规程等要求执行。</w:t>
      </w:r>
    </w:p>
    <w:p w14:paraId="0C24E159">
      <w:pPr>
        <w:rPr>
          <w:color w:val="auto"/>
        </w:rPr>
      </w:pPr>
    </w:p>
    <w:p w14:paraId="359522E5">
      <w:pPr>
        <w:rPr>
          <w:color w:val="auto"/>
        </w:rPr>
      </w:pPr>
    </w:p>
    <w:p w14:paraId="2C22B387">
      <w:pPr>
        <w:rPr>
          <w:color w:val="auto"/>
        </w:rPr>
      </w:pPr>
    </w:p>
    <w:p w14:paraId="7DF96C96">
      <w:pPr>
        <w:rPr>
          <w:color w:val="auto"/>
        </w:rPr>
      </w:pPr>
    </w:p>
    <w:p w14:paraId="49EBEC7A">
      <w:pPr>
        <w:pStyle w:val="4"/>
        <w:rPr>
          <w:color w:val="auto"/>
        </w:rPr>
      </w:pPr>
    </w:p>
    <w:p w14:paraId="050B2B57">
      <w:pPr>
        <w:rPr>
          <w:color w:val="auto"/>
        </w:rPr>
      </w:pPr>
    </w:p>
    <w:p w14:paraId="3201AEB0">
      <w:pPr>
        <w:pStyle w:val="4"/>
        <w:rPr>
          <w:color w:val="auto"/>
        </w:rPr>
      </w:pPr>
    </w:p>
    <w:p w14:paraId="1739EB34">
      <w:pPr>
        <w:rPr>
          <w:color w:val="auto"/>
        </w:rPr>
      </w:pPr>
    </w:p>
    <w:p w14:paraId="2C07FFB1">
      <w:pPr>
        <w:pStyle w:val="2"/>
        <w:spacing w:line="276" w:lineRule="auto"/>
        <w:jc w:val="center"/>
        <w:rPr>
          <w:rFonts w:ascii="宋体" w:hAnsi="宋体"/>
          <w:color w:val="auto"/>
          <w:sz w:val="32"/>
          <w:szCs w:val="32"/>
        </w:rPr>
      </w:pPr>
      <w:bookmarkStart w:id="160" w:name="_Toc80818644"/>
      <w:r>
        <w:rPr>
          <w:rFonts w:ascii="宋体" w:hAnsi="宋体"/>
          <w:color w:val="auto"/>
          <w:sz w:val="32"/>
          <w:szCs w:val="32"/>
        </w:rPr>
        <w:t>第</w:t>
      </w:r>
      <w:r>
        <w:rPr>
          <w:rFonts w:hint="eastAsia" w:ascii="宋体" w:hAnsi="宋体"/>
          <w:color w:val="auto"/>
          <w:sz w:val="32"/>
          <w:szCs w:val="32"/>
        </w:rPr>
        <w:t>六</w:t>
      </w:r>
      <w:r>
        <w:rPr>
          <w:rFonts w:ascii="宋体" w:hAnsi="宋体"/>
          <w:color w:val="auto"/>
          <w:sz w:val="32"/>
          <w:szCs w:val="32"/>
        </w:rPr>
        <w:t>章工程量清单</w:t>
      </w:r>
      <w:bookmarkEnd w:id="160"/>
    </w:p>
    <w:p w14:paraId="67A52E28">
      <w:pPr>
        <w:spacing w:line="390" w:lineRule="exact"/>
        <w:rPr>
          <w:rFonts w:ascii="宋体" w:hAnsi="宋体"/>
          <w:color w:val="auto"/>
          <w:szCs w:val="21"/>
        </w:rPr>
      </w:pPr>
      <w:bookmarkStart w:id="161" w:name="_Toc346264361"/>
    </w:p>
    <w:p w14:paraId="17E87B83">
      <w:pPr>
        <w:pStyle w:val="2"/>
        <w:jc w:val="center"/>
        <w:rPr>
          <w:rFonts w:ascii="宋体" w:hAnsi="宋体"/>
          <w:color w:val="auto"/>
          <w:sz w:val="32"/>
          <w:szCs w:val="32"/>
        </w:rPr>
      </w:pPr>
      <w:bookmarkStart w:id="162" w:name="_Toc80818645"/>
      <w:r>
        <w:rPr>
          <w:rFonts w:hint="eastAsia" w:ascii="宋体" w:hAnsi="宋体"/>
          <w:b w:val="0"/>
          <w:color w:val="auto"/>
          <w:sz w:val="32"/>
          <w:szCs w:val="32"/>
        </w:rPr>
        <w:t>请供应商自行到政采云平台（https://www.zcygov.cn/）下载。</w:t>
      </w:r>
      <w:bookmarkEnd w:id="162"/>
    </w:p>
    <w:p w14:paraId="2E15C126">
      <w:pPr>
        <w:spacing w:line="390" w:lineRule="exact"/>
        <w:rPr>
          <w:rFonts w:ascii="宋体" w:hAnsi="宋体"/>
          <w:b/>
          <w:color w:val="auto"/>
          <w:szCs w:val="21"/>
        </w:rPr>
      </w:pPr>
    </w:p>
    <w:p w14:paraId="2B3158EE">
      <w:pPr>
        <w:spacing w:line="390" w:lineRule="exact"/>
        <w:rPr>
          <w:rFonts w:ascii="宋体" w:hAnsi="宋体"/>
          <w:b/>
          <w:color w:val="auto"/>
          <w:szCs w:val="21"/>
        </w:rPr>
      </w:pPr>
    </w:p>
    <w:p w14:paraId="4C6A54DB">
      <w:pPr>
        <w:spacing w:line="390" w:lineRule="exact"/>
        <w:rPr>
          <w:rFonts w:ascii="宋体" w:hAnsi="宋体"/>
          <w:b/>
          <w:color w:val="auto"/>
          <w:szCs w:val="21"/>
        </w:rPr>
      </w:pPr>
    </w:p>
    <w:p w14:paraId="562AB52C">
      <w:pPr>
        <w:spacing w:line="390" w:lineRule="exact"/>
        <w:rPr>
          <w:b/>
          <w:color w:val="auto"/>
        </w:rPr>
      </w:pPr>
    </w:p>
    <w:p w14:paraId="0BA21318">
      <w:pPr>
        <w:spacing w:line="390" w:lineRule="exact"/>
        <w:rPr>
          <w:b/>
          <w:color w:val="auto"/>
        </w:rPr>
      </w:pPr>
    </w:p>
    <w:p w14:paraId="616CE229">
      <w:pPr>
        <w:spacing w:line="390" w:lineRule="exact"/>
        <w:rPr>
          <w:b/>
          <w:color w:val="auto"/>
        </w:rPr>
      </w:pPr>
    </w:p>
    <w:bookmarkEnd w:id="161"/>
    <w:p w14:paraId="27D23AB4">
      <w:pPr>
        <w:spacing w:line="390" w:lineRule="exact"/>
        <w:rPr>
          <w:b/>
          <w:color w:val="auto"/>
        </w:rPr>
      </w:pPr>
    </w:p>
    <w:p w14:paraId="6985F74D">
      <w:pPr>
        <w:pStyle w:val="2"/>
        <w:jc w:val="center"/>
        <w:rPr>
          <w:rFonts w:ascii="宋体" w:hAnsi="宋体"/>
          <w:color w:val="auto"/>
          <w:sz w:val="40"/>
          <w:szCs w:val="32"/>
        </w:rPr>
      </w:pPr>
      <w:bookmarkStart w:id="163" w:name="_Toc80818646"/>
      <w:r>
        <w:rPr>
          <w:rFonts w:hint="eastAsia" w:ascii="宋体" w:hAnsi="宋体"/>
          <w:color w:val="auto"/>
          <w:sz w:val="40"/>
          <w:szCs w:val="32"/>
        </w:rPr>
        <w:t>第七章  响应文件格式</w:t>
      </w:r>
      <w:bookmarkEnd w:id="163"/>
    </w:p>
    <w:p w14:paraId="3B5AEDE4">
      <w:pPr>
        <w:widowControl/>
        <w:ind w:firstLine="420"/>
        <w:jc w:val="center"/>
        <w:rPr>
          <w:rFonts w:ascii="宋体" w:hAnsi="宋体"/>
          <w:color w:val="auto"/>
          <w:kern w:val="0"/>
          <w:sz w:val="32"/>
          <w:szCs w:val="32"/>
        </w:rPr>
      </w:pPr>
      <w:r>
        <w:rPr>
          <w:rFonts w:hint="eastAsia" w:ascii="宋体" w:hAnsi="宋体"/>
          <w:color w:val="auto"/>
          <w:kern w:val="0"/>
          <w:sz w:val="32"/>
          <w:szCs w:val="32"/>
        </w:rPr>
        <w:t>封面格式</w:t>
      </w:r>
    </w:p>
    <w:p w14:paraId="1045BCC7">
      <w:pPr>
        <w:widowControl/>
        <w:ind w:firstLine="420"/>
        <w:jc w:val="left"/>
        <w:rPr>
          <w:rFonts w:ascii="宋体" w:hAnsi="宋体"/>
          <w:color w:val="auto"/>
          <w:kern w:val="0"/>
          <w:sz w:val="24"/>
        </w:rPr>
      </w:pPr>
    </w:p>
    <w:p w14:paraId="2E1DE94C">
      <w:pPr>
        <w:widowControl/>
        <w:ind w:firstLine="420"/>
        <w:jc w:val="left"/>
        <w:rPr>
          <w:rFonts w:ascii="宋体" w:hAnsi="宋体"/>
          <w:color w:val="auto"/>
          <w:kern w:val="0"/>
          <w:sz w:val="24"/>
        </w:rPr>
      </w:pPr>
    </w:p>
    <w:p w14:paraId="1E043578">
      <w:pPr>
        <w:spacing w:line="440" w:lineRule="exact"/>
        <w:ind w:firstLine="562" w:firstLineChars="200"/>
        <w:rPr>
          <w:rFonts w:ascii="宋体" w:hAnsi="宋体"/>
          <w:b/>
          <w:color w:val="auto"/>
          <w:sz w:val="28"/>
          <w:szCs w:val="28"/>
          <w:u w:val="single"/>
        </w:rPr>
      </w:pPr>
      <w:r>
        <w:rPr>
          <w:rFonts w:hint="eastAsia" w:ascii="宋体" w:hAnsi="宋体"/>
          <w:b/>
          <w:color w:val="auto"/>
          <w:sz w:val="28"/>
          <w:szCs w:val="28"/>
        </w:rPr>
        <w:t>工程项目：</w:t>
      </w:r>
    </w:p>
    <w:p w14:paraId="37B6CB79">
      <w:pPr>
        <w:widowControl/>
        <w:ind w:firstLine="871" w:firstLineChars="310"/>
        <w:jc w:val="center"/>
        <w:rPr>
          <w:rFonts w:ascii="宋体" w:hAnsi="宋体"/>
          <w:b/>
          <w:color w:val="auto"/>
          <w:sz w:val="28"/>
          <w:szCs w:val="28"/>
        </w:rPr>
      </w:pPr>
    </w:p>
    <w:p w14:paraId="663CCB04">
      <w:pPr>
        <w:widowControl/>
        <w:ind w:firstLine="868" w:firstLineChars="310"/>
        <w:jc w:val="left"/>
        <w:rPr>
          <w:rFonts w:ascii="宋体" w:hAnsi="宋体"/>
          <w:color w:val="auto"/>
          <w:kern w:val="0"/>
          <w:sz w:val="28"/>
          <w:szCs w:val="28"/>
          <w:u w:val="single"/>
        </w:rPr>
      </w:pPr>
    </w:p>
    <w:p w14:paraId="4F7E1CFB">
      <w:pPr>
        <w:widowControl/>
        <w:ind w:firstLine="562" w:firstLineChars="200"/>
        <w:rPr>
          <w:rFonts w:ascii="宋体" w:hAnsi="宋体"/>
          <w:b/>
          <w:color w:val="auto"/>
          <w:kern w:val="0"/>
          <w:sz w:val="28"/>
          <w:szCs w:val="28"/>
        </w:rPr>
      </w:pPr>
      <w:r>
        <w:rPr>
          <w:rFonts w:hint="eastAsia" w:ascii="宋体" w:hAnsi="宋体"/>
          <w:b/>
          <w:color w:val="auto"/>
          <w:kern w:val="0"/>
          <w:sz w:val="28"/>
          <w:szCs w:val="28"/>
        </w:rPr>
        <w:t>项目编号：</w:t>
      </w:r>
    </w:p>
    <w:p w14:paraId="09D727BF">
      <w:pPr>
        <w:widowControl/>
        <w:ind w:firstLine="992" w:firstLineChars="310"/>
        <w:jc w:val="left"/>
        <w:rPr>
          <w:rFonts w:ascii="宋体" w:hAnsi="宋体"/>
          <w:color w:val="auto"/>
          <w:kern w:val="0"/>
          <w:sz w:val="32"/>
          <w:szCs w:val="32"/>
          <w:u w:val="single"/>
        </w:rPr>
      </w:pPr>
    </w:p>
    <w:p w14:paraId="6AD79628">
      <w:pPr>
        <w:widowControl/>
        <w:ind w:firstLine="992" w:firstLineChars="310"/>
        <w:jc w:val="left"/>
        <w:rPr>
          <w:rFonts w:ascii="宋体" w:hAnsi="宋体"/>
          <w:color w:val="auto"/>
          <w:kern w:val="0"/>
          <w:sz w:val="32"/>
          <w:szCs w:val="32"/>
          <w:u w:val="single"/>
        </w:rPr>
      </w:pPr>
    </w:p>
    <w:p w14:paraId="4B7BF491">
      <w:pPr>
        <w:widowControl/>
        <w:ind w:firstLine="992" w:firstLineChars="310"/>
        <w:jc w:val="left"/>
        <w:rPr>
          <w:rFonts w:ascii="宋体" w:hAnsi="宋体"/>
          <w:color w:val="auto"/>
          <w:kern w:val="0"/>
          <w:sz w:val="32"/>
          <w:szCs w:val="32"/>
          <w:u w:val="single"/>
        </w:rPr>
      </w:pPr>
    </w:p>
    <w:p w14:paraId="1AAA978E">
      <w:pPr>
        <w:widowControl/>
        <w:jc w:val="center"/>
        <w:rPr>
          <w:rFonts w:ascii="宋体" w:hAnsi="宋体"/>
          <w:b/>
          <w:color w:val="auto"/>
          <w:kern w:val="0"/>
          <w:sz w:val="48"/>
          <w:szCs w:val="32"/>
        </w:rPr>
      </w:pPr>
      <w:r>
        <w:rPr>
          <w:rFonts w:hint="eastAsia" w:ascii="宋体" w:hAnsi="宋体"/>
          <w:b/>
          <w:color w:val="auto"/>
          <w:kern w:val="0"/>
          <w:sz w:val="48"/>
          <w:szCs w:val="32"/>
        </w:rPr>
        <w:t xml:space="preserve"> 响 应 文 件</w:t>
      </w:r>
    </w:p>
    <w:p w14:paraId="059EA792">
      <w:pPr>
        <w:widowControl/>
        <w:ind w:firstLine="868" w:firstLineChars="310"/>
        <w:jc w:val="left"/>
        <w:rPr>
          <w:rFonts w:ascii="宋体" w:hAnsi="宋体"/>
          <w:color w:val="auto"/>
          <w:kern w:val="0"/>
          <w:sz w:val="28"/>
          <w:szCs w:val="28"/>
        </w:rPr>
      </w:pPr>
    </w:p>
    <w:p w14:paraId="4DBBBE3F">
      <w:pPr>
        <w:widowControl/>
        <w:jc w:val="center"/>
        <w:rPr>
          <w:rFonts w:ascii="宋体" w:hAnsi="宋体"/>
          <w:color w:val="auto"/>
          <w:kern w:val="0"/>
          <w:sz w:val="28"/>
          <w:szCs w:val="28"/>
        </w:rPr>
      </w:pPr>
    </w:p>
    <w:p w14:paraId="42748F24">
      <w:pPr>
        <w:widowControl/>
        <w:jc w:val="center"/>
        <w:rPr>
          <w:rFonts w:ascii="宋体" w:hAnsi="宋体"/>
          <w:b/>
          <w:color w:val="auto"/>
          <w:kern w:val="0"/>
          <w:sz w:val="28"/>
          <w:szCs w:val="28"/>
        </w:rPr>
      </w:pPr>
    </w:p>
    <w:p w14:paraId="53FA0BC0">
      <w:pPr>
        <w:widowControl/>
        <w:ind w:firstLine="868" w:firstLineChars="310"/>
        <w:rPr>
          <w:rFonts w:ascii="宋体" w:hAnsi="宋体"/>
          <w:color w:val="auto"/>
          <w:kern w:val="0"/>
          <w:sz w:val="28"/>
          <w:szCs w:val="28"/>
        </w:rPr>
      </w:pPr>
    </w:p>
    <w:p w14:paraId="3B095CA5">
      <w:pPr>
        <w:widowControl/>
        <w:jc w:val="left"/>
        <w:rPr>
          <w:color w:val="auto"/>
          <w:kern w:val="0"/>
          <w:sz w:val="20"/>
          <w:szCs w:val="20"/>
        </w:rPr>
      </w:pPr>
    </w:p>
    <w:p w14:paraId="054E1FED">
      <w:pPr>
        <w:widowControl/>
        <w:ind w:firstLine="420"/>
        <w:jc w:val="left"/>
        <w:rPr>
          <w:color w:val="auto"/>
          <w:kern w:val="0"/>
          <w:sz w:val="20"/>
          <w:szCs w:val="20"/>
        </w:rPr>
      </w:pPr>
    </w:p>
    <w:p w14:paraId="598428B9">
      <w:pPr>
        <w:widowControl/>
        <w:ind w:firstLine="420"/>
        <w:jc w:val="left"/>
        <w:rPr>
          <w:color w:val="auto"/>
          <w:kern w:val="0"/>
          <w:sz w:val="20"/>
          <w:szCs w:val="20"/>
        </w:rPr>
      </w:pPr>
    </w:p>
    <w:p w14:paraId="231A107F">
      <w:pPr>
        <w:widowControl/>
        <w:ind w:firstLine="700" w:firstLineChars="249"/>
        <w:rPr>
          <w:rFonts w:ascii="宋体" w:hAnsi="宋体"/>
          <w:b/>
          <w:color w:val="auto"/>
          <w:kern w:val="0"/>
          <w:sz w:val="28"/>
          <w:szCs w:val="28"/>
          <w:u w:val="single"/>
        </w:rPr>
      </w:pPr>
      <w:r>
        <w:rPr>
          <w:rFonts w:hint="eastAsia" w:ascii="宋体" w:hAnsi="宋体"/>
          <w:b/>
          <w:color w:val="auto"/>
          <w:kern w:val="0"/>
          <w:sz w:val="28"/>
          <w:szCs w:val="28"/>
        </w:rPr>
        <w:t>供应商：</w:t>
      </w:r>
      <w:r>
        <w:rPr>
          <w:rFonts w:hint="eastAsia" w:ascii="宋体" w:hAnsi="宋体"/>
          <w:b/>
          <w:color w:val="auto"/>
          <w:kern w:val="0"/>
          <w:sz w:val="28"/>
          <w:szCs w:val="28"/>
          <w:u w:val="single"/>
        </w:rPr>
        <w:t xml:space="preserve">                                   （盖章）</w:t>
      </w:r>
    </w:p>
    <w:p w14:paraId="2E7A5EFC">
      <w:pPr>
        <w:widowControl/>
        <w:ind w:firstLine="647" w:firstLineChars="230"/>
        <w:rPr>
          <w:rFonts w:ascii="宋体" w:hAnsi="宋体"/>
          <w:b/>
          <w:color w:val="auto"/>
          <w:kern w:val="0"/>
          <w:sz w:val="28"/>
          <w:szCs w:val="28"/>
        </w:rPr>
      </w:pPr>
    </w:p>
    <w:p w14:paraId="04028555">
      <w:pPr>
        <w:widowControl/>
        <w:ind w:firstLine="647" w:firstLineChars="230"/>
        <w:rPr>
          <w:rFonts w:ascii="宋体" w:hAnsi="宋体"/>
          <w:b/>
          <w:color w:val="auto"/>
          <w:kern w:val="0"/>
          <w:sz w:val="28"/>
          <w:szCs w:val="28"/>
          <w:u w:val="single"/>
        </w:rPr>
      </w:pPr>
      <w:r>
        <w:rPr>
          <w:rFonts w:hint="eastAsia" w:ascii="宋体" w:hAnsi="宋体"/>
          <w:b/>
          <w:color w:val="auto"/>
          <w:kern w:val="0"/>
          <w:sz w:val="28"/>
          <w:szCs w:val="28"/>
        </w:rPr>
        <w:t>法定代表人或其委托代理人：</w:t>
      </w:r>
      <w:r>
        <w:rPr>
          <w:rFonts w:hint="eastAsia" w:ascii="宋体" w:hAnsi="宋体"/>
          <w:b/>
          <w:color w:val="auto"/>
          <w:kern w:val="0"/>
          <w:sz w:val="28"/>
          <w:szCs w:val="28"/>
          <w:u w:val="single"/>
        </w:rPr>
        <w:t xml:space="preserve">               （签字或盖章）</w:t>
      </w:r>
    </w:p>
    <w:p w14:paraId="6685C82D">
      <w:pPr>
        <w:adjustRightInd w:val="0"/>
        <w:spacing w:line="312" w:lineRule="atLeast"/>
        <w:jc w:val="center"/>
        <w:textAlignment w:val="baseline"/>
        <w:rPr>
          <w:rFonts w:ascii="宋体" w:hAnsi="宋体"/>
          <w:b/>
          <w:color w:val="auto"/>
          <w:kern w:val="0"/>
          <w:sz w:val="28"/>
          <w:szCs w:val="28"/>
        </w:rPr>
      </w:pPr>
    </w:p>
    <w:p w14:paraId="38B100E7">
      <w:pPr>
        <w:adjustRightInd w:val="0"/>
        <w:spacing w:line="312" w:lineRule="atLeast"/>
        <w:ind w:firstLine="689" w:firstLineChars="245"/>
        <w:textAlignment w:val="baseline"/>
        <w:rPr>
          <w:b/>
          <w:color w:val="auto"/>
          <w:kern w:val="0"/>
          <w:sz w:val="28"/>
          <w:szCs w:val="28"/>
        </w:rPr>
      </w:pPr>
      <w:r>
        <w:rPr>
          <w:rFonts w:hint="eastAsia" w:ascii="宋体" w:hAnsi="宋体"/>
          <w:b/>
          <w:color w:val="auto"/>
          <w:kern w:val="0"/>
          <w:sz w:val="28"/>
          <w:szCs w:val="28"/>
        </w:rPr>
        <w:t>日期：</w:t>
      </w:r>
      <w:r>
        <w:rPr>
          <w:rFonts w:hint="eastAsia" w:ascii="宋体" w:hAnsi="宋体"/>
          <w:b/>
          <w:color w:val="auto"/>
          <w:kern w:val="0"/>
          <w:sz w:val="28"/>
          <w:szCs w:val="28"/>
          <w:lang w:val="en-US" w:eastAsia="zh-CN"/>
        </w:rPr>
        <w:t xml:space="preserve">  </w:t>
      </w:r>
      <w:r>
        <w:rPr>
          <w:rFonts w:hint="eastAsia" w:ascii="宋体" w:hAnsi="宋体"/>
          <w:b/>
          <w:color w:val="auto"/>
          <w:kern w:val="0"/>
          <w:sz w:val="28"/>
          <w:szCs w:val="28"/>
        </w:rPr>
        <w:t>年</w:t>
      </w:r>
      <w:r>
        <w:rPr>
          <w:rFonts w:hint="eastAsia" w:ascii="宋体" w:hAnsi="宋体"/>
          <w:b/>
          <w:color w:val="auto"/>
          <w:kern w:val="0"/>
          <w:sz w:val="28"/>
          <w:szCs w:val="28"/>
          <w:lang w:val="en-US" w:eastAsia="zh-CN"/>
        </w:rPr>
        <w:t xml:space="preserve">   </w:t>
      </w:r>
      <w:r>
        <w:rPr>
          <w:rFonts w:hint="eastAsia" w:ascii="宋体" w:hAnsi="宋体"/>
          <w:b/>
          <w:color w:val="auto"/>
          <w:kern w:val="0"/>
          <w:sz w:val="28"/>
          <w:szCs w:val="28"/>
        </w:rPr>
        <w:t>月</w:t>
      </w:r>
      <w:r>
        <w:rPr>
          <w:rFonts w:hint="eastAsia" w:ascii="宋体" w:hAnsi="宋体"/>
          <w:b/>
          <w:color w:val="auto"/>
          <w:kern w:val="0"/>
          <w:sz w:val="28"/>
          <w:szCs w:val="28"/>
          <w:lang w:val="en-US" w:eastAsia="zh-CN"/>
        </w:rPr>
        <w:t xml:space="preserve">   </w:t>
      </w:r>
      <w:r>
        <w:rPr>
          <w:rFonts w:hint="eastAsia" w:ascii="宋体" w:hAnsi="宋体"/>
          <w:b/>
          <w:color w:val="auto"/>
          <w:kern w:val="0"/>
          <w:sz w:val="28"/>
          <w:szCs w:val="28"/>
        </w:rPr>
        <w:t>日</w:t>
      </w:r>
    </w:p>
    <w:p w14:paraId="41773C07">
      <w:pPr>
        <w:spacing w:line="400" w:lineRule="exact"/>
        <w:jc w:val="center"/>
        <w:rPr>
          <w:rFonts w:ascii="宋体" w:hAnsi="宋体"/>
          <w:b/>
          <w:color w:val="auto"/>
          <w:sz w:val="44"/>
          <w:szCs w:val="44"/>
        </w:rPr>
      </w:pPr>
      <w:r>
        <w:rPr>
          <w:b/>
          <w:color w:val="auto"/>
          <w:kern w:val="0"/>
          <w:szCs w:val="20"/>
        </w:rPr>
        <w:br w:type="page"/>
      </w:r>
      <w:r>
        <w:rPr>
          <w:rFonts w:hint="eastAsia" w:ascii="宋体" w:hAnsi="宋体"/>
          <w:b/>
          <w:color w:val="auto"/>
          <w:sz w:val="36"/>
          <w:szCs w:val="36"/>
        </w:rPr>
        <w:t>目  录</w:t>
      </w:r>
    </w:p>
    <w:p w14:paraId="6BE6C721">
      <w:pPr>
        <w:spacing w:line="360" w:lineRule="auto"/>
        <w:jc w:val="center"/>
        <w:rPr>
          <w:rFonts w:ascii="宋体" w:hAnsi="宋体"/>
          <w:b/>
          <w:color w:val="auto"/>
          <w:sz w:val="44"/>
          <w:szCs w:val="44"/>
        </w:rPr>
      </w:pPr>
    </w:p>
    <w:p w14:paraId="0B2D11AE">
      <w:pPr>
        <w:spacing w:line="600" w:lineRule="exact"/>
        <w:ind w:firstLine="472" w:firstLineChars="196"/>
        <w:rPr>
          <w:rFonts w:ascii="宋体" w:hAnsi="宋体"/>
          <w:b/>
          <w:color w:val="auto"/>
          <w:sz w:val="24"/>
        </w:rPr>
      </w:pPr>
      <w:r>
        <w:rPr>
          <w:rFonts w:hint="eastAsia" w:ascii="宋体" w:hAnsi="宋体"/>
          <w:b/>
          <w:color w:val="auto"/>
          <w:sz w:val="24"/>
        </w:rPr>
        <w:t>一、资格文件</w:t>
      </w:r>
    </w:p>
    <w:p w14:paraId="281F9F37">
      <w:pPr>
        <w:snapToGrid w:val="0"/>
        <w:spacing w:line="600" w:lineRule="exact"/>
        <w:ind w:firstLine="480" w:firstLineChars="200"/>
        <w:rPr>
          <w:rFonts w:ascii="宋体" w:hAnsi="宋体"/>
          <w:bCs/>
          <w:color w:val="auto"/>
          <w:sz w:val="24"/>
        </w:rPr>
      </w:pPr>
      <w:r>
        <w:rPr>
          <w:rFonts w:hint="eastAsia" w:ascii="宋体" w:hAnsi="宋体"/>
          <w:bCs/>
          <w:color w:val="auto"/>
          <w:sz w:val="24"/>
        </w:rPr>
        <w:t>（按供应商须知第9.2条要求内容顺序编写）</w:t>
      </w:r>
    </w:p>
    <w:p w14:paraId="2B38A775">
      <w:pPr>
        <w:spacing w:line="600" w:lineRule="exact"/>
        <w:ind w:firstLine="472" w:firstLineChars="196"/>
        <w:rPr>
          <w:rFonts w:ascii="宋体" w:hAnsi="宋体"/>
          <w:b/>
          <w:color w:val="auto"/>
          <w:sz w:val="24"/>
        </w:rPr>
      </w:pPr>
      <w:r>
        <w:rPr>
          <w:rFonts w:hint="eastAsia" w:ascii="宋体" w:hAnsi="宋体"/>
          <w:b/>
          <w:color w:val="auto"/>
          <w:sz w:val="24"/>
        </w:rPr>
        <w:t>二、</w:t>
      </w:r>
      <w:r>
        <w:rPr>
          <w:rFonts w:ascii="宋体" w:hAnsi="宋体"/>
          <w:b/>
          <w:color w:val="auto"/>
          <w:sz w:val="24"/>
        </w:rPr>
        <w:t>商务</w:t>
      </w:r>
      <w:r>
        <w:rPr>
          <w:rFonts w:hint="eastAsia" w:ascii="宋体" w:hAnsi="宋体"/>
          <w:b/>
          <w:color w:val="auto"/>
          <w:sz w:val="24"/>
        </w:rPr>
        <w:t>技术文件</w:t>
      </w:r>
    </w:p>
    <w:p w14:paraId="330FCFD2">
      <w:pPr>
        <w:snapToGrid w:val="0"/>
        <w:spacing w:line="600" w:lineRule="exact"/>
        <w:ind w:firstLine="480" w:firstLineChars="200"/>
        <w:rPr>
          <w:rFonts w:ascii="宋体" w:hAnsi="宋体"/>
          <w:bCs/>
          <w:color w:val="auto"/>
          <w:sz w:val="24"/>
        </w:rPr>
      </w:pPr>
      <w:r>
        <w:rPr>
          <w:rFonts w:hint="eastAsia" w:ascii="宋体" w:hAnsi="宋体"/>
          <w:bCs/>
          <w:color w:val="auto"/>
          <w:sz w:val="24"/>
        </w:rPr>
        <w:t>（按供应商须知第9.3条要求内容顺序编写）</w:t>
      </w:r>
    </w:p>
    <w:p w14:paraId="073F0037">
      <w:pPr>
        <w:spacing w:line="600" w:lineRule="exact"/>
        <w:ind w:firstLine="472" w:firstLineChars="196"/>
        <w:rPr>
          <w:rFonts w:ascii="宋体" w:hAnsi="宋体"/>
          <w:b/>
          <w:color w:val="auto"/>
          <w:sz w:val="24"/>
        </w:rPr>
      </w:pPr>
      <w:r>
        <w:rPr>
          <w:rFonts w:hint="eastAsia" w:ascii="宋体" w:hAnsi="宋体"/>
          <w:b/>
          <w:color w:val="auto"/>
          <w:sz w:val="24"/>
        </w:rPr>
        <w:t>三、报价文件</w:t>
      </w:r>
    </w:p>
    <w:p w14:paraId="5D1F9D4E">
      <w:pPr>
        <w:spacing w:line="600" w:lineRule="exact"/>
        <w:ind w:firstLine="470" w:firstLineChars="196"/>
        <w:rPr>
          <w:rFonts w:ascii="宋体" w:hAnsi="宋体"/>
          <w:bCs/>
          <w:color w:val="auto"/>
          <w:sz w:val="24"/>
        </w:rPr>
      </w:pPr>
      <w:r>
        <w:rPr>
          <w:rFonts w:hint="eastAsia" w:ascii="宋体" w:hAnsi="宋体"/>
          <w:bCs/>
          <w:color w:val="auto"/>
          <w:sz w:val="24"/>
        </w:rPr>
        <w:t>（按供应商须知第9.4条要求内容顺序编写）</w:t>
      </w:r>
    </w:p>
    <w:p w14:paraId="5E6742CC">
      <w:pPr>
        <w:snapToGrid w:val="0"/>
        <w:spacing w:line="600" w:lineRule="exact"/>
        <w:ind w:firstLine="552" w:firstLineChars="250"/>
        <w:rPr>
          <w:rFonts w:ascii="宋体" w:hAnsi="宋体" w:cs="宋体"/>
          <w:b/>
          <w:color w:val="auto"/>
          <w:sz w:val="22"/>
          <w:szCs w:val="21"/>
        </w:rPr>
      </w:pPr>
    </w:p>
    <w:p w14:paraId="26AB4687">
      <w:pPr>
        <w:spacing w:line="600" w:lineRule="exact"/>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lang w:eastAsia="zh-CN"/>
        </w:rPr>
        <w:t>（供应商在编制竞标文件的过程中如发现采购文件提供的格式模板不合适，可以按照竞标目录的内容自行拟定格式编制。）</w:t>
      </w:r>
    </w:p>
    <w:p w14:paraId="6333233A">
      <w:pPr>
        <w:spacing w:line="600" w:lineRule="exact"/>
        <w:rPr>
          <w:rFonts w:ascii="宋体" w:hAnsi="宋体" w:cs="宋体"/>
          <w:color w:val="auto"/>
        </w:rPr>
      </w:pPr>
    </w:p>
    <w:p w14:paraId="41081BE1">
      <w:pPr>
        <w:spacing w:line="600" w:lineRule="exact"/>
        <w:ind w:firstLine="660" w:firstLineChars="300"/>
        <w:rPr>
          <w:rFonts w:ascii="宋体" w:hAnsi="宋体" w:cs="宋体"/>
          <w:color w:val="auto"/>
          <w:sz w:val="22"/>
          <w:szCs w:val="21"/>
        </w:rPr>
      </w:pPr>
    </w:p>
    <w:p w14:paraId="15F5AB35">
      <w:pPr>
        <w:snapToGrid w:val="0"/>
        <w:spacing w:line="600" w:lineRule="exact"/>
        <w:ind w:firstLine="315" w:firstLineChars="150"/>
        <w:rPr>
          <w:rFonts w:ascii="宋体" w:hAnsi="宋体" w:cs="宋体"/>
          <w:color w:val="auto"/>
          <w:szCs w:val="21"/>
        </w:rPr>
      </w:pPr>
    </w:p>
    <w:p w14:paraId="563EFB9E">
      <w:pPr>
        <w:snapToGrid w:val="0"/>
        <w:spacing w:line="600" w:lineRule="exact"/>
        <w:ind w:firstLine="315" w:firstLineChars="150"/>
        <w:rPr>
          <w:rFonts w:ascii="宋体" w:hAnsi="宋体" w:cs="宋体"/>
          <w:color w:val="auto"/>
          <w:szCs w:val="21"/>
        </w:rPr>
      </w:pPr>
    </w:p>
    <w:p w14:paraId="0D047488">
      <w:pPr>
        <w:snapToGrid w:val="0"/>
        <w:spacing w:line="360" w:lineRule="auto"/>
        <w:ind w:firstLine="315" w:firstLineChars="150"/>
        <w:rPr>
          <w:rFonts w:ascii="宋体" w:hAnsi="宋体" w:cs="宋体"/>
          <w:color w:val="auto"/>
          <w:szCs w:val="21"/>
        </w:rPr>
      </w:pPr>
    </w:p>
    <w:p w14:paraId="77A6988F">
      <w:pPr>
        <w:snapToGrid w:val="0"/>
        <w:spacing w:line="360" w:lineRule="auto"/>
        <w:ind w:firstLine="315" w:firstLineChars="150"/>
        <w:rPr>
          <w:rFonts w:ascii="宋体" w:hAnsi="宋体" w:cs="宋体"/>
          <w:color w:val="auto"/>
          <w:szCs w:val="21"/>
        </w:rPr>
      </w:pPr>
    </w:p>
    <w:p w14:paraId="120AFFF1">
      <w:pPr>
        <w:snapToGrid w:val="0"/>
        <w:spacing w:line="360" w:lineRule="auto"/>
        <w:ind w:firstLine="315" w:firstLineChars="150"/>
        <w:rPr>
          <w:rFonts w:ascii="宋体" w:hAnsi="宋体" w:cs="宋体"/>
          <w:color w:val="auto"/>
          <w:szCs w:val="21"/>
        </w:rPr>
      </w:pPr>
    </w:p>
    <w:p w14:paraId="20B0D0E0">
      <w:pPr>
        <w:snapToGrid w:val="0"/>
        <w:spacing w:line="360" w:lineRule="auto"/>
        <w:ind w:firstLine="315" w:firstLineChars="150"/>
        <w:rPr>
          <w:rFonts w:ascii="宋体" w:hAnsi="宋体" w:cs="宋体"/>
          <w:color w:val="auto"/>
          <w:szCs w:val="21"/>
        </w:rPr>
      </w:pPr>
    </w:p>
    <w:p w14:paraId="21B1280F">
      <w:pPr>
        <w:snapToGrid w:val="0"/>
        <w:spacing w:line="360" w:lineRule="auto"/>
        <w:ind w:firstLine="315" w:firstLineChars="150"/>
        <w:rPr>
          <w:rFonts w:ascii="宋体" w:hAnsi="宋体" w:cs="宋体"/>
          <w:color w:val="auto"/>
          <w:szCs w:val="21"/>
        </w:rPr>
      </w:pPr>
    </w:p>
    <w:p w14:paraId="062DCE02">
      <w:pPr>
        <w:adjustRightInd w:val="0"/>
        <w:spacing w:line="360" w:lineRule="auto"/>
        <w:jc w:val="center"/>
        <w:textAlignment w:val="baseline"/>
        <w:rPr>
          <w:rFonts w:ascii="宋体"/>
          <w:b/>
          <w:color w:val="auto"/>
          <w:kern w:val="0"/>
          <w:sz w:val="32"/>
          <w:szCs w:val="20"/>
        </w:rPr>
      </w:pPr>
    </w:p>
    <w:p w14:paraId="744CB9A1">
      <w:pPr>
        <w:adjustRightInd w:val="0"/>
        <w:spacing w:line="360" w:lineRule="auto"/>
        <w:jc w:val="center"/>
        <w:textAlignment w:val="baseline"/>
        <w:rPr>
          <w:rFonts w:ascii="宋体"/>
          <w:b/>
          <w:color w:val="auto"/>
          <w:kern w:val="0"/>
          <w:sz w:val="32"/>
          <w:szCs w:val="20"/>
        </w:rPr>
      </w:pPr>
    </w:p>
    <w:p w14:paraId="1C02764A">
      <w:pPr>
        <w:adjustRightInd w:val="0"/>
        <w:spacing w:line="360" w:lineRule="auto"/>
        <w:jc w:val="center"/>
        <w:textAlignment w:val="baseline"/>
        <w:rPr>
          <w:rFonts w:ascii="宋体"/>
          <w:b/>
          <w:color w:val="auto"/>
          <w:kern w:val="0"/>
          <w:sz w:val="32"/>
          <w:szCs w:val="20"/>
        </w:rPr>
      </w:pPr>
    </w:p>
    <w:p w14:paraId="037F1DC0">
      <w:pPr>
        <w:adjustRightInd w:val="0"/>
        <w:spacing w:line="360" w:lineRule="auto"/>
        <w:jc w:val="center"/>
        <w:textAlignment w:val="baseline"/>
        <w:rPr>
          <w:rFonts w:ascii="宋体"/>
          <w:b/>
          <w:color w:val="auto"/>
          <w:kern w:val="0"/>
          <w:sz w:val="32"/>
          <w:szCs w:val="20"/>
        </w:rPr>
      </w:pPr>
    </w:p>
    <w:p w14:paraId="203AC9F1">
      <w:pPr>
        <w:adjustRightInd w:val="0"/>
        <w:spacing w:line="360" w:lineRule="auto"/>
        <w:jc w:val="center"/>
        <w:textAlignment w:val="baseline"/>
        <w:rPr>
          <w:rFonts w:ascii="宋体"/>
          <w:b/>
          <w:color w:val="auto"/>
          <w:kern w:val="0"/>
          <w:sz w:val="32"/>
          <w:szCs w:val="20"/>
        </w:rPr>
      </w:pPr>
    </w:p>
    <w:p w14:paraId="0C7706E1">
      <w:pPr>
        <w:adjustRightInd w:val="0"/>
        <w:spacing w:line="360" w:lineRule="auto"/>
        <w:jc w:val="center"/>
        <w:textAlignment w:val="baseline"/>
        <w:rPr>
          <w:rFonts w:ascii="宋体"/>
          <w:b/>
          <w:color w:val="auto"/>
          <w:kern w:val="0"/>
          <w:sz w:val="32"/>
          <w:szCs w:val="20"/>
        </w:rPr>
      </w:pPr>
    </w:p>
    <w:p w14:paraId="756C2D6D">
      <w:pPr>
        <w:keepNext w:val="0"/>
        <w:keepLines w:val="0"/>
        <w:widowControl/>
        <w:suppressLineNumbers w:val="0"/>
        <w:ind w:left="0" w:leftChars="0" w:firstLine="0" w:firstLineChars="0"/>
        <w:jc w:val="left"/>
        <w:rPr>
          <w:rFonts w:hint="eastAsia" w:ascii="方正小标宋简体" w:hAnsi="方正小标宋简体" w:eastAsia="方正小标宋简体" w:cs="方正小标宋简体"/>
          <w:color w:val="auto"/>
          <w:kern w:val="0"/>
          <w:sz w:val="43"/>
          <w:szCs w:val="43"/>
          <w:lang w:val="en-US" w:eastAsia="zh-CN" w:bidi="ar"/>
        </w:rPr>
      </w:pPr>
      <w:r>
        <w:rPr>
          <w:rFonts w:hint="eastAsia" w:ascii="方正黑体_GBK" w:hAnsi="方正黑体_GBK" w:eastAsia="方正黑体_GBK" w:cs="方正黑体_GBK"/>
          <w:color w:val="auto"/>
          <w:kern w:val="0"/>
          <w:sz w:val="31"/>
          <w:szCs w:val="31"/>
          <w:lang w:val="en-US" w:eastAsia="zh-CN" w:bidi="ar"/>
        </w:rPr>
        <w:t>格式一：</w:t>
      </w:r>
      <w:r>
        <w:rPr>
          <w:rFonts w:ascii="方正黑体_GBK" w:hAnsi="方正黑体_GBK" w:eastAsia="方正黑体_GBK" w:cs="方正黑体_GBK"/>
          <w:color w:val="auto"/>
          <w:kern w:val="0"/>
          <w:sz w:val="31"/>
          <w:szCs w:val="31"/>
          <w:lang w:val="en-US" w:eastAsia="zh-CN" w:bidi="ar"/>
        </w:rPr>
        <w:t xml:space="preserve"> </w:t>
      </w:r>
    </w:p>
    <w:p w14:paraId="0781139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color w:val="auto"/>
          <w:sz w:val="32"/>
          <w:szCs w:val="32"/>
        </w:rPr>
      </w:pPr>
      <w:r>
        <w:rPr>
          <w:rFonts w:hint="eastAsia" w:ascii="方正小标宋简体" w:hAnsi="方正小标宋简体" w:eastAsia="方正小标宋简体" w:cs="方正小标宋简体"/>
          <w:color w:val="auto"/>
          <w:kern w:val="0"/>
          <w:sz w:val="36"/>
          <w:szCs w:val="36"/>
          <w:lang w:val="en-US" w:eastAsia="zh-CN" w:bidi="ar"/>
        </w:rPr>
        <w:t>崇左</w:t>
      </w:r>
      <w:r>
        <w:rPr>
          <w:rFonts w:ascii="方正小标宋简体" w:hAnsi="方正小标宋简体" w:eastAsia="方正小标宋简体" w:cs="方正小标宋简体"/>
          <w:color w:val="auto"/>
          <w:kern w:val="0"/>
          <w:sz w:val="36"/>
          <w:szCs w:val="36"/>
          <w:lang w:val="en-US" w:eastAsia="zh-CN" w:bidi="ar"/>
        </w:rPr>
        <w:t>市政府采购供应商信用承诺函（格式）</w:t>
      </w:r>
    </w:p>
    <w:p w14:paraId="253608A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lang w:val="en-US" w:eastAsia="zh-CN" w:bidi="ar"/>
        </w:rPr>
      </w:pPr>
    </w:p>
    <w:p w14:paraId="1B390D1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color w:val="auto"/>
          <w:sz w:val="21"/>
          <w:szCs w:val="21"/>
          <w:u w:val="single"/>
          <w:lang w:val="en-US" w:eastAsia="zh-CN"/>
        </w:rPr>
      </w:pPr>
      <w:r>
        <w:rPr>
          <w:rFonts w:hint="eastAsia" w:ascii="仿宋_GB2312" w:hAnsi="仿宋_GB2312" w:eastAsia="仿宋_GB2312" w:cs="仿宋_GB2312"/>
          <w:color w:val="auto"/>
          <w:kern w:val="0"/>
          <w:sz w:val="21"/>
          <w:szCs w:val="21"/>
          <w:lang w:val="en-US" w:eastAsia="zh-CN" w:bidi="ar"/>
        </w:rPr>
        <w:t>致</w:t>
      </w:r>
      <w:r>
        <w:rPr>
          <w:rFonts w:hint="eastAsia" w:ascii="仿宋_GB2312" w:hAnsi="仿宋_GB2312" w:eastAsia="仿宋_GB2312" w:cs="仿宋_GB2312"/>
          <w:color w:val="auto"/>
          <w:kern w:val="0"/>
          <w:sz w:val="21"/>
          <w:szCs w:val="21"/>
          <w:u w:val="single"/>
          <w:lang w:val="en-US" w:eastAsia="zh-CN" w:bidi="ar"/>
        </w:rPr>
        <w:t>（采购代理机构名称）</w:t>
      </w:r>
      <w:r>
        <w:rPr>
          <w:rFonts w:hint="eastAsia" w:ascii="仿宋_GB2312" w:hAnsi="仿宋_GB2312" w:eastAsia="仿宋_GB2312" w:cs="仿宋_GB2312"/>
          <w:color w:val="auto"/>
          <w:kern w:val="0"/>
          <w:sz w:val="21"/>
          <w:szCs w:val="21"/>
          <w:u w:val="none"/>
          <w:lang w:val="en-US" w:eastAsia="zh-CN" w:bidi="ar"/>
        </w:rPr>
        <w:t>:</w:t>
      </w:r>
    </w:p>
    <w:p w14:paraId="1BA5EA4C">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lang w:val="en-US" w:eastAsia="zh-CN" w:bidi="ar"/>
        </w:rPr>
        <w:t>我方自愿参加</w:t>
      </w:r>
      <w:r>
        <w:rPr>
          <w:rFonts w:hint="eastAsia" w:ascii="仿宋_GB2312" w:hAnsi="仿宋_GB2312" w:eastAsia="仿宋_GB2312" w:cs="仿宋_GB2312"/>
          <w:color w:val="auto"/>
          <w:kern w:val="0"/>
          <w:sz w:val="21"/>
          <w:szCs w:val="21"/>
          <w:u w:val="single"/>
          <w:lang w:val="en-US" w:eastAsia="zh-CN" w:bidi="ar"/>
        </w:rPr>
        <w:t xml:space="preserve"> （项目名称） </w:t>
      </w:r>
      <w:r>
        <w:rPr>
          <w:rFonts w:hint="eastAsia" w:ascii="仿宋_GB2312" w:hAnsi="仿宋_GB2312" w:eastAsia="仿宋_GB2312" w:cs="仿宋_GB2312"/>
          <w:color w:val="auto"/>
          <w:kern w:val="0"/>
          <w:sz w:val="21"/>
          <w:szCs w:val="21"/>
          <w:lang w:val="en-US" w:eastAsia="zh-CN" w:bidi="ar"/>
        </w:rPr>
        <w:t>项目</w:t>
      </w:r>
      <w:r>
        <w:rPr>
          <w:rFonts w:hint="eastAsia" w:ascii="仿宋_GB2312" w:hAnsi="Times New Roman" w:eastAsia="仿宋_GB2312" w:cs="Times New Roman"/>
          <w:color w:val="auto"/>
          <w:spacing w:val="6"/>
          <w:sz w:val="21"/>
          <w:szCs w:val="21"/>
        </w:rPr>
        <w:t>（项目编号：</w:t>
      </w:r>
      <w:r>
        <w:rPr>
          <w:rFonts w:hint="eastAsia" w:ascii="仿宋_GB2312" w:hAnsi="Times New Roman" w:eastAsia="仿宋_GB2312" w:cs="Times New Roman"/>
          <w:color w:val="auto"/>
          <w:spacing w:val="6"/>
          <w:sz w:val="21"/>
          <w:szCs w:val="21"/>
          <w:u w:val="single"/>
        </w:rPr>
        <w:t xml:space="preserve">       </w:t>
      </w:r>
      <w:r>
        <w:rPr>
          <w:rFonts w:hint="eastAsia" w:ascii="仿宋_GB2312" w:eastAsia="仿宋_GB2312" w:cs="Times New Roman"/>
          <w:color w:val="auto"/>
          <w:spacing w:val="6"/>
          <w:sz w:val="21"/>
          <w:szCs w:val="21"/>
          <w:u w:val="single"/>
          <w:lang w:val="en-US" w:eastAsia="zh-CN"/>
        </w:rPr>
        <w:t xml:space="preserve">  </w:t>
      </w:r>
      <w:r>
        <w:rPr>
          <w:rFonts w:hint="eastAsia" w:ascii="仿宋_GB2312" w:hAnsi="Times New Roman" w:eastAsia="仿宋_GB2312" w:cs="Times New Roman"/>
          <w:color w:val="auto"/>
          <w:spacing w:val="6"/>
          <w:sz w:val="21"/>
          <w:szCs w:val="21"/>
        </w:rPr>
        <w:t>）</w:t>
      </w:r>
      <w:r>
        <w:rPr>
          <w:rFonts w:hint="eastAsia" w:ascii="仿宋_GB2312" w:hAnsi="仿宋_GB2312" w:eastAsia="仿宋_GB2312" w:cs="仿宋_GB2312"/>
          <w:color w:val="auto"/>
          <w:kern w:val="0"/>
          <w:sz w:val="21"/>
          <w:szCs w:val="21"/>
          <w:lang w:val="en-US" w:eastAsia="zh-CN"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color w:val="auto"/>
          <w:spacing w:val="-6"/>
          <w:kern w:val="0"/>
          <w:sz w:val="21"/>
          <w:szCs w:val="21"/>
          <w:lang w:val="en-US" w:eastAsia="zh-CN" w:bidi="ar"/>
        </w:rPr>
        <w:t xml:space="preserve">： </w:t>
      </w:r>
    </w:p>
    <w:p w14:paraId="2E79CDD7">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1.我方</w:t>
      </w:r>
      <w:r>
        <w:rPr>
          <w:rFonts w:hint="eastAsia" w:ascii="仿宋_GB2312" w:hAnsi="Times New Roman" w:eastAsia="仿宋_GB2312" w:cs="Times New Roman"/>
          <w:color w:val="auto"/>
          <w:spacing w:val="6"/>
          <w:sz w:val="21"/>
          <w:szCs w:val="21"/>
          <w:lang w:val="en-US" w:eastAsia="zh-CN"/>
        </w:rPr>
        <w:t>具有独立承担民事责任的能力或我方属于银行、保险、石油石化、电力、电信等有行业特殊情况的法人的分支机构在参加本次政府采购活动前已取得总公司的授权。</w:t>
      </w:r>
    </w:p>
    <w:p w14:paraId="675ABF2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2.我方具有符合采购文件资格要求的财务状况报告。 </w:t>
      </w:r>
    </w:p>
    <w:p w14:paraId="408357FB">
      <w:pPr>
        <w:keepNext w:val="0"/>
        <w:keepLines w:val="0"/>
        <w:pageBreakBefore w:val="0"/>
        <w:widowControl/>
        <w:suppressLineNumbers w:val="0"/>
        <w:kinsoku/>
        <w:wordWrap/>
        <w:overflowPunct/>
        <w:topLinePunct w:val="0"/>
        <w:autoSpaceDE/>
        <w:autoSpaceDN/>
        <w:bidi w:val="0"/>
        <w:adjustRightInd/>
        <w:snapToGrid/>
        <w:spacing w:line="440" w:lineRule="exact"/>
        <w:ind w:firstLine="396" w:firstLineChars="200"/>
        <w:jc w:val="both"/>
        <w:textAlignment w:val="auto"/>
        <w:rPr>
          <w:rFonts w:hint="eastAsia" w:ascii="仿宋_GB2312" w:hAnsi="仿宋_GB2312" w:eastAsia="仿宋_GB2312" w:cs="仿宋_GB2312"/>
          <w:color w:val="auto"/>
          <w:spacing w:val="-17"/>
          <w:sz w:val="21"/>
          <w:szCs w:val="21"/>
        </w:rPr>
      </w:pPr>
      <w:r>
        <w:rPr>
          <w:rFonts w:hint="eastAsia" w:ascii="仿宋_GB2312" w:hAnsi="仿宋_GB2312" w:eastAsia="仿宋_GB2312" w:cs="仿宋_GB2312"/>
          <w:color w:val="auto"/>
          <w:spacing w:val="-6"/>
          <w:kern w:val="0"/>
          <w:sz w:val="21"/>
          <w:szCs w:val="21"/>
          <w:lang w:val="en-US" w:eastAsia="zh-CN" w:bidi="ar"/>
        </w:rPr>
        <w:t>3.我方具有符合采购文件资格要求的依法缴纳税收和社会保障资金的良好记录。</w:t>
      </w:r>
      <w:r>
        <w:rPr>
          <w:rFonts w:hint="eastAsia" w:ascii="仿宋_GB2312" w:hAnsi="仿宋_GB2312" w:eastAsia="仿宋_GB2312" w:cs="仿宋_GB2312"/>
          <w:color w:val="auto"/>
          <w:spacing w:val="-17"/>
          <w:kern w:val="0"/>
          <w:sz w:val="21"/>
          <w:szCs w:val="21"/>
          <w:lang w:val="en-US" w:eastAsia="zh-CN" w:bidi="ar"/>
        </w:rPr>
        <w:t xml:space="preserve"> </w:t>
      </w:r>
    </w:p>
    <w:p w14:paraId="54CD7C15">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4.我方具有符合采购文件资格要求履行合同所必需的设备和专业技术能力。 </w:t>
      </w:r>
    </w:p>
    <w:p w14:paraId="69A42CE4">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5.我方参加政府采购活动前3年内在经营活动中没有重大违法记录。 </w:t>
      </w:r>
    </w:p>
    <w:p w14:paraId="7A246659">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我方对以上承诺内容的真实性负责。如有虚假，将依法承担相应责任。</w:t>
      </w:r>
    </w:p>
    <w:p w14:paraId="484F0256">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p>
    <w:p w14:paraId="2C79D11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p>
    <w:p w14:paraId="6CE3A7CD">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F005781">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1685E66">
      <w:pPr>
        <w:rPr>
          <w:rFonts w:ascii="宋体" w:hAnsi="宋体"/>
          <w:b/>
          <w:color w:val="auto"/>
          <w:sz w:val="24"/>
        </w:rPr>
      </w:pPr>
    </w:p>
    <w:p w14:paraId="6944FEEA">
      <w:pPr>
        <w:jc w:val="left"/>
        <w:rPr>
          <w:rFonts w:hint="eastAsia" w:ascii="宋体" w:hAnsi="宋体"/>
          <w:b/>
          <w:color w:val="auto"/>
          <w:sz w:val="24"/>
        </w:rPr>
      </w:pPr>
    </w:p>
    <w:p w14:paraId="716460D1">
      <w:pPr>
        <w:jc w:val="left"/>
        <w:rPr>
          <w:rFonts w:hint="eastAsia" w:ascii="宋体" w:hAnsi="宋体"/>
          <w:b/>
          <w:color w:val="auto"/>
          <w:sz w:val="24"/>
        </w:rPr>
      </w:pPr>
    </w:p>
    <w:p w14:paraId="688B67DC">
      <w:pPr>
        <w:jc w:val="left"/>
        <w:rPr>
          <w:rFonts w:hint="eastAsia" w:ascii="宋体" w:hAnsi="宋体"/>
          <w:b/>
          <w:color w:val="auto"/>
          <w:sz w:val="24"/>
        </w:rPr>
      </w:pPr>
    </w:p>
    <w:p w14:paraId="41C92BEC">
      <w:pPr>
        <w:jc w:val="left"/>
        <w:rPr>
          <w:rFonts w:hint="eastAsia" w:ascii="宋体" w:hAnsi="宋体"/>
          <w:b/>
          <w:color w:val="auto"/>
          <w:sz w:val="24"/>
        </w:rPr>
      </w:pPr>
    </w:p>
    <w:p w14:paraId="0B491206">
      <w:pPr>
        <w:jc w:val="left"/>
        <w:rPr>
          <w:rFonts w:hint="eastAsia" w:ascii="宋体" w:hAnsi="宋体"/>
          <w:b/>
          <w:color w:val="auto"/>
          <w:sz w:val="24"/>
        </w:rPr>
      </w:pPr>
    </w:p>
    <w:p w14:paraId="1570C3E6">
      <w:pPr>
        <w:jc w:val="left"/>
        <w:rPr>
          <w:rFonts w:hint="eastAsia" w:ascii="宋体" w:hAnsi="宋体"/>
          <w:b/>
          <w:color w:val="auto"/>
          <w:sz w:val="24"/>
        </w:rPr>
      </w:pPr>
    </w:p>
    <w:p w14:paraId="578DC72C">
      <w:pPr>
        <w:rPr>
          <w:rFonts w:hint="eastAsia" w:ascii="宋体" w:hAnsi="宋体"/>
          <w:b/>
          <w:color w:val="auto"/>
          <w:sz w:val="24"/>
        </w:rPr>
      </w:pPr>
      <w:r>
        <w:rPr>
          <w:rFonts w:hint="eastAsia" w:ascii="宋体" w:hAnsi="宋体"/>
          <w:b/>
          <w:color w:val="auto"/>
          <w:sz w:val="24"/>
        </w:rPr>
        <w:br w:type="page"/>
      </w:r>
    </w:p>
    <w:p w14:paraId="06381DE4">
      <w:pPr>
        <w:jc w:val="left"/>
        <w:rPr>
          <w:rFonts w:ascii="宋体" w:hAnsi="宋体"/>
          <w:b/>
          <w:color w:val="auto"/>
          <w:sz w:val="24"/>
        </w:rPr>
      </w:pPr>
      <w:r>
        <w:rPr>
          <w:rFonts w:hint="eastAsia" w:ascii="宋体" w:hAnsi="宋体"/>
          <w:b/>
          <w:color w:val="auto"/>
          <w:sz w:val="24"/>
        </w:rPr>
        <w:t>格式</w:t>
      </w:r>
      <w:r>
        <w:rPr>
          <w:rFonts w:hint="eastAsia" w:ascii="宋体" w:hAnsi="宋体"/>
          <w:b/>
          <w:color w:val="auto"/>
          <w:sz w:val="24"/>
          <w:lang w:eastAsia="zh-CN"/>
        </w:rPr>
        <w:t>二</w:t>
      </w:r>
      <w:r>
        <w:rPr>
          <w:rFonts w:hint="eastAsia" w:ascii="宋体" w:hAnsi="宋体"/>
          <w:b/>
          <w:color w:val="auto"/>
          <w:sz w:val="24"/>
        </w:rPr>
        <w:t>：</w:t>
      </w:r>
    </w:p>
    <w:p w14:paraId="2B0B36A6">
      <w:pPr>
        <w:spacing w:line="420" w:lineRule="exact"/>
        <w:ind w:firstLine="482" w:firstLineChars="200"/>
        <w:jc w:val="left"/>
        <w:rPr>
          <w:rFonts w:ascii="宋体" w:hAnsi="宋体"/>
          <w:b/>
          <w:color w:val="auto"/>
          <w:sz w:val="24"/>
        </w:rPr>
      </w:pPr>
    </w:p>
    <w:p w14:paraId="723CCD1C">
      <w:pPr>
        <w:spacing w:line="420" w:lineRule="exact"/>
        <w:ind w:firstLine="482" w:firstLineChars="200"/>
        <w:jc w:val="left"/>
        <w:rPr>
          <w:rFonts w:ascii="宋体" w:hAnsi="宋体"/>
          <w:color w:val="auto"/>
          <w:sz w:val="24"/>
        </w:rPr>
      </w:pPr>
      <w:r>
        <w:rPr>
          <w:rFonts w:hint="eastAsia" w:ascii="宋体" w:hAnsi="宋体"/>
          <w:b/>
          <w:color w:val="auto"/>
          <w:sz w:val="24"/>
        </w:rPr>
        <w:t>供应商参与政府采购活动前三年在经营活动中没有重大违法记录的书面声明函</w:t>
      </w:r>
    </w:p>
    <w:p w14:paraId="4CE0D888">
      <w:pPr>
        <w:spacing w:line="400" w:lineRule="exact"/>
        <w:ind w:left="28" w:firstLine="452"/>
        <w:jc w:val="center"/>
        <w:rPr>
          <w:rFonts w:ascii="宋体" w:hAnsi="宋体"/>
          <w:b/>
          <w:color w:val="auto"/>
          <w:sz w:val="24"/>
        </w:rPr>
      </w:pPr>
    </w:p>
    <w:p w14:paraId="7252F364">
      <w:pPr>
        <w:spacing w:line="400" w:lineRule="exact"/>
        <w:ind w:left="28" w:firstLine="452"/>
        <w:jc w:val="center"/>
        <w:rPr>
          <w:rFonts w:ascii="宋体" w:hAnsi="宋体"/>
          <w:b/>
          <w:color w:val="auto"/>
          <w:sz w:val="24"/>
        </w:rPr>
      </w:pPr>
    </w:p>
    <w:p w14:paraId="7524285B">
      <w:pPr>
        <w:spacing w:line="46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（采购人） </w:t>
      </w:r>
    </w:p>
    <w:p w14:paraId="2F4EB2BD">
      <w:pPr>
        <w:spacing w:line="460" w:lineRule="exact"/>
        <w:ind w:firstLine="315" w:firstLineChars="150"/>
        <w:rPr>
          <w:rFonts w:ascii="宋体" w:hAnsi="宋体"/>
          <w:color w:val="auto"/>
          <w:szCs w:val="21"/>
        </w:rPr>
      </w:pPr>
    </w:p>
    <w:p w14:paraId="2BC91C44">
      <w:pPr>
        <w:spacing w:line="460" w:lineRule="exact"/>
        <w:ind w:firstLine="315" w:firstLineChars="150"/>
        <w:rPr>
          <w:rFonts w:ascii="宋体" w:hAnsi="宋体"/>
          <w:color w:val="auto"/>
          <w:szCs w:val="21"/>
        </w:rPr>
      </w:pPr>
      <w:r>
        <w:rPr>
          <w:rFonts w:hint="eastAsia" w:ascii="宋体" w:hAnsi="宋体"/>
          <w:color w:val="auto"/>
          <w:szCs w:val="21"/>
        </w:rPr>
        <w:t>我单位近三年在经营活动中没有重大违法记录（包括：因违法经营受到刑事处罚或者责令停产停业，吊销许可证或者执照、较大数额罚款等行政处罚），特此声明。</w:t>
      </w:r>
    </w:p>
    <w:p w14:paraId="6AEB6823">
      <w:pPr>
        <w:spacing w:line="460" w:lineRule="exact"/>
        <w:ind w:firstLine="315" w:firstLineChars="150"/>
        <w:rPr>
          <w:rFonts w:ascii="宋体" w:hAnsi="宋体"/>
          <w:color w:val="auto"/>
          <w:szCs w:val="21"/>
        </w:rPr>
      </w:pPr>
      <w:r>
        <w:rPr>
          <w:rFonts w:hint="eastAsia" w:ascii="宋体" w:hAnsi="宋体"/>
          <w:color w:val="auto"/>
          <w:szCs w:val="21"/>
        </w:rPr>
        <w:t>若采购单位在本项目采购过程中发现我单位近三年内在经营活动中有重大违法记录，我单位将无条件地退出本项目的磋商，并承担因此引起的一切后果。</w:t>
      </w:r>
    </w:p>
    <w:p w14:paraId="1A734AB4">
      <w:pPr>
        <w:spacing w:line="460" w:lineRule="exact"/>
        <w:ind w:firstLine="315" w:firstLineChars="150"/>
        <w:rPr>
          <w:rFonts w:ascii="宋体" w:hAnsi="宋体"/>
          <w:color w:val="auto"/>
          <w:szCs w:val="21"/>
        </w:rPr>
      </w:pPr>
    </w:p>
    <w:p w14:paraId="41FB58B6">
      <w:pPr>
        <w:spacing w:line="360" w:lineRule="exact"/>
        <w:rPr>
          <w:rFonts w:ascii="宋体" w:hAnsi="宋体"/>
          <w:color w:val="auto"/>
          <w:szCs w:val="21"/>
        </w:rPr>
      </w:pPr>
    </w:p>
    <w:p w14:paraId="2E61F12B">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09A70047">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BC30BB6">
      <w:pPr>
        <w:jc w:val="center"/>
        <w:rPr>
          <w:rFonts w:ascii="宋体" w:hAnsi="宋体"/>
          <w:b/>
          <w:color w:val="auto"/>
          <w:sz w:val="24"/>
        </w:rPr>
      </w:pPr>
    </w:p>
    <w:p w14:paraId="22ECEB4B">
      <w:pPr>
        <w:jc w:val="center"/>
        <w:rPr>
          <w:rFonts w:ascii="宋体" w:hAnsi="宋体"/>
          <w:b/>
          <w:color w:val="auto"/>
          <w:sz w:val="24"/>
        </w:rPr>
      </w:pPr>
    </w:p>
    <w:p w14:paraId="1BECF559">
      <w:pPr>
        <w:jc w:val="center"/>
        <w:rPr>
          <w:rFonts w:ascii="宋体" w:hAnsi="宋体"/>
          <w:b/>
          <w:color w:val="auto"/>
          <w:sz w:val="24"/>
        </w:rPr>
      </w:pPr>
    </w:p>
    <w:p w14:paraId="1BE50C23">
      <w:pPr>
        <w:jc w:val="center"/>
        <w:rPr>
          <w:rFonts w:ascii="宋体" w:hAnsi="宋体"/>
          <w:b/>
          <w:color w:val="auto"/>
          <w:sz w:val="24"/>
        </w:rPr>
      </w:pPr>
    </w:p>
    <w:p w14:paraId="491D4A32">
      <w:pPr>
        <w:jc w:val="center"/>
        <w:rPr>
          <w:rFonts w:ascii="宋体" w:hAnsi="宋体"/>
          <w:b/>
          <w:color w:val="auto"/>
          <w:sz w:val="24"/>
        </w:rPr>
      </w:pPr>
    </w:p>
    <w:p w14:paraId="05E0A397">
      <w:pPr>
        <w:jc w:val="center"/>
        <w:rPr>
          <w:rFonts w:ascii="宋体" w:hAnsi="宋体"/>
          <w:b/>
          <w:color w:val="auto"/>
          <w:sz w:val="24"/>
        </w:rPr>
      </w:pPr>
    </w:p>
    <w:p w14:paraId="331198C2">
      <w:pPr>
        <w:jc w:val="center"/>
        <w:rPr>
          <w:rFonts w:ascii="宋体" w:hAnsi="宋体"/>
          <w:b/>
          <w:color w:val="auto"/>
          <w:sz w:val="24"/>
        </w:rPr>
      </w:pPr>
    </w:p>
    <w:p w14:paraId="7EC850D9">
      <w:pPr>
        <w:jc w:val="center"/>
        <w:rPr>
          <w:rFonts w:ascii="宋体" w:hAnsi="宋体"/>
          <w:b/>
          <w:color w:val="auto"/>
          <w:sz w:val="24"/>
        </w:rPr>
      </w:pPr>
    </w:p>
    <w:p w14:paraId="706AD754">
      <w:pPr>
        <w:jc w:val="center"/>
        <w:rPr>
          <w:rFonts w:ascii="宋体" w:hAnsi="宋体"/>
          <w:b/>
          <w:color w:val="auto"/>
          <w:sz w:val="24"/>
        </w:rPr>
      </w:pPr>
    </w:p>
    <w:p w14:paraId="16F75587">
      <w:pPr>
        <w:jc w:val="center"/>
        <w:rPr>
          <w:rFonts w:ascii="宋体" w:hAnsi="宋体"/>
          <w:b/>
          <w:color w:val="auto"/>
          <w:sz w:val="24"/>
        </w:rPr>
      </w:pPr>
    </w:p>
    <w:p w14:paraId="547461CD">
      <w:pPr>
        <w:jc w:val="center"/>
        <w:rPr>
          <w:rFonts w:ascii="宋体" w:hAnsi="宋体"/>
          <w:b/>
          <w:color w:val="auto"/>
          <w:sz w:val="24"/>
        </w:rPr>
      </w:pPr>
    </w:p>
    <w:p w14:paraId="72A6F00D">
      <w:pPr>
        <w:jc w:val="center"/>
        <w:rPr>
          <w:rFonts w:ascii="宋体" w:hAnsi="宋体"/>
          <w:b/>
          <w:color w:val="auto"/>
          <w:sz w:val="24"/>
        </w:rPr>
      </w:pPr>
    </w:p>
    <w:p w14:paraId="44BB8FAE">
      <w:pPr>
        <w:jc w:val="center"/>
        <w:rPr>
          <w:rFonts w:ascii="宋体" w:hAnsi="宋体"/>
          <w:b/>
          <w:color w:val="auto"/>
          <w:sz w:val="24"/>
        </w:rPr>
      </w:pPr>
    </w:p>
    <w:p w14:paraId="5ED6E3C5">
      <w:pPr>
        <w:jc w:val="center"/>
        <w:rPr>
          <w:rFonts w:ascii="宋体" w:hAnsi="宋体"/>
          <w:b/>
          <w:color w:val="auto"/>
          <w:sz w:val="24"/>
        </w:rPr>
      </w:pPr>
    </w:p>
    <w:p w14:paraId="39062BC3">
      <w:pPr>
        <w:jc w:val="center"/>
        <w:rPr>
          <w:rFonts w:ascii="宋体" w:hAnsi="宋体"/>
          <w:b/>
          <w:color w:val="auto"/>
          <w:sz w:val="24"/>
        </w:rPr>
      </w:pPr>
    </w:p>
    <w:p w14:paraId="6D889157">
      <w:pPr>
        <w:jc w:val="center"/>
        <w:rPr>
          <w:rFonts w:ascii="宋体" w:hAnsi="宋体"/>
          <w:b/>
          <w:color w:val="auto"/>
          <w:sz w:val="24"/>
        </w:rPr>
      </w:pPr>
    </w:p>
    <w:p w14:paraId="16BAD677">
      <w:pPr>
        <w:pStyle w:val="18"/>
        <w:rPr>
          <w:rFonts w:ascii="宋体" w:hAnsi="宋体"/>
          <w:b/>
          <w:color w:val="auto"/>
          <w:sz w:val="24"/>
        </w:rPr>
      </w:pPr>
    </w:p>
    <w:p w14:paraId="5E8BCF6A">
      <w:pPr>
        <w:pStyle w:val="43"/>
        <w:rPr>
          <w:rFonts w:ascii="宋体" w:hAnsi="宋体"/>
          <w:b/>
          <w:color w:val="auto"/>
          <w:sz w:val="24"/>
        </w:rPr>
      </w:pPr>
    </w:p>
    <w:p w14:paraId="10AD9C07">
      <w:pPr>
        <w:rPr>
          <w:rFonts w:ascii="宋体" w:hAnsi="宋体"/>
          <w:b/>
          <w:color w:val="auto"/>
          <w:sz w:val="24"/>
        </w:rPr>
      </w:pPr>
    </w:p>
    <w:p w14:paraId="565D78C9">
      <w:pPr>
        <w:pStyle w:val="4"/>
        <w:rPr>
          <w:color w:val="auto"/>
        </w:rPr>
      </w:pPr>
    </w:p>
    <w:p w14:paraId="3DC61B5F">
      <w:pPr>
        <w:rPr>
          <w:rFonts w:ascii="宋体" w:hAnsi="宋体"/>
          <w:b/>
          <w:color w:val="auto"/>
          <w:sz w:val="24"/>
        </w:rPr>
      </w:pPr>
    </w:p>
    <w:p w14:paraId="43E5A8EA">
      <w:pPr>
        <w:pStyle w:val="18"/>
        <w:rPr>
          <w:rFonts w:ascii="宋体" w:hAnsi="宋体"/>
          <w:b/>
          <w:color w:val="auto"/>
          <w:sz w:val="24"/>
        </w:rPr>
      </w:pPr>
    </w:p>
    <w:p w14:paraId="70183CB6">
      <w:pPr>
        <w:spacing w:line="360" w:lineRule="auto"/>
        <w:contextualSpacing/>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lang w:eastAsia="zh-CN"/>
        </w:rPr>
        <w:t>格式三：</w:t>
      </w:r>
      <w:r>
        <w:rPr>
          <w:rFonts w:hint="eastAsia" w:ascii="仿宋" w:hAnsi="仿宋" w:eastAsia="仿宋" w:cs="仿宋_GB2312"/>
          <w:b/>
          <w:color w:val="auto"/>
          <w:kern w:val="0"/>
          <w:sz w:val="30"/>
          <w:szCs w:val="30"/>
          <w:highlight w:val="none"/>
        </w:rPr>
        <w:t>供应商直接控股股东信息</w:t>
      </w:r>
      <w:r>
        <w:rPr>
          <w:rFonts w:hint="eastAsia" w:ascii="仿宋" w:hAnsi="仿宋" w:eastAsia="仿宋" w:cs="仿宋_GB2312"/>
          <w:b/>
          <w:color w:val="auto"/>
          <w:kern w:val="0"/>
          <w:sz w:val="30"/>
          <w:szCs w:val="30"/>
          <w:highlight w:val="none"/>
          <w:lang w:eastAsia="zh-CN"/>
        </w:rPr>
        <w:t>、</w:t>
      </w:r>
      <w:r>
        <w:rPr>
          <w:rFonts w:hint="eastAsia" w:ascii="仿宋" w:hAnsi="仿宋" w:eastAsia="仿宋" w:cs="仿宋_GB2312"/>
          <w:b/>
          <w:color w:val="auto"/>
          <w:kern w:val="0"/>
          <w:sz w:val="30"/>
          <w:szCs w:val="30"/>
          <w:highlight w:val="none"/>
        </w:rPr>
        <w:t>供应商直接管理关系信息表</w:t>
      </w:r>
    </w:p>
    <w:p w14:paraId="30674324">
      <w:pPr>
        <w:pStyle w:val="18"/>
        <w:rPr>
          <w:rFonts w:hint="eastAsia"/>
          <w:color w:val="auto"/>
          <w:highlight w:val="none"/>
          <w:lang w:eastAsia="zh-CN"/>
        </w:rPr>
      </w:pPr>
    </w:p>
    <w:p w14:paraId="0C1045A8">
      <w:pPr>
        <w:spacing w:line="360" w:lineRule="auto"/>
        <w:ind w:firstLine="596" w:firstLineChars="198"/>
        <w:contextualSpacing/>
        <w:jc w:val="center"/>
        <w:rPr>
          <w:rFonts w:hint="eastAsia" w:ascii="宋体" w:hAnsi="宋体"/>
          <w:b/>
          <w:color w:val="auto"/>
          <w:sz w:val="24"/>
          <w:highlight w:val="none"/>
        </w:rPr>
      </w:pPr>
      <w:r>
        <w:rPr>
          <w:rFonts w:hint="eastAsia" w:ascii="仿宋" w:hAnsi="仿宋" w:eastAsia="仿宋" w:cs="仿宋_GB2312"/>
          <w:b/>
          <w:color w:val="auto"/>
          <w:kern w:val="0"/>
          <w:sz w:val="30"/>
          <w:szCs w:val="30"/>
          <w:highlight w:val="none"/>
        </w:rPr>
        <w:t>供应商直接控股股东信息</w:t>
      </w:r>
    </w:p>
    <w:tbl>
      <w:tblPr>
        <w:tblStyle w:val="45"/>
        <w:tblW w:w="9485" w:type="dxa"/>
        <w:jc w:val="center"/>
        <w:shd w:val="clear" w:color="auto" w:fill="FBFBFB"/>
        <w:tblLayout w:type="fixed"/>
        <w:tblCellMar>
          <w:top w:w="0" w:type="dxa"/>
          <w:left w:w="0" w:type="dxa"/>
          <w:bottom w:w="0" w:type="dxa"/>
          <w:right w:w="0" w:type="dxa"/>
        </w:tblCellMar>
      </w:tblPr>
      <w:tblGrid>
        <w:gridCol w:w="870"/>
        <w:gridCol w:w="2445"/>
        <w:gridCol w:w="1263"/>
        <w:gridCol w:w="4052"/>
        <w:gridCol w:w="855"/>
      </w:tblGrid>
      <w:tr w14:paraId="200DA42D">
        <w:tblPrEx>
          <w:shd w:val="clear" w:color="auto" w:fill="FBFBFB"/>
          <w:tblCellMar>
            <w:top w:w="0" w:type="dxa"/>
            <w:left w:w="0" w:type="dxa"/>
            <w:bottom w:w="0" w:type="dxa"/>
            <w:right w:w="0" w:type="dxa"/>
          </w:tblCellMar>
        </w:tblPrEx>
        <w:trPr>
          <w:tblHeade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9D635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FA533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4D767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24D11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7E255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1235B6E">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3D593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261A75">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0CD4C9">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1F2299">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235716">
            <w:pPr>
              <w:widowControl/>
              <w:spacing w:line="360" w:lineRule="auto"/>
              <w:contextualSpacing/>
              <w:jc w:val="center"/>
              <w:rPr>
                <w:rFonts w:hint="eastAsia" w:ascii="宋体" w:hAnsi="宋体" w:cs="宋体"/>
                <w:color w:val="auto"/>
                <w:kern w:val="0"/>
                <w:sz w:val="24"/>
                <w:highlight w:val="none"/>
              </w:rPr>
            </w:pPr>
          </w:p>
        </w:tc>
      </w:tr>
      <w:tr w14:paraId="06617B4C">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3943E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621DB5">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1CA6E8">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9D6AD6">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F986EC">
            <w:pPr>
              <w:widowControl/>
              <w:spacing w:line="360" w:lineRule="auto"/>
              <w:contextualSpacing/>
              <w:jc w:val="center"/>
              <w:rPr>
                <w:rFonts w:hint="eastAsia" w:ascii="宋体" w:hAnsi="宋体" w:cs="宋体"/>
                <w:color w:val="auto"/>
                <w:kern w:val="0"/>
                <w:sz w:val="24"/>
                <w:highlight w:val="none"/>
              </w:rPr>
            </w:pPr>
          </w:p>
        </w:tc>
      </w:tr>
      <w:tr w14:paraId="1F3E2719">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43B4D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BBEAD8">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102FF6">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A29829">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9C0FEB">
            <w:pPr>
              <w:widowControl/>
              <w:spacing w:line="360" w:lineRule="auto"/>
              <w:contextualSpacing/>
              <w:jc w:val="center"/>
              <w:rPr>
                <w:rFonts w:hint="eastAsia" w:ascii="宋体" w:hAnsi="宋体" w:cs="宋体"/>
                <w:color w:val="auto"/>
                <w:kern w:val="0"/>
                <w:sz w:val="24"/>
                <w:highlight w:val="none"/>
              </w:rPr>
            </w:pPr>
          </w:p>
        </w:tc>
      </w:tr>
      <w:tr w14:paraId="3ECB79E9">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17E91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1DC7C5">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FB489B">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69C1A2">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AF6662">
            <w:pPr>
              <w:widowControl/>
              <w:spacing w:line="360" w:lineRule="auto"/>
              <w:contextualSpacing/>
              <w:jc w:val="center"/>
              <w:rPr>
                <w:rFonts w:hint="eastAsia" w:ascii="宋体" w:hAnsi="宋体" w:cs="宋体"/>
                <w:color w:val="auto"/>
                <w:kern w:val="0"/>
                <w:sz w:val="24"/>
                <w:highlight w:val="none"/>
              </w:rPr>
            </w:pPr>
          </w:p>
        </w:tc>
      </w:tr>
    </w:tbl>
    <w:p w14:paraId="6813DB2C">
      <w:pPr>
        <w:spacing w:line="360" w:lineRule="auto"/>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3B36FE2C">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B650550">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2.本表所指的控股关系仅限于直接控股关系，不包括间接的控股关系。公司实际控制人与公司之间的关系不属于本表所指的直接控股关系。</w:t>
      </w:r>
    </w:p>
    <w:p w14:paraId="541F075C">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3.供应商不存在直接控股股东的，则填“无”。</w:t>
      </w:r>
    </w:p>
    <w:p w14:paraId="434DF611">
      <w:pPr>
        <w:snapToGrid w:val="0"/>
        <w:spacing w:line="360" w:lineRule="auto"/>
        <w:jc w:val="left"/>
        <w:rPr>
          <w:rFonts w:hint="eastAsia" w:ascii="宋体" w:hAnsi="宋体" w:cs="宋体"/>
          <w:color w:val="auto"/>
          <w:sz w:val="24"/>
          <w:highlight w:val="none"/>
        </w:rPr>
      </w:pPr>
    </w:p>
    <w:p w14:paraId="032A3EAC">
      <w:pPr>
        <w:snapToGrid w:val="0"/>
        <w:spacing w:line="360" w:lineRule="auto"/>
        <w:jc w:val="left"/>
        <w:rPr>
          <w:rFonts w:hint="eastAsia" w:ascii="宋体" w:hAnsi="宋体" w:cs="宋体"/>
          <w:color w:val="auto"/>
          <w:sz w:val="24"/>
          <w:highlight w:val="none"/>
        </w:rPr>
      </w:pPr>
    </w:p>
    <w:p w14:paraId="28C00E15">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3EF0B4C">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6BC9682B">
      <w:pPr>
        <w:snapToGrid w:val="0"/>
        <w:rPr>
          <w:rFonts w:hint="eastAsia" w:ascii="仿宋" w:hAnsi="仿宋" w:eastAsia="仿宋" w:cs="仿宋_GB2312"/>
          <w:b/>
          <w:color w:val="auto"/>
          <w:kern w:val="0"/>
          <w:sz w:val="30"/>
          <w:szCs w:val="30"/>
          <w:highlight w:val="none"/>
        </w:rPr>
      </w:pPr>
    </w:p>
    <w:p w14:paraId="27590C1F">
      <w:pPr>
        <w:snapToGrid w:val="0"/>
        <w:ind w:firstLine="596" w:firstLineChars="198"/>
        <w:jc w:val="center"/>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br w:type="page"/>
      </w:r>
      <w:r>
        <w:rPr>
          <w:rFonts w:hint="eastAsia" w:ascii="仿宋" w:hAnsi="仿宋" w:eastAsia="仿宋" w:cs="仿宋_GB2312"/>
          <w:b/>
          <w:color w:val="auto"/>
          <w:kern w:val="0"/>
          <w:sz w:val="30"/>
          <w:szCs w:val="30"/>
          <w:highlight w:val="none"/>
        </w:rPr>
        <w:t>供应商直接管理关系信息表</w:t>
      </w:r>
    </w:p>
    <w:p w14:paraId="0D2BB2F3">
      <w:pPr>
        <w:snapToGrid w:val="0"/>
        <w:spacing w:line="360" w:lineRule="auto"/>
        <w:jc w:val="center"/>
        <w:rPr>
          <w:rFonts w:hint="eastAsia" w:ascii="宋体" w:hAnsi="宋体"/>
          <w:b/>
          <w:color w:val="auto"/>
          <w:sz w:val="24"/>
          <w:highlight w:val="none"/>
        </w:rPr>
      </w:pPr>
    </w:p>
    <w:tbl>
      <w:tblPr>
        <w:tblStyle w:val="45"/>
        <w:tblW w:w="9118" w:type="dxa"/>
        <w:jc w:val="center"/>
        <w:shd w:val="clear" w:color="auto" w:fill="FBFBFB"/>
        <w:tblLayout w:type="fixed"/>
        <w:tblCellMar>
          <w:top w:w="0" w:type="dxa"/>
          <w:left w:w="0" w:type="dxa"/>
          <w:bottom w:w="0" w:type="dxa"/>
          <w:right w:w="0" w:type="dxa"/>
        </w:tblCellMar>
      </w:tblPr>
      <w:tblGrid>
        <w:gridCol w:w="763"/>
        <w:gridCol w:w="3401"/>
        <w:gridCol w:w="3359"/>
        <w:gridCol w:w="1595"/>
      </w:tblGrid>
      <w:tr w14:paraId="28B4D6DE">
        <w:tblPrEx>
          <w:shd w:val="clear" w:color="auto" w:fill="FBFBFB"/>
          <w:tblCellMar>
            <w:top w:w="0" w:type="dxa"/>
            <w:left w:w="0" w:type="dxa"/>
            <w:bottom w:w="0" w:type="dxa"/>
            <w:right w:w="0" w:type="dxa"/>
          </w:tblCellMar>
        </w:tblPrEx>
        <w:trPr>
          <w:trHeight w:val="0" w:hRule="atLeast"/>
          <w:tblHeader/>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38E7480E">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3A1C4A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8851B0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11E5B5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1256AD0">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02342D66">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3F79A649">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717D1ED0">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40B4AE93">
            <w:pPr>
              <w:widowControl/>
              <w:spacing w:line="360" w:lineRule="auto"/>
              <w:contextualSpacing/>
              <w:jc w:val="center"/>
              <w:rPr>
                <w:rFonts w:ascii="宋体" w:hAnsi="宋体" w:cs="宋体"/>
                <w:color w:val="auto"/>
                <w:kern w:val="0"/>
                <w:sz w:val="24"/>
                <w:highlight w:val="none"/>
              </w:rPr>
            </w:pPr>
          </w:p>
        </w:tc>
      </w:tr>
      <w:tr w14:paraId="1A1CD61D">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6A6FB6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EE39F44">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0CCFA93E">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11796FB4">
            <w:pPr>
              <w:widowControl/>
              <w:spacing w:line="360" w:lineRule="auto"/>
              <w:contextualSpacing/>
              <w:jc w:val="center"/>
              <w:rPr>
                <w:rFonts w:ascii="宋体" w:hAnsi="宋体" w:cs="宋体"/>
                <w:color w:val="auto"/>
                <w:kern w:val="0"/>
                <w:sz w:val="24"/>
                <w:highlight w:val="none"/>
              </w:rPr>
            </w:pPr>
          </w:p>
        </w:tc>
      </w:tr>
      <w:tr w14:paraId="7F825ECE">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4C9496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85FC303">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8060BE9">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16EA2ECB">
            <w:pPr>
              <w:widowControl/>
              <w:spacing w:line="360" w:lineRule="auto"/>
              <w:contextualSpacing/>
              <w:jc w:val="center"/>
              <w:rPr>
                <w:rFonts w:ascii="宋体" w:hAnsi="宋体" w:cs="宋体"/>
                <w:color w:val="auto"/>
                <w:kern w:val="0"/>
                <w:sz w:val="24"/>
                <w:highlight w:val="none"/>
              </w:rPr>
            </w:pPr>
          </w:p>
        </w:tc>
      </w:tr>
      <w:tr w14:paraId="3CDD6628">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F6C38D8">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6B9536B3">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76CD1EDC">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43298117">
            <w:pPr>
              <w:widowControl/>
              <w:spacing w:line="360" w:lineRule="auto"/>
              <w:contextualSpacing/>
              <w:jc w:val="center"/>
              <w:rPr>
                <w:rFonts w:ascii="宋体" w:hAnsi="宋体" w:cs="宋体"/>
                <w:color w:val="auto"/>
                <w:kern w:val="0"/>
                <w:sz w:val="24"/>
                <w:highlight w:val="none"/>
              </w:rPr>
            </w:pPr>
          </w:p>
        </w:tc>
      </w:tr>
    </w:tbl>
    <w:p w14:paraId="1C16064B">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475730BD">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1.管理关系：是指不具有出资持股关系的其他单位之间存在的管理与被管理关系，如一些上下级关系的事业单位和团体组织。</w:t>
      </w:r>
    </w:p>
    <w:p w14:paraId="79897AA1">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2.本表所指的管理关系仅限于直接管理关系，不包括间接的管理关系。</w:t>
      </w:r>
    </w:p>
    <w:p w14:paraId="1DEEE544">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3.供应商不存在直接管理关系的，则填“无”。</w:t>
      </w:r>
    </w:p>
    <w:p w14:paraId="6E0B2EF7">
      <w:pPr>
        <w:spacing w:line="360" w:lineRule="auto"/>
        <w:contextualSpacing/>
        <w:jc w:val="left"/>
        <w:rPr>
          <w:rFonts w:hint="eastAsia"/>
          <w:color w:val="auto"/>
          <w:sz w:val="24"/>
          <w:highlight w:val="none"/>
        </w:rPr>
      </w:pPr>
    </w:p>
    <w:p w14:paraId="2C3AB526">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p>
    <w:p w14:paraId="02B15DA4">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p>
    <w:p w14:paraId="238395B3">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583E22E8">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2D919E04">
      <w:pPr>
        <w:jc w:val="center"/>
        <w:rPr>
          <w:rFonts w:ascii="宋体" w:hAnsi="宋体"/>
          <w:b/>
          <w:color w:val="auto"/>
          <w:sz w:val="24"/>
        </w:rPr>
      </w:pPr>
    </w:p>
    <w:p w14:paraId="520B0ABC">
      <w:pPr>
        <w:jc w:val="center"/>
        <w:rPr>
          <w:rFonts w:ascii="宋体" w:hAnsi="宋体"/>
          <w:b/>
          <w:color w:val="auto"/>
          <w:sz w:val="24"/>
        </w:rPr>
      </w:pPr>
    </w:p>
    <w:p w14:paraId="2E6E4226">
      <w:pPr>
        <w:jc w:val="center"/>
        <w:rPr>
          <w:rFonts w:ascii="宋体" w:hAnsi="宋体"/>
          <w:b/>
          <w:color w:val="auto"/>
          <w:sz w:val="24"/>
        </w:rPr>
      </w:pPr>
    </w:p>
    <w:p w14:paraId="29D2B71F">
      <w:pPr>
        <w:pStyle w:val="4"/>
        <w:rPr>
          <w:rFonts w:ascii="宋体" w:hAnsi="宋体"/>
          <w:b/>
          <w:color w:val="auto"/>
          <w:sz w:val="24"/>
        </w:rPr>
      </w:pPr>
    </w:p>
    <w:p w14:paraId="427DD761">
      <w:pPr>
        <w:rPr>
          <w:rFonts w:ascii="宋体" w:hAnsi="宋体"/>
          <w:b/>
          <w:color w:val="auto"/>
          <w:sz w:val="24"/>
        </w:rPr>
      </w:pPr>
    </w:p>
    <w:p w14:paraId="57757025">
      <w:pPr>
        <w:pStyle w:val="4"/>
        <w:rPr>
          <w:rFonts w:ascii="宋体" w:hAnsi="宋体"/>
          <w:b/>
          <w:color w:val="auto"/>
          <w:sz w:val="24"/>
        </w:rPr>
      </w:pPr>
    </w:p>
    <w:p w14:paraId="328A057F">
      <w:pPr>
        <w:rPr>
          <w:rFonts w:ascii="宋体" w:hAnsi="宋体"/>
          <w:b/>
          <w:color w:val="auto"/>
          <w:sz w:val="24"/>
        </w:rPr>
      </w:pPr>
    </w:p>
    <w:p w14:paraId="6E5191A2">
      <w:pPr>
        <w:jc w:val="center"/>
        <w:rPr>
          <w:rFonts w:ascii="宋体" w:hAnsi="宋体"/>
          <w:b/>
          <w:color w:val="auto"/>
          <w:sz w:val="24"/>
        </w:rPr>
      </w:pPr>
    </w:p>
    <w:p w14:paraId="022897B2">
      <w:pPr>
        <w:jc w:val="center"/>
        <w:rPr>
          <w:rFonts w:ascii="宋体" w:hAnsi="宋体"/>
          <w:b/>
          <w:color w:val="auto"/>
          <w:sz w:val="24"/>
        </w:rPr>
      </w:pPr>
    </w:p>
    <w:p w14:paraId="557C2129">
      <w:pPr>
        <w:jc w:val="center"/>
        <w:rPr>
          <w:rFonts w:ascii="宋体" w:hAnsi="宋体"/>
          <w:b/>
          <w:color w:val="auto"/>
          <w:sz w:val="24"/>
        </w:rPr>
      </w:pPr>
    </w:p>
    <w:p w14:paraId="136AC319">
      <w:pPr>
        <w:rPr>
          <w:rFonts w:hint="eastAsia" w:ascii="宋体" w:hAnsi="宋体"/>
          <w:b/>
          <w:color w:val="auto"/>
          <w:sz w:val="24"/>
        </w:rPr>
      </w:pPr>
      <w:r>
        <w:rPr>
          <w:rFonts w:hint="eastAsia" w:ascii="宋体" w:hAnsi="宋体"/>
          <w:b/>
          <w:color w:val="auto"/>
          <w:sz w:val="24"/>
        </w:rPr>
        <w:br w:type="page"/>
      </w:r>
    </w:p>
    <w:p w14:paraId="4404AB62">
      <w:pPr>
        <w:jc w:val="left"/>
        <w:rPr>
          <w:rFonts w:ascii="宋体" w:hAnsi="宋体"/>
          <w:b/>
          <w:color w:val="auto"/>
          <w:sz w:val="24"/>
        </w:rPr>
      </w:pPr>
      <w:r>
        <w:rPr>
          <w:rFonts w:hint="eastAsia" w:ascii="宋体" w:hAnsi="宋体"/>
          <w:b/>
          <w:color w:val="auto"/>
          <w:sz w:val="24"/>
        </w:rPr>
        <w:t>格式</w:t>
      </w:r>
      <w:r>
        <w:rPr>
          <w:rFonts w:hint="eastAsia" w:ascii="宋体" w:hAnsi="宋体"/>
          <w:b/>
          <w:color w:val="auto"/>
          <w:sz w:val="24"/>
          <w:lang w:eastAsia="zh-CN"/>
        </w:rPr>
        <w:t>四</w:t>
      </w:r>
      <w:r>
        <w:rPr>
          <w:rFonts w:hint="eastAsia" w:ascii="宋体" w:hAnsi="宋体"/>
          <w:b/>
          <w:color w:val="auto"/>
          <w:sz w:val="24"/>
        </w:rPr>
        <w:t>：</w:t>
      </w:r>
    </w:p>
    <w:p w14:paraId="52368BBA">
      <w:pPr>
        <w:jc w:val="both"/>
        <w:rPr>
          <w:rFonts w:ascii="宋体" w:hAnsi="宋体"/>
          <w:b/>
          <w:color w:val="auto"/>
          <w:sz w:val="24"/>
        </w:rPr>
      </w:pPr>
    </w:p>
    <w:p w14:paraId="388F033A">
      <w:pPr>
        <w:jc w:val="center"/>
        <w:rPr>
          <w:rFonts w:ascii="宋体" w:hAnsi="宋体"/>
          <w:b/>
          <w:color w:val="auto"/>
          <w:sz w:val="24"/>
        </w:rPr>
      </w:pPr>
    </w:p>
    <w:p w14:paraId="30DB43E5">
      <w:pPr>
        <w:jc w:val="center"/>
        <w:rPr>
          <w:rFonts w:ascii="宋体" w:hAnsi="宋体"/>
          <w:b/>
          <w:color w:val="auto"/>
          <w:sz w:val="24"/>
        </w:rPr>
      </w:pPr>
      <w:r>
        <w:rPr>
          <w:rFonts w:ascii="宋体" w:hAnsi="宋体"/>
          <w:b/>
          <w:color w:val="auto"/>
          <w:sz w:val="24"/>
        </w:rPr>
        <w:t>诚信声明</w:t>
      </w:r>
    </w:p>
    <w:p w14:paraId="50F6595C">
      <w:pPr>
        <w:spacing w:line="520" w:lineRule="exact"/>
        <w:rPr>
          <w:rFonts w:ascii="宋体" w:hAnsi="宋体"/>
          <w:color w:val="auto"/>
        </w:rPr>
      </w:pPr>
    </w:p>
    <w:p w14:paraId="107BBC95">
      <w:pPr>
        <w:spacing w:line="460" w:lineRule="exact"/>
        <w:ind w:firstLine="315" w:firstLineChars="150"/>
        <w:rPr>
          <w:rFonts w:ascii="宋体" w:hAnsi="宋体"/>
          <w:color w:val="auto"/>
        </w:rPr>
      </w:pPr>
      <w:r>
        <w:rPr>
          <w:rFonts w:hint="eastAsia" w:ascii="宋体" w:hAnsi="宋体"/>
          <w:color w:val="auto"/>
        </w:rPr>
        <w:t>本人</w:t>
      </w:r>
      <w:r>
        <w:rPr>
          <w:rFonts w:hint="eastAsia" w:ascii="宋体" w:hAnsi="宋体"/>
          <w:color w:val="auto"/>
          <w:u w:val="single"/>
        </w:rPr>
        <w:t>（法定代表人、身份证号码）</w:t>
      </w:r>
      <w:r>
        <w:rPr>
          <w:rFonts w:hint="eastAsia" w:ascii="宋体" w:hAnsi="宋体"/>
          <w:color w:val="auto"/>
        </w:rPr>
        <w:t>郑重声明，本企业参加</w:t>
      </w:r>
      <w:r>
        <w:rPr>
          <w:rFonts w:hint="eastAsia" w:ascii="宋体" w:hAnsi="宋体"/>
          <w:color w:val="auto"/>
          <w:u w:val="single"/>
        </w:rPr>
        <w:t>（项目名称）</w:t>
      </w:r>
      <w:r>
        <w:rPr>
          <w:rFonts w:hint="eastAsia" w:ascii="宋体" w:hAnsi="宋体"/>
          <w:color w:val="auto"/>
        </w:rPr>
        <w:t>磋商活动所提交的所有资料、填写数据及所包含的附件资料内容是真实的、合法的、有效的，同样我在此所作的声明也是真实有效的，并愿意对在磋商过程中有关部门的调查结果承担责任。</w:t>
      </w:r>
    </w:p>
    <w:p w14:paraId="3B6A64EB">
      <w:pPr>
        <w:spacing w:line="460" w:lineRule="exact"/>
        <w:ind w:firstLine="480"/>
        <w:rPr>
          <w:rFonts w:ascii="宋体" w:hAnsi="宋体"/>
          <w:color w:val="auto"/>
        </w:rPr>
      </w:pPr>
      <w:r>
        <w:rPr>
          <w:rFonts w:hint="eastAsia" w:ascii="宋体" w:hAnsi="宋体"/>
          <w:color w:val="auto"/>
        </w:rPr>
        <w:t>本企业提交的所有磋商资料如有不实，愿接受政府采购监督管理部门和建设行政主管部门依据有关法律法规给予的处罚。</w:t>
      </w:r>
    </w:p>
    <w:p w14:paraId="20C5AFE6">
      <w:pPr>
        <w:spacing w:line="460" w:lineRule="exact"/>
        <w:rPr>
          <w:rFonts w:ascii="宋体" w:hAnsi="宋体"/>
          <w:color w:val="auto"/>
        </w:rPr>
      </w:pPr>
    </w:p>
    <w:p w14:paraId="789F5645">
      <w:pPr>
        <w:spacing w:line="440" w:lineRule="exact"/>
        <w:rPr>
          <w:rFonts w:ascii="宋体" w:hAnsi="宋体"/>
          <w:color w:val="auto"/>
        </w:rPr>
      </w:pPr>
    </w:p>
    <w:p w14:paraId="356BAD4A">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7C177AD4">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42CB8639">
      <w:pPr>
        <w:spacing w:line="440" w:lineRule="exact"/>
        <w:rPr>
          <w:rFonts w:ascii="宋体" w:hAnsi="宋体"/>
          <w:color w:val="auto"/>
          <w:sz w:val="24"/>
        </w:rPr>
      </w:pPr>
    </w:p>
    <w:p w14:paraId="126AF259">
      <w:pPr>
        <w:spacing w:line="440" w:lineRule="exact"/>
        <w:rPr>
          <w:rFonts w:ascii="宋体" w:hAnsi="宋体"/>
          <w:color w:val="auto"/>
          <w:sz w:val="24"/>
        </w:rPr>
      </w:pPr>
      <w:bookmarkStart w:id="164" w:name="_Toc163270989"/>
      <w:bookmarkStart w:id="165" w:name="_Toc158458008"/>
    </w:p>
    <w:p w14:paraId="6DB9D08D">
      <w:pPr>
        <w:spacing w:line="440" w:lineRule="exact"/>
        <w:rPr>
          <w:rFonts w:ascii="宋体" w:hAnsi="宋体"/>
          <w:color w:val="auto"/>
          <w:sz w:val="24"/>
        </w:rPr>
      </w:pPr>
    </w:p>
    <w:p w14:paraId="0B73A990">
      <w:pPr>
        <w:spacing w:line="440" w:lineRule="exact"/>
        <w:rPr>
          <w:rFonts w:ascii="宋体" w:hAnsi="宋体"/>
          <w:color w:val="auto"/>
          <w:sz w:val="24"/>
        </w:rPr>
      </w:pPr>
    </w:p>
    <w:p w14:paraId="3C5102C9">
      <w:pPr>
        <w:spacing w:line="440" w:lineRule="exact"/>
        <w:rPr>
          <w:rFonts w:ascii="宋体" w:hAnsi="宋体"/>
          <w:color w:val="auto"/>
          <w:sz w:val="24"/>
        </w:rPr>
      </w:pPr>
    </w:p>
    <w:p w14:paraId="343704CA">
      <w:pPr>
        <w:spacing w:line="440" w:lineRule="exact"/>
        <w:rPr>
          <w:rFonts w:ascii="宋体" w:hAnsi="宋体"/>
          <w:color w:val="auto"/>
          <w:sz w:val="24"/>
        </w:rPr>
      </w:pPr>
    </w:p>
    <w:p w14:paraId="42803E9D">
      <w:pPr>
        <w:spacing w:line="440" w:lineRule="exact"/>
        <w:rPr>
          <w:rFonts w:ascii="宋体" w:hAnsi="宋体"/>
          <w:color w:val="auto"/>
          <w:sz w:val="24"/>
        </w:rPr>
      </w:pPr>
    </w:p>
    <w:p w14:paraId="0C491914">
      <w:pPr>
        <w:spacing w:line="440" w:lineRule="exact"/>
        <w:rPr>
          <w:rFonts w:ascii="宋体" w:hAnsi="宋体"/>
          <w:color w:val="auto"/>
          <w:sz w:val="24"/>
        </w:rPr>
      </w:pPr>
    </w:p>
    <w:p w14:paraId="3614C733">
      <w:pPr>
        <w:spacing w:line="440" w:lineRule="exact"/>
        <w:rPr>
          <w:rFonts w:ascii="宋体" w:hAnsi="宋体"/>
          <w:color w:val="auto"/>
          <w:sz w:val="24"/>
        </w:rPr>
      </w:pPr>
    </w:p>
    <w:p w14:paraId="56DB14AF">
      <w:pPr>
        <w:spacing w:line="440" w:lineRule="exact"/>
        <w:rPr>
          <w:rFonts w:ascii="宋体" w:hAnsi="宋体"/>
          <w:color w:val="auto"/>
          <w:sz w:val="24"/>
        </w:rPr>
      </w:pPr>
    </w:p>
    <w:p w14:paraId="20A50AB4">
      <w:pPr>
        <w:spacing w:line="440" w:lineRule="exact"/>
        <w:rPr>
          <w:rFonts w:ascii="宋体" w:hAnsi="宋体"/>
          <w:color w:val="auto"/>
          <w:sz w:val="24"/>
        </w:rPr>
      </w:pPr>
    </w:p>
    <w:p w14:paraId="68E9B473">
      <w:pPr>
        <w:spacing w:line="440" w:lineRule="exact"/>
        <w:rPr>
          <w:rFonts w:ascii="宋体" w:hAnsi="宋体"/>
          <w:color w:val="auto"/>
          <w:sz w:val="24"/>
        </w:rPr>
      </w:pPr>
    </w:p>
    <w:p w14:paraId="78F72B51">
      <w:pPr>
        <w:spacing w:line="440" w:lineRule="exact"/>
        <w:rPr>
          <w:rFonts w:ascii="宋体" w:hAnsi="宋体"/>
          <w:color w:val="auto"/>
          <w:sz w:val="24"/>
        </w:rPr>
      </w:pPr>
    </w:p>
    <w:p w14:paraId="2022CF15">
      <w:pPr>
        <w:spacing w:line="440" w:lineRule="exact"/>
        <w:rPr>
          <w:rFonts w:ascii="宋体" w:hAnsi="宋体"/>
          <w:color w:val="auto"/>
          <w:sz w:val="24"/>
        </w:rPr>
      </w:pPr>
    </w:p>
    <w:p w14:paraId="0FCCAF7F">
      <w:pPr>
        <w:spacing w:line="440" w:lineRule="exact"/>
        <w:rPr>
          <w:rFonts w:ascii="宋体" w:hAnsi="宋体"/>
          <w:color w:val="auto"/>
          <w:sz w:val="24"/>
        </w:rPr>
      </w:pPr>
    </w:p>
    <w:p w14:paraId="3A9A5220">
      <w:pPr>
        <w:spacing w:line="440" w:lineRule="exact"/>
        <w:rPr>
          <w:rFonts w:ascii="宋体" w:hAnsi="宋体"/>
          <w:color w:val="auto"/>
          <w:sz w:val="24"/>
        </w:rPr>
      </w:pPr>
    </w:p>
    <w:p w14:paraId="14B962A9">
      <w:pPr>
        <w:spacing w:line="440" w:lineRule="exact"/>
        <w:rPr>
          <w:rFonts w:ascii="宋体" w:hAnsi="宋体"/>
          <w:color w:val="auto"/>
          <w:sz w:val="24"/>
        </w:rPr>
      </w:pPr>
    </w:p>
    <w:p w14:paraId="52A82047">
      <w:pPr>
        <w:spacing w:line="440" w:lineRule="exact"/>
        <w:jc w:val="left"/>
        <w:rPr>
          <w:rFonts w:ascii="宋体" w:hAnsi="宋体"/>
          <w:b/>
          <w:color w:val="auto"/>
          <w:sz w:val="24"/>
        </w:rPr>
      </w:pPr>
      <w:r>
        <w:rPr>
          <w:rFonts w:ascii="宋体" w:hAnsi="宋体"/>
          <w:color w:val="auto"/>
          <w:sz w:val="24"/>
        </w:rPr>
        <w:br w:type="page"/>
      </w:r>
      <w:bookmarkStart w:id="166" w:name="_Toc173558684"/>
      <w:r>
        <w:rPr>
          <w:rFonts w:hint="eastAsia" w:ascii="宋体" w:hAnsi="宋体"/>
          <w:b/>
          <w:color w:val="auto"/>
          <w:sz w:val="24"/>
        </w:rPr>
        <w:t>格式</w:t>
      </w:r>
      <w:r>
        <w:rPr>
          <w:rFonts w:hint="eastAsia" w:ascii="宋体" w:hAnsi="宋体"/>
          <w:b/>
          <w:color w:val="auto"/>
          <w:sz w:val="24"/>
          <w:lang w:val="en-US" w:eastAsia="zh-CN"/>
        </w:rPr>
        <w:t>五</w:t>
      </w:r>
      <w:r>
        <w:rPr>
          <w:rFonts w:hint="eastAsia" w:ascii="宋体" w:hAnsi="宋体"/>
          <w:b/>
          <w:color w:val="auto"/>
          <w:sz w:val="24"/>
        </w:rPr>
        <w:t>：</w:t>
      </w:r>
    </w:p>
    <w:p w14:paraId="7007C887">
      <w:pPr>
        <w:jc w:val="center"/>
        <w:rPr>
          <w:rFonts w:ascii="宋体" w:hAnsi="宋体"/>
          <w:b/>
          <w:color w:val="auto"/>
          <w:sz w:val="24"/>
        </w:rPr>
      </w:pPr>
      <w:r>
        <w:rPr>
          <w:rFonts w:hint="eastAsia" w:ascii="宋体" w:hAnsi="宋体"/>
          <w:b/>
          <w:color w:val="auto"/>
          <w:sz w:val="24"/>
        </w:rPr>
        <w:t>法定代表人授权委托书</w:t>
      </w:r>
    </w:p>
    <w:p w14:paraId="2583D2B5">
      <w:pPr>
        <w:spacing w:after="156" w:line="360" w:lineRule="auto"/>
        <w:rPr>
          <w:rFonts w:ascii="宋体" w:hAnsi="宋体"/>
          <w:color w:val="auto"/>
        </w:rPr>
      </w:pPr>
    </w:p>
    <w:p w14:paraId="4A986F60">
      <w:pPr>
        <w:spacing w:line="440" w:lineRule="exact"/>
        <w:ind w:firstLine="420" w:firstLineChars="200"/>
        <w:rPr>
          <w:rFonts w:ascii="宋体" w:hAnsi="宋体"/>
          <w:color w:val="auto"/>
        </w:rPr>
      </w:pPr>
      <w:r>
        <w:rPr>
          <w:rFonts w:ascii="宋体" w:hAnsi="宋体"/>
          <w:color w:val="auto"/>
        </w:rPr>
        <w:t>本授权委托书声明：我</w:t>
      </w:r>
      <w:r>
        <w:rPr>
          <w:rFonts w:ascii="宋体" w:hAnsi="宋体"/>
          <w:color w:val="auto"/>
          <w:u w:val="single"/>
        </w:rPr>
        <w:t>（姓名）</w:t>
      </w:r>
      <w:r>
        <w:rPr>
          <w:rFonts w:ascii="宋体" w:hAnsi="宋体"/>
          <w:color w:val="auto"/>
        </w:rPr>
        <w:t>系</w:t>
      </w:r>
      <w:r>
        <w:rPr>
          <w:rFonts w:ascii="宋体" w:hAnsi="宋体"/>
          <w:color w:val="auto"/>
          <w:u w:val="single"/>
        </w:rPr>
        <w:t>（</w:t>
      </w:r>
      <w:r>
        <w:rPr>
          <w:rFonts w:hint="eastAsia" w:ascii="宋体" w:hAnsi="宋体"/>
          <w:color w:val="auto"/>
          <w:u w:val="single"/>
        </w:rPr>
        <w:t>供应商</w:t>
      </w:r>
      <w:r>
        <w:rPr>
          <w:rFonts w:ascii="宋体" w:hAnsi="宋体"/>
          <w:color w:val="auto"/>
          <w:u w:val="single"/>
        </w:rPr>
        <w:t>名称）</w:t>
      </w:r>
      <w:r>
        <w:rPr>
          <w:rFonts w:ascii="宋体" w:hAnsi="宋体"/>
          <w:color w:val="auto"/>
        </w:rPr>
        <w:t>的法定代表人，现授权委托</w:t>
      </w:r>
      <w:r>
        <w:rPr>
          <w:rFonts w:ascii="宋体" w:hAnsi="宋体"/>
          <w:color w:val="auto"/>
          <w:u w:val="single"/>
        </w:rPr>
        <w:t>（单位名称）</w:t>
      </w:r>
      <w:r>
        <w:rPr>
          <w:rFonts w:ascii="宋体" w:hAnsi="宋体"/>
          <w:color w:val="auto"/>
        </w:rPr>
        <w:t>的</w:t>
      </w:r>
      <w:r>
        <w:rPr>
          <w:rFonts w:ascii="宋体" w:hAnsi="宋体"/>
          <w:color w:val="auto"/>
          <w:u w:val="single"/>
        </w:rPr>
        <w:t>（姓名）</w:t>
      </w:r>
      <w:r>
        <w:rPr>
          <w:rFonts w:ascii="宋体" w:hAnsi="宋体"/>
          <w:color w:val="auto"/>
        </w:rPr>
        <w:t>为我公司签署</w:t>
      </w:r>
      <w:r>
        <w:rPr>
          <w:rFonts w:hint="eastAsia" w:ascii="宋体" w:hAnsi="宋体"/>
          <w:color w:val="auto"/>
          <w:u w:val="single"/>
        </w:rPr>
        <w:t>（项目名称）</w:t>
      </w:r>
      <w:r>
        <w:rPr>
          <w:rFonts w:hint="eastAsia" w:ascii="宋体" w:hAnsi="宋体"/>
          <w:color w:val="auto"/>
        </w:rPr>
        <w:t>，项目编号</w:t>
      </w:r>
      <w:r>
        <w:rPr>
          <w:rFonts w:hint="eastAsia" w:ascii="宋体" w:hAnsi="宋体"/>
          <w:color w:val="auto"/>
          <w:u w:val="single"/>
          <w:lang w:val="en-US" w:eastAsia="zh-CN"/>
        </w:rPr>
        <w:t xml:space="preserve">       </w:t>
      </w:r>
      <w:r>
        <w:rPr>
          <w:rFonts w:hint="eastAsia" w:ascii="宋体" w:hAnsi="宋体"/>
          <w:color w:val="auto"/>
        </w:rPr>
        <w:t>为</w:t>
      </w:r>
      <w:r>
        <w:rPr>
          <w:rFonts w:ascii="宋体" w:hAnsi="宋体"/>
          <w:color w:val="auto"/>
        </w:rPr>
        <w:t>的</w:t>
      </w:r>
      <w:r>
        <w:rPr>
          <w:rFonts w:hint="eastAsia" w:ascii="宋体" w:hAnsi="宋体"/>
          <w:color w:val="auto"/>
        </w:rPr>
        <w:t>响应文件</w:t>
      </w:r>
      <w:r>
        <w:rPr>
          <w:rFonts w:ascii="宋体" w:hAnsi="宋体"/>
          <w:color w:val="auto"/>
        </w:rPr>
        <w:t>的法定代表人授权委托代理人，我承认代理人全权代表我所签署的本工程的</w:t>
      </w:r>
      <w:r>
        <w:rPr>
          <w:rFonts w:hint="eastAsia" w:ascii="宋体" w:hAnsi="宋体"/>
          <w:color w:val="auto"/>
        </w:rPr>
        <w:t>响应文件</w:t>
      </w:r>
      <w:r>
        <w:rPr>
          <w:rFonts w:ascii="宋体" w:hAnsi="宋体"/>
          <w:color w:val="auto"/>
        </w:rPr>
        <w:t>的内容。</w:t>
      </w:r>
    </w:p>
    <w:p w14:paraId="0C7119B5">
      <w:pPr>
        <w:spacing w:line="440" w:lineRule="exact"/>
        <w:ind w:firstLine="420" w:firstLineChars="200"/>
        <w:rPr>
          <w:rFonts w:ascii="宋体" w:hAnsi="宋体"/>
          <w:color w:val="auto"/>
        </w:rPr>
      </w:pPr>
      <w:r>
        <w:rPr>
          <w:rFonts w:ascii="宋体" w:hAnsi="宋体"/>
          <w:color w:val="auto"/>
        </w:rPr>
        <w:t>代理人无转委托权，特此委托。</w:t>
      </w:r>
    </w:p>
    <w:p w14:paraId="53672714">
      <w:pPr>
        <w:spacing w:line="440" w:lineRule="exact"/>
        <w:ind w:firstLine="420" w:firstLineChars="200"/>
        <w:rPr>
          <w:rFonts w:ascii="宋体" w:hAnsi="宋体"/>
          <w:color w:val="auto"/>
        </w:rPr>
      </w:pPr>
      <w:r>
        <w:rPr>
          <w:rFonts w:ascii="宋体" w:hAnsi="宋体"/>
          <w:color w:val="auto"/>
        </w:rPr>
        <w:t>授权</w:t>
      </w:r>
      <w:r>
        <w:rPr>
          <w:rFonts w:hint="eastAsia" w:ascii="宋体" w:hAnsi="宋体"/>
          <w:color w:val="auto"/>
        </w:rPr>
        <w:t>委托</w:t>
      </w:r>
      <w:r>
        <w:rPr>
          <w:rFonts w:ascii="宋体" w:hAnsi="宋体"/>
          <w:color w:val="auto"/>
        </w:rPr>
        <w:t>代理</w:t>
      </w:r>
      <w:r>
        <w:rPr>
          <w:rFonts w:hint="eastAsia" w:ascii="宋体" w:hAnsi="宋体"/>
          <w:color w:val="auto"/>
        </w:rPr>
        <w:t>期限：202</w:t>
      </w:r>
      <w:r>
        <w:rPr>
          <w:rFonts w:hint="eastAsia" w:ascii="宋体" w:hAnsi="宋体"/>
          <w:color w:val="auto"/>
          <w:lang w:val="en-US" w:eastAsia="zh-CN"/>
        </w:rPr>
        <w:t xml:space="preserve"> </w:t>
      </w:r>
      <w:r>
        <w:rPr>
          <w:rFonts w:hint="eastAsia" w:ascii="宋体" w:hAnsi="宋体"/>
          <w:color w:val="auto"/>
        </w:rPr>
        <w:t>年</w:t>
      </w:r>
      <w:r>
        <w:rPr>
          <w:rFonts w:hint="eastAsia" w:ascii="宋体" w:hAnsi="宋体"/>
          <w:color w:val="auto"/>
          <w:lang w:val="en-US" w:eastAsia="zh-CN"/>
        </w:rPr>
        <w:t xml:space="preserve">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r>
        <w:rPr>
          <w:rFonts w:hint="eastAsia" w:ascii="宋体" w:hAnsi="宋体"/>
          <w:color w:val="auto"/>
          <w:lang w:val="en-US" w:eastAsia="zh-CN"/>
        </w:rPr>
        <w:t xml:space="preserve"> </w:t>
      </w:r>
      <w:r>
        <w:rPr>
          <w:rFonts w:hint="eastAsia" w:ascii="宋体" w:hAnsi="宋体"/>
          <w:color w:val="auto"/>
        </w:rPr>
        <w:t>至</w:t>
      </w:r>
      <w:r>
        <w:rPr>
          <w:rFonts w:hint="eastAsia" w:ascii="宋体" w:hAnsi="宋体"/>
          <w:color w:val="auto"/>
          <w:lang w:val="en-US" w:eastAsia="zh-CN"/>
        </w:rPr>
        <w:t xml:space="preserve">  年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p>
    <w:p w14:paraId="2A6321AD">
      <w:pPr>
        <w:spacing w:line="440" w:lineRule="exact"/>
        <w:ind w:firstLine="413" w:firstLineChars="196"/>
        <w:rPr>
          <w:rFonts w:ascii="宋体" w:hAnsi="宋体"/>
          <w:color w:val="auto"/>
        </w:rPr>
      </w:pPr>
      <w:r>
        <w:rPr>
          <w:rFonts w:hint="eastAsia" w:ascii="宋体" w:hAnsi="宋体"/>
          <w:b/>
          <w:color w:val="auto"/>
        </w:rPr>
        <w:t>附：委托代理人身份证复印件</w:t>
      </w:r>
    </w:p>
    <w:p w14:paraId="46AE9FC6">
      <w:pPr>
        <w:spacing w:line="440" w:lineRule="exact"/>
        <w:rPr>
          <w:rFonts w:ascii="宋体" w:hAnsi="宋体"/>
          <w:color w:val="auto"/>
        </w:rPr>
      </w:pPr>
    </w:p>
    <w:p w14:paraId="09C20858">
      <w:pPr>
        <w:spacing w:line="440" w:lineRule="exact"/>
        <w:ind w:left="2699"/>
        <w:rPr>
          <w:rFonts w:ascii="宋体" w:hAnsi="宋体"/>
          <w:color w:val="auto"/>
          <w:u w:val="single"/>
        </w:rPr>
      </w:pPr>
      <w:r>
        <w:rPr>
          <w:rFonts w:ascii="宋体" w:hAnsi="宋体"/>
          <w:color w:val="auto"/>
        </w:rPr>
        <w:t>代理人：</w:t>
      </w:r>
      <w:r>
        <w:rPr>
          <w:rFonts w:ascii="宋体" w:hAnsi="宋体"/>
          <w:color w:val="auto"/>
          <w:u w:val="single"/>
        </w:rPr>
        <w:t xml:space="preserve">   （</w:t>
      </w:r>
      <w:r>
        <w:rPr>
          <w:rFonts w:hint="eastAsia" w:ascii="宋体" w:hAnsi="宋体"/>
          <w:color w:val="auto"/>
          <w:u w:val="single"/>
          <w:lang w:eastAsia="zh-CN"/>
        </w:rPr>
        <w:t>盖章或</w:t>
      </w:r>
      <w:r>
        <w:rPr>
          <w:rFonts w:ascii="宋体" w:hAnsi="宋体"/>
          <w:color w:val="auto"/>
          <w:u w:val="single"/>
        </w:rPr>
        <w:t>签字）</w:t>
      </w:r>
      <w:r>
        <w:rPr>
          <w:rFonts w:ascii="宋体" w:hAnsi="宋体"/>
          <w:color w:val="auto"/>
        </w:rPr>
        <w:t>性别 ：年龄：_______</w:t>
      </w:r>
    </w:p>
    <w:p w14:paraId="11FF7FE0">
      <w:pPr>
        <w:spacing w:line="440" w:lineRule="exact"/>
        <w:ind w:left="2699"/>
        <w:rPr>
          <w:rFonts w:ascii="宋体" w:hAnsi="宋体"/>
          <w:b/>
          <w:color w:val="auto"/>
          <w:u w:val="single"/>
        </w:rPr>
      </w:pPr>
      <w:r>
        <w:rPr>
          <w:rFonts w:ascii="宋体" w:hAnsi="宋体"/>
          <w:color w:val="auto"/>
        </w:rPr>
        <w:t>身份证号码：职务：</w:t>
      </w:r>
    </w:p>
    <w:p w14:paraId="41898158">
      <w:pPr>
        <w:spacing w:line="440" w:lineRule="exact"/>
        <w:ind w:left="2699"/>
        <w:rPr>
          <w:rFonts w:ascii="宋体" w:hAnsi="宋体"/>
          <w:color w:val="auto"/>
        </w:rPr>
      </w:pPr>
      <w:r>
        <w:rPr>
          <w:rFonts w:hint="eastAsia" w:ascii="宋体" w:hAnsi="宋体"/>
          <w:color w:val="auto"/>
        </w:rPr>
        <w:t>供应商</w:t>
      </w:r>
      <w:r>
        <w:rPr>
          <w:rFonts w:ascii="宋体" w:hAnsi="宋体"/>
          <w:color w:val="auto"/>
        </w:rPr>
        <w:t>：</w:t>
      </w:r>
      <w:r>
        <w:rPr>
          <w:rFonts w:hint="eastAsia" w:ascii="宋体" w:hAnsi="宋体"/>
          <w:color w:val="auto"/>
          <w:u w:val="single"/>
        </w:rPr>
        <w:t>（全称）</w:t>
      </w:r>
      <w:r>
        <w:rPr>
          <w:rFonts w:hint="eastAsia" w:ascii="仿宋_GB2312" w:hAnsi="仿宋" w:eastAsia="仿宋_GB2312" w:cs="仿宋_GB2312"/>
          <w:color w:val="auto"/>
          <w:kern w:val="0"/>
          <w:sz w:val="24"/>
          <w:highlight w:val="none"/>
        </w:rPr>
        <w:t>（电子签章）</w:t>
      </w:r>
    </w:p>
    <w:p w14:paraId="290EF030">
      <w:pPr>
        <w:spacing w:line="440" w:lineRule="exact"/>
        <w:ind w:left="2699"/>
        <w:rPr>
          <w:rFonts w:ascii="宋体" w:hAnsi="宋体"/>
          <w:color w:val="auto"/>
        </w:rPr>
      </w:pPr>
      <w:r>
        <w:rPr>
          <w:rFonts w:ascii="宋体" w:hAnsi="宋体"/>
          <w:color w:val="auto"/>
        </w:rPr>
        <w:t>法定代表人：（</w:t>
      </w:r>
      <w:r>
        <w:rPr>
          <w:rFonts w:hint="eastAsia" w:ascii="宋体" w:hAnsi="宋体"/>
          <w:color w:val="auto"/>
          <w:lang w:eastAsia="zh-CN"/>
        </w:rPr>
        <w:t>盖章或</w:t>
      </w:r>
      <w:r>
        <w:rPr>
          <w:rFonts w:ascii="宋体" w:hAnsi="宋体"/>
          <w:color w:val="auto"/>
        </w:rPr>
        <w:t>签字）</w:t>
      </w:r>
    </w:p>
    <w:p w14:paraId="61F40163">
      <w:pPr>
        <w:spacing w:line="440" w:lineRule="exact"/>
        <w:ind w:left="2699"/>
        <w:rPr>
          <w:rFonts w:ascii="宋体" w:hAnsi="宋体"/>
          <w:color w:val="auto"/>
        </w:rPr>
      </w:pPr>
      <w:r>
        <w:rPr>
          <w:rFonts w:ascii="宋体" w:hAnsi="宋体"/>
          <w:color w:val="auto"/>
        </w:rPr>
        <w:t>授权委托日期：</w:t>
      </w:r>
      <w:r>
        <w:rPr>
          <w:rFonts w:hint="eastAsia" w:ascii="宋体" w:hAnsi="宋体"/>
          <w:color w:val="auto"/>
          <w:lang w:val="en-US" w:eastAsia="zh-CN"/>
        </w:rPr>
        <w:t xml:space="preserve">  </w:t>
      </w:r>
      <w:r>
        <w:rPr>
          <w:rFonts w:ascii="宋体" w:hAnsi="宋体"/>
          <w:color w:val="auto"/>
        </w:rPr>
        <w:t>年</w:t>
      </w:r>
      <w:r>
        <w:rPr>
          <w:rFonts w:hint="eastAsia" w:ascii="宋体" w:hAnsi="宋体"/>
          <w:color w:val="auto"/>
          <w:lang w:val="en-US" w:eastAsia="zh-CN"/>
        </w:rPr>
        <w:t xml:space="preserve">  </w:t>
      </w:r>
      <w:r>
        <w:rPr>
          <w:rFonts w:ascii="宋体" w:hAnsi="宋体"/>
          <w:color w:val="auto"/>
        </w:rPr>
        <w:t>月</w:t>
      </w:r>
      <w:r>
        <w:rPr>
          <w:rFonts w:hint="eastAsia" w:ascii="宋体" w:hAnsi="宋体"/>
          <w:color w:val="auto"/>
          <w:lang w:val="en-US" w:eastAsia="zh-CN"/>
        </w:rPr>
        <w:t xml:space="preserve">  </w:t>
      </w:r>
      <w:r>
        <w:rPr>
          <w:rFonts w:ascii="宋体" w:hAnsi="宋体"/>
          <w:color w:val="auto"/>
        </w:rPr>
        <w:t>日</w:t>
      </w:r>
    </w:p>
    <w:p w14:paraId="7E45D035">
      <w:pPr>
        <w:spacing w:line="360" w:lineRule="auto"/>
        <w:rPr>
          <w:rFonts w:ascii="宋体" w:hAnsi="宋体"/>
          <w:color w:val="auto"/>
        </w:rPr>
      </w:pPr>
    </w:p>
    <w:p w14:paraId="38365909">
      <w:pPr>
        <w:spacing w:line="400" w:lineRule="exact"/>
        <w:ind w:left="28" w:firstLine="452"/>
        <w:rPr>
          <w:rFonts w:ascii="宋体" w:hAnsi="宋体"/>
          <w:color w:val="auto"/>
        </w:rPr>
      </w:pPr>
      <w:r>
        <w:rPr>
          <w:rFonts w:ascii="宋体" w:hAnsi="宋体"/>
          <w:color w:val="auto"/>
        </w:rPr>
        <w:br w:type="page"/>
      </w:r>
      <w:r>
        <w:rPr>
          <w:rFonts w:hint="eastAsia" w:ascii="宋体" w:hAnsi="宋体"/>
          <w:b/>
          <w:color w:val="auto"/>
          <w:sz w:val="24"/>
        </w:rPr>
        <w:t>格式</w:t>
      </w:r>
      <w:r>
        <w:rPr>
          <w:rFonts w:hint="eastAsia" w:ascii="宋体" w:hAnsi="宋体"/>
          <w:b/>
          <w:color w:val="auto"/>
          <w:sz w:val="24"/>
          <w:lang w:val="en-US" w:eastAsia="zh-CN"/>
        </w:rPr>
        <w:t>六</w:t>
      </w:r>
      <w:r>
        <w:rPr>
          <w:rFonts w:hint="eastAsia" w:ascii="宋体" w:hAnsi="宋体"/>
          <w:b/>
          <w:color w:val="auto"/>
          <w:sz w:val="24"/>
        </w:rPr>
        <w:t>：</w:t>
      </w:r>
    </w:p>
    <w:p w14:paraId="0E0F643E">
      <w:pPr>
        <w:spacing w:line="400" w:lineRule="exact"/>
        <w:ind w:left="28" w:firstLine="452"/>
        <w:rPr>
          <w:rFonts w:ascii="宋体" w:hAnsi="宋体"/>
          <w:color w:val="auto"/>
        </w:rPr>
      </w:pPr>
    </w:p>
    <w:p w14:paraId="0E4275E3">
      <w:pPr>
        <w:spacing w:line="400" w:lineRule="exact"/>
        <w:ind w:left="28" w:firstLine="452"/>
        <w:jc w:val="center"/>
        <w:rPr>
          <w:rFonts w:ascii="宋体" w:hAnsi="宋体"/>
          <w:b/>
          <w:color w:val="auto"/>
          <w:sz w:val="24"/>
        </w:rPr>
      </w:pPr>
      <w:r>
        <w:rPr>
          <w:rFonts w:hint="eastAsia" w:ascii="宋体" w:hAnsi="宋体"/>
          <w:b/>
          <w:color w:val="auto"/>
          <w:sz w:val="24"/>
        </w:rPr>
        <w:t>足额缴纳农民工工资的承诺书</w:t>
      </w:r>
    </w:p>
    <w:p w14:paraId="388420F1">
      <w:pPr>
        <w:spacing w:line="400" w:lineRule="exact"/>
        <w:ind w:left="28" w:firstLine="452"/>
        <w:jc w:val="center"/>
        <w:rPr>
          <w:rFonts w:cs="宋体"/>
          <w:color w:val="auto"/>
        </w:rPr>
      </w:pPr>
    </w:p>
    <w:p w14:paraId="2D95FCD7">
      <w:pPr>
        <w:spacing w:line="480" w:lineRule="auto"/>
        <w:jc w:val="left"/>
        <w:rPr>
          <w:color w:val="auto"/>
        </w:rPr>
      </w:pPr>
      <w:r>
        <w:rPr>
          <w:rFonts w:hint="eastAsia" w:cs="宋体"/>
          <w:color w:val="auto"/>
        </w:rPr>
        <w:t>致</w:t>
      </w:r>
      <w:r>
        <w:rPr>
          <w:rFonts w:hint="eastAsia" w:cs="宋体"/>
          <w:color w:val="auto"/>
          <w:u w:val="single"/>
        </w:rPr>
        <w:t>（采购人名称）</w:t>
      </w:r>
      <w:r>
        <w:rPr>
          <w:rFonts w:hint="eastAsia" w:cs="宋体"/>
          <w:color w:val="auto"/>
        </w:rPr>
        <w:t>：</w:t>
      </w:r>
    </w:p>
    <w:p w14:paraId="3B21A39A">
      <w:pPr>
        <w:spacing w:line="520" w:lineRule="exact"/>
        <w:ind w:left="-10" w:firstLine="455" w:firstLineChars="217"/>
        <w:jc w:val="left"/>
        <w:rPr>
          <w:rFonts w:ascii="宋体" w:hAnsi="宋体"/>
          <w:b/>
          <w:color w:val="auto"/>
          <w:sz w:val="24"/>
        </w:rPr>
      </w:pPr>
      <w:r>
        <w:rPr>
          <w:rFonts w:hint="eastAsia" w:cs="宋体"/>
          <w:color w:val="auto"/>
        </w:rPr>
        <w:t>作为参与</w:t>
      </w:r>
      <w:r>
        <w:rPr>
          <w:rFonts w:hint="eastAsia" w:cs="宋体"/>
          <w:color w:val="auto"/>
          <w:u w:val="single"/>
        </w:rPr>
        <w:t>（工程名称）</w:t>
      </w:r>
      <w:r>
        <w:rPr>
          <w:rFonts w:hint="eastAsia" w:cs="宋体"/>
          <w:color w:val="auto"/>
        </w:rPr>
        <w:t>项目的供应商，根据国家、自治区相关文件规定，我方在此向采标人承诺：</w:t>
      </w:r>
    </w:p>
    <w:p w14:paraId="464AF5A3">
      <w:pPr>
        <w:spacing w:line="520" w:lineRule="exact"/>
        <w:ind w:left="-10" w:firstLine="455" w:firstLineChars="217"/>
        <w:jc w:val="left"/>
        <w:rPr>
          <w:rFonts w:cs="宋体"/>
          <w:color w:val="auto"/>
        </w:rPr>
      </w:pPr>
      <w:r>
        <w:rPr>
          <w:rFonts w:hint="eastAsia" w:cs="宋体"/>
          <w:color w:val="auto"/>
        </w:rPr>
        <w:t>一旦成交，我方保证按照政府相关部门的规定，在发出成交通知书之日起</w:t>
      </w:r>
      <w:r>
        <w:rPr>
          <w:color w:val="auto"/>
        </w:rPr>
        <w:t>7</w:t>
      </w:r>
      <w:r>
        <w:rPr>
          <w:rFonts w:hint="eastAsia" w:cs="宋体"/>
          <w:color w:val="auto"/>
        </w:rPr>
        <w:t>个工作日内足额将农民工工资保障金转入农民工工资保障金专用账户，或向采购人提供由工程项目所在地（工程项目所在省区范围内）商业银行出具同等金额农民工工资保证金银行保函，作为支付承包人拖欠的农民工工资的保证。一旦我方所承包的该项目中出现拖欠农民工工资情况，由劳动保障、住房城乡建设行政主管部门按照《关于进一步完善建筑行业农民工工资保证金制度的通知》（桂劳社发〔</w:t>
      </w:r>
      <w:r>
        <w:rPr>
          <w:color w:val="auto"/>
        </w:rPr>
        <w:t>2009</w:t>
      </w:r>
      <w:r>
        <w:rPr>
          <w:rFonts w:hint="eastAsia" w:cs="宋体"/>
          <w:color w:val="auto"/>
        </w:rPr>
        <w:t>〕</w:t>
      </w:r>
      <w:r>
        <w:rPr>
          <w:color w:val="auto"/>
        </w:rPr>
        <w:t>50</w:t>
      </w:r>
      <w:r>
        <w:rPr>
          <w:rFonts w:hint="eastAsia" w:cs="宋体"/>
          <w:color w:val="auto"/>
        </w:rPr>
        <w:t>号）从我方农民工工资保障金中先予划支。</w:t>
      </w:r>
    </w:p>
    <w:p w14:paraId="1C6D7CD7">
      <w:pPr>
        <w:spacing w:line="520" w:lineRule="exact"/>
        <w:ind w:left="-10" w:firstLine="455" w:firstLineChars="217"/>
        <w:jc w:val="left"/>
        <w:rPr>
          <w:rFonts w:cs="宋体"/>
          <w:color w:val="auto"/>
        </w:rPr>
      </w:pPr>
    </w:p>
    <w:p w14:paraId="4B97B6A4">
      <w:pPr>
        <w:pStyle w:val="24"/>
        <w:rPr>
          <w:rFonts w:hAnsi="宋体"/>
          <w:color w:val="auto"/>
          <w:sz w:val="24"/>
          <w:u w:val="single"/>
        </w:rPr>
      </w:pPr>
    </w:p>
    <w:p w14:paraId="41943EDE">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6240E39E">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FF7DD8F">
      <w:pPr>
        <w:spacing w:line="520" w:lineRule="exact"/>
        <w:ind w:left="-10" w:firstLine="455" w:firstLineChars="217"/>
        <w:jc w:val="left"/>
        <w:rPr>
          <w:color w:val="auto"/>
        </w:rPr>
      </w:pPr>
    </w:p>
    <w:p w14:paraId="00562722">
      <w:pPr>
        <w:spacing w:line="520" w:lineRule="exact"/>
        <w:ind w:left="-10" w:firstLine="455" w:firstLineChars="217"/>
        <w:jc w:val="left"/>
        <w:rPr>
          <w:color w:val="auto"/>
        </w:rPr>
      </w:pPr>
    </w:p>
    <w:p w14:paraId="28BC21A2">
      <w:pPr>
        <w:spacing w:line="520" w:lineRule="exact"/>
        <w:ind w:left="-10" w:firstLine="455" w:firstLineChars="217"/>
        <w:jc w:val="left"/>
        <w:rPr>
          <w:color w:val="auto"/>
        </w:rPr>
      </w:pPr>
    </w:p>
    <w:p w14:paraId="0EDFFD1C">
      <w:pPr>
        <w:spacing w:line="520" w:lineRule="exact"/>
        <w:ind w:left="-10" w:firstLine="455" w:firstLineChars="217"/>
        <w:jc w:val="left"/>
        <w:rPr>
          <w:color w:val="auto"/>
        </w:rPr>
      </w:pPr>
    </w:p>
    <w:p w14:paraId="52AF725E">
      <w:pPr>
        <w:spacing w:line="520" w:lineRule="exact"/>
        <w:ind w:left="-10" w:firstLine="455" w:firstLineChars="217"/>
        <w:jc w:val="left"/>
        <w:rPr>
          <w:color w:val="auto"/>
        </w:rPr>
      </w:pPr>
    </w:p>
    <w:p w14:paraId="4726E699">
      <w:pPr>
        <w:spacing w:line="520" w:lineRule="exact"/>
        <w:ind w:left="-10" w:firstLine="455" w:firstLineChars="217"/>
        <w:jc w:val="left"/>
        <w:rPr>
          <w:color w:val="auto"/>
        </w:rPr>
      </w:pPr>
    </w:p>
    <w:p w14:paraId="1BF52D86">
      <w:pPr>
        <w:spacing w:line="520" w:lineRule="exact"/>
        <w:ind w:left="-10" w:firstLine="455" w:firstLineChars="217"/>
        <w:jc w:val="left"/>
        <w:rPr>
          <w:color w:val="auto"/>
        </w:rPr>
      </w:pPr>
    </w:p>
    <w:p w14:paraId="6C88896E">
      <w:pPr>
        <w:spacing w:line="520" w:lineRule="exact"/>
        <w:ind w:left="-10" w:firstLine="455" w:firstLineChars="217"/>
        <w:jc w:val="left"/>
        <w:rPr>
          <w:color w:val="auto"/>
        </w:rPr>
      </w:pPr>
    </w:p>
    <w:p w14:paraId="77A47946">
      <w:pPr>
        <w:spacing w:line="520" w:lineRule="exact"/>
        <w:ind w:left="-10" w:firstLine="455" w:firstLineChars="217"/>
        <w:jc w:val="left"/>
        <w:rPr>
          <w:color w:val="auto"/>
        </w:rPr>
      </w:pPr>
    </w:p>
    <w:p w14:paraId="55E01017">
      <w:pPr>
        <w:spacing w:line="520" w:lineRule="exact"/>
        <w:ind w:left="-10" w:firstLine="455" w:firstLineChars="217"/>
        <w:jc w:val="left"/>
        <w:rPr>
          <w:color w:val="auto"/>
        </w:rPr>
      </w:pPr>
    </w:p>
    <w:p w14:paraId="636516E0">
      <w:pPr>
        <w:spacing w:line="520" w:lineRule="exact"/>
        <w:ind w:left="-10" w:firstLine="523" w:firstLineChars="217"/>
        <w:jc w:val="left"/>
        <w:rPr>
          <w:rFonts w:hint="eastAsia" w:ascii="宋体" w:hAnsi="宋体"/>
          <w:b/>
          <w:color w:val="auto"/>
          <w:sz w:val="24"/>
        </w:rPr>
      </w:pPr>
    </w:p>
    <w:p w14:paraId="40953AD1">
      <w:pPr>
        <w:pStyle w:val="4"/>
        <w:rPr>
          <w:rFonts w:hint="eastAsia"/>
          <w:color w:val="auto"/>
        </w:rPr>
      </w:pPr>
    </w:p>
    <w:p w14:paraId="1D32EC18">
      <w:pPr>
        <w:spacing w:line="520" w:lineRule="exact"/>
        <w:ind w:left="-10" w:firstLine="523" w:firstLineChars="217"/>
        <w:jc w:val="left"/>
        <w:rPr>
          <w:rFonts w:hint="eastAsia" w:ascii="宋体" w:hAnsi="宋体"/>
          <w:b/>
          <w:color w:val="auto"/>
          <w:sz w:val="24"/>
        </w:rPr>
      </w:pPr>
    </w:p>
    <w:p w14:paraId="222649DB">
      <w:pPr>
        <w:spacing w:line="520" w:lineRule="exact"/>
        <w:ind w:left="-10" w:firstLine="523" w:firstLineChars="217"/>
        <w:jc w:val="left"/>
        <w:rPr>
          <w:color w:val="auto"/>
        </w:rPr>
      </w:pPr>
      <w:r>
        <w:rPr>
          <w:rFonts w:hint="eastAsia" w:ascii="宋体" w:hAnsi="宋体"/>
          <w:b/>
          <w:color w:val="auto"/>
          <w:sz w:val="24"/>
        </w:rPr>
        <w:t>格式</w:t>
      </w:r>
      <w:r>
        <w:rPr>
          <w:rFonts w:hint="eastAsia" w:ascii="宋体" w:hAnsi="宋体"/>
          <w:b/>
          <w:color w:val="auto"/>
          <w:sz w:val="24"/>
          <w:lang w:eastAsia="zh-CN"/>
        </w:rPr>
        <w:t>七</w:t>
      </w:r>
      <w:r>
        <w:rPr>
          <w:rFonts w:hint="eastAsia" w:ascii="宋体" w:hAnsi="宋体"/>
          <w:b/>
          <w:color w:val="auto"/>
          <w:sz w:val="24"/>
        </w:rPr>
        <w:t>：</w:t>
      </w:r>
    </w:p>
    <w:p w14:paraId="6CA6DC1D">
      <w:pPr>
        <w:spacing w:line="520" w:lineRule="exact"/>
        <w:ind w:left="-10" w:firstLine="523" w:firstLineChars="217"/>
        <w:jc w:val="center"/>
        <w:rPr>
          <w:rFonts w:ascii="宋体" w:hAnsi="宋体"/>
          <w:b/>
          <w:color w:val="auto"/>
          <w:sz w:val="24"/>
        </w:rPr>
      </w:pPr>
      <w:r>
        <w:rPr>
          <w:rFonts w:hint="eastAsia" w:ascii="宋体" w:hAnsi="宋体"/>
          <w:b/>
          <w:color w:val="auto"/>
          <w:sz w:val="24"/>
        </w:rPr>
        <w:t>安全防护、文明施工措施方案的承诺书</w:t>
      </w:r>
    </w:p>
    <w:p w14:paraId="5AFD8508">
      <w:pPr>
        <w:spacing w:line="520" w:lineRule="exact"/>
        <w:ind w:left="-10" w:firstLine="523" w:firstLineChars="217"/>
        <w:jc w:val="center"/>
        <w:rPr>
          <w:rFonts w:ascii="宋体" w:hAnsi="宋体"/>
          <w:b/>
          <w:color w:val="auto"/>
          <w:sz w:val="24"/>
        </w:rPr>
      </w:pPr>
    </w:p>
    <w:p w14:paraId="2A2A6985">
      <w:pPr>
        <w:spacing w:line="480" w:lineRule="auto"/>
        <w:jc w:val="left"/>
        <w:rPr>
          <w:color w:val="auto"/>
        </w:rPr>
      </w:pPr>
      <w:r>
        <w:rPr>
          <w:rFonts w:hint="eastAsia" w:hAnsi="宋体" w:cs="宋体"/>
          <w:color w:val="auto"/>
        </w:rPr>
        <w:t>致</w:t>
      </w:r>
      <w:r>
        <w:rPr>
          <w:rFonts w:hint="eastAsia" w:hAnsi="宋体" w:cs="宋体"/>
          <w:color w:val="auto"/>
          <w:u w:val="single"/>
        </w:rPr>
        <w:t>（采购人名称）</w:t>
      </w:r>
      <w:r>
        <w:rPr>
          <w:rFonts w:hint="eastAsia" w:hAnsi="宋体" w:cs="宋体"/>
          <w:color w:val="auto"/>
        </w:rPr>
        <w:t>：</w:t>
      </w:r>
    </w:p>
    <w:p w14:paraId="7BEFB17D">
      <w:pPr>
        <w:spacing w:line="480" w:lineRule="auto"/>
        <w:ind w:firstLine="422" w:firstLineChars="201"/>
        <w:jc w:val="left"/>
        <w:rPr>
          <w:color w:val="auto"/>
        </w:rPr>
      </w:pPr>
      <w:r>
        <w:rPr>
          <w:rFonts w:hint="eastAsia" w:hAnsi="宋体" w:cs="宋体"/>
          <w:color w:val="auto"/>
        </w:rPr>
        <w:t>根据桂建质</w:t>
      </w:r>
      <w:r>
        <w:rPr>
          <w:rFonts w:hAnsi="宋体" w:cs="宋体"/>
          <w:color w:val="auto"/>
        </w:rPr>
        <w:t>[2015]16</w:t>
      </w:r>
      <w:r>
        <w:rPr>
          <w:rFonts w:hint="eastAsia" w:hAnsi="宋体" w:cs="宋体"/>
          <w:color w:val="auto"/>
        </w:rPr>
        <w:t>号文件规定，我方在此向采购人承诺：</w:t>
      </w:r>
    </w:p>
    <w:p w14:paraId="75EB9C1E">
      <w:pPr>
        <w:spacing w:line="480" w:lineRule="auto"/>
        <w:ind w:left="-10" w:firstLine="455" w:firstLineChars="217"/>
        <w:jc w:val="left"/>
        <w:rPr>
          <w:color w:val="auto"/>
        </w:rPr>
      </w:pPr>
      <w:r>
        <w:rPr>
          <w:rFonts w:hAnsi="宋体" w:cs="宋体"/>
          <w:color w:val="auto"/>
        </w:rPr>
        <w:t>1</w:t>
      </w:r>
      <w:r>
        <w:rPr>
          <w:rFonts w:hint="eastAsia" w:hAnsi="宋体" w:cs="宋体"/>
          <w:color w:val="auto"/>
        </w:rPr>
        <w:t>、我方参与磋商的</w:t>
      </w:r>
      <w:r>
        <w:rPr>
          <w:rFonts w:hint="eastAsia" w:hAnsi="宋体" w:cs="宋体"/>
          <w:color w:val="auto"/>
          <w:u w:val="single"/>
        </w:rPr>
        <w:t xml:space="preserve">（工程名称） </w:t>
      </w:r>
      <w:r>
        <w:rPr>
          <w:rFonts w:hint="eastAsia" w:hAnsi="宋体" w:cs="宋体"/>
          <w:color w:val="auto"/>
        </w:rPr>
        <w:t>项目，一旦成交，我方保证在施工过程中，严格执行《广西壮族自治区建筑工程安全防护、文明施工措施费及使用管理细则》（桂建质</w:t>
      </w:r>
      <w:r>
        <w:rPr>
          <w:rFonts w:hAnsi="宋体" w:cs="宋体"/>
          <w:color w:val="auto"/>
        </w:rPr>
        <w:t>[2015]16</w:t>
      </w:r>
      <w:r>
        <w:rPr>
          <w:rFonts w:hint="eastAsia" w:hAnsi="宋体" w:cs="宋体"/>
          <w:color w:val="auto"/>
        </w:rPr>
        <w:t>号文）的有关规定，确保建设工程各项安全防护、文明施工措施落实到位。</w:t>
      </w:r>
    </w:p>
    <w:p w14:paraId="1DED3FF2">
      <w:pPr>
        <w:spacing w:line="480" w:lineRule="auto"/>
        <w:ind w:left="-10" w:firstLine="455" w:firstLineChars="217"/>
        <w:jc w:val="left"/>
        <w:rPr>
          <w:color w:val="auto"/>
        </w:rPr>
      </w:pPr>
      <w:r>
        <w:rPr>
          <w:rFonts w:hAnsi="宋体" w:cs="宋体"/>
          <w:color w:val="auto"/>
        </w:rPr>
        <w:t>2</w:t>
      </w:r>
      <w:r>
        <w:rPr>
          <w:rFonts w:hint="eastAsia" w:hAnsi="宋体" w:cs="宋体"/>
          <w:color w:val="auto"/>
        </w:rPr>
        <w:t>、如我方在承包的</w:t>
      </w:r>
      <w:r>
        <w:rPr>
          <w:rFonts w:hint="eastAsia" w:hAnsi="宋体" w:cs="宋体"/>
          <w:color w:val="auto"/>
          <w:u w:val="single"/>
        </w:rPr>
        <w:t>（工程名称）</w:t>
      </w:r>
      <w:r>
        <w:rPr>
          <w:rFonts w:hint="eastAsia" w:hAnsi="宋体" w:cs="宋体"/>
          <w:color w:val="auto"/>
        </w:rPr>
        <w:t>项目中出现未按桂建质</w:t>
      </w:r>
      <w:r>
        <w:rPr>
          <w:rFonts w:hAnsi="宋体" w:cs="宋体"/>
          <w:color w:val="auto"/>
        </w:rPr>
        <w:t>[2015]16</w:t>
      </w:r>
      <w:r>
        <w:rPr>
          <w:rFonts w:hint="eastAsia" w:hAnsi="宋体" w:cs="宋体"/>
          <w:color w:val="auto"/>
        </w:rPr>
        <w:t>号文附件一规定执行的情形，我方愿意按照相关规定接受采购人及有关主管部门的处罚。</w:t>
      </w:r>
    </w:p>
    <w:p w14:paraId="3713291D">
      <w:pPr>
        <w:spacing w:line="360" w:lineRule="auto"/>
        <w:ind w:left="-2" w:leftChars="-1" w:firstLine="449" w:firstLineChars="214"/>
        <w:jc w:val="left"/>
        <w:rPr>
          <w:color w:val="auto"/>
        </w:rPr>
      </w:pPr>
    </w:p>
    <w:p w14:paraId="231AF367">
      <w:pPr>
        <w:spacing w:line="360" w:lineRule="auto"/>
        <w:jc w:val="left"/>
        <w:rPr>
          <w:color w:val="auto"/>
        </w:rPr>
      </w:pPr>
    </w:p>
    <w:p w14:paraId="49840500">
      <w:pPr>
        <w:spacing w:line="360" w:lineRule="auto"/>
        <w:jc w:val="left"/>
        <w:rPr>
          <w:color w:val="auto"/>
        </w:rPr>
      </w:pPr>
    </w:p>
    <w:p w14:paraId="454E12BD">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7CE9FC4">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1F3CC33E">
      <w:pPr>
        <w:spacing w:line="520" w:lineRule="exact"/>
        <w:ind w:left="-10" w:firstLine="455" w:firstLineChars="217"/>
        <w:jc w:val="left"/>
        <w:rPr>
          <w:color w:val="auto"/>
        </w:rPr>
      </w:pPr>
    </w:p>
    <w:p w14:paraId="109F56EC">
      <w:pPr>
        <w:spacing w:line="520" w:lineRule="exact"/>
        <w:ind w:left="-10" w:firstLine="455" w:firstLineChars="217"/>
        <w:jc w:val="left"/>
        <w:rPr>
          <w:color w:val="auto"/>
        </w:rPr>
      </w:pPr>
    </w:p>
    <w:p w14:paraId="1BAC2139">
      <w:pPr>
        <w:spacing w:line="520" w:lineRule="exact"/>
        <w:ind w:left="-10" w:firstLine="455" w:firstLineChars="217"/>
        <w:jc w:val="left"/>
        <w:rPr>
          <w:color w:val="auto"/>
        </w:rPr>
      </w:pPr>
    </w:p>
    <w:p w14:paraId="7EB7977E">
      <w:pPr>
        <w:spacing w:line="520" w:lineRule="exact"/>
        <w:ind w:left="-10" w:firstLine="455" w:firstLineChars="217"/>
        <w:jc w:val="left"/>
        <w:rPr>
          <w:color w:val="auto"/>
        </w:rPr>
      </w:pPr>
    </w:p>
    <w:p w14:paraId="0499DBCD">
      <w:pPr>
        <w:spacing w:line="520" w:lineRule="exact"/>
        <w:ind w:left="-10" w:firstLine="455" w:firstLineChars="217"/>
        <w:jc w:val="left"/>
        <w:rPr>
          <w:color w:val="auto"/>
        </w:rPr>
      </w:pPr>
    </w:p>
    <w:p w14:paraId="439BA16B">
      <w:pPr>
        <w:spacing w:line="520" w:lineRule="exact"/>
        <w:ind w:left="-10" w:firstLine="455" w:firstLineChars="217"/>
        <w:jc w:val="left"/>
        <w:rPr>
          <w:color w:val="auto"/>
        </w:rPr>
      </w:pPr>
      <w:r>
        <w:rPr>
          <w:color w:val="auto"/>
        </w:rPr>
        <w:br w:type="page"/>
      </w:r>
      <w:bookmarkEnd w:id="164"/>
      <w:bookmarkEnd w:id="165"/>
      <w:bookmarkEnd w:id="166"/>
      <w:r>
        <w:rPr>
          <w:rFonts w:hint="eastAsia" w:ascii="宋体" w:hAnsi="宋体"/>
          <w:b/>
          <w:color w:val="auto"/>
          <w:sz w:val="24"/>
        </w:rPr>
        <w:t>格式</w:t>
      </w:r>
      <w:r>
        <w:rPr>
          <w:rFonts w:hint="eastAsia" w:ascii="宋体" w:hAnsi="宋体"/>
          <w:b/>
          <w:color w:val="auto"/>
          <w:sz w:val="24"/>
          <w:lang w:val="en-US" w:eastAsia="zh-CN"/>
        </w:rPr>
        <w:t>八</w:t>
      </w:r>
      <w:r>
        <w:rPr>
          <w:rFonts w:hint="eastAsia" w:ascii="宋体" w:hAnsi="宋体"/>
          <w:b/>
          <w:color w:val="auto"/>
          <w:sz w:val="24"/>
        </w:rPr>
        <w:t>：</w:t>
      </w:r>
    </w:p>
    <w:p w14:paraId="1F82D7C0">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中小企业声明函</w:t>
      </w:r>
    </w:p>
    <w:p w14:paraId="18B032CD">
      <w:pPr>
        <w:spacing w:line="520" w:lineRule="exact"/>
        <w:rPr>
          <w:rFonts w:ascii="仿宋_GB2312" w:hAnsi="仿宋_GB2312" w:eastAsia="仿宋_GB2312" w:cs="仿宋_GB2312"/>
          <w:color w:val="auto"/>
          <w:sz w:val="32"/>
          <w:szCs w:val="32"/>
        </w:rPr>
      </w:pPr>
    </w:p>
    <w:p w14:paraId="5BD70A64">
      <w:pPr>
        <w:autoSpaceDE w:val="0"/>
        <w:autoSpaceDN w:val="0"/>
        <w:adjustRightInd w:val="0"/>
        <w:jc w:val="center"/>
        <w:rPr>
          <w:rFonts w:ascii="宋体" w:hAnsi="宋体" w:cs="宋体"/>
          <w:color w:val="auto"/>
          <w:kern w:val="0"/>
          <w:szCs w:val="21"/>
        </w:rPr>
      </w:pPr>
    </w:p>
    <w:p w14:paraId="343FBCE8">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本公司（联合体）郑重声明，根据《政府采购促进中小企业发展管理办法》（财库</w:t>
      </w:r>
      <w:r>
        <w:rPr>
          <w:rFonts w:hint="eastAsia" w:ascii="宋体" w:hAnsi="宋体" w:cs="宋体"/>
          <w:color w:val="auto"/>
          <w:kern w:val="0"/>
          <w:sz w:val="24"/>
        </w:rPr>
        <w:t>﹝</w:t>
      </w:r>
      <w:r>
        <w:rPr>
          <w:rFonts w:ascii="宋体" w:hAnsi="宋体" w:cs="仿宋"/>
          <w:color w:val="auto"/>
          <w:kern w:val="0"/>
          <w:sz w:val="24"/>
        </w:rPr>
        <w:t>2020</w:t>
      </w:r>
      <w:r>
        <w:rPr>
          <w:rFonts w:hint="eastAsia" w:ascii="宋体" w:hAnsi="宋体" w:cs="宋体"/>
          <w:color w:val="auto"/>
          <w:kern w:val="0"/>
          <w:sz w:val="24"/>
        </w:rPr>
        <w:t>﹞</w:t>
      </w:r>
      <w:r>
        <w:rPr>
          <w:rFonts w:ascii="宋体" w:hAnsi="宋体" w:cs="仿宋"/>
          <w:color w:val="auto"/>
          <w:kern w:val="0"/>
          <w:sz w:val="24"/>
        </w:rPr>
        <w:t xml:space="preserve">46 </w:t>
      </w:r>
      <w:r>
        <w:rPr>
          <w:rFonts w:hint="eastAsia" w:ascii="宋体" w:hAnsi="宋体" w:cs="仿宋"/>
          <w:color w:val="auto"/>
          <w:kern w:val="0"/>
          <w:sz w:val="24"/>
        </w:rPr>
        <w:t>号）的规定，本公司（联合体）参加</w:t>
      </w:r>
      <w:r>
        <w:rPr>
          <w:rFonts w:hint="eastAsia" w:ascii="宋体" w:hAnsi="宋体" w:cs="仿宋"/>
          <w:color w:val="auto"/>
          <w:kern w:val="0"/>
          <w:sz w:val="24"/>
          <w:u w:val="single"/>
        </w:rPr>
        <w:t>（单位名称）</w:t>
      </w:r>
      <w:r>
        <w:rPr>
          <w:rFonts w:hint="eastAsia" w:ascii="宋体" w:hAnsi="宋体" w:cs="仿宋"/>
          <w:color w:val="auto"/>
          <w:kern w:val="0"/>
          <w:sz w:val="24"/>
        </w:rPr>
        <w:t>的</w:t>
      </w:r>
      <w:r>
        <w:rPr>
          <w:rFonts w:hint="eastAsia" w:ascii="宋体" w:hAnsi="宋体" w:cs="仿宋"/>
          <w:color w:val="auto"/>
          <w:kern w:val="0"/>
          <w:sz w:val="24"/>
          <w:u w:val="single"/>
        </w:rPr>
        <w:t>（项目名称）</w:t>
      </w:r>
      <w:r>
        <w:rPr>
          <w:rFonts w:hint="eastAsia" w:ascii="宋体" w:hAnsi="宋体" w:cs="仿宋"/>
          <w:color w:val="auto"/>
          <w:kern w:val="0"/>
          <w:sz w:val="24"/>
        </w:rPr>
        <w:t>采购活动，工程的施工单位全部由符合政策要求的中小企业承接。相关企业（含联合体中的中小企业、签订分包意向协议的中小企业）的具体情况如下：</w:t>
      </w:r>
    </w:p>
    <w:p w14:paraId="066383E9">
      <w:pPr>
        <w:autoSpaceDE w:val="0"/>
        <w:autoSpaceDN w:val="0"/>
        <w:adjustRightInd w:val="0"/>
        <w:spacing w:line="360" w:lineRule="auto"/>
        <w:ind w:firstLine="484" w:firstLineChars="202"/>
        <w:jc w:val="left"/>
        <w:rPr>
          <w:rFonts w:ascii="宋体" w:hAnsi="宋体" w:cs="仿宋"/>
          <w:color w:val="auto"/>
          <w:kern w:val="0"/>
          <w:sz w:val="24"/>
        </w:rPr>
      </w:pPr>
      <w:r>
        <w:rPr>
          <w:rFonts w:ascii="宋体" w:hAnsi="宋体" w:cs="仿宋"/>
          <w:color w:val="auto"/>
          <w:kern w:val="0"/>
          <w:sz w:val="24"/>
        </w:rPr>
        <w:t xml:space="preserve">1. </w:t>
      </w:r>
      <w:r>
        <w:rPr>
          <w:rFonts w:hint="eastAsia" w:ascii="宋体" w:hAnsi="宋体" w:cs="仿宋"/>
          <w:color w:val="auto"/>
          <w:kern w:val="0"/>
          <w:sz w:val="24"/>
          <w:u w:val="single"/>
        </w:rPr>
        <w:t>（标的名称）</w:t>
      </w:r>
      <w:r>
        <w:rPr>
          <w:rFonts w:hint="eastAsia" w:ascii="宋体" w:hAnsi="宋体" w:cs="仿宋"/>
          <w:color w:val="auto"/>
          <w:kern w:val="0"/>
          <w:sz w:val="24"/>
        </w:rPr>
        <w:t>，属于</w:t>
      </w:r>
      <w:r>
        <w:rPr>
          <w:rFonts w:hint="eastAsia" w:ascii="宋体" w:hAnsi="宋体" w:cs="仿宋"/>
          <w:color w:val="auto"/>
          <w:kern w:val="0"/>
          <w:sz w:val="24"/>
          <w:u w:val="single"/>
        </w:rPr>
        <w:t>（竞争性磋商文件中明确的所属行业）</w:t>
      </w:r>
      <w:r>
        <w:rPr>
          <w:rFonts w:hint="eastAsia" w:ascii="宋体" w:hAnsi="宋体" w:cs="仿宋"/>
          <w:color w:val="auto"/>
          <w:kern w:val="0"/>
          <w:sz w:val="24"/>
        </w:rPr>
        <w:t>；承建（承接）单位为</w:t>
      </w:r>
      <w:r>
        <w:rPr>
          <w:rFonts w:hint="eastAsia" w:ascii="宋体" w:hAnsi="宋体" w:cs="仿宋"/>
          <w:color w:val="auto"/>
          <w:kern w:val="0"/>
          <w:sz w:val="24"/>
          <w:u w:val="single"/>
        </w:rPr>
        <w:t>（企业名称）</w:t>
      </w:r>
      <w:r>
        <w:rPr>
          <w:rFonts w:hint="eastAsia" w:ascii="宋体" w:hAnsi="宋体" w:cs="仿宋"/>
          <w:color w:val="auto"/>
          <w:kern w:val="0"/>
          <w:sz w:val="24"/>
        </w:rPr>
        <w:t>，从业人员</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人，营业收入为</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37273EE6">
      <w:pPr>
        <w:autoSpaceDE w:val="0"/>
        <w:autoSpaceDN w:val="0"/>
        <w:adjustRightInd w:val="0"/>
        <w:spacing w:line="360" w:lineRule="auto"/>
        <w:ind w:firstLine="484" w:firstLineChars="202"/>
        <w:jc w:val="left"/>
        <w:rPr>
          <w:rFonts w:ascii="宋体" w:hAnsi="宋体" w:cs="仿宋"/>
          <w:color w:val="auto"/>
          <w:kern w:val="0"/>
          <w:sz w:val="24"/>
        </w:rPr>
      </w:pPr>
      <w:r>
        <w:rPr>
          <w:rFonts w:ascii="宋体" w:hAnsi="宋体" w:cs="仿宋"/>
          <w:color w:val="auto"/>
          <w:kern w:val="0"/>
          <w:sz w:val="24"/>
        </w:rPr>
        <w:t xml:space="preserve">2. </w:t>
      </w:r>
      <w:r>
        <w:rPr>
          <w:rFonts w:hint="eastAsia" w:ascii="宋体" w:hAnsi="宋体" w:cs="仿宋"/>
          <w:color w:val="auto"/>
          <w:kern w:val="0"/>
          <w:sz w:val="24"/>
          <w:u w:val="single"/>
        </w:rPr>
        <w:t>（标的名称）</w:t>
      </w:r>
      <w:r>
        <w:rPr>
          <w:rFonts w:hint="eastAsia" w:ascii="宋体" w:hAnsi="宋体" w:cs="仿宋"/>
          <w:color w:val="auto"/>
          <w:kern w:val="0"/>
          <w:sz w:val="24"/>
        </w:rPr>
        <w:t>，属于</w:t>
      </w:r>
      <w:r>
        <w:rPr>
          <w:rFonts w:hint="eastAsia" w:ascii="宋体" w:hAnsi="宋体" w:cs="仿宋"/>
          <w:color w:val="auto"/>
          <w:kern w:val="0"/>
          <w:sz w:val="24"/>
          <w:u w:val="single"/>
        </w:rPr>
        <w:t>（竞争性磋商文件中明确的所属行业）</w:t>
      </w:r>
      <w:r>
        <w:rPr>
          <w:rFonts w:hint="eastAsia" w:ascii="宋体" w:hAnsi="宋体" w:cs="仿宋"/>
          <w:color w:val="auto"/>
          <w:kern w:val="0"/>
          <w:sz w:val="24"/>
        </w:rPr>
        <w:t>；承建（承接）单位为</w:t>
      </w:r>
      <w:r>
        <w:rPr>
          <w:rFonts w:hint="eastAsia" w:ascii="宋体" w:hAnsi="宋体" w:cs="仿宋"/>
          <w:color w:val="auto"/>
          <w:kern w:val="0"/>
          <w:sz w:val="24"/>
          <w:u w:val="single"/>
        </w:rPr>
        <w:t>（企业名称）</w:t>
      </w:r>
      <w:r>
        <w:rPr>
          <w:rFonts w:hint="eastAsia" w:ascii="宋体" w:hAnsi="宋体" w:cs="仿宋"/>
          <w:color w:val="auto"/>
          <w:kern w:val="0"/>
          <w:sz w:val="24"/>
        </w:rPr>
        <w:t>，从业人员人，营业收入为万元，资产总额为万元，属于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54C18518">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w:t>
      </w:r>
    </w:p>
    <w:p w14:paraId="6C1B0696">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以上企业，不属于大企业的分支机构，不存在控股股东为大企业的情形，也不存在与大企业的负责人为同一人的情形。</w:t>
      </w:r>
    </w:p>
    <w:p w14:paraId="3A0D8D93">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本企业对上述声明内容的真实性负责。如有虚假，将依法承担相应责任。</w:t>
      </w:r>
    </w:p>
    <w:p w14:paraId="1B6463BF">
      <w:pPr>
        <w:autoSpaceDE w:val="0"/>
        <w:autoSpaceDN w:val="0"/>
        <w:adjustRightInd w:val="0"/>
        <w:spacing w:line="360" w:lineRule="auto"/>
        <w:ind w:firstLine="484" w:firstLineChars="202"/>
        <w:jc w:val="left"/>
        <w:rPr>
          <w:rFonts w:ascii="宋体" w:hAnsi="宋体" w:cs="仿宋"/>
          <w:color w:val="auto"/>
          <w:kern w:val="0"/>
          <w:sz w:val="24"/>
        </w:rPr>
      </w:pPr>
    </w:p>
    <w:p w14:paraId="1302D12B">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6F547235">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44A28367">
      <w:pPr>
        <w:spacing w:line="360" w:lineRule="auto"/>
        <w:ind w:firstLine="405"/>
        <w:jc w:val="left"/>
        <w:rPr>
          <w:rFonts w:ascii="宋体" w:hAnsi="宋体" w:cs="宋体"/>
          <w:color w:val="auto"/>
          <w:kern w:val="0"/>
          <w:szCs w:val="21"/>
        </w:rPr>
      </w:pPr>
    </w:p>
    <w:p w14:paraId="4E82B5D8">
      <w:pPr>
        <w:spacing w:line="360" w:lineRule="auto"/>
        <w:ind w:firstLine="405"/>
        <w:jc w:val="left"/>
        <w:rPr>
          <w:rFonts w:ascii="宋体" w:hAnsi="宋体" w:cs="宋体"/>
          <w:color w:val="auto"/>
          <w:kern w:val="0"/>
          <w:szCs w:val="21"/>
        </w:rPr>
      </w:pPr>
    </w:p>
    <w:p w14:paraId="205797E4">
      <w:pPr>
        <w:rPr>
          <w:rFonts w:ascii="宋体" w:hAnsi="宋体"/>
          <w:color w:val="auto"/>
          <w:sz w:val="24"/>
        </w:rPr>
      </w:pPr>
    </w:p>
    <w:p w14:paraId="688552AD">
      <w:pPr>
        <w:pStyle w:val="13"/>
        <w:rPr>
          <w:rFonts w:hAnsi="宋体"/>
          <w:b/>
          <w:color w:val="auto"/>
          <w:sz w:val="28"/>
          <w:szCs w:val="28"/>
        </w:rPr>
      </w:pPr>
      <w:r>
        <w:rPr>
          <w:rFonts w:hint="eastAsia" w:ascii="宋体" w:hAnsi="宋体"/>
          <w:color w:val="auto"/>
          <w:sz w:val="24"/>
        </w:rPr>
        <w:t>注：请根据国家统计局《统计上大中小微型企业划分办法（2017）》</w:t>
      </w:r>
      <w:r>
        <w:rPr>
          <w:rFonts w:hint="eastAsia" w:ascii="宋体" w:hAnsi="宋体" w:cs="宋体"/>
          <w:color w:val="auto"/>
          <w:sz w:val="24"/>
        </w:rPr>
        <w:t>及</w:t>
      </w:r>
      <w:r>
        <w:rPr>
          <w:rFonts w:hint="eastAsia" w:ascii="宋体" w:hAnsi="宋体"/>
          <w:color w:val="auto"/>
          <w:sz w:val="24"/>
        </w:rPr>
        <w:t>自己的真实情况出具《中小企业声明函》。依法享受中小企业优惠政策的，采购人或者采购代理机构在公告成交结果时，同时公告其《中小企业声明函》须真实有效，接受社会监督。</w:t>
      </w:r>
      <w:r>
        <w:rPr>
          <w:color w:val="auto"/>
        </w:rPr>
        <w:br w:type="page"/>
      </w:r>
      <w:r>
        <w:rPr>
          <w:rFonts w:hint="eastAsia" w:hAnsi="宋体"/>
          <w:b/>
          <w:color w:val="auto"/>
          <w:sz w:val="24"/>
        </w:rPr>
        <w:t>格式</w:t>
      </w:r>
      <w:r>
        <w:rPr>
          <w:rFonts w:hint="eastAsia" w:hAnsi="宋体"/>
          <w:b/>
          <w:color w:val="auto"/>
          <w:sz w:val="24"/>
          <w:lang w:val="en-US" w:eastAsia="zh-CN"/>
        </w:rPr>
        <w:t>九</w:t>
      </w:r>
      <w:r>
        <w:rPr>
          <w:rFonts w:hint="eastAsia" w:hAnsi="宋体"/>
          <w:b/>
          <w:color w:val="auto"/>
          <w:sz w:val="24"/>
        </w:rPr>
        <w:t>：</w:t>
      </w:r>
    </w:p>
    <w:p w14:paraId="7B397140">
      <w:pPr>
        <w:pStyle w:val="24"/>
        <w:spacing w:line="500" w:lineRule="exact"/>
        <w:jc w:val="center"/>
        <w:rPr>
          <w:rFonts w:ascii="Times New Roman" w:hAnsi="宋体"/>
          <w:b/>
          <w:color w:val="auto"/>
          <w:sz w:val="28"/>
          <w:szCs w:val="28"/>
        </w:rPr>
      </w:pPr>
      <w:r>
        <w:rPr>
          <w:rFonts w:hint="eastAsia" w:ascii="Times New Roman" w:hAnsi="宋体"/>
          <w:b/>
          <w:color w:val="auto"/>
          <w:sz w:val="28"/>
          <w:szCs w:val="28"/>
        </w:rPr>
        <w:t xml:space="preserve">残疾人福利性单位声明函 </w:t>
      </w:r>
    </w:p>
    <w:p w14:paraId="1A8A61A9">
      <w:pPr>
        <w:pStyle w:val="24"/>
        <w:spacing w:line="500" w:lineRule="exact"/>
        <w:ind w:firstLine="600" w:firstLineChars="250"/>
        <w:rPr>
          <w:rFonts w:hAnsi="宋体"/>
          <w:color w:val="auto"/>
          <w:sz w:val="24"/>
          <w:szCs w:val="24"/>
        </w:rPr>
      </w:pPr>
    </w:p>
    <w:p w14:paraId="293521E4">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本单位郑重声明，根据《财政部 民政部 中国残疾人联合会关于促进残疾人就业政府采购政策的通知》（财库</w:t>
      </w:r>
      <w:r>
        <w:rPr>
          <w:rFonts w:hint="eastAsia" w:ascii="宋体" w:hAnsi="宋体"/>
          <w:color w:val="auto"/>
          <w:szCs w:val="21"/>
        </w:rPr>
        <w:t>〔2017〕 141</w:t>
      </w:r>
      <w:r>
        <w:rPr>
          <w:rFonts w:hint="eastAsia" w:ascii="宋体" w:hAnsi="宋体"/>
          <w:color w:val="auto"/>
          <w:spacing w:val="6"/>
          <w:szCs w:val="21"/>
        </w:rPr>
        <w:t>号）的规定，本单位为</w:t>
      </w:r>
      <w:r>
        <w:rPr>
          <w:rFonts w:hint="eastAsia" w:ascii="宋体" w:hAnsi="宋体"/>
          <w:color w:val="auto"/>
          <w:spacing w:val="6"/>
          <w:szCs w:val="21"/>
          <w:u w:val="single"/>
        </w:rPr>
        <w:t>(符合/不符合)</w:t>
      </w:r>
      <w:r>
        <w:rPr>
          <w:rFonts w:hint="eastAsia" w:ascii="宋体" w:hAnsi="宋体"/>
          <w:color w:val="auto"/>
          <w:spacing w:val="6"/>
          <w:szCs w:val="21"/>
        </w:rPr>
        <w:t>条件的残疾人福利性单位，且本单位参加</w:t>
      </w:r>
      <w:r>
        <w:rPr>
          <w:rFonts w:hint="eastAsia" w:ascii="宋体" w:hAnsi="宋体"/>
          <w:color w:val="auto"/>
          <w:szCs w:val="21"/>
          <w:u w:val="single"/>
        </w:rPr>
        <w:t xml:space="preserve">  （采购人名称）     </w:t>
      </w:r>
      <w:r>
        <w:rPr>
          <w:rFonts w:hint="eastAsia" w:ascii="宋体" w:hAnsi="宋体"/>
          <w:color w:val="auto"/>
          <w:spacing w:val="6"/>
          <w:szCs w:val="21"/>
        </w:rPr>
        <w:t>单位的</w:t>
      </w:r>
      <w:r>
        <w:rPr>
          <w:rFonts w:hint="eastAsia" w:ascii="宋体" w:hAnsi="宋体"/>
          <w:color w:val="auto"/>
          <w:szCs w:val="21"/>
          <w:u w:val="single"/>
        </w:rPr>
        <w:t xml:space="preserve">      （项目名称）         </w:t>
      </w:r>
      <w:r>
        <w:rPr>
          <w:rFonts w:hint="eastAsia" w:ascii="宋体" w:hAnsi="宋体"/>
          <w:color w:val="auto"/>
          <w:spacing w:val="6"/>
          <w:szCs w:val="21"/>
        </w:rPr>
        <w:t>项目采购活动提供本单位制造的工程（由本单位承担工程/提供服务），或者提供其他残疾人福利性单位制造的工程（不包括使用非残疾人福利性单位注册商标的工程）。</w:t>
      </w:r>
    </w:p>
    <w:p w14:paraId="0C3DDCE7">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本单位对上述声明的真实性负责。如有虚假，将依法承担相应责任。</w:t>
      </w:r>
    </w:p>
    <w:p w14:paraId="261B0FA7">
      <w:pPr>
        <w:spacing w:line="588" w:lineRule="exact"/>
        <w:ind w:firstLine="444" w:firstLineChars="200"/>
        <w:rPr>
          <w:rFonts w:ascii="宋体" w:hAnsi="宋体"/>
          <w:color w:val="auto"/>
          <w:spacing w:val="6"/>
          <w:szCs w:val="21"/>
        </w:rPr>
      </w:pPr>
    </w:p>
    <w:p w14:paraId="4AC3B924">
      <w:pPr>
        <w:spacing w:line="588" w:lineRule="exact"/>
        <w:ind w:firstLine="444" w:firstLineChars="200"/>
        <w:rPr>
          <w:rFonts w:ascii="宋体" w:hAnsi="宋体"/>
          <w:color w:val="auto"/>
          <w:spacing w:val="6"/>
          <w:szCs w:val="21"/>
        </w:rPr>
      </w:pPr>
    </w:p>
    <w:p w14:paraId="2A156E4F">
      <w:pPr>
        <w:keepNext w:val="0"/>
        <w:keepLines w:val="0"/>
        <w:pageBreakBefore w:val="0"/>
        <w:widowControl/>
        <w:suppressLineNumbers w:val="0"/>
        <w:kinsoku/>
        <w:wordWrap/>
        <w:overflowPunct/>
        <w:topLinePunct w:val="0"/>
        <w:autoSpaceDE/>
        <w:autoSpaceDN/>
        <w:bidi w:val="0"/>
        <w:adjustRightInd/>
        <w:snapToGrid/>
        <w:spacing w:line="440" w:lineRule="exact"/>
        <w:ind w:firstLine="3330" w:firstLineChars="1500"/>
        <w:jc w:val="left"/>
        <w:textAlignment w:val="auto"/>
        <w:rPr>
          <w:rFonts w:hint="eastAsia" w:ascii="仿宋_GB2312" w:hAnsi="仿宋_GB2312" w:eastAsia="仿宋_GB2312" w:cs="仿宋_GB2312"/>
          <w:color w:val="auto"/>
          <w:sz w:val="21"/>
          <w:szCs w:val="21"/>
        </w:rPr>
      </w:pPr>
      <w:r>
        <w:rPr>
          <w:rFonts w:hint="eastAsia" w:ascii="宋体" w:hAnsi="宋体"/>
          <w:color w:val="auto"/>
          <w:spacing w:val="6"/>
          <w:szCs w:val="21"/>
        </w:rPr>
        <w:t xml:space="preserve">           　　   </w:t>
      </w: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19E4A121">
      <w:pPr>
        <w:keepNext w:val="0"/>
        <w:keepLines w:val="0"/>
        <w:pageBreakBefore w:val="0"/>
        <w:tabs>
          <w:tab w:val="left" w:pos="7560"/>
        </w:tabs>
        <w:kinsoku/>
        <w:wordWrap/>
        <w:overflowPunct/>
        <w:topLinePunct w:val="0"/>
        <w:autoSpaceDE/>
        <w:autoSpaceDN/>
        <w:bidi w:val="0"/>
        <w:adjustRightInd/>
        <w:snapToGrid/>
        <w:spacing w:line="440" w:lineRule="exact"/>
        <w:ind w:firstLine="6720" w:firstLineChars="32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3EA3481">
      <w:pPr>
        <w:tabs>
          <w:tab w:val="left" w:pos="4860"/>
        </w:tabs>
        <w:spacing w:line="588" w:lineRule="exact"/>
        <w:ind w:right="1560" w:firstLine="444" w:firstLineChars="200"/>
        <w:jc w:val="center"/>
        <w:rPr>
          <w:rFonts w:ascii="宋体" w:hAnsi="宋体"/>
          <w:color w:val="auto"/>
          <w:spacing w:val="6"/>
          <w:szCs w:val="21"/>
        </w:rPr>
      </w:pPr>
    </w:p>
    <w:p w14:paraId="0CA18392">
      <w:pPr>
        <w:pStyle w:val="24"/>
        <w:spacing w:line="500" w:lineRule="exact"/>
        <w:rPr>
          <w:rFonts w:hAnsi="宋体"/>
          <w:b/>
          <w:color w:val="auto"/>
        </w:rPr>
      </w:pPr>
    </w:p>
    <w:p w14:paraId="34A7E3AA">
      <w:pPr>
        <w:pStyle w:val="24"/>
        <w:spacing w:line="500" w:lineRule="exact"/>
        <w:rPr>
          <w:rFonts w:hAnsi="宋体"/>
          <w:b/>
          <w:color w:val="auto"/>
        </w:rPr>
      </w:pPr>
    </w:p>
    <w:p w14:paraId="5CDAB1A9">
      <w:pPr>
        <w:pStyle w:val="24"/>
        <w:spacing w:line="500" w:lineRule="exact"/>
        <w:rPr>
          <w:rFonts w:hAnsi="宋体"/>
          <w:b/>
          <w:color w:val="auto"/>
        </w:rPr>
      </w:pPr>
    </w:p>
    <w:p w14:paraId="01E5362D">
      <w:pPr>
        <w:pStyle w:val="24"/>
        <w:spacing w:line="500" w:lineRule="exact"/>
        <w:rPr>
          <w:rFonts w:hAnsi="宋体"/>
          <w:b/>
          <w:color w:val="auto"/>
        </w:rPr>
      </w:pPr>
    </w:p>
    <w:p w14:paraId="63A63395">
      <w:pPr>
        <w:pStyle w:val="24"/>
        <w:spacing w:line="500" w:lineRule="exact"/>
        <w:rPr>
          <w:rFonts w:hAnsi="宋体"/>
          <w:b/>
          <w:color w:val="auto"/>
        </w:rPr>
      </w:pPr>
    </w:p>
    <w:p w14:paraId="42A5CC5E">
      <w:pPr>
        <w:pStyle w:val="24"/>
        <w:spacing w:line="500" w:lineRule="exact"/>
        <w:rPr>
          <w:rFonts w:hAnsi="宋体"/>
          <w:b/>
          <w:color w:val="auto"/>
        </w:rPr>
      </w:pPr>
    </w:p>
    <w:p w14:paraId="5CC7F1A6">
      <w:pPr>
        <w:pStyle w:val="24"/>
        <w:spacing w:line="500" w:lineRule="exact"/>
        <w:rPr>
          <w:rFonts w:hAnsi="宋体"/>
          <w:b/>
          <w:color w:val="auto"/>
        </w:rPr>
      </w:pPr>
    </w:p>
    <w:p w14:paraId="5A1CC021">
      <w:pPr>
        <w:pStyle w:val="24"/>
        <w:spacing w:line="500" w:lineRule="exact"/>
        <w:rPr>
          <w:rFonts w:hAnsi="宋体"/>
          <w:b/>
          <w:color w:val="auto"/>
        </w:rPr>
      </w:pPr>
    </w:p>
    <w:p w14:paraId="64E22CE2">
      <w:pPr>
        <w:pStyle w:val="24"/>
        <w:spacing w:line="500" w:lineRule="exact"/>
        <w:rPr>
          <w:rFonts w:hAnsi="宋体"/>
          <w:b/>
          <w:color w:val="auto"/>
        </w:rPr>
      </w:pPr>
    </w:p>
    <w:p w14:paraId="614A7EC4">
      <w:pPr>
        <w:pStyle w:val="24"/>
        <w:spacing w:line="500" w:lineRule="exact"/>
        <w:rPr>
          <w:rFonts w:hAnsi="宋体"/>
          <w:b/>
          <w:color w:val="auto"/>
        </w:rPr>
      </w:pPr>
    </w:p>
    <w:p w14:paraId="6D25F8FC">
      <w:pPr>
        <w:pStyle w:val="24"/>
        <w:spacing w:line="500" w:lineRule="exact"/>
        <w:rPr>
          <w:rFonts w:hAnsi="宋体"/>
          <w:b/>
          <w:color w:val="auto"/>
        </w:rPr>
      </w:pPr>
    </w:p>
    <w:p w14:paraId="2730C8BB">
      <w:pPr>
        <w:pStyle w:val="24"/>
        <w:spacing w:line="500" w:lineRule="exact"/>
        <w:rPr>
          <w:rFonts w:hAnsi="宋体"/>
          <w:b/>
          <w:color w:val="auto"/>
        </w:rPr>
      </w:pPr>
    </w:p>
    <w:p w14:paraId="608634BE">
      <w:pPr>
        <w:pStyle w:val="24"/>
        <w:spacing w:line="500" w:lineRule="exact"/>
        <w:rPr>
          <w:rFonts w:hAnsi="宋体"/>
          <w:b/>
          <w:color w:val="auto"/>
        </w:rPr>
      </w:pPr>
    </w:p>
    <w:p w14:paraId="3CFB23F7">
      <w:pPr>
        <w:spacing w:line="360" w:lineRule="exact"/>
        <w:rPr>
          <w:rFonts w:ascii="宋体" w:hAnsi="宋体" w:cs="宋体"/>
          <w:color w:val="auto"/>
        </w:rPr>
      </w:pPr>
    </w:p>
    <w:p w14:paraId="63E17DED">
      <w:pPr>
        <w:spacing w:line="360" w:lineRule="exact"/>
        <w:rPr>
          <w:rFonts w:ascii="宋体" w:hAnsi="宋体" w:cs="宋体"/>
          <w:color w:val="auto"/>
        </w:rPr>
      </w:pPr>
      <w:r>
        <w:rPr>
          <w:rFonts w:hint="eastAsia" w:ascii="宋体" w:hAnsi="宋体"/>
          <w:b/>
          <w:color w:val="auto"/>
          <w:sz w:val="24"/>
        </w:rPr>
        <w:t>格式</w:t>
      </w:r>
      <w:r>
        <w:rPr>
          <w:rFonts w:hint="eastAsia" w:hAnsi="宋体"/>
          <w:b/>
          <w:color w:val="auto"/>
          <w:sz w:val="24"/>
          <w:lang w:val="en-US" w:eastAsia="zh-CN"/>
        </w:rPr>
        <w:t>十</w:t>
      </w:r>
      <w:r>
        <w:rPr>
          <w:rFonts w:hint="eastAsia" w:ascii="宋体" w:hAnsi="宋体"/>
          <w:b/>
          <w:color w:val="auto"/>
          <w:sz w:val="24"/>
        </w:rPr>
        <w:t>：</w:t>
      </w:r>
    </w:p>
    <w:p w14:paraId="534D493B">
      <w:pPr>
        <w:adjustRightInd w:val="0"/>
        <w:spacing w:line="300" w:lineRule="auto"/>
        <w:jc w:val="center"/>
        <w:rPr>
          <w:rFonts w:ascii="宋体" w:hAnsi="宋体" w:cs="宋体"/>
          <w:b/>
          <w:color w:val="auto"/>
          <w:sz w:val="24"/>
        </w:rPr>
      </w:pPr>
      <w:r>
        <w:rPr>
          <w:rFonts w:hint="eastAsia" w:ascii="宋体" w:hAnsi="宋体" w:cs="宋体"/>
          <w:b/>
          <w:color w:val="auto"/>
          <w:sz w:val="24"/>
        </w:rPr>
        <w:t>（一）项目管理机构配备情况表</w:t>
      </w:r>
    </w:p>
    <w:tbl>
      <w:tblPr>
        <w:tblStyle w:val="45"/>
        <w:tblW w:w="0" w:type="auto"/>
        <w:jc w:val="center"/>
        <w:tblLayout w:type="fixed"/>
        <w:tblCellMar>
          <w:top w:w="0" w:type="dxa"/>
          <w:left w:w="0" w:type="dxa"/>
          <w:bottom w:w="0" w:type="dxa"/>
          <w:right w:w="0" w:type="dxa"/>
        </w:tblCellMar>
      </w:tblPr>
      <w:tblGrid>
        <w:gridCol w:w="2428"/>
        <w:gridCol w:w="1027"/>
        <w:gridCol w:w="857"/>
        <w:gridCol w:w="706"/>
        <w:gridCol w:w="808"/>
        <w:gridCol w:w="850"/>
        <w:gridCol w:w="1339"/>
        <w:gridCol w:w="1164"/>
      </w:tblGrid>
      <w:tr w14:paraId="1726440D">
        <w:tblPrEx>
          <w:tblCellMar>
            <w:top w:w="0" w:type="dxa"/>
            <w:left w:w="0" w:type="dxa"/>
            <w:bottom w:w="0" w:type="dxa"/>
            <w:right w:w="0" w:type="dxa"/>
          </w:tblCellMar>
        </w:tblPrEx>
        <w:trPr>
          <w:trHeight w:val="913" w:hRule="exact"/>
          <w:jc w:val="center"/>
        </w:trPr>
        <w:tc>
          <w:tcPr>
            <w:tcW w:w="24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843D3E">
            <w:pPr>
              <w:adjustRightInd w:val="0"/>
              <w:spacing w:line="320" w:lineRule="exact"/>
              <w:jc w:val="center"/>
              <w:rPr>
                <w:rFonts w:ascii="宋体" w:hAnsi="宋体" w:cs="宋体"/>
                <w:color w:val="auto"/>
                <w:szCs w:val="21"/>
              </w:rPr>
            </w:pPr>
            <w:r>
              <w:rPr>
                <w:rFonts w:hint="eastAsia" w:ascii="宋体" w:hAnsi="宋体" w:cs="宋体"/>
                <w:color w:val="auto"/>
                <w:szCs w:val="21"/>
              </w:rPr>
              <w:t>工作岗位名称</w:t>
            </w:r>
          </w:p>
        </w:tc>
        <w:tc>
          <w:tcPr>
            <w:tcW w:w="10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9686454">
            <w:pPr>
              <w:adjustRightInd w:val="0"/>
              <w:spacing w:line="320" w:lineRule="exact"/>
              <w:jc w:val="center"/>
              <w:rPr>
                <w:rFonts w:ascii="宋体" w:hAnsi="宋体" w:cs="宋体"/>
                <w:color w:val="auto"/>
                <w:szCs w:val="21"/>
              </w:rPr>
            </w:pPr>
            <w:r>
              <w:rPr>
                <w:rFonts w:hint="eastAsia" w:ascii="宋体" w:hAnsi="宋体" w:cs="宋体"/>
                <w:color w:val="auto"/>
                <w:szCs w:val="21"/>
              </w:rPr>
              <w:t>姓  名</w:t>
            </w:r>
          </w:p>
        </w:tc>
        <w:tc>
          <w:tcPr>
            <w:tcW w:w="85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988AB7E">
            <w:pPr>
              <w:adjustRightInd w:val="0"/>
              <w:spacing w:line="320" w:lineRule="exact"/>
              <w:jc w:val="center"/>
              <w:rPr>
                <w:rFonts w:ascii="宋体" w:hAnsi="宋体" w:cs="宋体"/>
                <w:color w:val="auto"/>
                <w:szCs w:val="21"/>
              </w:rPr>
            </w:pPr>
            <w:r>
              <w:rPr>
                <w:rFonts w:hint="eastAsia" w:ascii="宋体" w:hAnsi="宋体" w:cs="宋体"/>
                <w:color w:val="auto"/>
                <w:szCs w:val="21"/>
              </w:rPr>
              <w:t>性别</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1A1B059">
            <w:pPr>
              <w:adjustRightInd w:val="0"/>
              <w:spacing w:line="320" w:lineRule="exact"/>
              <w:jc w:val="center"/>
              <w:rPr>
                <w:rFonts w:ascii="宋体" w:hAnsi="宋体" w:cs="宋体"/>
                <w:color w:val="auto"/>
                <w:szCs w:val="21"/>
              </w:rPr>
            </w:pPr>
            <w:r>
              <w:rPr>
                <w:rFonts w:hint="eastAsia" w:ascii="宋体" w:hAnsi="宋体" w:cs="宋体"/>
                <w:color w:val="auto"/>
                <w:szCs w:val="21"/>
              </w:rPr>
              <w:t>工作职责</w:t>
            </w:r>
          </w:p>
        </w:tc>
        <w:tc>
          <w:tcPr>
            <w:tcW w:w="8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7767AD">
            <w:pPr>
              <w:adjustRightInd w:val="0"/>
              <w:spacing w:line="320" w:lineRule="exact"/>
              <w:jc w:val="center"/>
              <w:rPr>
                <w:rFonts w:ascii="宋体" w:hAnsi="宋体" w:cs="宋体"/>
                <w:color w:val="auto"/>
                <w:szCs w:val="21"/>
              </w:rPr>
            </w:pPr>
            <w:r>
              <w:rPr>
                <w:rFonts w:hint="eastAsia" w:ascii="宋体" w:hAnsi="宋体" w:cs="宋体"/>
                <w:color w:val="auto"/>
                <w:szCs w:val="21"/>
              </w:rPr>
              <w:t>职  称</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49C4DE">
            <w:pPr>
              <w:adjustRightInd w:val="0"/>
              <w:spacing w:line="320" w:lineRule="exact"/>
              <w:jc w:val="center"/>
              <w:rPr>
                <w:rFonts w:ascii="宋体" w:hAnsi="宋体" w:cs="宋体"/>
                <w:color w:val="auto"/>
                <w:szCs w:val="21"/>
              </w:rPr>
            </w:pPr>
            <w:r>
              <w:rPr>
                <w:rFonts w:hint="eastAsia" w:ascii="宋体" w:hAnsi="宋体" w:cs="宋体"/>
                <w:color w:val="auto"/>
                <w:szCs w:val="21"/>
              </w:rPr>
              <w:t>专  业</w:t>
            </w:r>
          </w:p>
        </w:tc>
        <w:tc>
          <w:tcPr>
            <w:tcW w:w="133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D61C1B5">
            <w:pPr>
              <w:adjustRightInd w:val="0"/>
              <w:spacing w:line="320" w:lineRule="exact"/>
              <w:jc w:val="center"/>
              <w:rPr>
                <w:rFonts w:ascii="宋体" w:hAnsi="宋体" w:cs="宋体"/>
                <w:color w:val="auto"/>
                <w:szCs w:val="21"/>
              </w:rPr>
            </w:pPr>
            <w:r>
              <w:rPr>
                <w:rFonts w:hint="eastAsia" w:ascii="宋体" w:hAnsi="宋体" w:cs="宋体"/>
                <w:bCs/>
                <w:color w:val="auto"/>
                <w:szCs w:val="21"/>
              </w:rPr>
              <w:t>相关证书名称及编号</w:t>
            </w:r>
          </w:p>
        </w:tc>
        <w:tc>
          <w:tcPr>
            <w:tcW w:w="11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7774C8F">
            <w:pPr>
              <w:adjustRightInd w:val="0"/>
              <w:spacing w:line="320" w:lineRule="exact"/>
              <w:jc w:val="center"/>
              <w:rPr>
                <w:rFonts w:ascii="宋体" w:hAnsi="宋体" w:cs="宋体"/>
                <w:color w:val="auto"/>
                <w:szCs w:val="21"/>
              </w:rPr>
            </w:pPr>
            <w:r>
              <w:rPr>
                <w:rFonts w:hint="eastAsia" w:ascii="宋体" w:hAnsi="宋体" w:cs="宋体"/>
                <w:color w:val="auto"/>
                <w:szCs w:val="21"/>
              </w:rPr>
              <w:t>相关工作年限</w:t>
            </w:r>
          </w:p>
        </w:tc>
      </w:tr>
      <w:tr w14:paraId="326D493D">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1FC051D">
            <w:pPr>
              <w:adjustRightInd w:val="0"/>
              <w:spacing w:line="320" w:lineRule="exact"/>
              <w:jc w:val="center"/>
              <w:rPr>
                <w:rFonts w:ascii="宋体" w:hAnsi="宋体" w:cs="宋体"/>
                <w:color w:val="auto"/>
                <w:szCs w:val="21"/>
              </w:rPr>
            </w:pPr>
            <w:r>
              <w:rPr>
                <w:rFonts w:hint="eastAsia" w:ascii="宋体" w:hAnsi="宋体" w:cs="宋体"/>
                <w:color w:val="auto"/>
                <w:szCs w:val="21"/>
              </w:rPr>
              <w:t>1、项目经理</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6355AB2B">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2A2299F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6585594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73A0862A">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271CCD00">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4114ECD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4A9BCDE8">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4997E1BD">
        <w:tblPrEx>
          <w:tblCellMar>
            <w:top w:w="0" w:type="dxa"/>
            <w:left w:w="0" w:type="dxa"/>
            <w:bottom w:w="0" w:type="dxa"/>
            <w:right w:w="0" w:type="dxa"/>
          </w:tblCellMar>
        </w:tblPrEx>
        <w:trPr>
          <w:trHeight w:val="898"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89E2C54">
            <w:pPr>
              <w:adjustRightInd w:val="0"/>
              <w:spacing w:line="320" w:lineRule="exact"/>
              <w:jc w:val="center"/>
              <w:rPr>
                <w:rFonts w:ascii="宋体" w:hAnsi="宋体" w:cs="宋体"/>
                <w:color w:val="auto"/>
                <w:szCs w:val="21"/>
              </w:rPr>
            </w:pPr>
            <w:r>
              <w:rPr>
                <w:rFonts w:hint="eastAsia" w:ascii="宋体" w:hAnsi="宋体" w:cs="宋体"/>
                <w:color w:val="auto"/>
                <w:szCs w:val="21"/>
              </w:rPr>
              <w:t>2、项目总工</w:t>
            </w:r>
          </w:p>
          <w:p w14:paraId="056C7A8E">
            <w:pPr>
              <w:adjustRightInd w:val="0"/>
              <w:spacing w:line="320" w:lineRule="exact"/>
              <w:jc w:val="center"/>
              <w:rPr>
                <w:rFonts w:ascii="宋体" w:hAnsi="宋体" w:cs="宋体"/>
                <w:color w:val="auto"/>
                <w:szCs w:val="21"/>
              </w:rPr>
            </w:pPr>
            <w:r>
              <w:rPr>
                <w:rFonts w:hint="eastAsia" w:ascii="宋体" w:hAnsi="宋体" w:cs="宋体"/>
                <w:color w:val="auto"/>
                <w:szCs w:val="21"/>
              </w:rPr>
              <w:t>（技术负责人）</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5EF4FB5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123946B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12AEE7A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31A1BBF2">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7C6FE5AD">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5ACB7A3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1B95EAFF">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63E19B30">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BC4770F">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6BA3A10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6355F5D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6A09B8C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335C2FF3">
            <w:pPr>
              <w:pStyle w:val="170"/>
              <w:widowControl w:val="0"/>
              <w:overflowPunct/>
              <w:autoSpaceDE/>
              <w:autoSpaceDN/>
              <w:spacing w:before="0" w:line="320" w:lineRule="exact"/>
              <w:textAlignment w:val="auto"/>
              <w:rPr>
                <w:rFonts w:ascii="宋体" w:hAnsi="宋体" w:cs="宋体"/>
                <w:color w:val="auto"/>
                <w:kern w:val="2"/>
                <w:sz w:val="21"/>
                <w:szCs w:val="21"/>
              </w:rPr>
            </w:pPr>
            <w:r>
              <w:rPr>
                <w:rFonts w:hint="eastAsia" w:ascii="宋体" w:hAnsi="宋体" w:cs="宋体"/>
                <w:color w:val="auto"/>
                <w:kern w:val="2"/>
                <w:sz w:val="21"/>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63E3D4D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34EE6A2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6295A643">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37CE7F5C">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F929D57">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70FBA963">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6EFB347A">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69673C8E">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08B9255E">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6C98D4D3">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57E74ED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73B29CC5">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1EFE8C6C">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60A6532">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400CADD5">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3EDEC0D3">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4414DBFD">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25BAA42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587088E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03E6C96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27AD74D0">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1F09DEF8">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C7FB90F">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7E55B7BF">
            <w:pPr>
              <w:adjustRightInd w:val="0"/>
              <w:spacing w:line="320" w:lineRule="exact"/>
              <w:rPr>
                <w:rFonts w:ascii="宋体" w:hAnsi="宋体" w:cs="宋体"/>
                <w:color w:val="auto"/>
                <w:szCs w:val="21"/>
              </w:rPr>
            </w:pP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6F253F5B">
            <w:pPr>
              <w:adjustRightInd w:val="0"/>
              <w:spacing w:line="320" w:lineRule="exact"/>
              <w:rPr>
                <w:rFonts w:ascii="宋体" w:hAnsi="宋体" w:cs="宋体"/>
                <w:color w:val="auto"/>
                <w:szCs w:val="21"/>
              </w:rPr>
            </w:pP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11C1ECFC">
            <w:pPr>
              <w:adjustRightInd w:val="0"/>
              <w:spacing w:line="320" w:lineRule="exact"/>
              <w:rPr>
                <w:rFonts w:ascii="宋体" w:hAnsi="宋体" w:cs="宋体"/>
                <w:color w:val="auto"/>
                <w:szCs w:val="21"/>
              </w:rPr>
            </w:pP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1BB17253">
            <w:pPr>
              <w:adjustRightInd w:val="0"/>
              <w:spacing w:line="320" w:lineRule="exact"/>
              <w:rPr>
                <w:rFonts w:ascii="宋体" w:hAnsi="宋体" w:cs="宋体"/>
                <w:color w:val="auto"/>
                <w:szCs w:val="21"/>
              </w:rPr>
            </w:pP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1E428D24">
            <w:pPr>
              <w:adjustRightInd w:val="0"/>
              <w:spacing w:line="320" w:lineRule="exact"/>
              <w:rPr>
                <w:rFonts w:ascii="宋体" w:hAnsi="宋体" w:cs="宋体"/>
                <w:color w:val="auto"/>
                <w:szCs w:val="21"/>
              </w:rPr>
            </w:pP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2972126C">
            <w:pPr>
              <w:adjustRightInd w:val="0"/>
              <w:spacing w:line="320" w:lineRule="exact"/>
              <w:rPr>
                <w:rFonts w:ascii="宋体" w:hAnsi="宋体" w:cs="宋体"/>
                <w:color w:val="auto"/>
                <w:szCs w:val="21"/>
              </w:rPr>
            </w:pP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5FA11C7C">
            <w:pPr>
              <w:adjustRightInd w:val="0"/>
              <w:spacing w:line="320" w:lineRule="exact"/>
              <w:rPr>
                <w:rFonts w:ascii="宋体" w:hAnsi="宋体" w:cs="宋体"/>
                <w:color w:val="auto"/>
                <w:szCs w:val="21"/>
              </w:rPr>
            </w:pPr>
          </w:p>
        </w:tc>
      </w:tr>
      <w:tr w14:paraId="433F2BB1">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B8E9BA2">
            <w:pPr>
              <w:adjustRightInd w:val="0"/>
              <w:spacing w:line="320" w:lineRule="exact"/>
              <w:jc w:val="center"/>
              <w:rPr>
                <w:rFonts w:ascii="宋体" w:hAnsi="宋体" w:cs="宋体"/>
                <w:color w:val="auto"/>
                <w:szCs w:val="21"/>
              </w:rPr>
            </w:pPr>
            <w:r>
              <w:rPr>
                <w:rFonts w:hint="eastAsia" w:ascii="宋体" w:hAnsi="宋体" w:cs="宋体"/>
                <w:color w:val="auto"/>
                <w:szCs w:val="21"/>
              </w:rPr>
              <w:t>…</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4F54046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18754130">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75CCB1D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0448081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6CFAF8FC">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03B42B8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26C324CA">
            <w:pPr>
              <w:adjustRightInd w:val="0"/>
              <w:spacing w:line="320" w:lineRule="exact"/>
              <w:rPr>
                <w:rFonts w:ascii="宋体" w:hAnsi="宋体" w:cs="宋体"/>
                <w:color w:val="auto"/>
                <w:szCs w:val="21"/>
              </w:rPr>
            </w:pPr>
            <w:r>
              <w:rPr>
                <w:rFonts w:hint="eastAsia" w:ascii="宋体" w:hAnsi="宋体" w:cs="宋体"/>
                <w:color w:val="auto"/>
                <w:szCs w:val="21"/>
              </w:rPr>
              <w:t>　</w:t>
            </w:r>
          </w:p>
        </w:tc>
      </w:tr>
    </w:tbl>
    <w:p w14:paraId="30A7A426">
      <w:pPr>
        <w:pStyle w:val="24"/>
        <w:ind w:firstLine="2835" w:firstLineChars="1350"/>
        <w:rPr>
          <w:rFonts w:hAnsi="宋体"/>
          <w:color w:val="auto"/>
          <w:szCs w:val="21"/>
        </w:rPr>
      </w:pPr>
    </w:p>
    <w:p w14:paraId="7E3C3A63">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2C58DFBF">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C2C7310">
      <w:pPr>
        <w:spacing w:line="360" w:lineRule="auto"/>
        <w:rPr>
          <w:rFonts w:ascii="宋体" w:hAnsi="宋体" w:cs="宋体"/>
          <w:color w:val="auto"/>
          <w:szCs w:val="21"/>
        </w:rPr>
      </w:pPr>
    </w:p>
    <w:p w14:paraId="32826EE2">
      <w:pPr>
        <w:spacing w:line="360" w:lineRule="auto"/>
        <w:ind w:firstLine="420" w:firstLineChars="200"/>
        <w:rPr>
          <w:rFonts w:ascii="宋体" w:hAnsi="宋体" w:cs="宋体"/>
          <w:color w:val="auto"/>
          <w:szCs w:val="21"/>
        </w:rPr>
      </w:pPr>
      <w:r>
        <w:rPr>
          <w:rFonts w:hint="eastAsia" w:ascii="宋体" w:hAnsi="宋体" w:cs="宋体"/>
          <w:color w:val="auto"/>
          <w:szCs w:val="21"/>
        </w:rPr>
        <w:t>注：本表应附拟投入人员的身份证、岗位证（如有）、职称证（如有）、资格证书（如有）等证明材料，及供应商单位为拟投入人员所缴纳的养老保险凭证复印件（要求缴费时间为磋商截止时间前半年内连续三个月）。</w:t>
      </w:r>
    </w:p>
    <w:p w14:paraId="1C0E91DF">
      <w:pPr>
        <w:pStyle w:val="24"/>
        <w:rPr>
          <w:rFonts w:hAnsi="宋体"/>
          <w:b/>
          <w:color w:val="auto"/>
          <w:sz w:val="24"/>
          <w:szCs w:val="24"/>
        </w:rPr>
      </w:pPr>
    </w:p>
    <w:p w14:paraId="0C2B335D">
      <w:pPr>
        <w:pStyle w:val="24"/>
        <w:rPr>
          <w:rFonts w:hAnsi="宋体"/>
          <w:b/>
          <w:color w:val="auto"/>
          <w:sz w:val="24"/>
          <w:szCs w:val="24"/>
        </w:rPr>
      </w:pPr>
    </w:p>
    <w:p w14:paraId="39F5693D">
      <w:pPr>
        <w:pStyle w:val="24"/>
        <w:rPr>
          <w:rFonts w:hAnsi="宋体" w:cs="宋体"/>
          <w:color w:val="auto"/>
        </w:rPr>
      </w:pPr>
      <w:r>
        <w:rPr>
          <w:rFonts w:hAnsi="宋体"/>
          <w:b/>
          <w:color w:val="auto"/>
          <w:sz w:val="24"/>
          <w:szCs w:val="24"/>
        </w:rPr>
        <w:br w:type="page"/>
      </w:r>
      <w:r>
        <w:rPr>
          <w:rFonts w:hint="eastAsia" w:hAnsi="宋体"/>
          <w:b/>
          <w:color w:val="auto"/>
          <w:sz w:val="24"/>
        </w:rPr>
        <w:t>格式</w:t>
      </w:r>
      <w:r>
        <w:rPr>
          <w:rFonts w:hint="eastAsia" w:hAnsi="宋体"/>
          <w:b/>
          <w:color w:val="auto"/>
          <w:sz w:val="24"/>
          <w:lang w:eastAsia="zh-CN"/>
        </w:rPr>
        <w:t>十一</w:t>
      </w:r>
      <w:r>
        <w:rPr>
          <w:rFonts w:hint="eastAsia" w:hAnsi="宋体"/>
          <w:b/>
          <w:color w:val="auto"/>
          <w:sz w:val="24"/>
        </w:rPr>
        <w:t>：</w:t>
      </w:r>
    </w:p>
    <w:p w14:paraId="59873FDC">
      <w:pPr>
        <w:jc w:val="center"/>
        <w:rPr>
          <w:rFonts w:ascii="宋体" w:hAnsi="宋体" w:cs="宋体"/>
          <w:b/>
          <w:color w:val="auto"/>
          <w:sz w:val="24"/>
        </w:rPr>
      </w:pPr>
    </w:p>
    <w:p w14:paraId="51641EA2">
      <w:pPr>
        <w:jc w:val="center"/>
        <w:rPr>
          <w:rFonts w:ascii="宋体" w:hAnsi="宋体" w:cs="宋体"/>
          <w:b/>
          <w:color w:val="auto"/>
          <w:sz w:val="24"/>
        </w:rPr>
      </w:pPr>
      <w:r>
        <w:rPr>
          <w:rFonts w:hint="eastAsia" w:ascii="宋体" w:hAnsi="宋体" w:cs="宋体"/>
          <w:b/>
          <w:color w:val="auto"/>
          <w:sz w:val="24"/>
        </w:rPr>
        <w:t xml:space="preserve">拟投入本工程项目经理的简历表  </w:t>
      </w:r>
    </w:p>
    <w:p w14:paraId="0E02D7AC">
      <w:pPr>
        <w:jc w:val="center"/>
        <w:rPr>
          <w:rFonts w:ascii="宋体" w:hAnsi="宋体" w:cs="宋体"/>
          <w:b/>
          <w:color w:val="auto"/>
          <w:sz w:val="24"/>
        </w:rPr>
      </w:pPr>
    </w:p>
    <w:tbl>
      <w:tblPr>
        <w:tblStyle w:val="4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91"/>
        <w:gridCol w:w="1103"/>
        <w:gridCol w:w="885"/>
        <w:gridCol w:w="214"/>
        <w:gridCol w:w="736"/>
        <w:gridCol w:w="1222"/>
        <w:gridCol w:w="1942"/>
        <w:gridCol w:w="1223"/>
      </w:tblGrid>
      <w:tr w14:paraId="55A7A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272E4006">
            <w:pPr>
              <w:adjustRightInd w:val="0"/>
              <w:jc w:val="center"/>
              <w:rPr>
                <w:rFonts w:ascii="宋体" w:hAnsi="宋体" w:cs="宋体"/>
                <w:color w:val="auto"/>
                <w:szCs w:val="21"/>
              </w:rPr>
            </w:pPr>
            <w:r>
              <w:rPr>
                <w:rFonts w:hint="eastAsia" w:ascii="宋体" w:hAnsi="宋体" w:cs="宋体"/>
                <w:color w:val="auto"/>
                <w:szCs w:val="21"/>
              </w:rPr>
              <w:t>姓  名</w:t>
            </w:r>
          </w:p>
        </w:tc>
        <w:tc>
          <w:tcPr>
            <w:tcW w:w="1103" w:type="dxa"/>
            <w:tcBorders>
              <w:top w:val="single" w:color="auto" w:sz="6" w:space="0"/>
              <w:left w:val="single" w:color="auto" w:sz="6" w:space="0"/>
              <w:bottom w:val="single" w:color="auto" w:sz="6" w:space="0"/>
              <w:right w:val="single" w:color="auto" w:sz="6" w:space="0"/>
            </w:tcBorders>
            <w:vAlign w:val="center"/>
          </w:tcPr>
          <w:p w14:paraId="01F4F32D">
            <w:pPr>
              <w:adjustRightInd w:val="0"/>
              <w:jc w:val="center"/>
              <w:rPr>
                <w:rFonts w:ascii="宋体" w:hAnsi="宋体" w:cs="宋体"/>
                <w:color w:val="auto"/>
                <w:szCs w:val="21"/>
              </w:rPr>
            </w:pPr>
          </w:p>
        </w:tc>
        <w:tc>
          <w:tcPr>
            <w:tcW w:w="885" w:type="dxa"/>
            <w:tcBorders>
              <w:top w:val="single" w:color="auto" w:sz="6" w:space="0"/>
              <w:left w:val="single" w:color="auto" w:sz="6" w:space="0"/>
              <w:bottom w:val="single" w:color="auto" w:sz="6" w:space="0"/>
              <w:right w:val="single" w:color="auto" w:sz="6" w:space="0"/>
            </w:tcBorders>
            <w:vAlign w:val="center"/>
          </w:tcPr>
          <w:p w14:paraId="1E505DA1">
            <w:pPr>
              <w:adjustRightInd w:val="0"/>
              <w:jc w:val="center"/>
              <w:rPr>
                <w:rFonts w:ascii="宋体" w:hAnsi="宋体" w:cs="宋体"/>
                <w:color w:val="auto"/>
                <w:szCs w:val="21"/>
              </w:rPr>
            </w:pPr>
            <w:r>
              <w:rPr>
                <w:rFonts w:hint="eastAsia" w:ascii="宋体" w:hAnsi="宋体" w:cs="宋体"/>
                <w:color w:val="auto"/>
                <w:szCs w:val="21"/>
              </w:rPr>
              <w:t>性  别</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413B0088">
            <w:pPr>
              <w:adjustRightInd w:val="0"/>
              <w:jc w:val="center"/>
              <w:rPr>
                <w:rFonts w:ascii="宋体" w:hAnsi="宋体" w:cs="宋体"/>
                <w:color w:val="auto"/>
                <w:szCs w:val="21"/>
              </w:rPr>
            </w:pPr>
          </w:p>
        </w:tc>
        <w:tc>
          <w:tcPr>
            <w:tcW w:w="1222" w:type="dxa"/>
            <w:tcBorders>
              <w:top w:val="single" w:color="auto" w:sz="6" w:space="0"/>
              <w:left w:val="single" w:color="auto" w:sz="6" w:space="0"/>
              <w:bottom w:val="single" w:color="auto" w:sz="6" w:space="0"/>
              <w:right w:val="single" w:color="auto" w:sz="6" w:space="0"/>
            </w:tcBorders>
            <w:vAlign w:val="center"/>
          </w:tcPr>
          <w:p w14:paraId="1A3FC8B6">
            <w:pPr>
              <w:adjustRightInd w:val="0"/>
              <w:jc w:val="center"/>
              <w:rPr>
                <w:rFonts w:ascii="宋体" w:hAnsi="宋体" w:cs="宋体"/>
                <w:color w:val="auto"/>
                <w:szCs w:val="21"/>
              </w:rPr>
            </w:pPr>
            <w:r>
              <w:rPr>
                <w:rFonts w:hint="eastAsia" w:ascii="宋体" w:hAnsi="宋体" w:cs="宋体"/>
                <w:color w:val="auto"/>
                <w:szCs w:val="21"/>
              </w:rPr>
              <w:t>年  龄</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1DF88A01">
            <w:pPr>
              <w:adjustRightInd w:val="0"/>
              <w:jc w:val="center"/>
              <w:rPr>
                <w:rFonts w:ascii="宋体" w:hAnsi="宋体" w:cs="宋体"/>
                <w:color w:val="auto"/>
                <w:szCs w:val="21"/>
              </w:rPr>
            </w:pPr>
          </w:p>
        </w:tc>
      </w:tr>
      <w:tr w14:paraId="66214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8"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2AEED1D6">
            <w:pPr>
              <w:adjustRightInd w:val="0"/>
              <w:jc w:val="center"/>
              <w:rPr>
                <w:rFonts w:ascii="宋体" w:hAnsi="宋体" w:cs="宋体"/>
                <w:color w:val="auto"/>
                <w:szCs w:val="21"/>
              </w:rPr>
            </w:pPr>
            <w:r>
              <w:rPr>
                <w:rFonts w:hint="eastAsia" w:ascii="宋体" w:hAnsi="宋体" w:cs="宋体"/>
                <w:color w:val="auto"/>
                <w:szCs w:val="21"/>
              </w:rPr>
              <w:t>职  务</w:t>
            </w:r>
          </w:p>
        </w:tc>
        <w:tc>
          <w:tcPr>
            <w:tcW w:w="1103" w:type="dxa"/>
            <w:tcBorders>
              <w:top w:val="single" w:color="auto" w:sz="6" w:space="0"/>
              <w:left w:val="single" w:color="auto" w:sz="6" w:space="0"/>
              <w:bottom w:val="single" w:color="auto" w:sz="6" w:space="0"/>
              <w:right w:val="single" w:color="auto" w:sz="6" w:space="0"/>
            </w:tcBorders>
            <w:vAlign w:val="center"/>
          </w:tcPr>
          <w:p w14:paraId="794C03A2">
            <w:pPr>
              <w:adjustRightInd w:val="0"/>
              <w:jc w:val="center"/>
              <w:rPr>
                <w:rFonts w:ascii="宋体" w:hAnsi="宋体" w:cs="宋体"/>
                <w:color w:val="auto"/>
                <w:szCs w:val="21"/>
              </w:rPr>
            </w:pPr>
          </w:p>
        </w:tc>
        <w:tc>
          <w:tcPr>
            <w:tcW w:w="885" w:type="dxa"/>
            <w:tcBorders>
              <w:top w:val="single" w:color="auto" w:sz="6" w:space="0"/>
              <w:left w:val="single" w:color="auto" w:sz="6" w:space="0"/>
              <w:bottom w:val="single" w:color="auto" w:sz="6" w:space="0"/>
              <w:right w:val="single" w:color="auto" w:sz="6" w:space="0"/>
            </w:tcBorders>
            <w:vAlign w:val="center"/>
          </w:tcPr>
          <w:p w14:paraId="690F35EE">
            <w:pPr>
              <w:adjustRightInd w:val="0"/>
              <w:jc w:val="center"/>
              <w:rPr>
                <w:rFonts w:ascii="宋体" w:hAnsi="宋体" w:cs="宋体"/>
                <w:color w:val="auto"/>
                <w:szCs w:val="21"/>
              </w:rPr>
            </w:pPr>
            <w:r>
              <w:rPr>
                <w:rFonts w:hint="eastAsia" w:ascii="宋体" w:hAnsi="宋体" w:cs="宋体"/>
                <w:color w:val="auto"/>
                <w:szCs w:val="21"/>
              </w:rPr>
              <w:t>职  称</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674C7C32">
            <w:pPr>
              <w:adjustRightInd w:val="0"/>
              <w:jc w:val="center"/>
              <w:rPr>
                <w:rFonts w:ascii="宋体" w:hAnsi="宋体" w:cs="宋体"/>
                <w:color w:val="auto"/>
                <w:szCs w:val="21"/>
              </w:rPr>
            </w:pPr>
          </w:p>
        </w:tc>
        <w:tc>
          <w:tcPr>
            <w:tcW w:w="1222" w:type="dxa"/>
            <w:tcBorders>
              <w:top w:val="single" w:color="auto" w:sz="6" w:space="0"/>
              <w:left w:val="single" w:color="auto" w:sz="6" w:space="0"/>
              <w:bottom w:val="single" w:color="auto" w:sz="6" w:space="0"/>
              <w:right w:val="single" w:color="auto" w:sz="6" w:space="0"/>
            </w:tcBorders>
            <w:vAlign w:val="center"/>
          </w:tcPr>
          <w:p w14:paraId="5CBC35B3">
            <w:pPr>
              <w:adjustRightInd w:val="0"/>
              <w:jc w:val="center"/>
              <w:rPr>
                <w:rFonts w:ascii="宋体" w:hAnsi="宋体" w:cs="宋体"/>
                <w:color w:val="auto"/>
                <w:szCs w:val="21"/>
              </w:rPr>
            </w:pPr>
            <w:r>
              <w:rPr>
                <w:rFonts w:hint="eastAsia" w:ascii="宋体" w:hAnsi="宋体" w:cs="宋体"/>
                <w:color w:val="auto"/>
                <w:szCs w:val="21"/>
              </w:rPr>
              <w:t>学  历</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6C10967C">
            <w:pPr>
              <w:adjustRightInd w:val="0"/>
              <w:jc w:val="center"/>
              <w:rPr>
                <w:rFonts w:ascii="宋体" w:hAnsi="宋体" w:cs="宋体"/>
                <w:color w:val="auto"/>
                <w:szCs w:val="21"/>
              </w:rPr>
            </w:pPr>
          </w:p>
        </w:tc>
      </w:tr>
      <w:tr w14:paraId="15ECA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6" w:space="0"/>
            </w:tcBorders>
            <w:vAlign w:val="center"/>
          </w:tcPr>
          <w:p w14:paraId="0E13E3F7">
            <w:pPr>
              <w:adjustRightInd w:val="0"/>
              <w:jc w:val="center"/>
              <w:rPr>
                <w:rFonts w:ascii="宋体" w:hAnsi="宋体" w:cs="宋体"/>
                <w:color w:val="auto"/>
                <w:szCs w:val="21"/>
              </w:rPr>
            </w:pPr>
            <w:r>
              <w:rPr>
                <w:rFonts w:hint="eastAsia" w:ascii="宋体" w:hAnsi="宋体" w:cs="宋体"/>
                <w:color w:val="auto"/>
                <w:szCs w:val="21"/>
              </w:rPr>
              <w:t>执业或职业资格证书名称及编号</w:t>
            </w:r>
          </w:p>
        </w:tc>
        <w:tc>
          <w:tcPr>
            <w:tcW w:w="1835" w:type="dxa"/>
            <w:gridSpan w:val="3"/>
            <w:tcBorders>
              <w:top w:val="single" w:color="auto" w:sz="6" w:space="0"/>
              <w:left w:val="single" w:color="auto" w:sz="6" w:space="0"/>
              <w:bottom w:val="single" w:color="auto" w:sz="6" w:space="0"/>
              <w:right w:val="single" w:color="auto" w:sz="4" w:space="0"/>
            </w:tcBorders>
            <w:vAlign w:val="center"/>
          </w:tcPr>
          <w:p w14:paraId="05F281C5">
            <w:pPr>
              <w:adjustRightInd w:val="0"/>
              <w:jc w:val="center"/>
              <w:rPr>
                <w:rFonts w:ascii="宋体" w:hAnsi="宋体" w:cs="宋体"/>
                <w:color w:val="auto"/>
                <w:szCs w:val="21"/>
              </w:rPr>
            </w:pPr>
          </w:p>
        </w:tc>
        <w:tc>
          <w:tcPr>
            <w:tcW w:w="1222" w:type="dxa"/>
            <w:tcBorders>
              <w:top w:val="single" w:color="auto" w:sz="6" w:space="0"/>
              <w:left w:val="single" w:color="auto" w:sz="4" w:space="0"/>
              <w:bottom w:val="single" w:color="auto" w:sz="6" w:space="0"/>
              <w:right w:val="single" w:color="auto" w:sz="6" w:space="0"/>
            </w:tcBorders>
            <w:vAlign w:val="center"/>
          </w:tcPr>
          <w:p w14:paraId="3A263F38">
            <w:pPr>
              <w:adjustRightInd w:val="0"/>
              <w:jc w:val="center"/>
              <w:rPr>
                <w:rFonts w:ascii="宋体" w:hAnsi="宋体" w:cs="宋体"/>
                <w:color w:val="auto"/>
                <w:szCs w:val="21"/>
              </w:rPr>
            </w:pPr>
            <w:r>
              <w:rPr>
                <w:rFonts w:hint="eastAsia" w:ascii="宋体" w:hAnsi="宋体" w:cs="宋体"/>
                <w:color w:val="auto"/>
                <w:szCs w:val="21"/>
              </w:rPr>
              <w:t>拟在本合同任职</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1D6D545E">
            <w:pPr>
              <w:adjustRightInd w:val="0"/>
              <w:jc w:val="center"/>
              <w:rPr>
                <w:rFonts w:ascii="宋体" w:hAnsi="宋体" w:cs="宋体"/>
                <w:color w:val="auto"/>
                <w:szCs w:val="21"/>
              </w:rPr>
            </w:pPr>
          </w:p>
        </w:tc>
      </w:tr>
      <w:tr w14:paraId="76E15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5E373CEB">
            <w:pPr>
              <w:adjustRightInd w:val="0"/>
              <w:jc w:val="center"/>
              <w:rPr>
                <w:rFonts w:ascii="宋体" w:hAnsi="宋体" w:cs="宋体"/>
                <w:color w:val="auto"/>
                <w:szCs w:val="21"/>
              </w:rPr>
            </w:pPr>
            <w:r>
              <w:rPr>
                <w:rFonts w:hint="eastAsia" w:ascii="宋体" w:hAnsi="宋体" w:cs="宋体"/>
                <w:color w:val="auto"/>
                <w:szCs w:val="21"/>
              </w:rPr>
              <w:t>安全生产考核合格证书</w:t>
            </w:r>
          </w:p>
        </w:tc>
        <w:tc>
          <w:tcPr>
            <w:tcW w:w="1835" w:type="dxa"/>
            <w:gridSpan w:val="3"/>
            <w:tcBorders>
              <w:top w:val="single" w:color="auto" w:sz="6" w:space="0"/>
              <w:left w:val="single" w:color="auto" w:sz="4" w:space="0"/>
              <w:bottom w:val="single" w:color="auto" w:sz="6" w:space="0"/>
              <w:right w:val="single" w:color="auto" w:sz="4" w:space="0"/>
            </w:tcBorders>
            <w:vAlign w:val="center"/>
          </w:tcPr>
          <w:p w14:paraId="5B1A7A42">
            <w:pPr>
              <w:adjustRightInd w:val="0"/>
              <w:jc w:val="center"/>
              <w:rPr>
                <w:rFonts w:ascii="宋体" w:hAnsi="宋体" w:cs="宋体"/>
                <w:color w:val="auto"/>
                <w:szCs w:val="21"/>
              </w:rPr>
            </w:pPr>
          </w:p>
        </w:tc>
        <w:tc>
          <w:tcPr>
            <w:tcW w:w="1222" w:type="dxa"/>
            <w:tcBorders>
              <w:top w:val="single" w:color="auto" w:sz="6" w:space="0"/>
              <w:left w:val="single" w:color="auto" w:sz="4" w:space="0"/>
              <w:bottom w:val="single" w:color="auto" w:sz="6" w:space="0"/>
              <w:right w:val="single" w:color="auto" w:sz="6" w:space="0"/>
            </w:tcBorders>
            <w:vAlign w:val="center"/>
          </w:tcPr>
          <w:p w14:paraId="12CC0319">
            <w:pPr>
              <w:adjustRightInd w:val="0"/>
              <w:jc w:val="center"/>
              <w:rPr>
                <w:rFonts w:ascii="宋体" w:hAnsi="宋体" w:cs="宋体"/>
                <w:color w:val="auto"/>
                <w:szCs w:val="21"/>
              </w:rPr>
            </w:pPr>
            <w:r>
              <w:rPr>
                <w:rFonts w:hint="eastAsia" w:ascii="宋体" w:hAnsi="宋体" w:cs="宋体"/>
                <w:color w:val="auto"/>
                <w:szCs w:val="21"/>
              </w:rPr>
              <w:t>担任本职工作年限</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5FD8BC50">
            <w:pPr>
              <w:adjustRightInd w:val="0"/>
              <w:jc w:val="center"/>
              <w:rPr>
                <w:rFonts w:ascii="宋体" w:hAnsi="宋体" w:cs="宋体"/>
                <w:color w:val="auto"/>
                <w:szCs w:val="21"/>
              </w:rPr>
            </w:pPr>
          </w:p>
        </w:tc>
      </w:tr>
      <w:tr w14:paraId="37352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6C77D0E6">
            <w:pPr>
              <w:adjustRightInd w:val="0"/>
              <w:jc w:val="center"/>
              <w:rPr>
                <w:rFonts w:ascii="宋体" w:hAnsi="宋体" w:cs="宋体"/>
                <w:color w:val="auto"/>
                <w:szCs w:val="21"/>
              </w:rPr>
            </w:pPr>
            <w:r>
              <w:rPr>
                <w:rFonts w:hint="eastAsia" w:ascii="宋体" w:hAnsi="宋体" w:cs="宋体"/>
                <w:color w:val="auto"/>
                <w:szCs w:val="21"/>
              </w:rPr>
              <w:t>毕业学校</w:t>
            </w:r>
          </w:p>
        </w:tc>
        <w:tc>
          <w:tcPr>
            <w:tcW w:w="6222" w:type="dxa"/>
            <w:gridSpan w:val="6"/>
            <w:tcBorders>
              <w:top w:val="single" w:color="auto" w:sz="6" w:space="0"/>
              <w:left w:val="single" w:color="auto" w:sz="4" w:space="0"/>
              <w:bottom w:val="single" w:color="auto" w:sz="6" w:space="0"/>
              <w:right w:val="single" w:color="auto" w:sz="6" w:space="0"/>
            </w:tcBorders>
            <w:vAlign w:val="center"/>
          </w:tcPr>
          <w:p w14:paraId="4C1D6895">
            <w:pPr>
              <w:adjustRightInd w:val="0"/>
              <w:rPr>
                <w:rFonts w:ascii="宋体" w:hAnsi="宋体" w:cs="宋体"/>
                <w:color w:val="auto"/>
                <w:szCs w:val="21"/>
              </w:rPr>
            </w:pPr>
            <w:r>
              <w:rPr>
                <w:rFonts w:hint="eastAsia" w:ascii="宋体" w:hAnsi="宋体" w:cs="宋体"/>
                <w:color w:val="auto"/>
                <w:szCs w:val="21"/>
              </w:rPr>
              <w:t xml:space="preserve">        年毕业于          学校        专业</w:t>
            </w:r>
          </w:p>
        </w:tc>
      </w:tr>
      <w:tr w14:paraId="535E2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8616" w:type="dxa"/>
            <w:gridSpan w:val="8"/>
            <w:tcBorders>
              <w:top w:val="single" w:color="auto" w:sz="6" w:space="0"/>
              <w:left w:val="single" w:color="auto" w:sz="6" w:space="0"/>
              <w:bottom w:val="single" w:color="auto" w:sz="6" w:space="0"/>
              <w:right w:val="single" w:color="auto" w:sz="6" w:space="0"/>
            </w:tcBorders>
            <w:vAlign w:val="center"/>
          </w:tcPr>
          <w:p w14:paraId="477D5486">
            <w:pPr>
              <w:adjustRightInd w:val="0"/>
              <w:jc w:val="center"/>
              <w:rPr>
                <w:rFonts w:ascii="宋体" w:hAnsi="宋体" w:cs="宋体"/>
                <w:color w:val="auto"/>
                <w:szCs w:val="21"/>
              </w:rPr>
            </w:pPr>
            <w:r>
              <w:rPr>
                <w:rFonts w:hint="eastAsia" w:ascii="宋体" w:hAnsi="宋体" w:cs="宋体"/>
                <w:color w:val="auto"/>
                <w:szCs w:val="21"/>
              </w:rPr>
              <w:t>已完工程项目情况表</w:t>
            </w:r>
          </w:p>
        </w:tc>
      </w:tr>
      <w:tr w14:paraId="19422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0E34BBF3">
            <w:pPr>
              <w:adjustRightInd w:val="0"/>
              <w:jc w:val="center"/>
              <w:rPr>
                <w:rFonts w:ascii="宋体" w:hAnsi="宋体" w:cs="宋体"/>
                <w:color w:val="auto"/>
                <w:szCs w:val="21"/>
              </w:rPr>
            </w:pPr>
            <w:r>
              <w:rPr>
                <w:rFonts w:hint="eastAsia" w:ascii="宋体" w:hAnsi="宋体" w:cs="宋体"/>
                <w:color w:val="auto"/>
                <w:szCs w:val="21"/>
              </w:rPr>
              <w:t>建设单位</w:t>
            </w:r>
          </w:p>
        </w:tc>
        <w:tc>
          <w:tcPr>
            <w:tcW w:w="1103" w:type="dxa"/>
            <w:tcBorders>
              <w:top w:val="single" w:color="auto" w:sz="6" w:space="0"/>
              <w:left w:val="single" w:color="auto" w:sz="6" w:space="0"/>
              <w:bottom w:val="single" w:color="auto" w:sz="6" w:space="0"/>
              <w:right w:val="single" w:color="auto" w:sz="6" w:space="0"/>
            </w:tcBorders>
            <w:vAlign w:val="center"/>
          </w:tcPr>
          <w:p w14:paraId="5901AA84">
            <w:pPr>
              <w:adjustRightInd w:val="0"/>
              <w:jc w:val="center"/>
              <w:rPr>
                <w:rFonts w:ascii="宋体" w:hAnsi="宋体" w:cs="宋体"/>
                <w:color w:val="auto"/>
                <w:szCs w:val="21"/>
              </w:rPr>
            </w:pPr>
            <w:r>
              <w:rPr>
                <w:rFonts w:hint="eastAsia" w:ascii="宋体" w:hAnsi="宋体" w:cs="宋体"/>
                <w:color w:val="auto"/>
                <w:szCs w:val="21"/>
              </w:rPr>
              <w:t>项目名称</w:t>
            </w:r>
          </w:p>
        </w:tc>
        <w:tc>
          <w:tcPr>
            <w:tcW w:w="1099" w:type="dxa"/>
            <w:gridSpan w:val="2"/>
            <w:tcBorders>
              <w:top w:val="single" w:color="auto" w:sz="6" w:space="0"/>
              <w:left w:val="single" w:color="auto" w:sz="6" w:space="0"/>
              <w:bottom w:val="single" w:color="auto" w:sz="6" w:space="0"/>
              <w:right w:val="single" w:color="auto" w:sz="6" w:space="0"/>
            </w:tcBorders>
            <w:vAlign w:val="center"/>
          </w:tcPr>
          <w:p w14:paraId="2722F82B">
            <w:pPr>
              <w:adjustRightInd w:val="0"/>
              <w:jc w:val="center"/>
              <w:rPr>
                <w:rFonts w:ascii="宋体" w:hAnsi="宋体" w:cs="宋体"/>
                <w:color w:val="auto"/>
                <w:szCs w:val="21"/>
              </w:rPr>
            </w:pPr>
            <w:r>
              <w:rPr>
                <w:rFonts w:hint="eastAsia" w:ascii="宋体" w:hAnsi="宋体" w:cs="宋体"/>
                <w:color w:val="auto"/>
                <w:szCs w:val="21"/>
              </w:rPr>
              <w:t>建设规模</w:t>
            </w:r>
          </w:p>
        </w:tc>
        <w:tc>
          <w:tcPr>
            <w:tcW w:w="1958" w:type="dxa"/>
            <w:gridSpan w:val="2"/>
            <w:tcBorders>
              <w:top w:val="single" w:color="auto" w:sz="6" w:space="0"/>
              <w:left w:val="single" w:color="auto" w:sz="6" w:space="0"/>
              <w:bottom w:val="single" w:color="auto" w:sz="6" w:space="0"/>
              <w:right w:val="single" w:color="auto" w:sz="6" w:space="0"/>
            </w:tcBorders>
            <w:vAlign w:val="center"/>
          </w:tcPr>
          <w:p w14:paraId="45AE33A2">
            <w:pPr>
              <w:adjustRightInd w:val="0"/>
              <w:jc w:val="center"/>
              <w:rPr>
                <w:rFonts w:ascii="宋体" w:hAnsi="宋体" w:cs="宋体"/>
                <w:color w:val="auto"/>
                <w:szCs w:val="21"/>
              </w:rPr>
            </w:pPr>
            <w:r>
              <w:rPr>
                <w:rFonts w:hint="eastAsia" w:ascii="宋体" w:hAnsi="宋体" w:cs="宋体"/>
                <w:color w:val="auto"/>
                <w:szCs w:val="21"/>
              </w:rPr>
              <w:t>开、竣工日期</w:t>
            </w:r>
          </w:p>
        </w:tc>
        <w:tc>
          <w:tcPr>
            <w:tcW w:w="1942" w:type="dxa"/>
            <w:tcBorders>
              <w:top w:val="single" w:color="auto" w:sz="6" w:space="0"/>
              <w:left w:val="single" w:color="auto" w:sz="6" w:space="0"/>
              <w:bottom w:val="single" w:color="auto" w:sz="6" w:space="0"/>
              <w:right w:val="single" w:color="auto" w:sz="6" w:space="0"/>
            </w:tcBorders>
            <w:vAlign w:val="center"/>
          </w:tcPr>
          <w:p w14:paraId="266D25D4">
            <w:pPr>
              <w:adjustRightInd w:val="0"/>
              <w:jc w:val="center"/>
              <w:rPr>
                <w:rFonts w:ascii="宋体" w:hAnsi="宋体" w:cs="宋体"/>
                <w:color w:val="auto"/>
                <w:szCs w:val="21"/>
              </w:rPr>
            </w:pPr>
            <w:r>
              <w:rPr>
                <w:rFonts w:hint="eastAsia" w:ascii="宋体" w:hAnsi="宋体" w:cs="宋体"/>
                <w:color w:val="auto"/>
                <w:szCs w:val="21"/>
              </w:rPr>
              <w:t>工程质量</w:t>
            </w:r>
          </w:p>
        </w:tc>
        <w:tc>
          <w:tcPr>
            <w:tcW w:w="1223" w:type="dxa"/>
            <w:tcBorders>
              <w:top w:val="single" w:color="auto" w:sz="6" w:space="0"/>
              <w:left w:val="single" w:color="auto" w:sz="6" w:space="0"/>
              <w:bottom w:val="single" w:color="auto" w:sz="6" w:space="0"/>
              <w:right w:val="single" w:color="auto" w:sz="6" w:space="0"/>
            </w:tcBorders>
            <w:vAlign w:val="center"/>
          </w:tcPr>
          <w:p w14:paraId="110675F5">
            <w:pPr>
              <w:adjustRightInd w:val="0"/>
              <w:jc w:val="center"/>
              <w:rPr>
                <w:rFonts w:ascii="宋体" w:hAnsi="宋体" w:cs="宋体"/>
                <w:color w:val="auto"/>
                <w:szCs w:val="21"/>
              </w:rPr>
            </w:pPr>
            <w:r>
              <w:rPr>
                <w:rFonts w:hint="eastAsia" w:ascii="宋体" w:hAnsi="宋体" w:cs="宋体"/>
                <w:color w:val="auto"/>
                <w:szCs w:val="21"/>
              </w:rPr>
              <w:t>受奖情况</w:t>
            </w:r>
          </w:p>
        </w:tc>
      </w:tr>
      <w:tr w14:paraId="7EA72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38033828">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293A2E97">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4EE31F33">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22D6AF79">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26CEFF19">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44C26F0A">
            <w:pPr>
              <w:adjustRightInd w:val="0"/>
              <w:rPr>
                <w:rFonts w:ascii="宋体" w:hAnsi="宋体" w:cs="宋体"/>
                <w:color w:val="auto"/>
                <w:szCs w:val="21"/>
              </w:rPr>
            </w:pPr>
          </w:p>
        </w:tc>
      </w:tr>
      <w:tr w14:paraId="122C4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138CE7DA">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0CF1FD1F">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453463BD">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6DE762B8">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60890809">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78C059B7">
            <w:pPr>
              <w:adjustRightInd w:val="0"/>
              <w:rPr>
                <w:rFonts w:ascii="宋体" w:hAnsi="宋体" w:cs="宋体"/>
                <w:color w:val="auto"/>
                <w:szCs w:val="21"/>
              </w:rPr>
            </w:pPr>
          </w:p>
        </w:tc>
      </w:tr>
      <w:tr w14:paraId="10062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5049FCD1">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5986497C">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01868F3B">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675B509E">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3498712E">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0A15E7FA">
            <w:pPr>
              <w:adjustRightInd w:val="0"/>
              <w:rPr>
                <w:rFonts w:ascii="宋体" w:hAnsi="宋体" w:cs="宋体"/>
                <w:color w:val="auto"/>
                <w:szCs w:val="21"/>
              </w:rPr>
            </w:pPr>
          </w:p>
        </w:tc>
      </w:tr>
    </w:tbl>
    <w:p w14:paraId="1449D886">
      <w:pPr>
        <w:pStyle w:val="24"/>
        <w:ind w:firstLine="1050" w:firstLineChars="500"/>
        <w:rPr>
          <w:rFonts w:hAnsi="宋体"/>
          <w:color w:val="auto"/>
          <w:szCs w:val="21"/>
        </w:rPr>
      </w:pPr>
    </w:p>
    <w:p w14:paraId="4D9D92E2">
      <w:pPr>
        <w:pStyle w:val="24"/>
        <w:ind w:firstLine="1050" w:firstLineChars="500"/>
        <w:rPr>
          <w:rFonts w:hAnsi="宋体"/>
          <w:color w:val="auto"/>
          <w:szCs w:val="21"/>
        </w:rPr>
      </w:pPr>
    </w:p>
    <w:p w14:paraId="10441322">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5FEB8487">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7DE1E364">
      <w:pPr>
        <w:adjustRightInd w:val="0"/>
        <w:spacing w:line="300" w:lineRule="auto"/>
        <w:ind w:firstLine="443" w:firstLineChars="210"/>
        <w:rPr>
          <w:rFonts w:ascii="宋体" w:hAnsi="宋体" w:cs="宋体"/>
          <w:b/>
          <w:color w:val="auto"/>
          <w:szCs w:val="21"/>
        </w:rPr>
      </w:pPr>
    </w:p>
    <w:p w14:paraId="7705DAC0">
      <w:pPr>
        <w:pStyle w:val="24"/>
        <w:rPr>
          <w:rFonts w:hAnsi="宋体"/>
          <w:color w:val="auto"/>
          <w:szCs w:val="21"/>
        </w:rPr>
      </w:pPr>
    </w:p>
    <w:p w14:paraId="0D1FD867">
      <w:pPr>
        <w:pStyle w:val="24"/>
        <w:rPr>
          <w:rFonts w:hAnsi="宋体"/>
          <w:color w:val="auto"/>
          <w:szCs w:val="21"/>
        </w:rPr>
      </w:pPr>
    </w:p>
    <w:p w14:paraId="444BD17C">
      <w:pPr>
        <w:pStyle w:val="24"/>
        <w:rPr>
          <w:rFonts w:hAnsi="宋体"/>
          <w:color w:val="auto"/>
          <w:szCs w:val="21"/>
        </w:rPr>
      </w:pPr>
    </w:p>
    <w:p w14:paraId="7D5FFF09">
      <w:pPr>
        <w:snapToGrid w:val="0"/>
        <w:spacing w:line="400" w:lineRule="exact"/>
        <w:rPr>
          <w:rFonts w:ascii="宋体" w:hAnsi="宋体"/>
          <w:b/>
          <w:bCs/>
          <w:color w:val="auto"/>
          <w:sz w:val="32"/>
          <w:szCs w:val="32"/>
        </w:rPr>
      </w:pPr>
    </w:p>
    <w:p w14:paraId="29BB2014">
      <w:pPr>
        <w:snapToGrid w:val="0"/>
        <w:spacing w:line="400" w:lineRule="exact"/>
        <w:rPr>
          <w:rFonts w:ascii="宋体" w:hAnsi="宋体"/>
          <w:b/>
          <w:bCs/>
          <w:color w:val="auto"/>
          <w:sz w:val="32"/>
          <w:szCs w:val="32"/>
        </w:rPr>
      </w:pPr>
    </w:p>
    <w:p w14:paraId="06855D99">
      <w:pPr>
        <w:snapToGrid w:val="0"/>
        <w:spacing w:line="400" w:lineRule="exact"/>
        <w:rPr>
          <w:rFonts w:ascii="宋体" w:hAnsi="宋体"/>
          <w:b/>
          <w:bCs/>
          <w:color w:val="auto"/>
          <w:sz w:val="32"/>
          <w:szCs w:val="32"/>
        </w:rPr>
      </w:pPr>
    </w:p>
    <w:p w14:paraId="5D803B50">
      <w:pPr>
        <w:snapToGrid w:val="0"/>
        <w:spacing w:line="400" w:lineRule="exact"/>
        <w:rPr>
          <w:rFonts w:ascii="宋体" w:hAnsi="宋体"/>
          <w:b/>
          <w:bCs/>
          <w:color w:val="auto"/>
          <w:sz w:val="32"/>
          <w:szCs w:val="32"/>
        </w:rPr>
      </w:pPr>
    </w:p>
    <w:p w14:paraId="5EAEEDBB">
      <w:pPr>
        <w:snapToGrid w:val="0"/>
        <w:spacing w:line="400" w:lineRule="exact"/>
        <w:rPr>
          <w:rFonts w:ascii="宋体" w:hAnsi="宋体"/>
          <w:b/>
          <w:bCs/>
          <w:color w:val="auto"/>
          <w:sz w:val="32"/>
          <w:szCs w:val="32"/>
        </w:rPr>
      </w:pPr>
    </w:p>
    <w:p w14:paraId="4F5CC0A1">
      <w:pPr>
        <w:snapToGrid w:val="0"/>
        <w:spacing w:line="400" w:lineRule="exact"/>
        <w:rPr>
          <w:rFonts w:ascii="宋体" w:hAnsi="宋体"/>
          <w:b/>
          <w:bCs/>
          <w:color w:val="auto"/>
          <w:sz w:val="32"/>
          <w:szCs w:val="32"/>
        </w:rPr>
      </w:pPr>
    </w:p>
    <w:p w14:paraId="2ABEA132">
      <w:pPr>
        <w:snapToGrid w:val="0"/>
        <w:spacing w:line="400" w:lineRule="exact"/>
        <w:rPr>
          <w:rFonts w:ascii="宋体" w:hAnsi="宋体"/>
          <w:b/>
          <w:bCs/>
          <w:color w:val="auto"/>
          <w:sz w:val="32"/>
          <w:szCs w:val="32"/>
        </w:rPr>
      </w:pPr>
    </w:p>
    <w:p w14:paraId="05533C8C">
      <w:pPr>
        <w:snapToGrid w:val="0"/>
        <w:spacing w:line="400" w:lineRule="exact"/>
        <w:rPr>
          <w:rFonts w:ascii="宋体" w:hAnsi="宋体"/>
          <w:b/>
          <w:bCs/>
          <w:color w:val="auto"/>
          <w:sz w:val="32"/>
          <w:szCs w:val="32"/>
        </w:rPr>
      </w:pPr>
    </w:p>
    <w:p w14:paraId="5009E8F7">
      <w:pPr>
        <w:pStyle w:val="24"/>
        <w:spacing w:line="500" w:lineRule="exact"/>
        <w:rPr>
          <w:rFonts w:hAnsi="宋体"/>
          <w:b/>
          <w:color w:val="auto"/>
        </w:rPr>
      </w:pPr>
    </w:p>
    <w:p w14:paraId="3583E399">
      <w:pPr>
        <w:spacing w:line="520" w:lineRule="exact"/>
        <w:ind w:left="-10" w:firstLine="455" w:firstLineChars="217"/>
        <w:jc w:val="left"/>
        <w:rPr>
          <w:color w:val="auto"/>
        </w:rPr>
      </w:pPr>
    </w:p>
    <w:p w14:paraId="6600CE95">
      <w:pPr>
        <w:spacing w:line="520" w:lineRule="exact"/>
        <w:ind w:left="-10" w:firstLine="455" w:firstLineChars="217"/>
        <w:jc w:val="left"/>
        <w:rPr>
          <w:rFonts w:ascii="宋体" w:hAnsi="宋体"/>
          <w:color w:val="auto"/>
          <w:szCs w:val="21"/>
        </w:rPr>
      </w:pPr>
    </w:p>
    <w:p w14:paraId="5732FE86">
      <w:pPr>
        <w:spacing w:line="400" w:lineRule="exact"/>
        <w:rPr>
          <w:rFonts w:ascii="宋体" w:hAnsi="宋体"/>
          <w:color w:val="auto"/>
          <w:szCs w:val="21"/>
        </w:rPr>
      </w:pPr>
    </w:p>
    <w:p w14:paraId="70B9E196">
      <w:pPr>
        <w:jc w:val="left"/>
        <w:rPr>
          <w:rFonts w:hint="eastAsia" w:ascii="宋体" w:hAnsi="宋体"/>
          <w:b/>
          <w:color w:val="auto"/>
          <w:sz w:val="24"/>
        </w:rPr>
      </w:pPr>
    </w:p>
    <w:p w14:paraId="01F8DF5D">
      <w:pPr>
        <w:jc w:val="left"/>
        <w:rPr>
          <w:rFonts w:ascii="宋体" w:hAnsi="宋体"/>
          <w:b/>
          <w:color w:val="auto"/>
          <w:sz w:val="28"/>
          <w:szCs w:val="28"/>
        </w:rPr>
      </w:pPr>
      <w:r>
        <w:rPr>
          <w:rFonts w:hint="eastAsia" w:ascii="宋体" w:hAnsi="宋体"/>
          <w:b/>
          <w:color w:val="auto"/>
          <w:sz w:val="24"/>
        </w:rPr>
        <w:t>格式</w:t>
      </w:r>
      <w:r>
        <w:rPr>
          <w:rFonts w:hint="eastAsia" w:hAnsi="宋体"/>
          <w:b/>
          <w:color w:val="auto"/>
          <w:sz w:val="24"/>
        </w:rPr>
        <w:t>十</w:t>
      </w:r>
      <w:r>
        <w:rPr>
          <w:rFonts w:hint="eastAsia" w:hAnsi="宋体"/>
          <w:b/>
          <w:color w:val="auto"/>
          <w:sz w:val="24"/>
          <w:lang w:eastAsia="zh-CN"/>
        </w:rPr>
        <w:t>二</w:t>
      </w:r>
      <w:r>
        <w:rPr>
          <w:rFonts w:hint="eastAsia" w:ascii="宋体" w:hAnsi="宋体"/>
          <w:b/>
          <w:color w:val="auto"/>
          <w:sz w:val="24"/>
        </w:rPr>
        <w:t>：</w:t>
      </w:r>
    </w:p>
    <w:p w14:paraId="3F50D885">
      <w:pPr>
        <w:jc w:val="center"/>
        <w:rPr>
          <w:rFonts w:ascii="宋体" w:hAnsi="宋体"/>
          <w:b/>
          <w:color w:val="auto"/>
          <w:sz w:val="28"/>
          <w:szCs w:val="28"/>
        </w:rPr>
      </w:pPr>
      <w:r>
        <w:rPr>
          <w:rFonts w:hint="eastAsia" w:ascii="宋体" w:hAnsi="宋体"/>
          <w:b/>
          <w:color w:val="auto"/>
          <w:sz w:val="28"/>
          <w:szCs w:val="28"/>
        </w:rPr>
        <w:t>磋商函</w:t>
      </w:r>
    </w:p>
    <w:p w14:paraId="4FEF79D0">
      <w:pPr>
        <w:spacing w:line="440" w:lineRule="exact"/>
        <w:rPr>
          <w:rFonts w:ascii="宋体" w:hAnsi="宋体"/>
          <w:color w:val="auto"/>
          <w:u w:val="single"/>
        </w:rPr>
      </w:pPr>
      <w:r>
        <w:rPr>
          <w:rFonts w:ascii="宋体" w:hAnsi="宋体"/>
          <w:color w:val="auto"/>
        </w:rPr>
        <w:t>致：</w:t>
      </w:r>
      <w:r>
        <w:rPr>
          <w:rFonts w:hint="eastAsia" w:ascii="宋体" w:hAnsi="宋体"/>
          <w:color w:val="auto"/>
        </w:rPr>
        <w:t>（</w:t>
      </w:r>
      <w:r>
        <w:rPr>
          <w:rFonts w:hint="eastAsia" w:ascii="宋体" w:hAnsi="宋体"/>
          <w:color w:val="auto"/>
          <w:u w:val="single"/>
        </w:rPr>
        <w:t>采购人名称）</w:t>
      </w:r>
    </w:p>
    <w:p w14:paraId="385DFEA1">
      <w:pPr>
        <w:spacing w:line="440" w:lineRule="exact"/>
        <w:ind w:firstLine="488"/>
        <w:rPr>
          <w:rFonts w:ascii="宋体" w:hAnsi="宋体"/>
          <w:b/>
          <w:color w:val="auto"/>
          <w:szCs w:val="21"/>
        </w:rPr>
      </w:pPr>
      <w:r>
        <w:rPr>
          <w:rFonts w:ascii="宋体" w:hAnsi="宋体"/>
          <w:color w:val="auto"/>
        </w:rPr>
        <w:t>1</w:t>
      </w:r>
      <w:r>
        <w:rPr>
          <w:rFonts w:hint="eastAsia" w:ascii="宋体" w:hAnsi="宋体"/>
          <w:color w:val="auto"/>
        </w:rPr>
        <w:t xml:space="preserve">. </w:t>
      </w:r>
      <w:r>
        <w:rPr>
          <w:rFonts w:ascii="宋体" w:hAnsi="宋体"/>
          <w:color w:val="auto"/>
        </w:rPr>
        <w:t>根据你方项目编号为</w:t>
      </w:r>
      <w:r>
        <w:rPr>
          <w:rFonts w:ascii="宋体" w:hAnsi="宋体"/>
          <w:color w:val="auto"/>
          <w:u w:val="single"/>
        </w:rPr>
        <w:t xml:space="preserve"> {项目编号}</w:t>
      </w:r>
      <w:r>
        <w:rPr>
          <w:rFonts w:ascii="宋体" w:hAnsi="宋体"/>
          <w:color w:val="auto"/>
        </w:rPr>
        <w:t>的</w:t>
      </w:r>
      <w:r>
        <w:rPr>
          <w:rFonts w:hint="eastAsia" w:ascii="宋体" w:hAnsi="宋体"/>
          <w:color w:val="auto"/>
          <w:u w:val="single"/>
        </w:rPr>
        <w:t>（项目名称）标</w:t>
      </w:r>
      <w:r>
        <w:rPr>
          <w:rFonts w:ascii="宋体" w:hAnsi="宋体"/>
          <w:color w:val="auto"/>
        </w:rPr>
        <w:t>磋商文件，遵照</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《中华人民共和国政府采购法实施条例》、《政府采购竞争性磋商采购方式管理暂行办法》</w:t>
      </w:r>
      <w:r>
        <w:rPr>
          <w:rFonts w:ascii="宋体" w:hAnsi="宋体" w:cs="Arial"/>
          <w:color w:val="auto"/>
          <w:szCs w:val="21"/>
        </w:rPr>
        <w:t>等</w:t>
      </w:r>
      <w:r>
        <w:rPr>
          <w:rFonts w:ascii="宋体" w:hAnsi="宋体"/>
          <w:color w:val="auto"/>
        </w:rPr>
        <w:t>有关规定，经踏勘项目现场和研究上述磋商文件的磋商须知、合同条款、图纸、工程建设标准和工程量清单及其他有关文件后，</w:t>
      </w:r>
      <w:r>
        <w:rPr>
          <w:rFonts w:ascii="宋体" w:hAnsi="宋体"/>
          <w:b/>
          <w:color w:val="auto"/>
          <w:szCs w:val="21"/>
        </w:rPr>
        <w:t>我方</w:t>
      </w:r>
      <w:r>
        <w:rPr>
          <w:rFonts w:hint="eastAsia" w:ascii="宋体" w:hAnsi="宋体"/>
          <w:b/>
          <w:color w:val="auto"/>
          <w:szCs w:val="21"/>
        </w:rPr>
        <w:t>愿以</w:t>
      </w:r>
      <w:r>
        <w:rPr>
          <w:rFonts w:ascii="宋体" w:hAnsi="宋体"/>
          <w:b/>
          <w:color w:val="auto"/>
          <w:szCs w:val="21"/>
        </w:rPr>
        <w:t>人民币(大写)元（RMB</w:t>
      </w:r>
      <w:r>
        <w:rPr>
          <w:rFonts w:ascii="宋体" w:hAnsi="宋体"/>
          <w:b/>
          <w:color w:val="auto"/>
          <w:szCs w:val="21"/>
          <w:u w:val="single"/>
        </w:rPr>
        <w:t xml:space="preserve">¥   </w:t>
      </w:r>
      <w:r>
        <w:rPr>
          <w:rFonts w:ascii="宋体" w:hAnsi="宋体"/>
          <w:b/>
          <w:color w:val="auto"/>
          <w:szCs w:val="21"/>
        </w:rPr>
        <w:t>）磋商</w:t>
      </w:r>
      <w:r>
        <w:rPr>
          <w:rFonts w:hint="eastAsia" w:ascii="宋体" w:hAnsi="宋体"/>
          <w:b/>
          <w:color w:val="auto"/>
          <w:szCs w:val="21"/>
        </w:rPr>
        <w:t>总</w:t>
      </w:r>
      <w:r>
        <w:rPr>
          <w:rFonts w:ascii="宋体" w:hAnsi="宋体"/>
          <w:b/>
          <w:color w:val="auto"/>
          <w:szCs w:val="21"/>
        </w:rPr>
        <w:t>报价</w:t>
      </w:r>
      <w:r>
        <w:rPr>
          <w:rFonts w:hint="eastAsia" w:ascii="宋体" w:hAnsi="宋体"/>
          <w:b/>
          <w:color w:val="auto"/>
          <w:szCs w:val="21"/>
        </w:rPr>
        <w:t>；</w:t>
      </w:r>
      <w:r>
        <w:rPr>
          <w:rFonts w:ascii="宋体" w:hAnsi="宋体"/>
          <w:b/>
          <w:color w:val="auto"/>
          <w:szCs w:val="21"/>
        </w:rPr>
        <w:t>并按上述图纸、合同条款、工程建设标准和工程量清单的条件要求承包上述工程的施工、竣工，并承担任何质量缺陷保修责任。</w:t>
      </w:r>
      <w:r>
        <w:rPr>
          <w:rFonts w:hint="eastAsia" w:ascii="宋体" w:hAnsi="宋体"/>
          <w:b/>
          <w:color w:val="auto"/>
          <w:szCs w:val="21"/>
        </w:rPr>
        <w:t>施工工期为</w:t>
      </w:r>
      <w:r>
        <w:rPr>
          <w:rFonts w:hint="eastAsia" w:ascii="宋体" w:hAnsi="宋体"/>
          <w:b/>
          <w:color w:val="auto"/>
          <w:szCs w:val="21"/>
          <w:u w:val="single"/>
        </w:rPr>
        <w:t xml:space="preserve">      天</w:t>
      </w:r>
      <w:r>
        <w:rPr>
          <w:rFonts w:hint="eastAsia" w:ascii="宋体" w:hAnsi="宋体"/>
          <w:b/>
          <w:color w:val="auto"/>
          <w:szCs w:val="21"/>
        </w:rPr>
        <w:t>（日历日），工程质量标准。</w:t>
      </w:r>
    </w:p>
    <w:p w14:paraId="3AE1A8CE">
      <w:pPr>
        <w:spacing w:line="440" w:lineRule="exact"/>
        <w:ind w:firstLine="442"/>
        <w:rPr>
          <w:rFonts w:ascii="宋体" w:hAnsi="宋体"/>
          <w:color w:val="auto"/>
        </w:rPr>
      </w:pPr>
      <w:r>
        <w:rPr>
          <w:rFonts w:ascii="宋体" w:hAnsi="宋体"/>
          <w:color w:val="auto"/>
        </w:rPr>
        <w:t>2</w:t>
      </w:r>
      <w:r>
        <w:rPr>
          <w:rFonts w:hint="eastAsia" w:ascii="宋体" w:hAnsi="宋体"/>
          <w:color w:val="auto"/>
        </w:rPr>
        <w:t xml:space="preserve">. </w:t>
      </w:r>
      <w:r>
        <w:rPr>
          <w:rFonts w:ascii="宋体" w:hAnsi="宋体"/>
          <w:color w:val="auto"/>
        </w:rPr>
        <w:t>我方已详细审核全部磋商文件，包括修改文件（如有时）及有关附件。</w:t>
      </w:r>
    </w:p>
    <w:p w14:paraId="5E397E48">
      <w:pPr>
        <w:spacing w:line="440" w:lineRule="exact"/>
        <w:ind w:firstLine="442"/>
        <w:rPr>
          <w:rFonts w:ascii="宋体" w:hAnsi="宋体"/>
          <w:color w:val="auto"/>
        </w:rPr>
      </w:pPr>
      <w:r>
        <w:rPr>
          <w:rFonts w:hint="eastAsia" w:ascii="宋体" w:hAnsi="宋体"/>
          <w:color w:val="auto"/>
        </w:rPr>
        <w:t xml:space="preserve">3. </w:t>
      </w:r>
      <w:r>
        <w:rPr>
          <w:rFonts w:ascii="宋体" w:hAnsi="宋体"/>
          <w:color w:val="auto"/>
        </w:rPr>
        <w:t>一旦我方成交，我方保证按合同书中规定的工期</w:t>
      </w:r>
      <w:r>
        <w:rPr>
          <w:rFonts w:ascii="宋体" w:hAnsi="宋体"/>
          <w:color w:val="auto"/>
          <w:u w:val="single"/>
        </w:rPr>
        <w:t xml:space="preserve"> {工期}  </w:t>
      </w:r>
      <w:r>
        <w:rPr>
          <w:rFonts w:ascii="宋体" w:hAnsi="宋体"/>
          <w:color w:val="auto"/>
        </w:rPr>
        <w:t>日历</w:t>
      </w:r>
      <w:r>
        <w:rPr>
          <w:rFonts w:hint="eastAsia" w:ascii="宋体" w:hAnsi="宋体"/>
          <w:color w:val="auto"/>
        </w:rPr>
        <w:t>日</w:t>
      </w:r>
      <w:r>
        <w:rPr>
          <w:rFonts w:ascii="宋体" w:hAnsi="宋体"/>
          <w:color w:val="auto"/>
        </w:rPr>
        <w:t>内完成并移交全部工程。</w:t>
      </w:r>
    </w:p>
    <w:p w14:paraId="333E0D03">
      <w:pPr>
        <w:spacing w:line="440" w:lineRule="exact"/>
        <w:ind w:firstLine="442"/>
        <w:rPr>
          <w:rFonts w:ascii="宋体" w:hAnsi="宋体"/>
          <w:color w:val="auto"/>
        </w:rPr>
      </w:pPr>
      <w:r>
        <w:rPr>
          <w:rFonts w:hint="eastAsia" w:ascii="宋体" w:hAnsi="宋体"/>
          <w:color w:val="auto"/>
        </w:rPr>
        <w:t xml:space="preserve">4. </w:t>
      </w:r>
      <w:r>
        <w:rPr>
          <w:rFonts w:ascii="宋体" w:hAnsi="宋体"/>
          <w:color w:val="auto"/>
        </w:rPr>
        <w:t>如果我方成交，我方将按照</w:t>
      </w:r>
      <w:r>
        <w:rPr>
          <w:rFonts w:hint="eastAsia" w:ascii="宋体" w:hAnsi="宋体"/>
          <w:color w:val="auto"/>
        </w:rPr>
        <w:t>磋商</w:t>
      </w:r>
      <w:r>
        <w:rPr>
          <w:rFonts w:ascii="宋体" w:hAnsi="宋体"/>
          <w:color w:val="auto"/>
        </w:rPr>
        <w:t>文件规定提交</w:t>
      </w:r>
      <w:r>
        <w:rPr>
          <w:rFonts w:hint="eastAsia" w:ascii="宋体" w:hAnsi="宋体"/>
          <w:color w:val="auto"/>
        </w:rPr>
        <w:t>履约保证金（如有）</w:t>
      </w:r>
      <w:r>
        <w:rPr>
          <w:rFonts w:ascii="宋体" w:hAnsi="宋体"/>
          <w:color w:val="auto"/>
        </w:rPr>
        <w:t>作为履约担保。</w:t>
      </w:r>
    </w:p>
    <w:p w14:paraId="76D86697">
      <w:pPr>
        <w:spacing w:line="440" w:lineRule="exact"/>
        <w:ind w:firstLine="442"/>
        <w:rPr>
          <w:rFonts w:ascii="宋体" w:hAnsi="宋体"/>
          <w:color w:val="auto"/>
        </w:rPr>
      </w:pPr>
      <w:r>
        <w:rPr>
          <w:rFonts w:hint="eastAsia" w:ascii="宋体" w:hAnsi="宋体"/>
          <w:color w:val="auto"/>
        </w:rPr>
        <w:t xml:space="preserve">5. </w:t>
      </w:r>
      <w:r>
        <w:rPr>
          <w:rFonts w:ascii="宋体" w:hAnsi="宋体"/>
          <w:color w:val="auto"/>
        </w:rPr>
        <w:t>我方同意所提交的</w:t>
      </w:r>
      <w:r>
        <w:rPr>
          <w:rFonts w:hint="eastAsia" w:ascii="宋体" w:hAnsi="宋体"/>
          <w:color w:val="auto"/>
        </w:rPr>
        <w:t>响应文件</w:t>
      </w:r>
      <w:r>
        <w:rPr>
          <w:rFonts w:ascii="宋体" w:hAnsi="宋体"/>
          <w:color w:val="auto"/>
        </w:rPr>
        <w:t>在磋商文件的磋商须知中第</w:t>
      </w:r>
      <w:r>
        <w:rPr>
          <w:rFonts w:hint="eastAsia" w:ascii="宋体" w:hAnsi="宋体"/>
          <w:color w:val="auto"/>
        </w:rPr>
        <w:t>10</w:t>
      </w:r>
      <w:r>
        <w:rPr>
          <w:rFonts w:ascii="宋体" w:hAnsi="宋体"/>
          <w:color w:val="auto"/>
        </w:rPr>
        <w:t>条规定的磋商有效期内有效，在此期间内如果成交，我方将受此约束。</w:t>
      </w:r>
    </w:p>
    <w:p w14:paraId="72EE6E89">
      <w:pPr>
        <w:spacing w:line="440" w:lineRule="exact"/>
        <w:ind w:firstLine="442"/>
        <w:rPr>
          <w:rFonts w:ascii="宋体" w:hAnsi="宋体"/>
          <w:color w:val="auto"/>
        </w:rPr>
      </w:pPr>
      <w:r>
        <w:rPr>
          <w:rFonts w:ascii="宋体" w:hAnsi="宋体"/>
          <w:color w:val="auto"/>
        </w:rPr>
        <w:t>7</w:t>
      </w:r>
      <w:r>
        <w:rPr>
          <w:rFonts w:hint="eastAsia" w:ascii="宋体" w:hAnsi="宋体"/>
          <w:color w:val="auto"/>
        </w:rPr>
        <w:t xml:space="preserve">. </w:t>
      </w:r>
      <w:r>
        <w:rPr>
          <w:rFonts w:ascii="宋体" w:hAnsi="宋体"/>
          <w:color w:val="auto"/>
        </w:rPr>
        <w:t>除非另外达成协议并生效，你方的成交通知书和本</w:t>
      </w:r>
      <w:r>
        <w:rPr>
          <w:rFonts w:hint="eastAsia" w:ascii="宋体" w:hAnsi="宋体"/>
          <w:color w:val="auto"/>
        </w:rPr>
        <w:t>响应文件</w:t>
      </w:r>
      <w:r>
        <w:rPr>
          <w:rFonts w:ascii="宋体" w:hAnsi="宋体"/>
          <w:color w:val="auto"/>
        </w:rPr>
        <w:t>将成为约束双方的合同文件的组成部分。</w:t>
      </w:r>
    </w:p>
    <w:p w14:paraId="615D53EC">
      <w:pPr>
        <w:spacing w:line="440" w:lineRule="exact"/>
        <w:ind w:firstLine="442"/>
        <w:rPr>
          <w:rFonts w:ascii="宋体" w:hAnsi="宋体"/>
          <w:color w:val="auto"/>
        </w:rPr>
      </w:pPr>
      <w:r>
        <w:rPr>
          <w:rFonts w:ascii="宋体" w:hAnsi="宋体"/>
          <w:color w:val="auto"/>
        </w:rPr>
        <w:t>8</w:t>
      </w:r>
      <w:r>
        <w:rPr>
          <w:rFonts w:hint="eastAsia" w:ascii="宋体" w:hAnsi="宋体"/>
          <w:color w:val="auto"/>
        </w:rPr>
        <w:t xml:space="preserve">. </w:t>
      </w:r>
      <w:r>
        <w:rPr>
          <w:rFonts w:ascii="宋体" w:hAnsi="宋体"/>
          <w:color w:val="auto"/>
        </w:rPr>
        <w:t>我方将与本磋商函一起，提交人民币</w:t>
      </w:r>
      <w:r>
        <w:rPr>
          <w:rFonts w:hint="eastAsia" w:ascii="宋体" w:hAnsi="宋体"/>
          <w:color w:val="auto"/>
          <w:u w:val="single"/>
        </w:rPr>
        <w:t>/</w:t>
      </w:r>
      <w:r>
        <w:rPr>
          <w:rFonts w:ascii="宋体" w:hAnsi="宋体"/>
          <w:color w:val="auto"/>
        </w:rPr>
        <w:t>元作为磋商担保。</w:t>
      </w:r>
    </w:p>
    <w:p w14:paraId="10679978">
      <w:pPr>
        <w:spacing w:line="440" w:lineRule="exact"/>
        <w:rPr>
          <w:rFonts w:ascii="宋体" w:hAnsi="宋体"/>
          <w:color w:val="auto"/>
        </w:rPr>
      </w:pPr>
    </w:p>
    <w:p w14:paraId="4F969CD4">
      <w:pPr>
        <w:spacing w:line="440" w:lineRule="exact"/>
        <w:ind w:firstLine="2100" w:firstLineChars="1000"/>
        <w:rPr>
          <w:rFonts w:ascii="宋体" w:hAnsi="宋体"/>
          <w:color w:val="auto"/>
          <w:u w:val="single"/>
        </w:rPr>
      </w:pPr>
      <w:r>
        <w:rPr>
          <w:rFonts w:hint="eastAsia" w:ascii="宋体" w:hAnsi="宋体"/>
          <w:color w:val="auto"/>
        </w:rPr>
        <w:t>供应商</w:t>
      </w:r>
      <w:r>
        <w:rPr>
          <w:rFonts w:ascii="宋体" w:hAnsi="宋体"/>
          <w:color w:val="auto"/>
        </w:rPr>
        <w:t>：</w:t>
      </w:r>
      <w:r>
        <w:rPr>
          <w:rFonts w:hint="eastAsia" w:ascii="宋体" w:hAnsi="宋体"/>
          <w:color w:val="auto"/>
          <w:u w:val="single"/>
        </w:rPr>
        <w:t>（全称）</w:t>
      </w:r>
      <w:r>
        <w:rPr>
          <w:rFonts w:ascii="宋体" w:hAnsi="宋体"/>
          <w:color w:val="auto"/>
          <w:u w:val="single"/>
        </w:rPr>
        <w:t xml:space="preserve">               （</w:t>
      </w:r>
      <w:r>
        <w:rPr>
          <w:rFonts w:hint="eastAsia" w:ascii="宋体" w:hAnsi="宋体"/>
          <w:color w:val="auto"/>
          <w:u w:val="single"/>
          <w:lang w:eastAsia="zh-CN"/>
        </w:rPr>
        <w:t>电子签章</w:t>
      </w:r>
      <w:r>
        <w:rPr>
          <w:rFonts w:ascii="宋体" w:hAnsi="宋体"/>
          <w:color w:val="auto"/>
          <w:u w:val="single"/>
        </w:rPr>
        <w:t>）</w:t>
      </w:r>
    </w:p>
    <w:p w14:paraId="08F9FFA6">
      <w:pPr>
        <w:spacing w:line="440" w:lineRule="exact"/>
        <w:ind w:left="1000"/>
        <w:rPr>
          <w:rFonts w:ascii="宋体" w:hAnsi="宋体"/>
          <w:color w:val="auto"/>
          <w:u w:val="single"/>
        </w:rPr>
      </w:pPr>
      <w:r>
        <w:rPr>
          <w:rFonts w:ascii="宋体" w:hAnsi="宋体"/>
          <w:color w:val="auto"/>
        </w:rPr>
        <w:t xml:space="preserve">         单位地址：</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546040B5">
      <w:pPr>
        <w:spacing w:line="440" w:lineRule="exact"/>
        <w:ind w:left="1000"/>
        <w:rPr>
          <w:rFonts w:ascii="宋体" w:hAnsi="宋体"/>
          <w:color w:val="auto"/>
        </w:rPr>
      </w:pPr>
      <w:r>
        <w:rPr>
          <w:rFonts w:ascii="宋体" w:hAnsi="宋体"/>
          <w:color w:val="auto"/>
        </w:rPr>
        <w:t xml:space="preserve">         邮政编码：</w:t>
      </w:r>
      <w:r>
        <w:rPr>
          <w:rFonts w:ascii="宋体" w:hAnsi="宋体"/>
          <w:color w:val="auto"/>
          <w:u w:val="single"/>
        </w:rPr>
        <w:tab/>
      </w:r>
      <w:r>
        <w:rPr>
          <w:rFonts w:ascii="宋体" w:hAnsi="宋体"/>
          <w:color w:val="auto"/>
          <w:u w:val="single"/>
        </w:rPr>
        <w:tab/>
      </w:r>
      <w:r>
        <w:rPr>
          <w:rFonts w:ascii="宋体" w:hAnsi="宋体"/>
          <w:color w:val="auto"/>
        </w:rPr>
        <w:t>电话：</w:t>
      </w:r>
      <w:r>
        <w:rPr>
          <w:rFonts w:ascii="宋体" w:hAnsi="宋体"/>
          <w:color w:val="auto"/>
          <w:u w:val="single"/>
        </w:rPr>
        <w:tab/>
      </w:r>
      <w:r>
        <w:rPr>
          <w:rFonts w:ascii="宋体" w:hAnsi="宋体"/>
          <w:color w:val="auto"/>
          <w:u w:val="single"/>
        </w:rPr>
        <w:tab/>
      </w:r>
      <w:r>
        <w:rPr>
          <w:rFonts w:ascii="宋体" w:hAnsi="宋体"/>
          <w:color w:val="auto"/>
        </w:rPr>
        <w:t xml:space="preserve"> 传真：</w:t>
      </w:r>
      <w:r>
        <w:rPr>
          <w:rFonts w:ascii="宋体" w:hAnsi="宋体"/>
          <w:color w:val="auto"/>
          <w:u w:val="single"/>
        </w:rPr>
        <w:tab/>
      </w:r>
      <w:r>
        <w:rPr>
          <w:rFonts w:ascii="宋体" w:hAnsi="宋体"/>
          <w:color w:val="auto"/>
          <w:u w:val="single"/>
        </w:rPr>
        <w:tab/>
      </w:r>
    </w:p>
    <w:p w14:paraId="5EA14BB1">
      <w:pPr>
        <w:spacing w:line="440" w:lineRule="exact"/>
        <w:ind w:left="1000"/>
        <w:rPr>
          <w:rFonts w:ascii="宋体" w:hAnsi="宋体"/>
          <w:color w:val="auto"/>
        </w:rPr>
      </w:pPr>
      <w:r>
        <w:rPr>
          <w:rFonts w:ascii="宋体" w:hAnsi="宋体"/>
          <w:color w:val="auto"/>
        </w:rPr>
        <w:t xml:space="preserve">         开户银行名称：</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18B18628">
      <w:pPr>
        <w:spacing w:line="440" w:lineRule="exact"/>
        <w:ind w:left="1000"/>
        <w:rPr>
          <w:rFonts w:ascii="宋体" w:hAnsi="宋体"/>
          <w:color w:val="auto"/>
        </w:rPr>
      </w:pPr>
      <w:r>
        <w:rPr>
          <w:rFonts w:ascii="宋体" w:hAnsi="宋体"/>
          <w:color w:val="auto"/>
        </w:rPr>
        <w:t xml:space="preserve">         开户银行账号：</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0AC50034">
      <w:pPr>
        <w:spacing w:line="440" w:lineRule="exact"/>
        <w:ind w:left="1000"/>
        <w:rPr>
          <w:rFonts w:ascii="宋体" w:hAnsi="宋体"/>
          <w:color w:val="auto"/>
        </w:rPr>
      </w:pPr>
      <w:r>
        <w:rPr>
          <w:rFonts w:ascii="宋体" w:hAnsi="宋体"/>
          <w:color w:val="auto"/>
        </w:rPr>
        <w:t xml:space="preserve">         开户银行地址：</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74B23F99">
      <w:pPr>
        <w:spacing w:line="440" w:lineRule="exact"/>
        <w:ind w:left="1000"/>
        <w:rPr>
          <w:rFonts w:ascii="宋体" w:hAnsi="宋体"/>
          <w:color w:val="auto"/>
        </w:rPr>
      </w:pPr>
      <w:r>
        <w:rPr>
          <w:rFonts w:ascii="宋体" w:hAnsi="宋体"/>
          <w:color w:val="auto"/>
        </w:rPr>
        <w:t xml:space="preserve">         开户银行电话：</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02ADB5F5">
      <w:pPr>
        <w:spacing w:line="440" w:lineRule="exact"/>
        <w:ind w:firstLine="1890" w:firstLineChars="900"/>
        <w:rPr>
          <w:rFonts w:ascii="宋体" w:hAnsi="宋体"/>
          <w:color w:val="auto"/>
          <w:szCs w:val="21"/>
        </w:rPr>
      </w:pPr>
      <w:r>
        <w:rPr>
          <w:rFonts w:ascii="宋体" w:hAnsi="宋体"/>
          <w:color w:val="auto"/>
        </w:rPr>
        <w:t>日期：_____年____月___日</w:t>
      </w:r>
    </w:p>
    <w:p w14:paraId="6E476F54">
      <w:pPr>
        <w:tabs>
          <w:tab w:val="left" w:pos="0"/>
        </w:tabs>
        <w:spacing w:after="50" w:line="400" w:lineRule="exact"/>
        <w:rPr>
          <w:rFonts w:ascii="宋体" w:hAnsi="宋体"/>
          <w:b/>
          <w:bCs/>
          <w:color w:val="auto"/>
          <w:sz w:val="24"/>
        </w:rPr>
      </w:pPr>
    </w:p>
    <w:p w14:paraId="2BE24F4D">
      <w:pPr>
        <w:pStyle w:val="24"/>
        <w:jc w:val="center"/>
        <w:rPr>
          <w:color w:val="auto"/>
          <w:szCs w:val="21"/>
        </w:rPr>
      </w:pPr>
      <w:r>
        <w:rPr>
          <w:rFonts w:hAnsi="宋体"/>
          <w:b/>
          <w:bCs/>
          <w:color w:val="auto"/>
          <w:sz w:val="24"/>
        </w:rPr>
        <w:br w:type="page"/>
      </w:r>
      <w:bookmarkStart w:id="167" w:name="_Toc3628"/>
      <w:r>
        <w:rPr>
          <w:rFonts w:hint="eastAsia"/>
          <w:color w:val="auto"/>
          <w:sz w:val="36"/>
        </w:rPr>
        <w:t>第八章  评标办法</w:t>
      </w:r>
      <w:bookmarkEnd w:id="167"/>
    </w:p>
    <w:p w14:paraId="6EFA1B40">
      <w:pPr>
        <w:spacing w:line="360" w:lineRule="auto"/>
        <w:ind w:firstLine="435"/>
        <w:rPr>
          <w:b/>
          <w:bCs/>
          <w:color w:val="auto"/>
          <w:szCs w:val="21"/>
        </w:rPr>
      </w:pPr>
      <w:r>
        <w:rPr>
          <w:rFonts w:hint="eastAsia"/>
          <w:b/>
          <w:bCs/>
          <w:color w:val="auto"/>
          <w:szCs w:val="21"/>
        </w:rPr>
        <w:t>一、评标原则</w:t>
      </w:r>
    </w:p>
    <w:p w14:paraId="4303A7E3">
      <w:pPr>
        <w:spacing w:line="420" w:lineRule="exact"/>
        <w:ind w:firstLine="435"/>
        <w:rPr>
          <w:color w:val="auto"/>
          <w:szCs w:val="21"/>
        </w:rPr>
      </w:pPr>
      <w:r>
        <w:rPr>
          <w:rFonts w:hint="eastAsia"/>
          <w:color w:val="auto"/>
          <w:szCs w:val="21"/>
        </w:rPr>
        <w:t>磋商小组构成：本采购项目的磋商小组由评审专家三人以上（含3人）的单数组成，其中专家人数不得少于成员总数的三分之二。</w:t>
      </w:r>
    </w:p>
    <w:p w14:paraId="362E6F27">
      <w:pPr>
        <w:spacing w:line="420" w:lineRule="exact"/>
        <w:ind w:firstLine="435"/>
        <w:rPr>
          <w:color w:val="auto"/>
          <w:szCs w:val="21"/>
        </w:rPr>
      </w:pPr>
      <w:r>
        <w:rPr>
          <w:rFonts w:hint="eastAsia"/>
          <w:color w:val="auto"/>
          <w:szCs w:val="21"/>
        </w:rPr>
        <w:t>评标依据：采购文件和磋商响应文件为评定依据。</w:t>
      </w:r>
    </w:p>
    <w:p w14:paraId="42AED0CC">
      <w:pPr>
        <w:spacing w:line="420" w:lineRule="exact"/>
        <w:ind w:firstLine="435"/>
        <w:rPr>
          <w:color w:val="auto"/>
          <w:szCs w:val="21"/>
        </w:rPr>
      </w:pPr>
      <w:r>
        <w:rPr>
          <w:rFonts w:hint="eastAsia"/>
          <w:color w:val="auto"/>
          <w:szCs w:val="21"/>
        </w:rPr>
        <w:t>评标办法：</w:t>
      </w:r>
      <w:r>
        <w:rPr>
          <w:rFonts w:hint="eastAsia" w:ascii="宋体" w:hAnsi="宋体" w:cs="Courier New"/>
          <w:color w:val="auto"/>
          <w:szCs w:val="21"/>
          <w:shd w:val="clear" w:color="auto" w:fill="FFFFFF"/>
        </w:rPr>
        <w:t xml:space="preserve">采用综合评分法 </w:t>
      </w:r>
      <w:r>
        <w:rPr>
          <w:rFonts w:hint="eastAsia"/>
          <w:color w:val="auto"/>
          <w:szCs w:val="21"/>
        </w:rPr>
        <w:t>。</w:t>
      </w:r>
    </w:p>
    <w:p w14:paraId="1A1EDEEC">
      <w:pPr>
        <w:numPr>
          <w:ilvl w:val="0"/>
          <w:numId w:val="3"/>
        </w:numPr>
        <w:spacing w:line="420" w:lineRule="exact"/>
        <w:ind w:firstLine="435"/>
        <w:rPr>
          <w:color w:val="auto"/>
          <w:szCs w:val="21"/>
        </w:rPr>
      </w:pPr>
      <w:r>
        <w:rPr>
          <w:rFonts w:hint="eastAsia"/>
          <w:b/>
          <w:bCs/>
          <w:color w:val="auto"/>
          <w:szCs w:val="21"/>
        </w:rPr>
        <w:t>评定方法：</w:t>
      </w:r>
      <w:r>
        <w:rPr>
          <w:rFonts w:hint="eastAsia"/>
          <w:color w:val="auto"/>
          <w:szCs w:val="21"/>
        </w:rPr>
        <w:t>对资格性和符合性检查合格的磋商响应文件，采用</w:t>
      </w:r>
      <w:r>
        <w:rPr>
          <w:rFonts w:hint="eastAsia" w:ascii="宋体" w:hAnsi="宋体" w:cs="Courier New"/>
          <w:color w:val="auto"/>
          <w:szCs w:val="21"/>
          <w:shd w:val="clear" w:color="auto" w:fill="FFFFFF"/>
        </w:rPr>
        <w:t>综合评分法</w:t>
      </w:r>
      <w:r>
        <w:rPr>
          <w:rFonts w:hint="eastAsia"/>
          <w:color w:val="auto"/>
          <w:szCs w:val="21"/>
        </w:rPr>
        <w:t>进行评审。只有通过了资格审查和符合性评审的供应商，才能进入详细评审程序。</w:t>
      </w:r>
    </w:p>
    <w:tbl>
      <w:tblPr>
        <w:tblStyle w:val="4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276"/>
        <w:gridCol w:w="1559"/>
        <w:gridCol w:w="6078"/>
      </w:tblGrid>
      <w:tr w14:paraId="4633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3" w:type="dxa"/>
            <w:tcBorders>
              <w:right w:val="single" w:color="auto" w:sz="4" w:space="0"/>
            </w:tcBorders>
            <w:vAlign w:val="center"/>
          </w:tcPr>
          <w:p w14:paraId="38691376">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4E4BB26D">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w:t>
            </w:r>
          </w:p>
        </w:tc>
        <w:tc>
          <w:tcPr>
            <w:tcW w:w="7637" w:type="dxa"/>
            <w:gridSpan w:val="2"/>
            <w:tcBorders>
              <w:left w:val="single" w:color="auto" w:sz="4" w:space="0"/>
            </w:tcBorders>
            <w:vAlign w:val="center"/>
          </w:tcPr>
          <w:p w14:paraId="248705C8">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评审因素具体内容</w:t>
            </w:r>
          </w:p>
        </w:tc>
      </w:tr>
      <w:tr w14:paraId="6DC2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93" w:type="dxa"/>
            <w:tcBorders>
              <w:right w:val="single" w:color="auto" w:sz="4" w:space="0"/>
            </w:tcBorders>
            <w:vAlign w:val="center"/>
          </w:tcPr>
          <w:p w14:paraId="653C5B41">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14:paraId="262931BC">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价格分</w:t>
            </w:r>
          </w:p>
          <w:p w14:paraId="1433DAD1">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（30分）</w:t>
            </w:r>
          </w:p>
        </w:tc>
        <w:tc>
          <w:tcPr>
            <w:tcW w:w="7637" w:type="dxa"/>
            <w:gridSpan w:val="2"/>
            <w:tcBorders>
              <w:left w:val="single" w:color="auto" w:sz="4" w:space="0"/>
            </w:tcBorders>
          </w:tcPr>
          <w:p w14:paraId="69969B3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本项目专门面向</w:t>
            </w:r>
            <w:r>
              <w:rPr>
                <w:rFonts w:hint="eastAsia" w:ascii="宋体" w:hAnsi="宋体" w:cs="宋体"/>
                <w:color w:val="auto"/>
                <w:sz w:val="21"/>
                <w:szCs w:val="21"/>
                <w:highlight w:val="none"/>
                <w:lang w:val="en-US" w:eastAsia="zh-CN"/>
              </w:rPr>
              <w:t>中小微</w:t>
            </w:r>
            <w:r>
              <w:rPr>
                <w:rFonts w:hint="eastAsia" w:ascii="宋体" w:hAnsi="宋体" w:eastAsia="宋体" w:cs="宋体"/>
                <w:color w:val="auto"/>
                <w:sz w:val="21"/>
                <w:szCs w:val="21"/>
                <w:highlight w:val="none"/>
                <w:lang w:val="en-US" w:eastAsia="zh-CN"/>
              </w:rPr>
              <w:t>企业采购，价格不再进行</w:t>
            </w:r>
            <w:r>
              <w:rPr>
                <w:rFonts w:hint="eastAsia" w:ascii="宋体" w:hAnsi="宋体" w:eastAsia="宋体" w:cs="宋体"/>
                <w:color w:val="auto"/>
                <w:sz w:val="21"/>
                <w:szCs w:val="21"/>
                <w:highlight w:val="none"/>
              </w:rPr>
              <w:t>政策性扣除</w:t>
            </w:r>
          </w:p>
          <w:p w14:paraId="5CBC739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评审价＝最后报价。</w:t>
            </w:r>
          </w:p>
          <w:p w14:paraId="5CEF0BBB">
            <w:pPr>
              <w:pStyle w:val="24"/>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3.以进入比较与评价环节的最低的评审价为基准价，基准价得分为30分。</w:t>
            </w:r>
          </w:p>
          <w:p w14:paraId="53B784A7">
            <w:pPr>
              <w:pStyle w:val="24"/>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4.价格分计算公式：</w:t>
            </w:r>
          </w:p>
          <w:p w14:paraId="38BB5C4C">
            <w:pPr>
              <w:pStyle w:val="24"/>
              <w:spacing w:line="360" w:lineRule="auto"/>
              <w:ind w:firstLine="420" w:firstLineChars="200"/>
              <w:jc w:val="left"/>
              <w:rPr>
                <w:rFonts w:ascii="宋体" w:hAnsi="宋体" w:cs="宋体"/>
                <w:bCs/>
                <w:color w:val="auto"/>
                <w:szCs w:val="21"/>
              </w:rPr>
            </w:pPr>
            <w:r>
              <w:rPr>
                <w:rFonts w:hint="eastAsia" w:ascii="宋体" w:hAnsi="宋体" w:eastAsia="宋体" w:cs="宋体"/>
                <w:color w:val="auto"/>
                <w:sz w:val="21"/>
                <w:szCs w:val="21"/>
                <w:highlight w:val="none"/>
                <w:lang w:val="en-US" w:eastAsia="zh-CN"/>
              </w:rPr>
              <w:t>报价得分=（基准价/评审价）×30分</w:t>
            </w:r>
          </w:p>
        </w:tc>
      </w:tr>
      <w:tr w14:paraId="1245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693" w:type="dxa"/>
            <w:vMerge w:val="restart"/>
            <w:tcBorders>
              <w:right w:val="single" w:color="auto" w:sz="4" w:space="0"/>
            </w:tcBorders>
            <w:vAlign w:val="center"/>
          </w:tcPr>
          <w:p w14:paraId="319614A0">
            <w:pPr>
              <w:autoSpaceDE w:val="0"/>
              <w:autoSpaceDN w:val="0"/>
              <w:spacing w:line="400" w:lineRule="exact"/>
              <w:jc w:val="left"/>
              <w:rPr>
                <w:rFonts w:ascii="宋体" w:hAnsi="宋体"/>
                <w:color w:val="auto"/>
                <w:kern w:val="0"/>
                <w:szCs w:val="21"/>
                <w:lang w:val="ru-RU"/>
              </w:rPr>
            </w:pPr>
            <w:r>
              <w:rPr>
                <w:rFonts w:hint="eastAsia" w:ascii="宋体" w:hAnsi="宋体" w:cs="宋体"/>
                <w:color w:val="auto"/>
                <w:kern w:val="0"/>
                <w:szCs w:val="21"/>
              </w:rPr>
              <w:t>2、</w:t>
            </w:r>
            <w:r>
              <w:rPr>
                <w:rFonts w:hint="eastAsia" w:ascii="宋体" w:hAnsi="宋体" w:cs="宋体"/>
                <w:color w:val="auto"/>
                <w:kern w:val="0"/>
                <w:szCs w:val="21"/>
                <w:lang w:val="ru-RU"/>
              </w:rPr>
              <w:t>技术部分（</w:t>
            </w:r>
            <w:r>
              <w:rPr>
                <w:rFonts w:hint="eastAsia" w:ascii="宋体" w:hAnsi="宋体" w:cs="宋体"/>
                <w:color w:val="auto"/>
                <w:spacing w:val="2"/>
                <w:kern w:val="0"/>
                <w:szCs w:val="21"/>
                <w:lang w:val="ru-RU"/>
              </w:rPr>
              <w:t>满分</w:t>
            </w:r>
            <w:r>
              <w:rPr>
                <w:rFonts w:hint="eastAsia"/>
                <w:color w:val="auto"/>
                <w:spacing w:val="1"/>
                <w:kern w:val="0"/>
                <w:szCs w:val="21"/>
              </w:rPr>
              <w:t>70</w:t>
            </w:r>
            <w:r>
              <w:rPr>
                <w:rFonts w:hint="eastAsia" w:ascii="宋体" w:hAnsi="宋体" w:cs="宋体"/>
                <w:color w:val="auto"/>
                <w:kern w:val="0"/>
                <w:szCs w:val="21"/>
                <w:lang w:val="ru-RU"/>
              </w:rPr>
              <w:t>分）</w:t>
            </w:r>
          </w:p>
        </w:tc>
        <w:tc>
          <w:tcPr>
            <w:tcW w:w="1276" w:type="dxa"/>
            <w:vMerge w:val="restart"/>
            <w:tcBorders>
              <w:top w:val="single" w:color="auto" w:sz="4" w:space="0"/>
              <w:left w:val="single" w:color="auto" w:sz="4" w:space="0"/>
              <w:right w:val="single" w:color="auto" w:sz="4" w:space="0"/>
            </w:tcBorders>
            <w:vAlign w:val="center"/>
          </w:tcPr>
          <w:p w14:paraId="2EDF855E">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1"/>
                <w:kern w:val="0"/>
                <w:szCs w:val="21"/>
                <w:lang w:val="ru-RU"/>
              </w:rPr>
              <w:t>项目管理机构</w:t>
            </w:r>
            <w:r>
              <w:rPr>
                <w:rFonts w:hint="eastAsia" w:ascii="宋体" w:hAnsi="宋体" w:cs="宋体"/>
                <w:color w:val="auto"/>
                <w:spacing w:val="2"/>
                <w:kern w:val="0"/>
                <w:szCs w:val="21"/>
                <w:lang w:val="ru-RU"/>
              </w:rPr>
              <w:t>（满分</w:t>
            </w:r>
            <w:r>
              <w:rPr>
                <w:rFonts w:hint="eastAsia"/>
                <w:color w:val="auto"/>
                <w:kern w:val="0"/>
                <w:szCs w:val="21"/>
              </w:rPr>
              <w:t>2</w:t>
            </w:r>
            <w:r>
              <w:rPr>
                <w:color w:val="auto"/>
                <w:kern w:val="0"/>
                <w:szCs w:val="21"/>
                <w:lang w:val="ru-RU"/>
              </w:rPr>
              <w:t>0</w:t>
            </w:r>
            <w:r>
              <w:rPr>
                <w:rFonts w:hint="eastAsia" w:ascii="宋体" w:hAnsi="宋体" w:cs="宋体"/>
                <w:color w:val="auto"/>
                <w:kern w:val="0"/>
                <w:szCs w:val="21"/>
                <w:lang w:val="ru-RU"/>
              </w:rPr>
              <w:t>分）</w:t>
            </w:r>
          </w:p>
          <w:p w14:paraId="5FBCBC7B">
            <w:pPr>
              <w:spacing w:line="400" w:lineRule="exact"/>
              <w:rPr>
                <w:rFonts w:ascii="宋体" w:hAnsi="宋体"/>
                <w:color w:val="auto"/>
                <w:szCs w:val="21"/>
                <w:lang w:val="ru-RU"/>
              </w:rPr>
            </w:pPr>
          </w:p>
        </w:tc>
        <w:tc>
          <w:tcPr>
            <w:tcW w:w="1559" w:type="dxa"/>
            <w:tcBorders>
              <w:left w:val="single" w:color="auto" w:sz="4" w:space="0"/>
            </w:tcBorders>
            <w:vAlign w:val="center"/>
          </w:tcPr>
          <w:p w14:paraId="54834FFA">
            <w:pPr>
              <w:spacing w:line="400" w:lineRule="exact"/>
              <w:rPr>
                <w:rFonts w:ascii="宋体" w:hAnsi="宋体"/>
                <w:color w:val="auto"/>
                <w:szCs w:val="21"/>
              </w:rPr>
            </w:pPr>
            <w:r>
              <w:rPr>
                <w:rFonts w:hint="eastAsia" w:ascii="宋体" w:hAnsi="宋体"/>
                <w:color w:val="auto"/>
                <w:szCs w:val="21"/>
              </w:rPr>
              <w:t>项目经理</w:t>
            </w:r>
            <w:r>
              <w:rPr>
                <w:rFonts w:hint="eastAsia" w:ascii="宋体" w:hAnsi="宋体"/>
                <w:color w:val="auto"/>
                <w:szCs w:val="21"/>
                <w:lang w:eastAsia="zh-CN"/>
              </w:rPr>
              <w:t>、技术负责人</w:t>
            </w:r>
            <w:r>
              <w:rPr>
                <w:rFonts w:hint="eastAsia" w:ascii="宋体" w:hAnsi="宋体"/>
                <w:color w:val="auto"/>
                <w:szCs w:val="21"/>
              </w:rPr>
              <w:t>任职资格与业绩、工作经历等（</w:t>
            </w:r>
            <w:r>
              <w:rPr>
                <w:rFonts w:hint="eastAsia" w:ascii="宋体" w:hAnsi="宋体" w:cs="宋体"/>
                <w:color w:val="auto"/>
                <w:spacing w:val="2"/>
                <w:szCs w:val="21"/>
              </w:rPr>
              <w:t>满分</w:t>
            </w:r>
            <w:r>
              <w:rPr>
                <w:rFonts w:hint="eastAsia" w:ascii="宋体" w:hAnsi="宋体"/>
                <w:color w:val="auto"/>
                <w:szCs w:val="21"/>
              </w:rPr>
              <w:t>10分）</w:t>
            </w:r>
          </w:p>
        </w:tc>
        <w:tc>
          <w:tcPr>
            <w:tcW w:w="6078" w:type="dxa"/>
            <w:vAlign w:val="center"/>
          </w:tcPr>
          <w:p w14:paraId="1A5A2CE3">
            <w:pPr>
              <w:numPr>
                <w:ilvl w:val="0"/>
                <w:numId w:val="4"/>
              </w:numPr>
              <w:spacing w:line="400" w:lineRule="exact"/>
              <w:rPr>
                <w:rFonts w:ascii="宋体" w:hAnsi="宋体" w:cs="微软雅黑"/>
                <w:color w:val="auto"/>
                <w:kern w:val="0"/>
                <w:szCs w:val="21"/>
              </w:rPr>
            </w:pPr>
            <w:r>
              <w:rPr>
                <w:rFonts w:hint="eastAsia" w:ascii="宋体" w:hAnsi="宋体" w:cs="微软雅黑"/>
                <w:color w:val="auto"/>
                <w:kern w:val="0"/>
                <w:szCs w:val="21"/>
              </w:rPr>
              <w:t xml:space="preserve">项目经理资质：项目经理满足采购文件资格要求的得 </w:t>
            </w:r>
            <w:r>
              <w:rPr>
                <w:rFonts w:ascii="宋体" w:hAnsi="宋体" w:cs="微软雅黑"/>
                <w:color w:val="auto"/>
                <w:kern w:val="0"/>
                <w:szCs w:val="21"/>
              </w:rPr>
              <w:t>4</w:t>
            </w:r>
            <w:r>
              <w:rPr>
                <w:rFonts w:hint="eastAsia" w:ascii="宋体" w:hAnsi="宋体" w:cs="微软雅黑"/>
                <w:color w:val="auto"/>
                <w:kern w:val="0"/>
                <w:szCs w:val="21"/>
              </w:rPr>
              <w:t>分。（2）项目经理职称：具备初级或以上工程师职称的、或者具有大学专科或以上学历得3分。</w:t>
            </w:r>
          </w:p>
          <w:p w14:paraId="62AC835F">
            <w:pPr>
              <w:spacing w:line="400" w:lineRule="exact"/>
              <w:rPr>
                <w:rFonts w:ascii="宋体" w:hAnsi="宋体"/>
                <w:color w:val="auto"/>
                <w:szCs w:val="21"/>
              </w:rPr>
            </w:pPr>
            <w:r>
              <w:rPr>
                <w:rFonts w:hint="eastAsia" w:ascii="宋体" w:hAnsi="宋体"/>
                <w:color w:val="auto"/>
                <w:szCs w:val="21"/>
              </w:rPr>
              <w:t>（3）拟派任技术负责人具备中级及以上职称的得3 分。</w:t>
            </w:r>
          </w:p>
        </w:tc>
      </w:tr>
      <w:tr w14:paraId="25BA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3" w:type="dxa"/>
            <w:vMerge w:val="continue"/>
            <w:tcBorders>
              <w:right w:val="single" w:color="auto" w:sz="4" w:space="0"/>
            </w:tcBorders>
            <w:vAlign w:val="center"/>
          </w:tcPr>
          <w:p w14:paraId="74E8AEC0">
            <w:pPr>
              <w:autoSpaceDE w:val="0"/>
              <w:autoSpaceDN w:val="0"/>
              <w:spacing w:line="400" w:lineRule="exact"/>
              <w:jc w:val="left"/>
              <w:rPr>
                <w:rFonts w:ascii="宋体" w:hAnsi="宋体" w:cs="宋体"/>
                <w:color w:val="auto"/>
                <w:kern w:val="0"/>
                <w:szCs w:val="21"/>
                <w:lang w:val="ru-RU"/>
              </w:rPr>
            </w:pPr>
          </w:p>
        </w:tc>
        <w:tc>
          <w:tcPr>
            <w:tcW w:w="1276" w:type="dxa"/>
            <w:vMerge w:val="continue"/>
            <w:tcBorders>
              <w:left w:val="single" w:color="auto" w:sz="4" w:space="0"/>
              <w:right w:val="single" w:color="auto" w:sz="4" w:space="0"/>
            </w:tcBorders>
            <w:vAlign w:val="center"/>
          </w:tcPr>
          <w:p w14:paraId="6087A675">
            <w:pPr>
              <w:spacing w:line="400" w:lineRule="exact"/>
              <w:rPr>
                <w:rFonts w:ascii="宋体" w:hAnsi="宋体"/>
                <w:color w:val="auto"/>
                <w:szCs w:val="21"/>
              </w:rPr>
            </w:pPr>
          </w:p>
        </w:tc>
        <w:tc>
          <w:tcPr>
            <w:tcW w:w="1559" w:type="dxa"/>
            <w:tcBorders>
              <w:left w:val="single" w:color="auto" w:sz="4" w:space="0"/>
            </w:tcBorders>
            <w:vAlign w:val="center"/>
          </w:tcPr>
          <w:p w14:paraId="1C73FEF2">
            <w:pPr>
              <w:autoSpaceDE w:val="0"/>
              <w:autoSpaceDN w:val="0"/>
              <w:spacing w:line="400" w:lineRule="exact"/>
              <w:jc w:val="left"/>
              <w:rPr>
                <w:rFonts w:ascii="宋体" w:hAnsi="宋体" w:cs="宋体"/>
                <w:color w:val="auto"/>
                <w:spacing w:val="-21"/>
                <w:kern w:val="0"/>
                <w:szCs w:val="21"/>
                <w:lang w:val="ru-RU"/>
              </w:rPr>
            </w:pPr>
            <w:r>
              <w:rPr>
                <w:rFonts w:hint="eastAsia" w:ascii="宋体" w:hAnsi="宋体" w:cs="宋体"/>
                <w:color w:val="auto"/>
                <w:kern w:val="0"/>
                <w:szCs w:val="21"/>
                <w:lang w:val="ru-RU"/>
              </w:rPr>
              <w:t>其他主要</w:t>
            </w:r>
            <w:r>
              <w:rPr>
                <w:rFonts w:hint="eastAsia" w:ascii="宋体" w:hAnsi="宋体" w:cs="宋体"/>
                <w:color w:val="auto"/>
                <w:spacing w:val="-21"/>
                <w:kern w:val="0"/>
                <w:szCs w:val="21"/>
                <w:lang w:val="ru-RU"/>
              </w:rPr>
              <w:t>人员</w:t>
            </w:r>
          </w:p>
          <w:p w14:paraId="183207AB">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21"/>
                <w:kern w:val="0"/>
                <w:szCs w:val="21"/>
                <w:lang w:val="ru-RU"/>
              </w:rPr>
              <w:t>（</w:t>
            </w:r>
            <w:r>
              <w:rPr>
                <w:rFonts w:hint="eastAsia" w:ascii="宋体" w:hAnsi="宋体" w:cs="宋体"/>
                <w:color w:val="auto"/>
                <w:spacing w:val="2"/>
                <w:kern w:val="0"/>
                <w:szCs w:val="21"/>
                <w:lang w:val="ru-RU"/>
              </w:rPr>
              <w:t>满分</w:t>
            </w:r>
            <w:r>
              <w:rPr>
                <w:rFonts w:hint="eastAsia"/>
                <w:color w:val="auto"/>
                <w:kern w:val="0"/>
                <w:szCs w:val="21"/>
              </w:rPr>
              <w:t>10</w:t>
            </w:r>
            <w:r>
              <w:rPr>
                <w:rFonts w:hint="eastAsia" w:ascii="宋体" w:hAnsi="宋体" w:cs="宋体"/>
                <w:color w:val="auto"/>
                <w:spacing w:val="1"/>
                <w:kern w:val="0"/>
                <w:szCs w:val="21"/>
                <w:lang w:val="ru-RU"/>
              </w:rPr>
              <w:t>分）</w:t>
            </w:r>
          </w:p>
        </w:tc>
        <w:tc>
          <w:tcPr>
            <w:tcW w:w="6078" w:type="dxa"/>
            <w:vAlign w:val="center"/>
          </w:tcPr>
          <w:p w14:paraId="2CD8F85A">
            <w:pPr>
              <w:spacing w:line="360" w:lineRule="auto"/>
              <w:rPr>
                <w:color w:val="auto"/>
                <w:szCs w:val="21"/>
              </w:rPr>
            </w:pPr>
            <w:r>
              <w:rPr>
                <w:rFonts w:hint="eastAsia"/>
                <w:color w:val="auto"/>
                <w:szCs w:val="21"/>
              </w:rPr>
              <w:t>基本要求：</w:t>
            </w:r>
            <w:r>
              <w:rPr>
                <w:color w:val="auto"/>
                <w:szCs w:val="21"/>
              </w:rPr>
              <w:t>人员齐备、专业配套</w:t>
            </w:r>
            <w:r>
              <w:rPr>
                <w:rFonts w:hint="eastAsia"/>
                <w:color w:val="auto"/>
                <w:szCs w:val="21"/>
              </w:rPr>
              <w:t>应</w:t>
            </w:r>
            <w:r>
              <w:rPr>
                <w:rFonts w:hint="eastAsia" w:cs="宋体"/>
                <w:color w:val="auto"/>
                <w:szCs w:val="21"/>
              </w:rPr>
              <w:t>具备相关施工现场专业人员职业培训合格证书（拟派驻本项目的技术负责人应具有初级及以上职称证件，安全员、施工员、质量员、材料员应具有相应施工现场专业人员职业培训合格证书，且拟投入的项目管理人员符合国家及广西壮族自治区的规定）</w:t>
            </w:r>
          </w:p>
          <w:p w14:paraId="0F0E7EF3">
            <w:pPr>
              <w:spacing w:line="360" w:lineRule="auto"/>
              <w:rPr>
                <w:color w:val="auto"/>
                <w:szCs w:val="21"/>
              </w:rPr>
            </w:pPr>
            <w:r>
              <w:rPr>
                <w:rFonts w:hint="eastAsia"/>
                <w:color w:val="auto"/>
                <w:szCs w:val="21"/>
              </w:rPr>
              <w:t>评分内容：</w:t>
            </w:r>
          </w:p>
          <w:p w14:paraId="1692E5F8">
            <w:pPr>
              <w:spacing w:line="360" w:lineRule="auto"/>
              <w:rPr>
                <w:color w:val="auto"/>
                <w:szCs w:val="21"/>
              </w:rPr>
            </w:pPr>
            <w:r>
              <w:rPr>
                <w:rFonts w:hint="eastAsia"/>
                <w:color w:val="auto"/>
                <w:szCs w:val="21"/>
              </w:rPr>
              <w:t>优（10.0分）：完全满足施工需要，管理人员配备齐全且经验及综合素质优秀。</w:t>
            </w:r>
          </w:p>
          <w:p w14:paraId="481E8006">
            <w:pPr>
              <w:spacing w:line="360" w:lineRule="auto"/>
              <w:rPr>
                <w:color w:val="auto"/>
                <w:szCs w:val="21"/>
              </w:rPr>
            </w:pPr>
            <w:r>
              <w:rPr>
                <w:rFonts w:hint="eastAsia"/>
                <w:color w:val="auto"/>
                <w:szCs w:val="21"/>
              </w:rPr>
              <w:t>良（6.0分）：基本满足施工需要，管理人员配备齐全。</w:t>
            </w:r>
          </w:p>
          <w:p w14:paraId="086A842C">
            <w:pPr>
              <w:spacing w:line="400" w:lineRule="exact"/>
              <w:rPr>
                <w:rFonts w:ascii="宋体" w:hAnsi="宋体"/>
                <w:color w:val="auto"/>
                <w:szCs w:val="21"/>
              </w:rPr>
            </w:pPr>
            <w:r>
              <w:rPr>
                <w:rFonts w:hint="eastAsia"/>
                <w:color w:val="auto"/>
                <w:szCs w:val="21"/>
              </w:rPr>
              <w:t> 差（3.0分）:不满足施工需要，管理人员配备不齐全。</w:t>
            </w:r>
          </w:p>
        </w:tc>
      </w:tr>
      <w:tr w14:paraId="2236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693" w:type="dxa"/>
            <w:vMerge w:val="continue"/>
            <w:tcBorders>
              <w:right w:val="single" w:color="auto" w:sz="4" w:space="0"/>
            </w:tcBorders>
            <w:vAlign w:val="center"/>
          </w:tcPr>
          <w:p w14:paraId="42A4351A">
            <w:pPr>
              <w:spacing w:line="400" w:lineRule="exact"/>
              <w:rPr>
                <w:rFonts w:ascii="宋体" w:hAnsi="宋体"/>
                <w:color w:val="auto"/>
                <w:szCs w:val="21"/>
              </w:rPr>
            </w:pPr>
          </w:p>
        </w:tc>
        <w:tc>
          <w:tcPr>
            <w:tcW w:w="1276" w:type="dxa"/>
            <w:vMerge w:val="restart"/>
            <w:tcBorders>
              <w:left w:val="single" w:color="auto" w:sz="4" w:space="0"/>
            </w:tcBorders>
            <w:vAlign w:val="center"/>
          </w:tcPr>
          <w:p w14:paraId="1CC1CA42">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1"/>
                <w:kern w:val="0"/>
                <w:szCs w:val="21"/>
                <w:lang w:val="ru-RU"/>
              </w:rPr>
              <w:t>施工组织设计</w:t>
            </w:r>
            <w:r>
              <w:rPr>
                <w:rFonts w:hint="eastAsia" w:ascii="宋体" w:hAnsi="宋体" w:cs="宋体"/>
                <w:color w:val="auto"/>
                <w:kern w:val="0"/>
                <w:szCs w:val="21"/>
                <w:lang w:val="ru-RU"/>
              </w:rPr>
              <w:t>（</w:t>
            </w:r>
            <w:r>
              <w:rPr>
                <w:rFonts w:hint="eastAsia" w:ascii="宋体" w:hAnsi="宋体" w:cs="宋体"/>
                <w:color w:val="auto"/>
                <w:spacing w:val="2"/>
                <w:kern w:val="0"/>
                <w:szCs w:val="21"/>
                <w:lang w:val="ru-RU"/>
              </w:rPr>
              <w:t>满分</w:t>
            </w:r>
            <w:r>
              <w:rPr>
                <w:color w:val="auto"/>
                <w:spacing w:val="-1"/>
                <w:kern w:val="0"/>
                <w:szCs w:val="21"/>
                <w:lang w:val="ru-RU"/>
              </w:rPr>
              <w:t>50</w:t>
            </w:r>
            <w:r>
              <w:rPr>
                <w:rFonts w:hint="eastAsia" w:ascii="宋体" w:hAnsi="宋体"/>
                <w:color w:val="auto"/>
                <w:spacing w:val="-1"/>
                <w:kern w:val="0"/>
                <w:szCs w:val="21"/>
                <w:lang w:val="ru-RU"/>
              </w:rPr>
              <w:t>分</w:t>
            </w:r>
            <w:r>
              <w:rPr>
                <w:rFonts w:hint="eastAsia" w:ascii="宋体" w:hAnsi="宋体" w:cs="宋体"/>
                <w:color w:val="auto"/>
                <w:kern w:val="0"/>
                <w:szCs w:val="21"/>
                <w:lang w:val="ru-RU"/>
              </w:rPr>
              <w:t>）</w:t>
            </w:r>
          </w:p>
          <w:p w14:paraId="159D6D45">
            <w:pPr>
              <w:spacing w:line="400" w:lineRule="exact"/>
              <w:rPr>
                <w:rFonts w:ascii="宋体" w:hAnsi="宋体"/>
                <w:color w:val="auto"/>
                <w:szCs w:val="21"/>
              </w:rPr>
            </w:pPr>
          </w:p>
        </w:tc>
        <w:tc>
          <w:tcPr>
            <w:tcW w:w="1559" w:type="dxa"/>
            <w:vAlign w:val="center"/>
          </w:tcPr>
          <w:p w14:paraId="652132FB">
            <w:pPr>
              <w:spacing w:line="400" w:lineRule="exact"/>
              <w:rPr>
                <w:rFonts w:ascii="宋体" w:hAnsi="宋体" w:cs="微软雅黑"/>
                <w:color w:val="auto"/>
                <w:kern w:val="0"/>
                <w:szCs w:val="21"/>
              </w:rPr>
            </w:pPr>
            <w:r>
              <w:rPr>
                <w:rFonts w:hint="eastAsia" w:ascii="宋体" w:hAnsi="宋体" w:cs="微软雅黑"/>
                <w:color w:val="auto"/>
                <w:kern w:val="0"/>
                <w:szCs w:val="21"/>
              </w:rPr>
              <w:t>主要施工方法</w:t>
            </w:r>
          </w:p>
          <w:p w14:paraId="042DB7BA">
            <w:pPr>
              <w:spacing w:line="400" w:lineRule="exact"/>
              <w:rPr>
                <w:rFonts w:ascii="宋体" w:hAnsi="宋体" w:cs="微软雅黑"/>
                <w:color w:val="auto"/>
                <w:kern w:val="0"/>
                <w:szCs w:val="21"/>
              </w:rPr>
            </w:pPr>
            <w:r>
              <w:rPr>
                <w:rFonts w:hint="eastAsia" w:ascii="宋体" w:hAnsi="宋体" w:cs="微软雅黑"/>
                <w:color w:val="auto"/>
                <w:kern w:val="0"/>
                <w:szCs w:val="21"/>
              </w:rPr>
              <w:t>（满分</w:t>
            </w:r>
            <w:r>
              <w:rPr>
                <w:rFonts w:hint="eastAsia" w:ascii="宋体" w:hAnsi="宋体" w:cs="微软雅黑"/>
                <w:color w:val="auto"/>
                <w:kern w:val="0"/>
                <w:szCs w:val="21"/>
                <w:lang w:val="en-US" w:eastAsia="zh-CN"/>
              </w:rPr>
              <w:t>10</w:t>
            </w:r>
            <w:r>
              <w:rPr>
                <w:rFonts w:hint="eastAsia" w:ascii="宋体" w:hAnsi="宋体" w:cs="微软雅黑"/>
                <w:color w:val="auto"/>
                <w:kern w:val="0"/>
                <w:szCs w:val="21"/>
              </w:rPr>
              <w:t>分）</w:t>
            </w:r>
          </w:p>
          <w:p w14:paraId="1BE7015C">
            <w:pPr>
              <w:spacing w:line="400" w:lineRule="exact"/>
              <w:rPr>
                <w:rFonts w:ascii="宋体" w:hAnsi="宋体" w:cs="微软雅黑"/>
                <w:color w:val="auto"/>
                <w:kern w:val="0"/>
                <w:szCs w:val="21"/>
              </w:rPr>
            </w:pPr>
          </w:p>
        </w:tc>
        <w:tc>
          <w:tcPr>
            <w:tcW w:w="6078" w:type="dxa"/>
            <w:vAlign w:val="center"/>
          </w:tcPr>
          <w:p w14:paraId="58318B86">
            <w:pPr>
              <w:spacing w:line="400" w:lineRule="exact"/>
              <w:rPr>
                <w:color w:val="auto"/>
                <w:szCs w:val="21"/>
              </w:rPr>
            </w:pPr>
            <w:r>
              <w:rPr>
                <w:rFonts w:hint="eastAsia" w:ascii="宋体" w:hAnsi="宋体" w:cs="微软雅黑"/>
                <w:color w:val="auto"/>
                <w:kern w:val="0"/>
                <w:szCs w:val="21"/>
              </w:rPr>
              <w:t>四档（</w:t>
            </w:r>
            <w:r>
              <w:rPr>
                <w:rFonts w:hint="eastAsia" w:ascii="宋体" w:hAnsi="宋体" w:cs="微软雅黑"/>
                <w:color w:val="auto"/>
                <w:kern w:val="0"/>
                <w:szCs w:val="21"/>
                <w:lang w:val="en-US" w:eastAsia="zh-CN"/>
              </w:rPr>
              <w:t>10</w:t>
            </w:r>
            <w:r>
              <w:rPr>
                <w:rFonts w:hint="eastAsia" w:ascii="宋体" w:hAnsi="宋体" w:cs="微软雅黑"/>
                <w:color w:val="auto"/>
                <w:kern w:val="0"/>
                <w:szCs w:val="21"/>
              </w:rPr>
              <w:t>分）</w:t>
            </w:r>
            <w:r>
              <w:rPr>
                <w:color w:val="auto"/>
                <w:szCs w:val="21"/>
              </w:rPr>
              <w:t>各主要分部施工方法针对性强，施工技术方案详尽周密，工艺先进、方法科学、可行，能很好的指导具体施工并确保安全。</w:t>
            </w:r>
          </w:p>
          <w:p w14:paraId="40134DBA">
            <w:pPr>
              <w:spacing w:line="400" w:lineRule="exact"/>
              <w:rPr>
                <w:rFonts w:ascii="宋体" w:hAnsi="宋体" w:cs="微软雅黑"/>
                <w:color w:val="auto"/>
                <w:kern w:val="0"/>
                <w:szCs w:val="21"/>
              </w:rPr>
            </w:pPr>
            <w:r>
              <w:rPr>
                <w:rFonts w:hint="eastAsia" w:ascii="宋体" w:hAnsi="宋体" w:cs="微软雅黑"/>
                <w:color w:val="auto"/>
                <w:kern w:val="0"/>
                <w:szCs w:val="21"/>
              </w:rPr>
              <w:t>三档（</w:t>
            </w:r>
            <w:r>
              <w:rPr>
                <w:rFonts w:hint="eastAsia" w:ascii="宋体" w:hAnsi="宋体" w:cs="微软雅黑"/>
                <w:color w:val="auto"/>
                <w:kern w:val="0"/>
                <w:szCs w:val="21"/>
                <w:lang w:val="en-US" w:eastAsia="zh-CN"/>
              </w:rPr>
              <w:t>7</w:t>
            </w:r>
            <w:r>
              <w:rPr>
                <w:rFonts w:hint="eastAsia" w:ascii="宋体" w:hAnsi="宋体" w:cs="微软雅黑"/>
                <w:color w:val="auto"/>
                <w:kern w:val="0"/>
                <w:szCs w:val="21"/>
              </w:rPr>
              <w:t>分）</w:t>
            </w:r>
            <w:r>
              <w:rPr>
                <w:color w:val="auto"/>
                <w:szCs w:val="21"/>
              </w:rPr>
              <w:t>各主要分部施工方法符合项目实际，施工技术方案齐全，工艺成熟、方法合理、可行，能指导具体施工并确保安全。</w:t>
            </w:r>
            <w:r>
              <w:rPr>
                <w:rFonts w:hint="eastAsia" w:ascii="宋体" w:hAnsi="宋体" w:cs="微软雅黑"/>
                <w:color w:val="auto"/>
                <w:kern w:val="0"/>
                <w:szCs w:val="21"/>
              </w:rPr>
              <w:t>。</w:t>
            </w:r>
          </w:p>
          <w:p w14:paraId="10B7F268">
            <w:pPr>
              <w:spacing w:line="400" w:lineRule="exact"/>
              <w:rPr>
                <w:rFonts w:ascii="宋体" w:hAnsi="宋体" w:cs="微软雅黑"/>
                <w:color w:val="auto"/>
                <w:kern w:val="0"/>
                <w:szCs w:val="21"/>
              </w:rPr>
            </w:pPr>
            <w:r>
              <w:rPr>
                <w:rFonts w:hint="eastAsia" w:ascii="宋体" w:hAnsi="宋体" w:cs="微软雅黑"/>
                <w:color w:val="auto"/>
                <w:kern w:val="0"/>
                <w:szCs w:val="21"/>
              </w:rPr>
              <w:t>二档（</w:t>
            </w:r>
            <w:r>
              <w:rPr>
                <w:rFonts w:hint="eastAsia" w:ascii="宋体" w:hAnsi="宋体" w:cs="微软雅黑"/>
                <w:color w:val="auto"/>
                <w:kern w:val="0"/>
                <w:szCs w:val="21"/>
                <w:lang w:val="en-US" w:eastAsia="zh-CN"/>
              </w:rPr>
              <w:t>4</w:t>
            </w:r>
            <w:r>
              <w:rPr>
                <w:rFonts w:hint="eastAsia" w:ascii="宋体" w:hAnsi="宋体" w:cs="微软雅黑"/>
                <w:color w:val="auto"/>
                <w:kern w:val="0"/>
                <w:szCs w:val="21"/>
              </w:rPr>
              <w:t xml:space="preserve"> 分）</w:t>
            </w:r>
            <w:r>
              <w:rPr>
                <w:color w:val="auto"/>
                <w:szCs w:val="21"/>
              </w:rPr>
              <w:t>各主要分部施工方法基本符合项目实际，施工技术方案基本齐全，方法基本合理、基本可行，基本能指导具体施工并确保安全</w:t>
            </w:r>
            <w:r>
              <w:rPr>
                <w:rFonts w:hint="eastAsia" w:ascii="宋体" w:hAnsi="宋体" w:cs="微软雅黑"/>
                <w:color w:val="auto"/>
                <w:kern w:val="0"/>
                <w:szCs w:val="21"/>
              </w:rPr>
              <w:t>。</w:t>
            </w:r>
          </w:p>
          <w:p w14:paraId="5AD24A3B">
            <w:pPr>
              <w:spacing w:line="400" w:lineRule="exact"/>
              <w:rPr>
                <w:rFonts w:ascii="宋体" w:hAnsi="宋体" w:cs="微软雅黑"/>
                <w:color w:val="auto"/>
                <w:kern w:val="0"/>
                <w:szCs w:val="21"/>
              </w:rPr>
            </w:pPr>
            <w:r>
              <w:rPr>
                <w:rFonts w:hint="eastAsia" w:ascii="宋体" w:hAnsi="宋体" w:cs="微软雅黑"/>
                <w:color w:val="auto"/>
                <w:kern w:val="0"/>
                <w:szCs w:val="21"/>
              </w:rPr>
              <w:t>一档（1 分）各主要分部施工方法不符合项目实际，有施工技术方案，工艺一般，不能指导具体施工并确保安全。</w:t>
            </w:r>
          </w:p>
        </w:tc>
      </w:tr>
      <w:tr w14:paraId="5CFA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93" w:type="dxa"/>
            <w:vMerge w:val="continue"/>
            <w:tcBorders>
              <w:right w:val="single" w:color="auto" w:sz="4" w:space="0"/>
            </w:tcBorders>
            <w:vAlign w:val="center"/>
          </w:tcPr>
          <w:p w14:paraId="33E5ED45">
            <w:pPr>
              <w:spacing w:line="400" w:lineRule="exact"/>
              <w:rPr>
                <w:rFonts w:ascii="宋体" w:hAnsi="宋体"/>
                <w:color w:val="auto"/>
                <w:szCs w:val="21"/>
              </w:rPr>
            </w:pPr>
          </w:p>
        </w:tc>
        <w:tc>
          <w:tcPr>
            <w:tcW w:w="1276" w:type="dxa"/>
            <w:vMerge w:val="continue"/>
            <w:tcBorders>
              <w:left w:val="single" w:color="auto" w:sz="4" w:space="0"/>
            </w:tcBorders>
            <w:vAlign w:val="center"/>
          </w:tcPr>
          <w:p w14:paraId="755E6D4D">
            <w:pPr>
              <w:spacing w:line="400" w:lineRule="exact"/>
              <w:rPr>
                <w:rFonts w:ascii="宋体" w:hAnsi="宋体"/>
                <w:color w:val="auto"/>
                <w:szCs w:val="21"/>
              </w:rPr>
            </w:pPr>
          </w:p>
        </w:tc>
        <w:tc>
          <w:tcPr>
            <w:tcW w:w="1559" w:type="dxa"/>
            <w:vAlign w:val="center"/>
          </w:tcPr>
          <w:p w14:paraId="30511D41">
            <w:pPr>
              <w:spacing w:line="400" w:lineRule="exact"/>
              <w:rPr>
                <w:rFonts w:ascii="宋体" w:hAnsi="宋体" w:cs="微软雅黑"/>
                <w:color w:val="auto"/>
                <w:kern w:val="0"/>
                <w:szCs w:val="21"/>
              </w:rPr>
            </w:pPr>
            <w:r>
              <w:rPr>
                <w:rFonts w:hint="eastAsia" w:ascii="宋体" w:hAnsi="宋体" w:cs="微软雅黑"/>
                <w:color w:val="auto"/>
                <w:kern w:val="0"/>
                <w:szCs w:val="21"/>
              </w:rPr>
              <w:t>拟投入的主要物资计划</w:t>
            </w:r>
          </w:p>
          <w:p w14:paraId="14F0F958">
            <w:pPr>
              <w:spacing w:line="400" w:lineRule="exact"/>
              <w:rPr>
                <w:rFonts w:ascii="宋体" w:hAnsi="宋体" w:cs="微软雅黑"/>
                <w:color w:val="auto"/>
                <w:kern w:val="0"/>
                <w:szCs w:val="21"/>
              </w:rPr>
            </w:pPr>
            <w:r>
              <w:rPr>
                <w:rFonts w:hint="eastAsia" w:ascii="宋体" w:hAnsi="宋体" w:cs="微软雅黑"/>
                <w:color w:val="auto"/>
                <w:kern w:val="0"/>
                <w:szCs w:val="21"/>
              </w:rPr>
              <w:t>（满分6分）</w:t>
            </w:r>
          </w:p>
        </w:tc>
        <w:tc>
          <w:tcPr>
            <w:tcW w:w="6078" w:type="dxa"/>
            <w:vAlign w:val="center"/>
          </w:tcPr>
          <w:p w14:paraId="0FBBC619">
            <w:pPr>
              <w:spacing w:line="400" w:lineRule="exact"/>
              <w:rPr>
                <w:rFonts w:ascii="宋体" w:hAnsi="宋体" w:cs="微软雅黑"/>
                <w:color w:val="auto"/>
                <w:kern w:val="0"/>
                <w:szCs w:val="21"/>
              </w:rPr>
            </w:pPr>
            <w:r>
              <w:rPr>
                <w:rFonts w:hint="eastAsia" w:ascii="宋体" w:hAnsi="宋体" w:cs="微软雅黑"/>
                <w:color w:val="auto"/>
                <w:kern w:val="0"/>
                <w:szCs w:val="21"/>
              </w:rPr>
              <w:t>四档（6分）投入的施工材料有详细的组织计划且计划周密，数量、选型配置、进场时间安排合理，满足施工需要。</w:t>
            </w:r>
          </w:p>
          <w:p w14:paraId="025F717E">
            <w:pPr>
              <w:spacing w:line="400" w:lineRule="exact"/>
              <w:rPr>
                <w:rFonts w:ascii="宋体" w:hAnsi="宋体" w:cs="微软雅黑"/>
                <w:color w:val="auto"/>
                <w:kern w:val="0"/>
                <w:szCs w:val="21"/>
              </w:rPr>
            </w:pPr>
            <w:r>
              <w:rPr>
                <w:rFonts w:hint="eastAsia" w:ascii="宋体" w:hAnsi="宋体" w:cs="微软雅黑"/>
                <w:color w:val="auto"/>
                <w:kern w:val="0"/>
                <w:szCs w:val="21"/>
              </w:rPr>
              <w:t>三档（4分）投入的施工材料有详细的组织计划但计划一般，数量、选型配置、进场时间安排合理，满足施工需要。</w:t>
            </w:r>
          </w:p>
          <w:p w14:paraId="13228C1F">
            <w:pPr>
              <w:spacing w:line="400" w:lineRule="exact"/>
              <w:rPr>
                <w:rFonts w:ascii="宋体" w:hAnsi="宋体" w:cs="微软雅黑"/>
                <w:color w:val="auto"/>
                <w:kern w:val="0"/>
                <w:szCs w:val="21"/>
              </w:rPr>
            </w:pPr>
            <w:r>
              <w:rPr>
                <w:rFonts w:hint="eastAsia" w:ascii="宋体" w:hAnsi="宋体" w:cs="微软雅黑"/>
                <w:color w:val="auto"/>
                <w:kern w:val="0"/>
                <w:szCs w:val="21"/>
              </w:rPr>
              <w:t>二档（2 分）投入的施工材料有组织计划但计划一般，数量、选型配置、进场时间安排合理，基本满足施工需要。</w:t>
            </w:r>
          </w:p>
          <w:p w14:paraId="37038243">
            <w:pPr>
              <w:spacing w:line="400" w:lineRule="exact"/>
              <w:rPr>
                <w:rFonts w:ascii="宋体" w:hAnsi="宋体" w:cs="微软雅黑"/>
                <w:color w:val="auto"/>
                <w:kern w:val="0"/>
                <w:szCs w:val="21"/>
              </w:rPr>
            </w:pPr>
            <w:r>
              <w:rPr>
                <w:rFonts w:hint="eastAsia" w:ascii="宋体" w:hAnsi="宋体" w:cs="微软雅黑"/>
                <w:color w:val="auto"/>
                <w:kern w:val="0"/>
                <w:szCs w:val="21"/>
              </w:rPr>
              <w:t>一档（1 分）投入的施工材料无组织计划，数量、选型配置、进场时间安排不合理，不满足施工需要。</w:t>
            </w:r>
          </w:p>
        </w:tc>
      </w:tr>
      <w:tr w14:paraId="180A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3" w:type="dxa"/>
            <w:vMerge w:val="continue"/>
            <w:tcBorders>
              <w:right w:val="single" w:color="auto" w:sz="4" w:space="0"/>
            </w:tcBorders>
            <w:vAlign w:val="center"/>
          </w:tcPr>
          <w:p w14:paraId="6A9233D7">
            <w:pPr>
              <w:spacing w:line="400" w:lineRule="exact"/>
              <w:rPr>
                <w:rFonts w:ascii="宋体" w:hAnsi="宋体"/>
                <w:color w:val="auto"/>
                <w:szCs w:val="21"/>
              </w:rPr>
            </w:pPr>
          </w:p>
        </w:tc>
        <w:tc>
          <w:tcPr>
            <w:tcW w:w="1276" w:type="dxa"/>
            <w:vMerge w:val="continue"/>
            <w:tcBorders>
              <w:left w:val="single" w:color="auto" w:sz="4" w:space="0"/>
            </w:tcBorders>
            <w:vAlign w:val="center"/>
          </w:tcPr>
          <w:p w14:paraId="5BC67473">
            <w:pPr>
              <w:spacing w:line="400" w:lineRule="exact"/>
              <w:rPr>
                <w:rFonts w:ascii="宋体" w:hAnsi="宋体"/>
                <w:color w:val="auto"/>
                <w:szCs w:val="21"/>
              </w:rPr>
            </w:pPr>
          </w:p>
        </w:tc>
        <w:tc>
          <w:tcPr>
            <w:tcW w:w="1559" w:type="dxa"/>
            <w:vAlign w:val="center"/>
          </w:tcPr>
          <w:p w14:paraId="5230EF49">
            <w:pPr>
              <w:spacing w:line="400" w:lineRule="exact"/>
              <w:rPr>
                <w:rFonts w:ascii="宋体" w:hAnsi="宋体" w:cs="微软雅黑"/>
                <w:color w:val="auto"/>
                <w:kern w:val="0"/>
                <w:szCs w:val="21"/>
              </w:rPr>
            </w:pPr>
            <w:r>
              <w:rPr>
                <w:rFonts w:hint="eastAsia" w:ascii="宋体" w:hAnsi="宋体" w:cs="微软雅黑"/>
                <w:color w:val="auto"/>
                <w:kern w:val="0"/>
                <w:szCs w:val="21"/>
              </w:rPr>
              <w:t>拟投入的主要施工机械、设备计划</w:t>
            </w:r>
          </w:p>
          <w:p w14:paraId="7CE2B7A4">
            <w:pPr>
              <w:spacing w:line="400" w:lineRule="exact"/>
              <w:rPr>
                <w:rFonts w:ascii="宋体" w:hAnsi="宋体" w:cs="微软雅黑"/>
                <w:color w:val="auto"/>
                <w:kern w:val="0"/>
                <w:szCs w:val="21"/>
              </w:rPr>
            </w:pPr>
            <w:r>
              <w:rPr>
                <w:rFonts w:hint="eastAsia" w:ascii="宋体" w:hAnsi="宋体" w:cs="微软雅黑"/>
                <w:color w:val="auto"/>
                <w:kern w:val="0"/>
                <w:szCs w:val="21"/>
              </w:rPr>
              <w:t>（满分</w:t>
            </w:r>
            <w:r>
              <w:rPr>
                <w:rFonts w:ascii="宋体" w:hAnsi="宋体" w:cs="微软雅黑"/>
                <w:color w:val="auto"/>
                <w:kern w:val="0"/>
                <w:szCs w:val="21"/>
              </w:rPr>
              <w:t>6</w:t>
            </w:r>
            <w:r>
              <w:rPr>
                <w:rFonts w:hint="eastAsia" w:ascii="宋体" w:hAnsi="宋体" w:cs="微软雅黑"/>
                <w:color w:val="auto"/>
                <w:kern w:val="0"/>
                <w:szCs w:val="21"/>
              </w:rPr>
              <w:t>分）</w:t>
            </w:r>
          </w:p>
          <w:p w14:paraId="3FF901E3">
            <w:pPr>
              <w:spacing w:line="400" w:lineRule="exact"/>
              <w:rPr>
                <w:rFonts w:ascii="宋体" w:hAnsi="宋体" w:cs="微软雅黑"/>
                <w:color w:val="auto"/>
                <w:kern w:val="0"/>
                <w:szCs w:val="21"/>
              </w:rPr>
            </w:pPr>
          </w:p>
        </w:tc>
        <w:tc>
          <w:tcPr>
            <w:tcW w:w="6078" w:type="dxa"/>
            <w:vAlign w:val="center"/>
          </w:tcPr>
          <w:p w14:paraId="1F785A02">
            <w:pPr>
              <w:spacing w:line="400" w:lineRule="exact"/>
              <w:rPr>
                <w:rFonts w:ascii="宋体" w:hAnsi="宋体" w:cs="微软雅黑"/>
                <w:color w:val="auto"/>
                <w:kern w:val="0"/>
                <w:szCs w:val="21"/>
              </w:rPr>
            </w:pPr>
            <w:r>
              <w:rPr>
                <w:rFonts w:hint="eastAsia" w:ascii="宋体" w:hAnsi="宋体" w:cs="微软雅黑"/>
                <w:color w:val="auto"/>
                <w:kern w:val="0"/>
                <w:szCs w:val="21"/>
              </w:rPr>
              <w:t>四档（</w:t>
            </w:r>
            <w:r>
              <w:rPr>
                <w:rFonts w:ascii="宋体" w:hAnsi="宋体" w:cs="微软雅黑"/>
                <w:color w:val="auto"/>
                <w:kern w:val="0"/>
                <w:szCs w:val="21"/>
              </w:rPr>
              <w:t>6</w:t>
            </w:r>
            <w:r>
              <w:rPr>
                <w:rFonts w:hint="eastAsia" w:ascii="宋体" w:hAnsi="宋体" w:cs="微软雅黑"/>
                <w:color w:val="auto"/>
                <w:kern w:val="0"/>
                <w:szCs w:val="21"/>
              </w:rPr>
              <w:t>分）投入的施工机械、设备、机具有详细的组织计划且计划周密，设备数量、选型配置、进场时间安排合理，满足施工需要。</w:t>
            </w:r>
          </w:p>
          <w:p w14:paraId="7E82C22B">
            <w:pPr>
              <w:spacing w:line="400" w:lineRule="exact"/>
              <w:rPr>
                <w:rFonts w:ascii="宋体" w:hAnsi="宋体" w:cs="微软雅黑"/>
                <w:color w:val="auto"/>
                <w:kern w:val="0"/>
                <w:szCs w:val="21"/>
              </w:rPr>
            </w:pPr>
            <w:r>
              <w:rPr>
                <w:rFonts w:hint="eastAsia" w:ascii="宋体" w:hAnsi="宋体" w:cs="微软雅黑"/>
                <w:color w:val="auto"/>
                <w:kern w:val="0"/>
                <w:szCs w:val="21"/>
              </w:rPr>
              <w:t>三档（4 分）投入的施工机械、设备、机具有详细的组织计划但计划一般，设备数量、选型配置、进场时间安排合理，满足施工需要。</w:t>
            </w:r>
          </w:p>
          <w:p w14:paraId="0D06FBEC">
            <w:pPr>
              <w:spacing w:line="400" w:lineRule="exact"/>
              <w:rPr>
                <w:rFonts w:ascii="宋体" w:hAnsi="宋体" w:cs="微软雅黑"/>
                <w:color w:val="auto"/>
                <w:kern w:val="0"/>
                <w:szCs w:val="21"/>
              </w:rPr>
            </w:pPr>
            <w:r>
              <w:rPr>
                <w:rFonts w:hint="eastAsia" w:ascii="宋体" w:hAnsi="宋体" w:cs="微软雅黑"/>
                <w:color w:val="auto"/>
                <w:kern w:val="0"/>
                <w:szCs w:val="21"/>
              </w:rPr>
              <w:t>二档（2 分）投入的施工机械、设备、机具有组织计划但计划一般，设备数量、选型配置、进场时间安排合理，基本满足施工需要。</w:t>
            </w:r>
          </w:p>
          <w:p w14:paraId="4B148E77">
            <w:pPr>
              <w:spacing w:line="400" w:lineRule="exact"/>
              <w:rPr>
                <w:rFonts w:ascii="宋体" w:hAnsi="宋体" w:cs="微软雅黑"/>
                <w:color w:val="auto"/>
                <w:kern w:val="0"/>
                <w:szCs w:val="21"/>
              </w:rPr>
            </w:pPr>
            <w:r>
              <w:rPr>
                <w:rFonts w:hint="eastAsia" w:ascii="宋体" w:hAnsi="宋体" w:cs="微软雅黑"/>
                <w:color w:val="auto"/>
                <w:kern w:val="0"/>
                <w:szCs w:val="21"/>
              </w:rPr>
              <w:t>一档（1 分）投入的施工机械、设备、机具无组织计划，设备数量、选型配置、进场时间安排不合理，不满足施工需要。</w:t>
            </w:r>
          </w:p>
        </w:tc>
      </w:tr>
      <w:tr w14:paraId="3E9F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3" w:type="dxa"/>
            <w:vMerge w:val="continue"/>
            <w:tcBorders>
              <w:right w:val="single" w:color="auto" w:sz="4" w:space="0"/>
            </w:tcBorders>
            <w:vAlign w:val="center"/>
          </w:tcPr>
          <w:p w14:paraId="2AF933C8">
            <w:pPr>
              <w:spacing w:line="400" w:lineRule="exact"/>
              <w:rPr>
                <w:rFonts w:ascii="宋体" w:hAnsi="宋体"/>
                <w:color w:val="auto"/>
                <w:szCs w:val="21"/>
              </w:rPr>
            </w:pPr>
          </w:p>
        </w:tc>
        <w:tc>
          <w:tcPr>
            <w:tcW w:w="1276" w:type="dxa"/>
            <w:vMerge w:val="continue"/>
            <w:tcBorders>
              <w:left w:val="single" w:color="auto" w:sz="4" w:space="0"/>
            </w:tcBorders>
            <w:vAlign w:val="center"/>
          </w:tcPr>
          <w:p w14:paraId="0B9D0820">
            <w:pPr>
              <w:spacing w:line="400" w:lineRule="exact"/>
              <w:rPr>
                <w:rFonts w:ascii="宋体" w:hAnsi="宋体"/>
                <w:color w:val="auto"/>
                <w:szCs w:val="21"/>
              </w:rPr>
            </w:pPr>
          </w:p>
        </w:tc>
        <w:tc>
          <w:tcPr>
            <w:tcW w:w="1559" w:type="dxa"/>
            <w:vAlign w:val="center"/>
          </w:tcPr>
          <w:p w14:paraId="15E721EA">
            <w:pPr>
              <w:spacing w:line="400" w:lineRule="exact"/>
              <w:rPr>
                <w:rFonts w:ascii="宋体" w:hAnsi="宋体" w:cs="微软雅黑"/>
                <w:color w:val="auto"/>
                <w:kern w:val="0"/>
                <w:szCs w:val="21"/>
              </w:rPr>
            </w:pPr>
            <w:r>
              <w:rPr>
                <w:rFonts w:hint="eastAsia" w:ascii="宋体" w:hAnsi="宋体" w:cs="微软雅黑"/>
                <w:color w:val="auto"/>
                <w:kern w:val="0"/>
                <w:szCs w:val="21"/>
              </w:rPr>
              <w:t>劳动力安排计划（满分6分）</w:t>
            </w:r>
          </w:p>
        </w:tc>
        <w:tc>
          <w:tcPr>
            <w:tcW w:w="6078" w:type="dxa"/>
            <w:vAlign w:val="center"/>
          </w:tcPr>
          <w:p w14:paraId="31A222CD">
            <w:pPr>
              <w:spacing w:line="400" w:lineRule="exact"/>
              <w:rPr>
                <w:rFonts w:ascii="宋体" w:hAnsi="宋体" w:cs="微软雅黑"/>
                <w:color w:val="auto"/>
                <w:kern w:val="0"/>
                <w:szCs w:val="21"/>
              </w:rPr>
            </w:pPr>
            <w:r>
              <w:rPr>
                <w:rFonts w:hint="eastAsia" w:ascii="宋体" w:hAnsi="宋体" w:cs="微软雅黑"/>
                <w:color w:val="auto"/>
                <w:kern w:val="0"/>
                <w:szCs w:val="21"/>
              </w:rPr>
              <w:t>四档（6分）各主要施工工序有详细周密的劳动力安排计划，有各工种劳动力安排计划，劳动力投入合理，满足施工需要。</w:t>
            </w:r>
          </w:p>
          <w:p w14:paraId="62BC6F56">
            <w:pPr>
              <w:spacing w:line="400" w:lineRule="exact"/>
              <w:rPr>
                <w:rFonts w:ascii="宋体" w:hAnsi="宋体" w:cs="微软雅黑"/>
                <w:color w:val="auto"/>
                <w:kern w:val="0"/>
                <w:szCs w:val="21"/>
              </w:rPr>
            </w:pPr>
            <w:r>
              <w:rPr>
                <w:rFonts w:hint="eastAsia" w:ascii="宋体" w:hAnsi="宋体" w:cs="微软雅黑"/>
                <w:color w:val="auto"/>
                <w:kern w:val="0"/>
                <w:szCs w:val="21"/>
              </w:rPr>
              <w:t>三档（4分）各主要施工工序有劳动力安排计划，有各工种劳动力安排计划，劳动力投入合理，满足施工需要。</w:t>
            </w:r>
          </w:p>
          <w:p w14:paraId="4571365F">
            <w:pPr>
              <w:spacing w:line="400" w:lineRule="exact"/>
              <w:rPr>
                <w:rFonts w:ascii="宋体" w:hAnsi="宋体" w:cs="微软雅黑"/>
                <w:color w:val="auto"/>
                <w:kern w:val="0"/>
                <w:szCs w:val="21"/>
              </w:rPr>
            </w:pPr>
            <w:r>
              <w:rPr>
                <w:rFonts w:hint="eastAsia" w:ascii="宋体" w:hAnsi="宋体" w:cs="微软雅黑"/>
                <w:color w:val="auto"/>
                <w:kern w:val="0"/>
                <w:szCs w:val="21"/>
              </w:rPr>
              <w:t>二档（</w:t>
            </w:r>
            <w:r>
              <w:rPr>
                <w:rFonts w:ascii="宋体" w:hAnsi="宋体" w:cs="微软雅黑"/>
                <w:color w:val="auto"/>
                <w:kern w:val="0"/>
                <w:szCs w:val="21"/>
              </w:rPr>
              <w:t>2</w:t>
            </w:r>
            <w:r>
              <w:rPr>
                <w:rFonts w:hint="eastAsia" w:ascii="宋体" w:hAnsi="宋体" w:cs="微软雅黑"/>
                <w:color w:val="auto"/>
                <w:kern w:val="0"/>
                <w:szCs w:val="21"/>
              </w:rPr>
              <w:t>分）各主要施工工序只有劳动力安排计划，无各工种劳动力安排计划，劳动力投入合理，基本满足施工需要。</w:t>
            </w:r>
          </w:p>
          <w:p w14:paraId="0D0BF83D">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1</w:t>
            </w:r>
            <w:r>
              <w:rPr>
                <w:rFonts w:hint="eastAsia" w:ascii="宋体" w:hAnsi="宋体" w:cs="微软雅黑"/>
                <w:color w:val="auto"/>
                <w:kern w:val="0"/>
                <w:szCs w:val="21"/>
              </w:rPr>
              <w:t>分）各主要施工工序无劳动力安排计划，劳动力投入不合理，不满足施工需要。</w:t>
            </w:r>
          </w:p>
        </w:tc>
      </w:tr>
      <w:tr w14:paraId="3261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93" w:type="dxa"/>
            <w:vMerge w:val="continue"/>
            <w:tcBorders>
              <w:right w:val="single" w:color="auto" w:sz="4" w:space="0"/>
            </w:tcBorders>
            <w:vAlign w:val="center"/>
          </w:tcPr>
          <w:p w14:paraId="2ACC9205">
            <w:pPr>
              <w:spacing w:line="400" w:lineRule="exact"/>
              <w:rPr>
                <w:rFonts w:ascii="宋体" w:hAnsi="宋体"/>
                <w:color w:val="auto"/>
                <w:szCs w:val="21"/>
              </w:rPr>
            </w:pPr>
          </w:p>
        </w:tc>
        <w:tc>
          <w:tcPr>
            <w:tcW w:w="1276" w:type="dxa"/>
            <w:vMerge w:val="continue"/>
            <w:tcBorders>
              <w:left w:val="single" w:color="auto" w:sz="4" w:space="0"/>
            </w:tcBorders>
            <w:vAlign w:val="center"/>
          </w:tcPr>
          <w:p w14:paraId="3BFF65D2">
            <w:pPr>
              <w:spacing w:line="400" w:lineRule="exact"/>
              <w:rPr>
                <w:rFonts w:ascii="宋体" w:hAnsi="宋体"/>
                <w:color w:val="auto"/>
                <w:szCs w:val="21"/>
              </w:rPr>
            </w:pPr>
          </w:p>
        </w:tc>
        <w:tc>
          <w:tcPr>
            <w:tcW w:w="1559" w:type="dxa"/>
            <w:vAlign w:val="center"/>
          </w:tcPr>
          <w:p w14:paraId="784DC2FF">
            <w:pPr>
              <w:spacing w:line="400" w:lineRule="exact"/>
              <w:rPr>
                <w:rFonts w:ascii="宋体" w:hAnsi="宋体" w:cs="微软雅黑"/>
                <w:color w:val="auto"/>
                <w:kern w:val="0"/>
                <w:szCs w:val="21"/>
              </w:rPr>
            </w:pPr>
            <w:r>
              <w:rPr>
                <w:rFonts w:hint="eastAsia" w:ascii="宋体" w:hAnsi="宋体" w:cs="微软雅黑"/>
                <w:color w:val="auto"/>
                <w:kern w:val="0"/>
                <w:szCs w:val="21"/>
              </w:rPr>
              <w:t>确保工程质量的技术组织措施（满分7分）</w:t>
            </w:r>
          </w:p>
          <w:p w14:paraId="6D032232">
            <w:pPr>
              <w:spacing w:line="400" w:lineRule="exact"/>
              <w:rPr>
                <w:rFonts w:ascii="宋体" w:hAnsi="宋体" w:cs="微软雅黑"/>
                <w:color w:val="auto"/>
                <w:kern w:val="0"/>
                <w:szCs w:val="21"/>
              </w:rPr>
            </w:pPr>
          </w:p>
        </w:tc>
        <w:tc>
          <w:tcPr>
            <w:tcW w:w="6078" w:type="dxa"/>
            <w:vAlign w:val="center"/>
          </w:tcPr>
          <w:p w14:paraId="0FB84870">
            <w:pPr>
              <w:spacing w:line="400" w:lineRule="exact"/>
              <w:rPr>
                <w:rFonts w:ascii="宋体" w:hAnsi="宋体" w:cs="微软雅黑"/>
                <w:color w:val="auto"/>
                <w:kern w:val="0"/>
                <w:szCs w:val="21"/>
              </w:rPr>
            </w:pPr>
            <w:r>
              <w:rPr>
                <w:rFonts w:hint="eastAsia" w:ascii="宋体" w:hAnsi="宋体" w:cs="微软雅黑"/>
                <w:color w:val="auto"/>
                <w:kern w:val="0"/>
                <w:szCs w:val="21"/>
              </w:rPr>
              <w:t>四档（7分）有专门的质量技术管理班子和制度，且人员配备合理，制度健全。主要工序有质量技术保证措施和手段，自控体系完整，能有效保证技术质量，达到承诺的质量标准。</w:t>
            </w:r>
          </w:p>
          <w:p w14:paraId="422A0C5E">
            <w:pPr>
              <w:spacing w:line="400" w:lineRule="exact"/>
              <w:rPr>
                <w:rFonts w:ascii="宋体" w:hAnsi="宋体" w:cs="微软雅黑"/>
                <w:color w:val="auto"/>
                <w:kern w:val="0"/>
                <w:szCs w:val="21"/>
              </w:rPr>
            </w:pPr>
            <w:r>
              <w:rPr>
                <w:rFonts w:hint="eastAsia" w:ascii="宋体" w:hAnsi="宋体" w:cs="微软雅黑"/>
                <w:color w:val="auto"/>
                <w:kern w:val="0"/>
                <w:szCs w:val="21"/>
              </w:rPr>
              <w:t>三档（5分）有质量技术管理班子和制度，且人员配备合理，制度健全。主要工序有质量技术保证措施和手段，自控体系完整，能有效保证技术质量，达到承诺的质量标准。</w:t>
            </w:r>
          </w:p>
          <w:p w14:paraId="7D8DA7C3">
            <w:pPr>
              <w:spacing w:line="400" w:lineRule="exact"/>
              <w:rPr>
                <w:rFonts w:ascii="宋体" w:hAnsi="宋体" w:cs="微软雅黑"/>
                <w:color w:val="auto"/>
                <w:kern w:val="0"/>
                <w:szCs w:val="21"/>
              </w:rPr>
            </w:pPr>
            <w:r>
              <w:rPr>
                <w:rFonts w:hint="eastAsia" w:ascii="宋体" w:hAnsi="宋体" w:cs="微软雅黑"/>
                <w:color w:val="auto"/>
                <w:kern w:val="0"/>
                <w:szCs w:val="21"/>
              </w:rPr>
              <w:t>二档（3 分）有质量技术管理班子和制度。主要工序有质量技术保证措施和手段，自控体系一般，基本能保证技术质量，达到承诺的质量标准。</w:t>
            </w:r>
          </w:p>
          <w:p w14:paraId="5DA6E044">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分）有质量技术管理班子和制度。主要工序无质量技术保证措施和手段，自控体系一般，不能有效保证技术质量。</w:t>
            </w:r>
          </w:p>
        </w:tc>
      </w:tr>
      <w:tr w14:paraId="2997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93" w:type="dxa"/>
            <w:vMerge w:val="continue"/>
            <w:tcBorders>
              <w:right w:val="single" w:color="auto" w:sz="4" w:space="0"/>
            </w:tcBorders>
            <w:vAlign w:val="center"/>
          </w:tcPr>
          <w:p w14:paraId="21909587">
            <w:pPr>
              <w:spacing w:line="400" w:lineRule="exact"/>
              <w:rPr>
                <w:rFonts w:ascii="宋体" w:hAnsi="宋体"/>
                <w:color w:val="auto"/>
                <w:szCs w:val="21"/>
              </w:rPr>
            </w:pPr>
          </w:p>
        </w:tc>
        <w:tc>
          <w:tcPr>
            <w:tcW w:w="1276" w:type="dxa"/>
            <w:vMerge w:val="continue"/>
            <w:tcBorders>
              <w:left w:val="single" w:color="auto" w:sz="4" w:space="0"/>
            </w:tcBorders>
            <w:vAlign w:val="center"/>
          </w:tcPr>
          <w:p w14:paraId="33F3873F">
            <w:pPr>
              <w:spacing w:line="400" w:lineRule="exact"/>
              <w:rPr>
                <w:rFonts w:ascii="宋体" w:hAnsi="宋体"/>
                <w:color w:val="auto"/>
                <w:szCs w:val="21"/>
              </w:rPr>
            </w:pPr>
          </w:p>
        </w:tc>
        <w:tc>
          <w:tcPr>
            <w:tcW w:w="1559" w:type="dxa"/>
            <w:vAlign w:val="center"/>
          </w:tcPr>
          <w:p w14:paraId="78EE0989">
            <w:pPr>
              <w:spacing w:line="400" w:lineRule="exact"/>
              <w:rPr>
                <w:rFonts w:ascii="宋体" w:hAnsi="宋体" w:cs="微软雅黑"/>
                <w:color w:val="auto"/>
                <w:kern w:val="0"/>
                <w:szCs w:val="21"/>
              </w:rPr>
            </w:pPr>
            <w:r>
              <w:rPr>
                <w:rFonts w:hint="eastAsia" w:ascii="宋体" w:hAnsi="宋体" w:cs="微软雅黑"/>
                <w:color w:val="auto"/>
                <w:kern w:val="0"/>
                <w:szCs w:val="21"/>
              </w:rPr>
              <w:t>确保安全生产的技术组织措施（满分</w:t>
            </w:r>
            <w:r>
              <w:rPr>
                <w:rFonts w:ascii="宋体" w:hAnsi="宋体" w:cs="微软雅黑"/>
                <w:color w:val="auto"/>
                <w:kern w:val="0"/>
                <w:szCs w:val="21"/>
              </w:rPr>
              <w:t>6</w:t>
            </w:r>
            <w:r>
              <w:rPr>
                <w:rFonts w:hint="eastAsia" w:ascii="宋体" w:hAnsi="宋体" w:cs="微软雅黑"/>
                <w:color w:val="auto"/>
                <w:kern w:val="0"/>
                <w:szCs w:val="21"/>
              </w:rPr>
              <w:t>分）</w:t>
            </w:r>
          </w:p>
          <w:p w14:paraId="6D3F6151">
            <w:pPr>
              <w:spacing w:line="400" w:lineRule="exact"/>
              <w:rPr>
                <w:rFonts w:ascii="宋体" w:hAnsi="宋体" w:cs="微软雅黑"/>
                <w:color w:val="auto"/>
                <w:kern w:val="0"/>
                <w:szCs w:val="21"/>
              </w:rPr>
            </w:pPr>
          </w:p>
        </w:tc>
        <w:tc>
          <w:tcPr>
            <w:tcW w:w="6078" w:type="dxa"/>
            <w:vAlign w:val="center"/>
          </w:tcPr>
          <w:p w14:paraId="16149EC0">
            <w:pPr>
              <w:spacing w:line="400" w:lineRule="exact"/>
              <w:rPr>
                <w:rFonts w:ascii="宋体" w:hAnsi="宋体" w:cs="微软雅黑"/>
                <w:color w:val="auto"/>
                <w:kern w:val="0"/>
                <w:szCs w:val="21"/>
              </w:rPr>
            </w:pPr>
            <w:r>
              <w:rPr>
                <w:rFonts w:hint="eastAsia" w:ascii="宋体" w:hAnsi="宋体" w:cs="微软雅黑"/>
                <w:color w:val="auto"/>
                <w:kern w:val="0"/>
                <w:szCs w:val="21"/>
              </w:rPr>
              <w:t>四档（</w:t>
            </w:r>
            <w:r>
              <w:rPr>
                <w:rFonts w:ascii="宋体" w:hAnsi="宋体" w:cs="微软雅黑"/>
                <w:color w:val="auto"/>
                <w:kern w:val="0"/>
                <w:szCs w:val="21"/>
              </w:rPr>
              <w:t xml:space="preserve">6 </w:t>
            </w:r>
            <w:r>
              <w:rPr>
                <w:rFonts w:hint="eastAsia" w:ascii="宋体" w:hAnsi="宋体" w:cs="微软雅黑"/>
                <w:color w:val="auto"/>
                <w:kern w:val="0"/>
                <w:szCs w:val="21"/>
              </w:rPr>
              <w:t>分）有专门的安全管理人员和制度，且人员配备合理，制度健全，各道工序安全技术措施针对性强，符合实际且满足有关安全技术标准要求。现场防火、应急救援、社会治安安全措施得力。</w:t>
            </w:r>
          </w:p>
          <w:p w14:paraId="5BF0B2C5">
            <w:pPr>
              <w:spacing w:line="400" w:lineRule="exact"/>
              <w:rPr>
                <w:rFonts w:ascii="宋体" w:hAnsi="宋体" w:cs="微软雅黑"/>
                <w:color w:val="auto"/>
                <w:kern w:val="0"/>
                <w:szCs w:val="21"/>
              </w:rPr>
            </w:pPr>
            <w:r>
              <w:rPr>
                <w:rFonts w:hint="eastAsia" w:ascii="宋体" w:hAnsi="宋体" w:cs="微软雅黑"/>
                <w:color w:val="auto"/>
                <w:kern w:val="0"/>
                <w:szCs w:val="21"/>
              </w:rPr>
              <w:t>三档（</w:t>
            </w:r>
            <w:r>
              <w:rPr>
                <w:rFonts w:ascii="宋体" w:hAnsi="宋体" w:cs="微软雅黑"/>
                <w:color w:val="auto"/>
                <w:kern w:val="0"/>
                <w:szCs w:val="21"/>
              </w:rPr>
              <w:t xml:space="preserve">4 </w:t>
            </w:r>
            <w:r>
              <w:rPr>
                <w:rFonts w:hint="eastAsia" w:ascii="宋体" w:hAnsi="宋体" w:cs="微软雅黑"/>
                <w:color w:val="auto"/>
                <w:kern w:val="0"/>
                <w:szCs w:val="21"/>
              </w:rPr>
              <w:t>分）有安全管理人员和制度，且人员配备合理，制度健全，各道工序安全技术措施有针对性，符合实际且满足有关安全技术标准要求。现场防火、应急救援、社会治安安全措施满足施工需求。</w:t>
            </w:r>
          </w:p>
          <w:p w14:paraId="2EDAABFA">
            <w:pPr>
              <w:spacing w:line="400" w:lineRule="exact"/>
              <w:rPr>
                <w:rFonts w:ascii="宋体" w:hAnsi="宋体" w:cs="微软雅黑"/>
                <w:color w:val="auto"/>
                <w:kern w:val="0"/>
                <w:szCs w:val="21"/>
              </w:rPr>
            </w:pPr>
            <w:r>
              <w:rPr>
                <w:rFonts w:hint="eastAsia" w:ascii="宋体" w:hAnsi="宋体" w:cs="微软雅黑"/>
                <w:color w:val="auto"/>
                <w:kern w:val="0"/>
                <w:szCs w:val="21"/>
              </w:rPr>
              <w:t>二档（2分）有安全管理人员和制度，人员配备一般，制度健全一般，各道工序安全技术措施针对性一般，基本满足有关安全技术标准要求。现场防火、应急救援、社会治安安全措施基本满足施工需求。</w:t>
            </w:r>
          </w:p>
          <w:p w14:paraId="588C6D02">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分）有安全管理人员和制度，各道工序安全技术措施无针对性，满足有关安全技术标准要求。现场防火、应急救援、社会治安安全措施差。</w:t>
            </w:r>
          </w:p>
        </w:tc>
      </w:tr>
      <w:tr w14:paraId="63E9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93" w:type="dxa"/>
            <w:vMerge w:val="continue"/>
            <w:tcBorders>
              <w:right w:val="single" w:color="auto" w:sz="4" w:space="0"/>
            </w:tcBorders>
            <w:vAlign w:val="center"/>
          </w:tcPr>
          <w:p w14:paraId="682FAD58">
            <w:pPr>
              <w:spacing w:line="400" w:lineRule="exact"/>
              <w:rPr>
                <w:rFonts w:ascii="宋体" w:hAnsi="宋体"/>
                <w:color w:val="auto"/>
                <w:szCs w:val="21"/>
              </w:rPr>
            </w:pPr>
          </w:p>
        </w:tc>
        <w:tc>
          <w:tcPr>
            <w:tcW w:w="1276" w:type="dxa"/>
            <w:vMerge w:val="continue"/>
            <w:tcBorders>
              <w:left w:val="single" w:color="auto" w:sz="4" w:space="0"/>
            </w:tcBorders>
            <w:vAlign w:val="center"/>
          </w:tcPr>
          <w:p w14:paraId="036D73E0">
            <w:pPr>
              <w:spacing w:line="400" w:lineRule="exact"/>
              <w:rPr>
                <w:rFonts w:ascii="宋体" w:hAnsi="宋体"/>
                <w:color w:val="auto"/>
                <w:szCs w:val="21"/>
              </w:rPr>
            </w:pPr>
          </w:p>
        </w:tc>
        <w:tc>
          <w:tcPr>
            <w:tcW w:w="1559" w:type="dxa"/>
            <w:vAlign w:val="center"/>
          </w:tcPr>
          <w:p w14:paraId="111672C3">
            <w:pPr>
              <w:spacing w:line="400" w:lineRule="exact"/>
              <w:rPr>
                <w:rFonts w:ascii="宋体" w:hAnsi="宋体" w:cs="微软雅黑"/>
                <w:color w:val="auto"/>
                <w:kern w:val="0"/>
                <w:szCs w:val="21"/>
              </w:rPr>
            </w:pPr>
            <w:r>
              <w:rPr>
                <w:rFonts w:hint="eastAsia" w:ascii="宋体" w:hAnsi="宋体" w:cs="微软雅黑"/>
                <w:color w:val="auto"/>
                <w:kern w:val="0"/>
                <w:szCs w:val="21"/>
              </w:rPr>
              <w:t>工程施工的重点和难点（满分</w:t>
            </w:r>
            <w:r>
              <w:rPr>
                <w:rFonts w:hint="eastAsia" w:ascii="宋体" w:hAnsi="宋体" w:cs="微软雅黑"/>
                <w:color w:val="auto"/>
                <w:kern w:val="0"/>
                <w:szCs w:val="21"/>
                <w:lang w:val="en-US" w:eastAsia="zh-CN"/>
              </w:rPr>
              <w:t>9</w:t>
            </w:r>
            <w:r>
              <w:rPr>
                <w:rFonts w:hint="eastAsia" w:ascii="宋体" w:hAnsi="宋体" w:cs="微软雅黑"/>
                <w:color w:val="auto"/>
                <w:kern w:val="0"/>
                <w:szCs w:val="21"/>
              </w:rPr>
              <w:t>分）</w:t>
            </w:r>
          </w:p>
        </w:tc>
        <w:tc>
          <w:tcPr>
            <w:tcW w:w="6078" w:type="dxa"/>
            <w:vAlign w:val="center"/>
          </w:tcPr>
          <w:p w14:paraId="7F48373F">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四档（</w:t>
            </w:r>
            <w:r>
              <w:rPr>
                <w:rFonts w:hint="eastAsia" w:ascii="宋体" w:hAnsi="宋体" w:cs="微软雅黑"/>
                <w:color w:val="auto"/>
                <w:kern w:val="0"/>
                <w:szCs w:val="21"/>
                <w:lang w:val="en-US" w:eastAsia="zh-CN"/>
              </w:rPr>
              <w:t>9</w:t>
            </w:r>
            <w:r>
              <w:rPr>
                <w:rFonts w:hint="eastAsia" w:ascii="宋体" w:hAnsi="宋体" w:cs="微软雅黑"/>
                <w:color w:val="auto"/>
                <w:kern w:val="0"/>
                <w:szCs w:val="21"/>
              </w:rPr>
              <w:t>分）针对本工程的特点，详细阐述了本工程的重点和难点，解决重点和难点问题的方法合理、可行。</w:t>
            </w:r>
          </w:p>
          <w:p w14:paraId="1D651748">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三档（</w:t>
            </w:r>
            <w:r>
              <w:rPr>
                <w:rFonts w:hint="eastAsia" w:ascii="宋体" w:hAnsi="宋体" w:cs="微软雅黑"/>
                <w:color w:val="auto"/>
                <w:kern w:val="0"/>
                <w:szCs w:val="21"/>
                <w:lang w:val="en-US" w:eastAsia="zh-CN"/>
              </w:rPr>
              <w:t>6</w:t>
            </w:r>
            <w:r>
              <w:rPr>
                <w:rFonts w:hint="eastAsia" w:ascii="宋体" w:hAnsi="宋体" w:cs="微软雅黑"/>
                <w:color w:val="auto"/>
                <w:kern w:val="0"/>
                <w:szCs w:val="21"/>
              </w:rPr>
              <w:t>分）针对本工程的特点，阐述了本工程的重点和难点，解决重点和难点问题的方法合理。</w:t>
            </w:r>
          </w:p>
          <w:p w14:paraId="66AEA63C">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二档（</w:t>
            </w:r>
            <w:r>
              <w:rPr>
                <w:rFonts w:hint="eastAsia" w:ascii="宋体" w:hAnsi="宋体" w:cs="微软雅黑"/>
                <w:color w:val="auto"/>
                <w:kern w:val="0"/>
                <w:szCs w:val="21"/>
                <w:lang w:val="en-US" w:eastAsia="zh-CN"/>
              </w:rPr>
              <w:t>3</w:t>
            </w:r>
            <w:r>
              <w:rPr>
                <w:rFonts w:hint="eastAsia" w:ascii="宋体" w:hAnsi="宋体" w:cs="微软雅黑"/>
                <w:color w:val="auto"/>
                <w:kern w:val="0"/>
                <w:szCs w:val="21"/>
              </w:rPr>
              <w:t>分）简单阐述了本工程的重点和难点，解决重点和难点问题的方法一般。</w:t>
            </w:r>
          </w:p>
          <w:p w14:paraId="6F34C053">
            <w:pPr>
              <w:spacing w:line="400" w:lineRule="exact"/>
              <w:ind w:left="210" w:hanging="210" w:hangingChars="100"/>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分）未阐述本工程的重点和难点，无解决及保证措施重点和难点问题的方法。</w:t>
            </w:r>
          </w:p>
        </w:tc>
      </w:tr>
      <w:tr w14:paraId="6B35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06" w:type="dxa"/>
            <w:gridSpan w:val="4"/>
          </w:tcPr>
          <w:p w14:paraId="00D7F0EB">
            <w:pPr>
              <w:widowControl/>
              <w:spacing w:line="400" w:lineRule="exact"/>
              <w:jc w:val="left"/>
              <w:rPr>
                <w:rFonts w:ascii="宋体" w:hAnsi="宋体" w:cs="宋体"/>
                <w:color w:val="auto"/>
                <w:kern w:val="0"/>
                <w:szCs w:val="21"/>
              </w:rPr>
            </w:pPr>
            <w:r>
              <w:rPr>
                <w:rFonts w:hint="eastAsia" w:hAnsi="宋体" w:cs="宋体"/>
                <w:bCs/>
                <w:color w:val="auto"/>
                <w:szCs w:val="21"/>
              </w:rPr>
              <w:t>总得分＝</w:t>
            </w:r>
            <w:r>
              <w:rPr>
                <w:rFonts w:hint="eastAsia"/>
                <w:color w:val="auto"/>
                <w:szCs w:val="21"/>
              </w:rPr>
              <w:t>价格</w:t>
            </w:r>
            <w:r>
              <w:rPr>
                <w:color w:val="auto"/>
                <w:szCs w:val="21"/>
              </w:rPr>
              <w:t>分</w:t>
            </w:r>
            <w:r>
              <w:rPr>
                <w:rFonts w:eastAsia="Times New Roman"/>
                <w:color w:val="auto"/>
                <w:szCs w:val="21"/>
              </w:rPr>
              <w:t>+</w:t>
            </w:r>
            <w:r>
              <w:rPr>
                <w:rFonts w:hint="eastAsia"/>
                <w:color w:val="auto"/>
                <w:szCs w:val="21"/>
              </w:rPr>
              <w:t>技术</w:t>
            </w:r>
            <w:r>
              <w:rPr>
                <w:color w:val="auto"/>
                <w:szCs w:val="21"/>
              </w:rPr>
              <w:t>分</w:t>
            </w:r>
          </w:p>
        </w:tc>
      </w:tr>
    </w:tbl>
    <w:p w14:paraId="6AEBA846">
      <w:pPr>
        <w:spacing w:line="420" w:lineRule="exact"/>
        <w:ind w:firstLine="413" w:firstLineChars="196"/>
        <w:rPr>
          <w:b/>
          <w:bCs/>
          <w:color w:val="auto"/>
          <w:szCs w:val="21"/>
        </w:rPr>
      </w:pPr>
      <w:r>
        <w:rPr>
          <w:rFonts w:hint="eastAsia"/>
          <w:b/>
          <w:bCs/>
          <w:color w:val="auto"/>
          <w:szCs w:val="21"/>
        </w:rPr>
        <w:t>三、总分（100分）</w:t>
      </w:r>
    </w:p>
    <w:p w14:paraId="7C40EC7F">
      <w:pPr>
        <w:spacing w:line="420" w:lineRule="exact"/>
        <w:ind w:firstLine="411" w:firstLineChars="196"/>
        <w:rPr>
          <w:rFonts w:ascii="宋体" w:hAnsi="宋体" w:cs="宋体"/>
          <w:color w:val="auto"/>
          <w:szCs w:val="21"/>
        </w:rPr>
      </w:pPr>
      <w:r>
        <w:rPr>
          <w:rFonts w:hint="eastAsia" w:ascii="宋体" w:hAnsi="宋体" w:cs="宋体"/>
          <w:color w:val="auto"/>
          <w:szCs w:val="21"/>
        </w:rPr>
        <w:t>计算公式：总分＝价格分+技术分</w:t>
      </w:r>
    </w:p>
    <w:p w14:paraId="757B7FB7">
      <w:pPr>
        <w:spacing w:line="420" w:lineRule="exact"/>
        <w:ind w:firstLine="411" w:firstLineChars="196"/>
        <w:rPr>
          <w:rFonts w:ascii="宋体" w:hAnsi="宋体" w:cs="宋体"/>
          <w:color w:val="auto"/>
          <w:szCs w:val="21"/>
        </w:rPr>
      </w:pPr>
      <w:r>
        <w:rPr>
          <w:rFonts w:hint="eastAsia" w:ascii="宋体" w:hAnsi="宋体" w:cs="宋体"/>
          <w:color w:val="auto"/>
          <w:szCs w:val="21"/>
        </w:rPr>
        <w:t>备注：各项指标的分数计算四舍五入，取小数点后两位。</w:t>
      </w:r>
    </w:p>
    <w:p w14:paraId="3B495B1D">
      <w:pPr>
        <w:spacing w:line="420" w:lineRule="exact"/>
        <w:ind w:firstLine="413" w:firstLineChars="196"/>
        <w:rPr>
          <w:b/>
          <w:bCs/>
          <w:color w:val="auto"/>
          <w:szCs w:val="21"/>
        </w:rPr>
      </w:pPr>
      <w:r>
        <w:rPr>
          <w:rFonts w:hint="eastAsia"/>
          <w:b/>
          <w:bCs/>
          <w:color w:val="auto"/>
          <w:szCs w:val="21"/>
        </w:rPr>
        <w:t>四、</w:t>
      </w:r>
      <w:r>
        <w:rPr>
          <w:rFonts w:hint="eastAsia" w:ascii="宋体" w:hAnsi="宋体" w:cs="宋体"/>
          <w:b/>
          <w:color w:val="auto"/>
          <w:szCs w:val="21"/>
        </w:rPr>
        <w:t>成交候选供应商推荐原则</w:t>
      </w:r>
    </w:p>
    <w:p w14:paraId="50882488">
      <w:pPr>
        <w:spacing w:line="420" w:lineRule="exact"/>
        <w:ind w:firstLine="435"/>
        <w:rPr>
          <w:rFonts w:ascii="宋体" w:hAnsi="宋体" w:cs="宋体"/>
          <w:color w:val="auto"/>
          <w:szCs w:val="21"/>
        </w:rPr>
      </w:pPr>
      <w:r>
        <w:rPr>
          <w:rFonts w:ascii="宋体" w:hAnsi="宋体" w:cs="宋体"/>
          <w:color w:val="auto"/>
          <w:szCs w:val="21"/>
        </w:rPr>
        <w:t>磋商小组应当根据综合评分情况，按照评审得分由高到低顺序推荐3名以上成交候选供应商，并编写评审报告。评审得分相同的，按照最后报价由低到高的顺序推荐。评审得分且最后报价相同的，按照</w:t>
      </w:r>
      <w:r>
        <w:rPr>
          <w:rFonts w:hint="eastAsia" w:ascii="宋体" w:hAnsi="宋体" w:cs="宋体"/>
          <w:color w:val="auto"/>
          <w:szCs w:val="21"/>
        </w:rPr>
        <w:t>技术部分得分从高到低</w:t>
      </w:r>
      <w:r>
        <w:rPr>
          <w:rFonts w:ascii="宋体" w:hAnsi="宋体" w:cs="宋体"/>
          <w:color w:val="auto"/>
          <w:szCs w:val="21"/>
        </w:rPr>
        <w:t>顺序推荐。</w:t>
      </w:r>
    </w:p>
    <w:p w14:paraId="32BA90C4">
      <w:pPr>
        <w:spacing w:line="420" w:lineRule="exact"/>
        <w:ind w:firstLine="435"/>
        <w:rPr>
          <w:rFonts w:hint="eastAsia" w:ascii="宋体" w:hAnsi="宋体" w:cs="宋体"/>
          <w:color w:val="auto"/>
          <w:szCs w:val="21"/>
        </w:rPr>
      </w:pPr>
      <w:r>
        <w:rPr>
          <w:rFonts w:ascii="宋体" w:hAnsi="宋体" w:cs="宋体"/>
          <w:color w:val="auto"/>
          <w:szCs w:val="21"/>
        </w:rPr>
        <w:t>采购人应当在收到评审报告后</w:t>
      </w:r>
      <w:r>
        <w:rPr>
          <w:rFonts w:hint="eastAsia" w:ascii="宋体" w:hAnsi="宋体" w:cs="宋体"/>
          <w:color w:val="auto"/>
          <w:szCs w:val="21"/>
        </w:rPr>
        <w:t>2</w:t>
      </w:r>
      <w:r>
        <w:rPr>
          <w:rFonts w:ascii="宋体" w:hAnsi="宋体" w:cs="宋体"/>
          <w:color w:val="auto"/>
          <w:szCs w:val="21"/>
        </w:rPr>
        <w:t>个工作日内，</w:t>
      </w:r>
      <w:r>
        <w:rPr>
          <w:rFonts w:hint="eastAsia" w:ascii="宋体" w:hAnsi="宋体" w:cs="宋体"/>
          <w:color w:val="auto"/>
          <w:szCs w:val="21"/>
        </w:rPr>
        <w:t>根据</w:t>
      </w:r>
      <w:r>
        <w:rPr>
          <w:rFonts w:ascii="宋体" w:hAnsi="宋体" w:cs="宋体"/>
          <w:color w:val="auto"/>
          <w:szCs w:val="21"/>
        </w:rPr>
        <w:t>评审报告按照</w:t>
      </w:r>
      <w:r>
        <w:rPr>
          <w:rFonts w:hint="eastAsia" w:ascii="宋体" w:hAnsi="宋体" w:cs="宋体"/>
          <w:color w:val="auto"/>
          <w:szCs w:val="21"/>
        </w:rPr>
        <w:t>评审总得分</w:t>
      </w:r>
      <w:r>
        <w:rPr>
          <w:rFonts w:ascii="宋体" w:hAnsi="宋体" w:cs="宋体"/>
          <w:color w:val="auto"/>
          <w:szCs w:val="21"/>
        </w:rPr>
        <w:t>排序由高到低的原则确定成交供应商。</w:t>
      </w:r>
      <w:r>
        <w:rPr>
          <w:rFonts w:hint="eastAsia" w:ascii="宋体" w:hAnsi="宋体" w:cs="宋体"/>
          <w:color w:val="auto"/>
          <w:szCs w:val="21"/>
        </w:rPr>
        <w:t>采购人逾期未确定成交供应商且不提出异议的，视为确定评审报告提出的排序第一的供应商为成交供应商。</w:t>
      </w:r>
    </w:p>
    <w:p w14:paraId="6F48D737">
      <w:pPr>
        <w:pStyle w:val="4"/>
        <w:rPr>
          <w:rFonts w:hint="eastAsia" w:ascii="宋体" w:hAnsi="宋体" w:cs="宋体"/>
          <w:color w:val="auto"/>
          <w:szCs w:val="21"/>
        </w:rPr>
      </w:pPr>
    </w:p>
    <w:p w14:paraId="7721DCEB">
      <w:pPr>
        <w:rPr>
          <w:rFonts w:hint="eastAsia" w:ascii="宋体" w:hAnsi="宋体" w:cs="宋体"/>
          <w:color w:val="auto"/>
          <w:szCs w:val="21"/>
        </w:rPr>
      </w:pPr>
    </w:p>
    <w:p w14:paraId="6E4F1728">
      <w:pPr>
        <w:pStyle w:val="4"/>
        <w:rPr>
          <w:rFonts w:hint="eastAsia" w:ascii="宋体" w:hAnsi="宋体" w:cs="宋体"/>
          <w:color w:val="auto"/>
          <w:szCs w:val="21"/>
        </w:rPr>
      </w:pPr>
    </w:p>
    <w:p w14:paraId="48427969">
      <w:pPr>
        <w:rPr>
          <w:rFonts w:hint="eastAsia" w:ascii="宋体" w:hAnsi="宋体" w:cs="宋体"/>
          <w:color w:val="auto"/>
          <w:szCs w:val="21"/>
        </w:rPr>
      </w:pPr>
    </w:p>
    <w:p w14:paraId="10799B6D">
      <w:pPr>
        <w:pStyle w:val="4"/>
        <w:rPr>
          <w:rFonts w:hint="eastAsia" w:ascii="宋体" w:hAnsi="宋体" w:cs="宋体"/>
          <w:color w:val="auto"/>
          <w:szCs w:val="21"/>
        </w:rPr>
      </w:pPr>
    </w:p>
    <w:p w14:paraId="6CE0B539">
      <w:pPr>
        <w:rPr>
          <w:rFonts w:hint="eastAsia" w:ascii="宋体" w:hAnsi="宋体" w:cs="宋体"/>
          <w:color w:val="auto"/>
          <w:szCs w:val="21"/>
        </w:rPr>
      </w:pPr>
    </w:p>
    <w:p w14:paraId="566348FF">
      <w:pPr>
        <w:pStyle w:val="4"/>
        <w:rPr>
          <w:rFonts w:hint="eastAsia" w:ascii="宋体" w:hAnsi="宋体" w:cs="宋体"/>
          <w:color w:val="auto"/>
          <w:szCs w:val="21"/>
        </w:rPr>
      </w:pPr>
    </w:p>
    <w:p w14:paraId="38F999CA">
      <w:pPr>
        <w:rPr>
          <w:rFonts w:hint="eastAsia" w:ascii="宋体" w:hAnsi="宋体" w:cs="宋体"/>
          <w:color w:val="auto"/>
          <w:szCs w:val="21"/>
        </w:rPr>
      </w:pPr>
    </w:p>
    <w:p w14:paraId="20CB083D">
      <w:pPr>
        <w:rPr>
          <w:rFonts w:hint="eastAsia" w:ascii="黑体" w:hAnsi="黑体" w:eastAsia="黑体" w:cs="黑体"/>
          <w:color w:val="auto"/>
          <w:sz w:val="32"/>
          <w:szCs w:val="32"/>
          <w:lang w:val="zh-CN" w:eastAsia="zh-CN"/>
        </w:rPr>
      </w:pPr>
      <w:r>
        <w:rPr>
          <w:rFonts w:hint="eastAsia" w:ascii="黑体" w:hAnsi="黑体" w:eastAsia="黑体" w:cs="黑体"/>
          <w:color w:val="auto"/>
          <w:sz w:val="32"/>
          <w:szCs w:val="32"/>
          <w:lang w:val="zh-CN" w:eastAsia="zh-CN"/>
        </w:rPr>
        <w:br w:type="page"/>
      </w:r>
    </w:p>
    <w:p w14:paraId="15A4C0C4">
      <w:pPr>
        <w:widowControl/>
        <w:spacing w:line="720" w:lineRule="exact"/>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eastAsia="zh-CN"/>
        </w:rPr>
        <w:t>根据《崇左市财政局关于进一步做好线上“政采贷”融资业务工作的通知》( 崇财采(2023)10号) ,供应商可凭成交通知书、政府采购合同，通过中征应收账款融资服务平台向银行在线申请“政采贷”融资。(具体详见后附件中“政采贷”相关信息)。</w:t>
      </w:r>
    </w:p>
    <w:p w14:paraId="6B1E8C99">
      <w:pPr>
        <w:widowControl/>
        <w:spacing w:line="720" w:lineRule="exact"/>
        <w:jc w:val="left"/>
        <w:rPr>
          <w:rFonts w:hint="eastAsia" w:ascii="黑体" w:hAnsi="黑体" w:eastAsia="黑体" w:cs="黑体"/>
          <w:color w:val="auto"/>
          <w:sz w:val="32"/>
          <w:szCs w:val="32"/>
          <w:lang w:val="zh-CN"/>
        </w:rPr>
      </w:pPr>
    </w:p>
    <w:p w14:paraId="619067A9">
      <w:pPr>
        <w:widowControl/>
        <w:spacing w:line="720" w:lineRule="exact"/>
        <w:jc w:val="left"/>
        <w:rPr>
          <w:rFonts w:ascii="黑体" w:hAnsi="黑体" w:eastAsia="黑体" w:cs="黑体"/>
          <w:color w:val="auto"/>
          <w:sz w:val="32"/>
          <w:szCs w:val="32"/>
        </w:rPr>
      </w:pP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2</w:t>
      </w:r>
    </w:p>
    <w:p w14:paraId="5128C2B8">
      <w:pPr>
        <w:suppressAutoHyphens/>
        <w:rPr>
          <w:rFonts w:ascii="Calibri" w:hAnsi="Calibri"/>
          <w:color w:val="auto"/>
        </w:rPr>
      </w:pPr>
    </w:p>
    <w:p w14:paraId="1CCFEE61">
      <w:pPr>
        <w:spacing w:line="580" w:lineRule="exact"/>
        <w:jc w:val="center"/>
        <w:rPr>
          <w:rFonts w:ascii="方正小标宋_GBK" w:hAnsi="宋体" w:eastAsia="方正小标宋_GBK"/>
          <w:color w:val="auto"/>
          <w:sz w:val="44"/>
          <w:szCs w:val="44"/>
        </w:rPr>
      </w:pPr>
      <w:r>
        <w:rPr>
          <w:rFonts w:hint="eastAsia" w:ascii="方正小标宋_GBK" w:hAnsi="宋体" w:eastAsia="方正小标宋_GBK"/>
          <w:color w:val="auto"/>
          <w:sz w:val="44"/>
          <w:szCs w:val="44"/>
        </w:rPr>
        <w:t>崇左市线上“政采贷”政策告知函</w:t>
      </w:r>
    </w:p>
    <w:p w14:paraId="48B4BCD5">
      <w:pPr>
        <w:spacing w:line="580" w:lineRule="exact"/>
        <w:ind w:firstLine="640" w:firstLineChars="200"/>
        <w:rPr>
          <w:rFonts w:ascii="宋体" w:hAnsi="宋体" w:eastAsia="华文仿宋"/>
          <w:color w:val="auto"/>
          <w:sz w:val="32"/>
          <w:szCs w:val="32"/>
        </w:rPr>
      </w:pPr>
    </w:p>
    <w:p w14:paraId="738469C8">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各供应商：</w:t>
      </w:r>
    </w:p>
    <w:p w14:paraId="51EE8D48">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欢迎贵公司参与崇左市政府采购活动！</w:t>
      </w:r>
    </w:p>
    <w:p w14:paraId="66379F93">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1FA44E51">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Fonts w:hint="eastAsia" w:ascii="仿宋_GB2312" w:hAnsi="仿宋_GB2312" w:eastAsia="仿宋_GB2312" w:cs="仿宋_GB2312"/>
          <w:color w:val="auto"/>
          <w:sz w:val="32"/>
          <w:u w:val="single"/>
        </w:rPr>
        <w:t>https://www.crcrfsp.com/</w:t>
      </w:r>
      <w:r>
        <w:rPr>
          <w:rFonts w:hint="eastAsia" w:ascii="仿宋_GB2312" w:hAnsi="仿宋_GB2312" w:eastAsia="仿宋_GB2312" w:cs="仿宋_GB2312"/>
          <w:color w:val="auto"/>
          <w:sz w:val="32"/>
          <w:u w:val="single"/>
        </w:rPr>
        <w:fldChar w:fldCharType="end"/>
      </w:r>
      <w:r>
        <w:rPr>
          <w:rFonts w:hint="eastAsia" w:ascii="仿宋_GB2312" w:hAnsi="仿宋_GB2312" w:eastAsia="仿宋_GB2312" w:cs="仿宋_GB2312"/>
          <w:color w:val="auto"/>
          <w:sz w:val="32"/>
          <w:szCs w:val="32"/>
        </w:rPr>
        <w:t>，客服电话：400-009-0001）。</w:t>
      </w:r>
    </w:p>
    <w:p w14:paraId="5B3917D5">
      <w:pPr>
        <w:suppressAutoHyphens/>
        <w:rPr>
          <w:rFonts w:ascii="仿宋_GB2312" w:hAnsi="仿宋_GB2312" w:eastAsia="仿宋_GB2312" w:cs="仿宋_GB2312"/>
          <w:color w:val="auto"/>
          <w:szCs w:val="32"/>
        </w:rPr>
      </w:pPr>
    </w:p>
    <w:p w14:paraId="4BDE8786">
      <w:pPr>
        <w:rPr>
          <w:rFonts w:ascii="仿宋_GB2312" w:hAnsi="仿宋_GB2312" w:eastAsia="华文仿宋" w:cs="仿宋_GB2312"/>
          <w:color w:val="auto"/>
          <w:sz w:val="32"/>
          <w:szCs w:val="32"/>
        </w:rPr>
      </w:pPr>
    </w:p>
    <w:p w14:paraId="3DAE9B6C">
      <w:pPr>
        <w:suppressAutoHyphens/>
        <w:rPr>
          <w:rFonts w:ascii="仿宋_GB2312" w:hAnsi="仿宋_GB2312" w:cs="仿宋_GB2312"/>
          <w:color w:val="auto"/>
          <w:szCs w:val="32"/>
        </w:rPr>
      </w:pPr>
    </w:p>
    <w:p w14:paraId="64A213D6">
      <w:pPr>
        <w:widowControl/>
        <w:jc w:val="left"/>
        <w:rPr>
          <w:rFonts w:ascii="黑体" w:hAnsi="黑体" w:eastAsia="黑体" w:cs="黑体"/>
          <w:color w:val="auto"/>
          <w:sz w:val="32"/>
          <w:szCs w:val="32"/>
        </w:rPr>
      </w:pPr>
      <w:r>
        <w:rPr>
          <w:rFonts w:ascii="黑体" w:hAnsi="黑体" w:eastAsia="黑体" w:cs="黑体"/>
          <w:color w:val="auto"/>
          <w:sz w:val="32"/>
          <w:szCs w:val="32"/>
        </w:rPr>
        <w:br w:type="page"/>
      </w:r>
    </w:p>
    <w:p w14:paraId="62408417">
      <w:pPr>
        <w:spacing w:line="540" w:lineRule="exact"/>
        <w:rPr>
          <w:rFonts w:ascii="黑体" w:hAnsi="黑体" w:eastAsia="黑体" w:cs="黑体"/>
          <w:color w:val="auto"/>
          <w:sz w:val="32"/>
          <w:szCs w:val="32"/>
        </w:rPr>
      </w:pPr>
      <w:r>
        <w:rPr>
          <w:rFonts w:hint="eastAsia" w:ascii="黑体" w:hAnsi="黑体" w:eastAsia="黑体" w:cs="黑体"/>
          <w:color w:val="auto"/>
          <w:sz w:val="32"/>
          <w:szCs w:val="32"/>
        </w:rPr>
        <w:t>附件3</w:t>
      </w:r>
    </w:p>
    <w:p w14:paraId="198731AD">
      <w:pPr>
        <w:suppressAutoHyphens/>
        <w:rPr>
          <w:rFonts w:ascii="Calibri" w:hAnsi="Calibri"/>
          <w:color w:val="auto"/>
        </w:rPr>
      </w:pPr>
    </w:p>
    <w:p w14:paraId="541DD8C5">
      <w:pPr>
        <w:spacing w:line="600" w:lineRule="exact"/>
        <w:jc w:val="center"/>
        <w:rPr>
          <w:rFonts w:ascii="黑体" w:hAnsi="黑体" w:eastAsia="黑体" w:cs="黑体"/>
          <w:color w:val="auto"/>
          <w:sz w:val="44"/>
          <w:szCs w:val="44"/>
        </w:rPr>
      </w:pPr>
      <w:r>
        <w:rPr>
          <w:rFonts w:hint="eastAsia" w:ascii="方正小标宋_GBK" w:hAnsi="宋体" w:eastAsia="方正小标宋_GBK"/>
          <w:color w:val="auto"/>
          <w:sz w:val="44"/>
          <w:szCs w:val="44"/>
        </w:rPr>
        <w:t>崇左市线上“政采贷”业务流程图</w:t>
      </w:r>
    </w:p>
    <w:p w14:paraId="00E3C357">
      <w:pPr>
        <w:rPr>
          <w:rFonts w:ascii="宋体" w:hAnsi="宋体" w:eastAsia="华文仿宋"/>
          <w:color w:val="auto"/>
          <w:sz w:val="32"/>
          <w:szCs w:val="32"/>
        </w:rPr>
      </w:pPr>
      <w:r>
        <w:rPr>
          <w:rFonts w:hint="eastAsia" w:ascii="宋体" w:hAnsi="宋体" w:eastAsia="仿宋_GB2312"/>
          <w:color w:val="auto"/>
          <w:sz w:val="32"/>
          <w:szCs w:val="32"/>
        </w:rPr>
        <w:drawing>
          <wp:inline distT="0" distB="0" distL="0" distR="0">
            <wp:extent cx="4930140" cy="7002780"/>
            <wp:effectExtent l="0" t="0" r="3810" b="7620"/>
            <wp:docPr id="6" name="图片 3"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流程图1011"/>
                    <pic:cNvPicPr>
                      <a:picLocks noChangeAspect="1" noChangeArrowheads="1"/>
                    </pic:cNvPicPr>
                  </pic:nvPicPr>
                  <pic:blipFill>
                    <a:blip r:embed="rId11" cstate="print"/>
                    <a:srcRect/>
                    <a:stretch>
                      <a:fillRect/>
                    </a:stretch>
                  </pic:blipFill>
                  <pic:spPr>
                    <a:xfrm>
                      <a:off x="0" y="0"/>
                      <a:ext cx="4930140" cy="7002780"/>
                    </a:xfrm>
                    <a:prstGeom prst="rect">
                      <a:avLst/>
                    </a:prstGeom>
                    <a:noFill/>
                    <a:ln w="9525">
                      <a:noFill/>
                      <a:miter lim="800000"/>
                      <a:headEnd/>
                      <a:tailEnd/>
                    </a:ln>
                  </pic:spPr>
                </pic:pic>
              </a:graphicData>
            </a:graphic>
          </wp:inline>
        </w:drawing>
      </w:r>
    </w:p>
    <w:p w14:paraId="670E9515">
      <w:pPr>
        <w:widowControl/>
        <w:ind w:firstLine="640" w:firstLineChars="200"/>
        <w:rPr>
          <w:rFonts w:ascii="宋体" w:hAnsi="宋体" w:eastAsia="华文仿宋"/>
          <w:color w:val="auto"/>
          <w:sz w:val="32"/>
          <w:szCs w:val="32"/>
        </w:rPr>
      </w:pPr>
    </w:p>
    <w:p w14:paraId="0F3418FB">
      <w:pPr>
        <w:widowControl/>
        <w:jc w:val="left"/>
        <w:rPr>
          <w:rFonts w:ascii="黑体" w:hAnsi="黑体" w:eastAsia="黑体" w:cs="黑体"/>
          <w:color w:val="auto"/>
          <w:sz w:val="32"/>
          <w:szCs w:val="32"/>
          <w:lang w:val="zh-CN"/>
        </w:rPr>
      </w:pPr>
      <w:r>
        <w:rPr>
          <w:rFonts w:ascii="黑体" w:hAnsi="黑体" w:eastAsia="黑体" w:cs="黑体"/>
          <w:color w:val="auto"/>
          <w:sz w:val="32"/>
          <w:szCs w:val="32"/>
          <w:lang w:val="zh-CN"/>
        </w:rPr>
        <w:br w:type="page"/>
      </w:r>
    </w:p>
    <w:p w14:paraId="67B1325C">
      <w:pPr>
        <w:widowControl/>
        <w:spacing w:line="720" w:lineRule="exact"/>
        <w:jc w:val="left"/>
        <w:rPr>
          <w:rFonts w:ascii="黑体" w:hAnsi="黑体" w:eastAsia="黑体" w:cs="黑体"/>
          <w:color w:val="auto"/>
          <w:sz w:val="32"/>
          <w:szCs w:val="32"/>
        </w:rPr>
      </w:pP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4</w:t>
      </w:r>
    </w:p>
    <w:p w14:paraId="58D52C2D">
      <w:pPr>
        <w:suppressAutoHyphens/>
        <w:rPr>
          <w:rFonts w:ascii="Calibri" w:hAnsi="Calibri"/>
          <w:color w:val="auto"/>
        </w:rPr>
      </w:pPr>
    </w:p>
    <w:p w14:paraId="005C1A04">
      <w:pPr>
        <w:suppressAutoHyphens/>
        <w:ind w:left="424" w:leftChars="202"/>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崇左市金融机构线上“政采贷”业务办理联络表</w:t>
      </w:r>
    </w:p>
    <w:tbl>
      <w:tblPr>
        <w:tblStyle w:val="45"/>
        <w:tblW w:w="8314" w:type="dxa"/>
        <w:jc w:val="center"/>
        <w:tblLayout w:type="fixed"/>
        <w:tblCellMar>
          <w:top w:w="0" w:type="dxa"/>
          <w:left w:w="108" w:type="dxa"/>
          <w:bottom w:w="0" w:type="dxa"/>
          <w:right w:w="108" w:type="dxa"/>
        </w:tblCellMar>
      </w:tblPr>
      <w:tblGrid>
        <w:gridCol w:w="2674"/>
        <w:gridCol w:w="3515"/>
        <w:gridCol w:w="2125"/>
      </w:tblGrid>
      <w:tr w14:paraId="77892B7E">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14:paraId="6D91752E">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38499792">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6795C4DF">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业务咨询电话</w:t>
            </w:r>
          </w:p>
        </w:tc>
      </w:tr>
      <w:tr w14:paraId="6331052D">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D341913">
            <w:pPr>
              <w:widowControl/>
              <w:jc w:val="left"/>
              <w:textAlignment w:val="center"/>
              <w:rPr>
                <w:rFonts w:ascii="宋体" w:hAnsi="宋体" w:cs="宋体"/>
                <w:color w:val="auto"/>
                <w:szCs w:val="21"/>
              </w:rPr>
            </w:pPr>
            <w:r>
              <w:rPr>
                <w:rFonts w:hint="eastAsia" w:ascii="宋体" w:hAnsi="宋体" w:cs="宋体"/>
                <w:b/>
                <w:bCs/>
                <w:color w:val="auto"/>
                <w:szCs w:val="21"/>
              </w:rPr>
              <w:t>崇左市本级及江州区</w:t>
            </w:r>
          </w:p>
        </w:tc>
      </w:tr>
      <w:tr w14:paraId="0D67101B">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934F3E">
            <w:pPr>
              <w:widowControl/>
              <w:jc w:val="left"/>
              <w:textAlignment w:val="center"/>
              <w:rPr>
                <w:rFonts w:ascii="宋体" w:hAnsi="宋体" w:cs="宋体"/>
                <w:color w:val="auto"/>
                <w:szCs w:val="21"/>
              </w:rPr>
            </w:pPr>
            <w:r>
              <w:rPr>
                <w:rFonts w:hint="eastAsia" w:ascii="宋体" w:hAnsi="宋体" w:cs="宋体"/>
                <w:color w:val="auto"/>
                <w:szCs w:val="21"/>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39AAC6F">
            <w:pPr>
              <w:widowControl/>
              <w:jc w:val="left"/>
              <w:textAlignment w:val="center"/>
              <w:rPr>
                <w:rFonts w:ascii="宋体" w:hAnsi="宋体" w:cs="宋体"/>
                <w:color w:val="auto"/>
                <w:szCs w:val="21"/>
              </w:rPr>
            </w:pPr>
            <w:r>
              <w:rPr>
                <w:rFonts w:hint="eastAsia" w:ascii="宋体" w:hAnsi="宋体" w:cs="宋体"/>
                <w:color w:val="auto"/>
                <w:szCs w:val="21"/>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7F37613F">
            <w:pPr>
              <w:widowControl/>
              <w:jc w:val="center"/>
              <w:textAlignment w:val="center"/>
              <w:rPr>
                <w:rFonts w:ascii="宋体" w:hAnsi="宋体" w:cs="宋体"/>
                <w:color w:val="auto"/>
                <w:szCs w:val="21"/>
              </w:rPr>
            </w:pPr>
            <w:r>
              <w:rPr>
                <w:rFonts w:hint="eastAsia" w:ascii="宋体" w:hAnsi="宋体" w:cs="宋体"/>
                <w:color w:val="auto"/>
                <w:szCs w:val="21"/>
              </w:rPr>
              <w:t>0771-7820436 0771-7820439</w:t>
            </w:r>
          </w:p>
        </w:tc>
      </w:tr>
      <w:tr w14:paraId="38EA65FC">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43651B">
            <w:pPr>
              <w:widowControl/>
              <w:jc w:val="left"/>
              <w:textAlignment w:val="center"/>
              <w:rPr>
                <w:rFonts w:ascii="宋体" w:hAnsi="宋体" w:cs="宋体"/>
                <w:color w:val="auto"/>
                <w:szCs w:val="21"/>
              </w:rPr>
            </w:pPr>
            <w:r>
              <w:rPr>
                <w:rFonts w:hint="eastAsia" w:ascii="宋体" w:hAnsi="宋体" w:cs="宋体"/>
                <w:color w:val="auto"/>
                <w:szCs w:val="21"/>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64C3520">
            <w:pPr>
              <w:widowControl/>
              <w:jc w:val="left"/>
              <w:textAlignment w:val="center"/>
              <w:rPr>
                <w:rFonts w:ascii="宋体" w:hAnsi="宋体" w:cs="宋体"/>
                <w:color w:val="auto"/>
                <w:szCs w:val="21"/>
              </w:rPr>
            </w:pPr>
            <w:r>
              <w:rPr>
                <w:rFonts w:hint="eastAsia" w:ascii="宋体" w:hAnsi="宋体" w:cs="宋体"/>
                <w:color w:val="auto"/>
                <w:szCs w:val="21"/>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84B6C1D">
            <w:pPr>
              <w:widowControl/>
              <w:jc w:val="center"/>
              <w:textAlignment w:val="center"/>
              <w:rPr>
                <w:rFonts w:ascii="宋体" w:hAnsi="宋体" w:cs="宋体"/>
                <w:color w:val="auto"/>
                <w:szCs w:val="21"/>
              </w:rPr>
            </w:pPr>
            <w:r>
              <w:rPr>
                <w:rFonts w:hint="eastAsia" w:ascii="宋体" w:hAnsi="宋体" w:cs="宋体"/>
                <w:color w:val="auto"/>
                <w:szCs w:val="21"/>
              </w:rPr>
              <w:t>0771-7917212</w:t>
            </w:r>
          </w:p>
        </w:tc>
      </w:tr>
      <w:tr w14:paraId="51BAAB9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FCCB4F">
            <w:pPr>
              <w:widowControl/>
              <w:jc w:val="left"/>
              <w:textAlignment w:val="center"/>
              <w:rPr>
                <w:rFonts w:ascii="宋体" w:hAnsi="宋体" w:cs="宋体"/>
                <w:color w:val="auto"/>
                <w:szCs w:val="21"/>
              </w:rPr>
            </w:pPr>
            <w:r>
              <w:rPr>
                <w:rFonts w:hint="eastAsia" w:ascii="宋体" w:hAnsi="宋体" w:cs="宋体"/>
                <w:color w:val="auto"/>
                <w:szCs w:val="21"/>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75F8AED">
            <w:pPr>
              <w:widowControl/>
              <w:jc w:val="left"/>
              <w:textAlignment w:val="center"/>
              <w:rPr>
                <w:rFonts w:ascii="宋体" w:hAnsi="宋体" w:cs="宋体"/>
                <w:color w:val="auto"/>
                <w:szCs w:val="21"/>
              </w:rPr>
            </w:pPr>
            <w:r>
              <w:rPr>
                <w:rFonts w:hint="eastAsia" w:ascii="宋体" w:hAnsi="宋体" w:cs="宋体"/>
                <w:color w:val="auto"/>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BEE0C17">
            <w:pPr>
              <w:widowControl/>
              <w:jc w:val="center"/>
              <w:textAlignment w:val="center"/>
              <w:rPr>
                <w:rFonts w:ascii="宋体" w:hAnsi="宋体" w:cs="宋体"/>
                <w:color w:val="auto"/>
                <w:szCs w:val="21"/>
              </w:rPr>
            </w:pPr>
            <w:r>
              <w:rPr>
                <w:rFonts w:hint="eastAsia" w:ascii="宋体" w:hAnsi="宋体" w:cs="宋体"/>
                <w:color w:val="auto"/>
                <w:szCs w:val="21"/>
              </w:rPr>
              <w:t>0771-7917054</w:t>
            </w:r>
          </w:p>
        </w:tc>
      </w:tr>
      <w:tr w14:paraId="0E29DB69">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8524E2A">
            <w:pPr>
              <w:widowControl/>
              <w:jc w:val="left"/>
              <w:textAlignment w:val="center"/>
              <w:rPr>
                <w:rFonts w:ascii="宋体" w:hAnsi="宋体" w:cs="宋体"/>
                <w:color w:val="auto"/>
                <w:szCs w:val="21"/>
              </w:rPr>
            </w:pPr>
            <w:r>
              <w:rPr>
                <w:rFonts w:hint="eastAsia" w:ascii="宋体" w:hAnsi="宋体" w:cs="宋体"/>
                <w:color w:val="auto"/>
                <w:szCs w:val="21"/>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2455B80">
            <w:pPr>
              <w:widowControl/>
              <w:jc w:val="left"/>
              <w:textAlignment w:val="center"/>
              <w:rPr>
                <w:rFonts w:ascii="宋体" w:hAnsi="宋体" w:cs="宋体"/>
                <w:color w:val="auto"/>
                <w:szCs w:val="21"/>
              </w:rPr>
            </w:pPr>
            <w:r>
              <w:rPr>
                <w:rFonts w:hint="eastAsia" w:ascii="宋体" w:hAnsi="宋体" w:cs="宋体"/>
                <w:color w:val="auto"/>
                <w:szCs w:val="21"/>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16EAF30A">
            <w:pPr>
              <w:widowControl/>
              <w:jc w:val="center"/>
              <w:textAlignment w:val="center"/>
              <w:rPr>
                <w:rFonts w:ascii="宋体" w:hAnsi="宋体" w:cs="宋体"/>
                <w:color w:val="auto"/>
                <w:szCs w:val="21"/>
              </w:rPr>
            </w:pPr>
            <w:r>
              <w:rPr>
                <w:rFonts w:hint="eastAsia" w:ascii="宋体" w:hAnsi="宋体" w:cs="宋体"/>
                <w:color w:val="auto"/>
                <w:szCs w:val="21"/>
              </w:rPr>
              <w:t>0771-7831103</w:t>
            </w:r>
          </w:p>
        </w:tc>
      </w:tr>
      <w:tr w14:paraId="10411A5C">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97F11F">
            <w:pPr>
              <w:widowControl/>
              <w:jc w:val="left"/>
              <w:textAlignment w:val="center"/>
              <w:rPr>
                <w:rFonts w:ascii="宋体" w:hAnsi="宋体" w:cs="宋体"/>
                <w:color w:val="auto"/>
                <w:szCs w:val="21"/>
              </w:rPr>
            </w:pPr>
            <w:r>
              <w:rPr>
                <w:rFonts w:hint="eastAsia" w:ascii="宋体" w:hAnsi="宋体" w:cs="宋体"/>
                <w:color w:val="auto"/>
                <w:szCs w:val="21"/>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B888B96">
            <w:pPr>
              <w:widowControl/>
              <w:jc w:val="left"/>
              <w:textAlignment w:val="center"/>
              <w:rPr>
                <w:rFonts w:ascii="宋体" w:hAnsi="宋体" w:cs="宋体"/>
                <w:color w:val="auto"/>
                <w:szCs w:val="21"/>
              </w:rPr>
            </w:pPr>
            <w:r>
              <w:rPr>
                <w:rFonts w:hint="eastAsia" w:ascii="宋体" w:hAnsi="宋体" w:cs="宋体"/>
                <w:color w:val="auto"/>
                <w:szCs w:val="21"/>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5EDF240A">
            <w:pPr>
              <w:widowControl/>
              <w:jc w:val="center"/>
              <w:textAlignment w:val="center"/>
              <w:rPr>
                <w:rFonts w:ascii="宋体" w:hAnsi="宋体" w:cs="宋体"/>
                <w:color w:val="auto"/>
                <w:szCs w:val="21"/>
              </w:rPr>
            </w:pPr>
            <w:r>
              <w:rPr>
                <w:rFonts w:hint="eastAsia" w:ascii="宋体" w:hAnsi="宋体" w:cs="宋体"/>
                <w:color w:val="auto"/>
                <w:szCs w:val="21"/>
              </w:rPr>
              <w:t>0771-7928650 0771-7920613</w:t>
            </w:r>
          </w:p>
        </w:tc>
      </w:tr>
      <w:tr w14:paraId="2A20CBD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4C52DA">
            <w:pPr>
              <w:widowControl/>
              <w:jc w:val="left"/>
              <w:textAlignment w:val="center"/>
              <w:rPr>
                <w:rFonts w:ascii="宋体" w:hAnsi="宋体" w:cs="宋体"/>
                <w:color w:val="auto"/>
                <w:szCs w:val="21"/>
              </w:rPr>
            </w:pPr>
            <w:r>
              <w:rPr>
                <w:rFonts w:hint="eastAsia" w:ascii="宋体" w:hAnsi="宋体" w:cs="宋体"/>
                <w:color w:val="auto"/>
                <w:szCs w:val="21"/>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46C9910">
            <w:pPr>
              <w:widowControl/>
              <w:jc w:val="left"/>
              <w:textAlignment w:val="center"/>
              <w:rPr>
                <w:rFonts w:ascii="宋体" w:hAnsi="宋体" w:cs="宋体"/>
                <w:color w:val="auto"/>
                <w:szCs w:val="21"/>
              </w:rPr>
            </w:pPr>
            <w:r>
              <w:rPr>
                <w:rFonts w:hint="eastAsia" w:ascii="宋体" w:hAnsi="宋体" w:cs="宋体"/>
                <w:color w:val="auto"/>
                <w:szCs w:val="21"/>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C4F03F3">
            <w:pPr>
              <w:widowControl/>
              <w:jc w:val="center"/>
              <w:textAlignment w:val="center"/>
              <w:rPr>
                <w:rFonts w:ascii="宋体" w:hAnsi="宋体" w:cs="宋体"/>
                <w:color w:val="auto"/>
                <w:szCs w:val="21"/>
              </w:rPr>
            </w:pPr>
            <w:r>
              <w:rPr>
                <w:rFonts w:hint="eastAsia" w:ascii="宋体" w:hAnsi="宋体" w:cs="宋体"/>
                <w:color w:val="auto"/>
                <w:szCs w:val="21"/>
              </w:rPr>
              <w:t>0771-7925660</w:t>
            </w:r>
          </w:p>
        </w:tc>
      </w:tr>
      <w:tr w14:paraId="1607E76A">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FC3A5C">
            <w:pPr>
              <w:widowControl/>
              <w:jc w:val="left"/>
              <w:textAlignment w:val="center"/>
              <w:rPr>
                <w:rFonts w:ascii="宋体" w:hAnsi="宋体" w:cs="宋体"/>
                <w:color w:val="auto"/>
                <w:szCs w:val="21"/>
              </w:rPr>
            </w:pPr>
            <w:r>
              <w:rPr>
                <w:rFonts w:hint="eastAsia" w:ascii="宋体" w:hAnsi="宋体" w:cs="宋体"/>
                <w:color w:val="auto"/>
                <w:szCs w:val="21"/>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3C3CFEE">
            <w:pPr>
              <w:widowControl/>
              <w:jc w:val="left"/>
              <w:textAlignment w:val="center"/>
              <w:rPr>
                <w:rFonts w:ascii="宋体" w:hAnsi="宋体" w:cs="宋体"/>
                <w:color w:val="auto"/>
                <w:szCs w:val="21"/>
              </w:rPr>
            </w:pPr>
            <w:r>
              <w:rPr>
                <w:rFonts w:hint="eastAsia" w:ascii="宋体" w:hAnsi="宋体" w:cs="宋体"/>
                <w:color w:val="auto"/>
                <w:szCs w:val="21"/>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7E5230E1">
            <w:pPr>
              <w:widowControl/>
              <w:jc w:val="center"/>
              <w:textAlignment w:val="center"/>
              <w:rPr>
                <w:rFonts w:ascii="宋体" w:hAnsi="宋体" w:cs="宋体"/>
                <w:color w:val="auto"/>
                <w:szCs w:val="21"/>
              </w:rPr>
            </w:pPr>
            <w:r>
              <w:rPr>
                <w:rFonts w:hint="eastAsia" w:ascii="宋体" w:hAnsi="宋体" w:cs="宋体"/>
                <w:color w:val="auto"/>
                <w:szCs w:val="21"/>
              </w:rPr>
              <w:t>0771-7968699</w:t>
            </w:r>
          </w:p>
        </w:tc>
      </w:tr>
      <w:tr w14:paraId="276E8517">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1F6282">
            <w:pPr>
              <w:widowControl/>
              <w:jc w:val="left"/>
              <w:textAlignment w:val="center"/>
              <w:rPr>
                <w:rFonts w:ascii="宋体" w:hAnsi="宋体" w:cs="宋体"/>
                <w:color w:val="auto"/>
                <w:szCs w:val="21"/>
              </w:rPr>
            </w:pPr>
            <w:r>
              <w:rPr>
                <w:rFonts w:hint="eastAsia" w:ascii="宋体" w:hAnsi="宋体" w:cs="宋体"/>
                <w:color w:val="auto"/>
                <w:szCs w:val="21"/>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E848FF2">
            <w:pPr>
              <w:widowControl/>
              <w:jc w:val="left"/>
              <w:textAlignment w:val="center"/>
              <w:rPr>
                <w:rFonts w:ascii="宋体" w:hAnsi="宋体" w:cs="宋体"/>
                <w:color w:val="auto"/>
                <w:szCs w:val="21"/>
              </w:rPr>
            </w:pPr>
            <w:r>
              <w:rPr>
                <w:rFonts w:hint="eastAsia" w:ascii="宋体" w:hAnsi="宋体" w:cs="宋体"/>
                <w:color w:val="auto"/>
                <w:szCs w:val="21"/>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7A88EF51">
            <w:pPr>
              <w:widowControl/>
              <w:jc w:val="center"/>
              <w:textAlignment w:val="center"/>
              <w:rPr>
                <w:rFonts w:ascii="宋体" w:hAnsi="宋体" w:cs="宋体"/>
                <w:color w:val="auto"/>
                <w:szCs w:val="21"/>
              </w:rPr>
            </w:pPr>
            <w:r>
              <w:rPr>
                <w:rFonts w:hint="eastAsia" w:ascii="宋体" w:hAnsi="宋体" w:cs="宋体"/>
                <w:color w:val="auto"/>
                <w:szCs w:val="21"/>
              </w:rPr>
              <w:t>0771-7916636</w:t>
            </w:r>
          </w:p>
        </w:tc>
      </w:tr>
      <w:tr w14:paraId="456F3A47">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069BC3">
            <w:pPr>
              <w:widowControl/>
              <w:jc w:val="left"/>
              <w:textAlignment w:val="center"/>
              <w:rPr>
                <w:rFonts w:ascii="宋体" w:hAnsi="宋体" w:cs="宋体"/>
                <w:color w:val="auto"/>
                <w:szCs w:val="21"/>
              </w:rPr>
            </w:pPr>
            <w:r>
              <w:rPr>
                <w:rFonts w:hint="eastAsia" w:ascii="宋体" w:hAnsi="宋体" w:cs="宋体"/>
                <w:color w:val="auto"/>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1CC8D67">
            <w:pPr>
              <w:widowControl/>
              <w:jc w:val="left"/>
              <w:textAlignment w:val="center"/>
              <w:rPr>
                <w:rFonts w:ascii="宋体" w:hAnsi="宋体" w:cs="宋体"/>
                <w:color w:val="auto"/>
                <w:szCs w:val="21"/>
              </w:rPr>
            </w:pPr>
            <w:r>
              <w:rPr>
                <w:rFonts w:hint="eastAsia" w:ascii="宋体" w:hAnsi="宋体" w:cs="宋体"/>
                <w:color w:val="auto"/>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55672F8A">
            <w:pPr>
              <w:widowControl/>
              <w:jc w:val="center"/>
              <w:textAlignment w:val="center"/>
              <w:rPr>
                <w:rFonts w:ascii="宋体" w:hAnsi="宋体" w:cs="宋体"/>
                <w:color w:val="auto"/>
                <w:szCs w:val="21"/>
              </w:rPr>
            </w:pPr>
            <w:r>
              <w:rPr>
                <w:rFonts w:hint="eastAsia" w:ascii="宋体" w:hAnsi="宋体" w:cs="宋体"/>
                <w:color w:val="auto"/>
                <w:szCs w:val="21"/>
              </w:rPr>
              <w:t>0771-7988895</w:t>
            </w:r>
          </w:p>
        </w:tc>
      </w:tr>
      <w:tr w14:paraId="180A716E">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F2E788">
            <w:pPr>
              <w:widowControl/>
              <w:jc w:val="left"/>
              <w:textAlignment w:val="center"/>
              <w:rPr>
                <w:rFonts w:ascii="宋体" w:hAnsi="宋体" w:cs="宋体"/>
                <w:color w:val="auto"/>
                <w:szCs w:val="21"/>
              </w:rPr>
            </w:pPr>
            <w:r>
              <w:rPr>
                <w:rFonts w:hint="eastAsia" w:ascii="宋体" w:hAnsi="宋体" w:cs="宋体"/>
                <w:color w:val="auto"/>
                <w:szCs w:val="21"/>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5BF2B73">
            <w:pPr>
              <w:widowControl/>
              <w:jc w:val="left"/>
              <w:textAlignment w:val="center"/>
              <w:rPr>
                <w:rFonts w:ascii="宋体" w:hAnsi="宋体" w:cs="宋体"/>
                <w:color w:val="auto"/>
                <w:szCs w:val="21"/>
              </w:rPr>
            </w:pPr>
            <w:r>
              <w:rPr>
                <w:rFonts w:hint="eastAsia" w:ascii="宋体" w:hAnsi="宋体" w:cs="宋体"/>
                <w:color w:val="auto"/>
                <w:szCs w:val="21"/>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4291DB7F">
            <w:pPr>
              <w:widowControl/>
              <w:jc w:val="center"/>
              <w:textAlignment w:val="center"/>
              <w:rPr>
                <w:rFonts w:ascii="宋体" w:hAnsi="宋体" w:cs="宋体"/>
                <w:color w:val="auto"/>
                <w:szCs w:val="21"/>
              </w:rPr>
            </w:pPr>
            <w:r>
              <w:rPr>
                <w:rFonts w:hint="eastAsia" w:ascii="宋体" w:hAnsi="宋体" w:cs="宋体"/>
                <w:color w:val="auto"/>
                <w:szCs w:val="21"/>
              </w:rPr>
              <w:t>0771-7960855</w:t>
            </w:r>
          </w:p>
        </w:tc>
      </w:tr>
      <w:tr w14:paraId="271E1F2B">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7C9A0D">
            <w:pPr>
              <w:widowControl/>
              <w:jc w:val="left"/>
              <w:textAlignment w:val="center"/>
              <w:rPr>
                <w:rFonts w:ascii="宋体" w:hAnsi="宋体" w:cs="宋体"/>
                <w:color w:val="auto"/>
                <w:szCs w:val="21"/>
              </w:rPr>
            </w:pPr>
            <w:r>
              <w:rPr>
                <w:rFonts w:hint="eastAsia" w:ascii="宋体" w:hAnsi="宋体" w:cs="宋体"/>
                <w:color w:val="auto"/>
                <w:szCs w:val="21"/>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EB0F529">
            <w:pPr>
              <w:widowControl/>
              <w:jc w:val="left"/>
              <w:textAlignment w:val="center"/>
              <w:rPr>
                <w:rFonts w:ascii="宋体" w:hAnsi="宋体" w:cs="宋体"/>
                <w:color w:val="auto"/>
                <w:szCs w:val="21"/>
              </w:rPr>
            </w:pPr>
            <w:r>
              <w:rPr>
                <w:rFonts w:hint="eastAsia" w:ascii="宋体" w:hAnsi="宋体" w:cs="宋体"/>
                <w:color w:val="auto"/>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4A56B6A8">
            <w:pPr>
              <w:widowControl/>
              <w:jc w:val="center"/>
              <w:textAlignment w:val="center"/>
              <w:rPr>
                <w:rFonts w:ascii="宋体" w:hAnsi="宋体" w:cs="宋体"/>
                <w:color w:val="auto"/>
                <w:szCs w:val="21"/>
              </w:rPr>
            </w:pPr>
            <w:r>
              <w:rPr>
                <w:rFonts w:hint="eastAsia" w:ascii="宋体" w:hAnsi="宋体" w:cs="宋体"/>
                <w:color w:val="auto"/>
                <w:szCs w:val="21"/>
              </w:rPr>
              <w:t>0771-7821126</w:t>
            </w:r>
          </w:p>
        </w:tc>
      </w:tr>
      <w:tr w14:paraId="3A923CE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5AA2C3">
            <w:pPr>
              <w:widowControl/>
              <w:jc w:val="left"/>
              <w:textAlignment w:val="center"/>
              <w:rPr>
                <w:rFonts w:ascii="宋体" w:hAnsi="宋体" w:cs="宋体"/>
                <w:color w:val="auto"/>
                <w:szCs w:val="21"/>
              </w:rPr>
            </w:pPr>
            <w:r>
              <w:rPr>
                <w:rFonts w:hint="eastAsia" w:ascii="宋体" w:hAnsi="宋体" w:cs="宋体"/>
                <w:color w:val="auto"/>
                <w:szCs w:val="21"/>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A0A2F8E">
            <w:pPr>
              <w:widowControl/>
              <w:jc w:val="left"/>
              <w:textAlignment w:val="center"/>
              <w:rPr>
                <w:rFonts w:ascii="宋体" w:hAnsi="宋体" w:cs="宋体"/>
                <w:color w:val="auto"/>
                <w:szCs w:val="21"/>
              </w:rPr>
            </w:pPr>
            <w:r>
              <w:rPr>
                <w:rFonts w:hint="eastAsia" w:ascii="宋体" w:hAnsi="宋体" w:cs="宋体"/>
                <w:color w:val="auto"/>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089728B7">
            <w:pPr>
              <w:widowControl/>
              <w:jc w:val="center"/>
              <w:textAlignment w:val="center"/>
              <w:rPr>
                <w:rFonts w:ascii="宋体" w:hAnsi="宋体" w:cs="宋体"/>
                <w:color w:val="auto"/>
                <w:szCs w:val="21"/>
              </w:rPr>
            </w:pPr>
            <w:r>
              <w:rPr>
                <w:rFonts w:hint="eastAsia" w:ascii="宋体" w:hAnsi="宋体" w:cs="宋体"/>
                <w:color w:val="auto"/>
                <w:szCs w:val="21"/>
              </w:rPr>
              <w:t>0771-7831866</w:t>
            </w:r>
          </w:p>
        </w:tc>
      </w:tr>
      <w:tr w14:paraId="05A1463A">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A48AE28">
            <w:pPr>
              <w:widowControl/>
              <w:jc w:val="left"/>
              <w:textAlignment w:val="center"/>
              <w:rPr>
                <w:rFonts w:ascii="宋体" w:hAnsi="宋体" w:cs="宋体"/>
                <w:color w:val="auto"/>
                <w:szCs w:val="21"/>
              </w:rPr>
            </w:pPr>
            <w:r>
              <w:rPr>
                <w:rFonts w:hint="eastAsia" w:ascii="宋体" w:hAnsi="宋体" w:cs="宋体"/>
                <w:b/>
                <w:bCs/>
                <w:color w:val="auto"/>
                <w:szCs w:val="21"/>
              </w:rPr>
              <w:t>扶绥县</w:t>
            </w:r>
          </w:p>
        </w:tc>
      </w:tr>
      <w:tr w14:paraId="1D161E6C">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0CDAB8">
            <w:pPr>
              <w:widowControl/>
              <w:jc w:val="left"/>
              <w:textAlignment w:val="center"/>
              <w:rPr>
                <w:rFonts w:ascii="宋体" w:hAnsi="宋体" w:cs="宋体"/>
                <w:color w:val="auto"/>
                <w:szCs w:val="21"/>
              </w:rPr>
            </w:pPr>
            <w:r>
              <w:rPr>
                <w:rFonts w:hint="eastAsia" w:ascii="宋体" w:hAnsi="宋体" w:cs="宋体"/>
                <w:color w:val="auto"/>
                <w:szCs w:val="21"/>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4F38F2B">
            <w:pPr>
              <w:widowControl/>
              <w:jc w:val="left"/>
              <w:textAlignment w:val="center"/>
              <w:rPr>
                <w:rFonts w:ascii="宋体" w:hAnsi="宋体" w:cs="宋体"/>
                <w:color w:val="auto"/>
                <w:szCs w:val="21"/>
              </w:rPr>
            </w:pPr>
            <w:r>
              <w:rPr>
                <w:rFonts w:hint="eastAsia" w:ascii="宋体" w:hAnsi="宋体" w:cs="宋体"/>
                <w:color w:val="auto"/>
                <w:szCs w:val="21"/>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83716F7">
            <w:pPr>
              <w:widowControl/>
              <w:jc w:val="center"/>
              <w:textAlignment w:val="center"/>
              <w:rPr>
                <w:rFonts w:ascii="宋体" w:hAnsi="宋体" w:cs="宋体"/>
                <w:color w:val="auto"/>
                <w:szCs w:val="21"/>
              </w:rPr>
            </w:pPr>
            <w:r>
              <w:rPr>
                <w:rFonts w:hint="eastAsia" w:ascii="宋体" w:hAnsi="宋体" w:cs="宋体"/>
                <w:color w:val="auto"/>
                <w:szCs w:val="21"/>
              </w:rPr>
              <w:t>0771-7535612</w:t>
            </w:r>
          </w:p>
        </w:tc>
      </w:tr>
      <w:tr w14:paraId="60B5D4F3">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CCAA66">
            <w:pPr>
              <w:widowControl/>
              <w:jc w:val="left"/>
              <w:textAlignment w:val="center"/>
              <w:rPr>
                <w:rFonts w:ascii="宋体" w:hAnsi="宋体" w:cs="宋体"/>
                <w:color w:val="auto"/>
                <w:szCs w:val="21"/>
              </w:rPr>
            </w:pPr>
            <w:r>
              <w:rPr>
                <w:rFonts w:hint="eastAsia" w:ascii="宋体" w:hAnsi="宋体" w:cs="宋体"/>
                <w:color w:val="auto"/>
                <w:szCs w:val="21"/>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10433A4">
            <w:pPr>
              <w:widowControl/>
              <w:jc w:val="left"/>
              <w:textAlignment w:val="center"/>
              <w:rPr>
                <w:rFonts w:ascii="宋体" w:hAnsi="宋体" w:cs="宋体"/>
                <w:color w:val="auto"/>
                <w:szCs w:val="21"/>
              </w:rPr>
            </w:pPr>
            <w:r>
              <w:rPr>
                <w:rFonts w:hint="eastAsia" w:ascii="宋体" w:hAnsi="宋体" w:cs="宋体"/>
                <w:color w:val="auto"/>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B33DDA7">
            <w:pPr>
              <w:widowControl/>
              <w:jc w:val="center"/>
              <w:textAlignment w:val="center"/>
              <w:rPr>
                <w:rFonts w:ascii="宋体" w:hAnsi="宋体" w:cs="宋体"/>
                <w:color w:val="auto"/>
                <w:szCs w:val="21"/>
              </w:rPr>
            </w:pPr>
            <w:r>
              <w:rPr>
                <w:rFonts w:hint="eastAsia" w:ascii="宋体" w:hAnsi="宋体" w:cs="宋体"/>
                <w:color w:val="auto"/>
                <w:szCs w:val="21"/>
              </w:rPr>
              <w:t>0771-7917330</w:t>
            </w:r>
          </w:p>
        </w:tc>
      </w:tr>
      <w:tr w14:paraId="44134C1E">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2C3CAA">
            <w:pPr>
              <w:widowControl/>
              <w:jc w:val="left"/>
              <w:textAlignment w:val="center"/>
              <w:rPr>
                <w:rFonts w:ascii="宋体" w:hAnsi="宋体" w:cs="宋体"/>
                <w:color w:val="auto"/>
                <w:szCs w:val="21"/>
              </w:rPr>
            </w:pPr>
            <w:r>
              <w:rPr>
                <w:rFonts w:hint="eastAsia" w:ascii="宋体" w:hAnsi="宋体" w:cs="宋体"/>
                <w:color w:val="auto"/>
                <w:szCs w:val="21"/>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1B8CA3">
            <w:pPr>
              <w:widowControl/>
              <w:jc w:val="left"/>
              <w:textAlignment w:val="center"/>
              <w:rPr>
                <w:rFonts w:ascii="宋体" w:hAnsi="宋体" w:cs="宋体"/>
                <w:color w:val="auto"/>
                <w:szCs w:val="21"/>
              </w:rPr>
            </w:pPr>
            <w:r>
              <w:rPr>
                <w:rFonts w:hint="eastAsia" w:ascii="宋体" w:hAnsi="宋体" w:cs="宋体"/>
                <w:color w:val="auto"/>
                <w:szCs w:val="21"/>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8107654">
            <w:pPr>
              <w:widowControl/>
              <w:jc w:val="center"/>
              <w:textAlignment w:val="center"/>
              <w:rPr>
                <w:rFonts w:ascii="宋体" w:hAnsi="宋体" w:cs="宋体"/>
                <w:color w:val="auto"/>
                <w:szCs w:val="21"/>
              </w:rPr>
            </w:pPr>
            <w:r>
              <w:rPr>
                <w:rFonts w:hint="eastAsia" w:ascii="宋体" w:hAnsi="宋体" w:cs="宋体"/>
                <w:color w:val="auto"/>
                <w:szCs w:val="21"/>
              </w:rPr>
              <w:t>0771-7516511 0771-7531157</w:t>
            </w:r>
          </w:p>
        </w:tc>
      </w:tr>
      <w:tr w14:paraId="32543B24">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EE275B">
            <w:pPr>
              <w:widowControl/>
              <w:jc w:val="left"/>
              <w:textAlignment w:val="center"/>
              <w:rPr>
                <w:rFonts w:ascii="宋体" w:hAnsi="宋体" w:cs="宋体"/>
                <w:color w:val="auto"/>
                <w:szCs w:val="21"/>
              </w:rPr>
            </w:pPr>
            <w:r>
              <w:rPr>
                <w:rFonts w:hint="eastAsia" w:ascii="宋体" w:hAnsi="宋体" w:cs="宋体"/>
                <w:color w:val="auto"/>
                <w:szCs w:val="21"/>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D868FEA">
            <w:pPr>
              <w:widowControl/>
              <w:jc w:val="left"/>
              <w:textAlignment w:val="center"/>
              <w:rPr>
                <w:rFonts w:ascii="宋体" w:hAnsi="宋体" w:cs="宋体"/>
                <w:color w:val="auto"/>
                <w:szCs w:val="21"/>
              </w:rPr>
            </w:pPr>
            <w:r>
              <w:rPr>
                <w:rFonts w:hint="eastAsia" w:ascii="宋体" w:hAnsi="宋体" w:cs="宋体"/>
                <w:color w:val="auto"/>
                <w:szCs w:val="21"/>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3FFD7262">
            <w:pPr>
              <w:widowControl/>
              <w:jc w:val="center"/>
              <w:textAlignment w:val="center"/>
              <w:rPr>
                <w:rFonts w:ascii="宋体" w:hAnsi="宋体" w:cs="宋体"/>
                <w:color w:val="auto"/>
                <w:szCs w:val="21"/>
              </w:rPr>
            </w:pPr>
            <w:r>
              <w:rPr>
                <w:rFonts w:hint="eastAsia" w:ascii="宋体" w:hAnsi="宋体" w:cs="宋体"/>
                <w:color w:val="auto"/>
                <w:szCs w:val="21"/>
              </w:rPr>
              <w:t>0771-7525822</w:t>
            </w:r>
          </w:p>
        </w:tc>
      </w:tr>
      <w:tr w14:paraId="2FA37F7F">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B4675D">
            <w:pPr>
              <w:widowControl/>
              <w:jc w:val="left"/>
              <w:textAlignment w:val="center"/>
              <w:rPr>
                <w:rFonts w:ascii="宋体" w:hAnsi="宋体" w:cs="宋体"/>
                <w:color w:val="auto"/>
                <w:szCs w:val="21"/>
              </w:rPr>
            </w:pPr>
            <w:r>
              <w:rPr>
                <w:rFonts w:hint="eastAsia" w:ascii="宋体" w:hAnsi="宋体" w:cs="宋体"/>
                <w:color w:val="auto"/>
                <w:szCs w:val="21"/>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6BB2F35">
            <w:pPr>
              <w:widowControl/>
              <w:jc w:val="left"/>
              <w:textAlignment w:val="center"/>
              <w:rPr>
                <w:rFonts w:ascii="宋体" w:hAnsi="宋体" w:cs="宋体"/>
                <w:color w:val="auto"/>
                <w:szCs w:val="21"/>
              </w:rPr>
            </w:pPr>
            <w:r>
              <w:rPr>
                <w:rFonts w:hint="eastAsia" w:ascii="宋体" w:hAnsi="宋体" w:cs="宋体"/>
                <w:color w:val="auto"/>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74433083">
            <w:pPr>
              <w:widowControl/>
              <w:jc w:val="center"/>
              <w:textAlignment w:val="center"/>
              <w:rPr>
                <w:rFonts w:ascii="宋体" w:hAnsi="宋体" w:cs="宋体"/>
                <w:color w:val="auto"/>
                <w:szCs w:val="21"/>
              </w:rPr>
            </w:pPr>
            <w:r>
              <w:rPr>
                <w:rFonts w:hint="eastAsia" w:ascii="宋体" w:hAnsi="宋体" w:cs="宋体"/>
                <w:color w:val="auto"/>
                <w:szCs w:val="21"/>
              </w:rPr>
              <w:t>0771-5025887</w:t>
            </w:r>
          </w:p>
        </w:tc>
      </w:tr>
      <w:tr w14:paraId="189EB1B6">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8614C5">
            <w:pPr>
              <w:widowControl/>
              <w:jc w:val="left"/>
              <w:textAlignment w:val="center"/>
              <w:rPr>
                <w:rFonts w:ascii="宋体" w:hAnsi="宋体" w:cs="宋体"/>
                <w:color w:val="auto"/>
                <w:szCs w:val="21"/>
              </w:rPr>
            </w:pPr>
            <w:r>
              <w:rPr>
                <w:rFonts w:hint="eastAsia" w:ascii="宋体" w:hAnsi="宋体" w:cs="宋体"/>
                <w:color w:val="auto"/>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CF57B46">
            <w:pPr>
              <w:widowControl/>
              <w:jc w:val="left"/>
              <w:textAlignment w:val="center"/>
              <w:rPr>
                <w:rFonts w:ascii="宋体" w:hAnsi="宋体" w:cs="宋体"/>
                <w:color w:val="auto"/>
                <w:szCs w:val="21"/>
              </w:rPr>
            </w:pPr>
            <w:r>
              <w:rPr>
                <w:rFonts w:hint="eastAsia" w:ascii="宋体" w:hAnsi="宋体" w:cs="宋体"/>
                <w:color w:val="auto"/>
                <w:szCs w:val="21"/>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1046AAA">
            <w:pPr>
              <w:widowControl/>
              <w:jc w:val="center"/>
              <w:textAlignment w:val="center"/>
              <w:rPr>
                <w:rFonts w:ascii="宋体" w:hAnsi="宋体" w:cs="宋体"/>
                <w:color w:val="auto"/>
                <w:szCs w:val="21"/>
              </w:rPr>
            </w:pPr>
            <w:r>
              <w:rPr>
                <w:rFonts w:hint="eastAsia" w:ascii="宋体" w:hAnsi="宋体" w:cs="宋体"/>
                <w:color w:val="auto"/>
                <w:szCs w:val="21"/>
              </w:rPr>
              <w:t>0771-7533041</w:t>
            </w:r>
          </w:p>
        </w:tc>
      </w:tr>
      <w:tr w14:paraId="5C63F5A1">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737877">
            <w:pPr>
              <w:widowControl/>
              <w:jc w:val="left"/>
              <w:textAlignment w:val="center"/>
              <w:rPr>
                <w:rFonts w:ascii="宋体" w:hAnsi="宋体" w:cs="宋体"/>
                <w:color w:val="auto"/>
                <w:szCs w:val="21"/>
              </w:rPr>
            </w:pPr>
            <w:r>
              <w:rPr>
                <w:rFonts w:hint="eastAsia" w:ascii="宋体" w:hAnsi="宋体" w:cs="宋体"/>
                <w:color w:val="auto"/>
                <w:szCs w:val="21"/>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EED186">
            <w:pPr>
              <w:widowControl/>
              <w:jc w:val="left"/>
              <w:textAlignment w:val="center"/>
              <w:rPr>
                <w:rFonts w:ascii="宋体" w:hAnsi="宋体" w:cs="宋体"/>
                <w:color w:val="auto"/>
                <w:szCs w:val="21"/>
              </w:rPr>
            </w:pPr>
            <w:r>
              <w:rPr>
                <w:rFonts w:hint="eastAsia" w:ascii="宋体" w:hAnsi="宋体" w:cs="宋体"/>
                <w:color w:val="auto"/>
                <w:szCs w:val="21"/>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76969044">
            <w:pPr>
              <w:widowControl/>
              <w:jc w:val="center"/>
              <w:textAlignment w:val="center"/>
              <w:rPr>
                <w:rFonts w:ascii="宋体" w:hAnsi="宋体" w:cs="宋体"/>
                <w:color w:val="auto"/>
                <w:szCs w:val="21"/>
              </w:rPr>
            </w:pPr>
            <w:r>
              <w:rPr>
                <w:rFonts w:hint="eastAsia" w:ascii="宋体" w:hAnsi="宋体" w:cs="宋体"/>
                <w:color w:val="auto"/>
                <w:szCs w:val="21"/>
              </w:rPr>
              <w:t>0771-7536178 0771-7536177</w:t>
            </w:r>
          </w:p>
        </w:tc>
      </w:tr>
      <w:tr w14:paraId="4D0C4657">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E084BD">
            <w:pPr>
              <w:widowControl/>
              <w:jc w:val="left"/>
              <w:textAlignment w:val="center"/>
              <w:rPr>
                <w:rFonts w:ascii="宋体" w:hAnsi="宋体" w:cs="宋体"/>
                <w:color w:val="auto"/>
                <w:szCs w:val="21"/>
              </w:rPr>
            </w:pPr>
            <w:r>
              <w:rPr>
                <w:rFonts w:hint="eastAsia" w:ascii="宋体" w:hAnsi="宋体" w:cs="宋体"/>
                <w:color w:val="auto"/>
                <w:szCs w:val="21"/>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E6331BC">
            <w:pPr>
              <w:widowControl/>
              <w:jc w:val="left"/>
              <w:textAlignment w:val="center"/>
              <w:rPr>
                <w:rFonts w:ascii="宋体" w:hAnsi="宋体" w:cs="宋体"/>
                <w:color w:val="auto"/>
                <w:szCs w:val="21"/>
              </w:rPr>
            </w:pPr>
            <w:r>
              <w:rPr>
                <w:rFonts w:hint="eastAsia" w:ascii="宋体" w:hAnsi="宋体" w:cs="宋体"/>
                <w:color w:val="auto"/>
                <w:szCs w:val="21"/>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0CB2FF0E">
            <w:pPr>
              <w:widowControl/>
              <w:jc w:val="center"/>
              <w:textAlignment w:val="center"/>
              <w:rPr>
                <w:rFonts w:ascii="宋体" w:hAnsi="宋体" w:cs="宋体"/>
                <w:color w:val="auto"/>
                <w:szCs w:val="21"/>
              </w:rPr>
            </w:pPr>
            <w:r>
              <w:rPr>
                <w:rFonts w:hint="eastAsia" w:ascii="宋体" w:hAnsi="宋体" w:cs="宋体"/>
                <w:color w:val="auto"/>
                <w:szCs w:val="21"/>
              </w:rPr>
              <w:t>0771-7661101</w:t>
            </w:r>
          </w:p>
        </w:tc>
      </w:tr>
      <w:tr w14:paraId="3339351F">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50E65C">
            <w:pPr>
              <w:widowControl/>
              <w:jc w:val="left"/>
              <w:textAlignment w:val="center"/>
              <w:rPr>
                <w:rFonts w:ascii="宋体" w:hAnsi="宋体" w:cs="宋体"/>
                <w:color w:val="auto"/>
                <w:szCs w:val="21"/>
              </w:rPr>
            </w:pPr>
            <w:r>
              <w:rPr>
                <w:rFonts w:hint="eastAsia" w:ascii="宋体" w:hAnsi="宋体" w:cs="宋体"/>
                <w:color w:val="auto"/>
                <w:szCs w:val="21"/>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EFACA13">
            <w:pPr>
              <w:widowControl/>
              <w:jc w:val="left"/>
              <w:textAlignment w:val="center"/>
              <w:rPr>
                <w:rFonts w:ascii="宋体" w:hAnsi="宋体" w:cs="宋体"/>
                <w:color w:val="auto"/>
                <w:szCs w:val="21"/>
              </w:rPr>
            </w:pPr>
            <w:r>
              <w:rPr>
                <w:rFonts w:hint="eastAsia" w:ascii="宋体" w:hAnsi="宋体" w:cs="宋体"/>
                <w:color w:val="auto"/>
                <w:szCs w:val="21"/>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00598BE2">
            <w:pPr>
              <w:widowControl/>
              <w:jc w:val="center"/>
              <w:textAlignment w:val="center"/>
              <w:rPr>
                <w:rFonts w:ascii="宋体" w:hAnsi="宋体" w:cs="宋体"/>
                <w:color w:val="auto"/>
                <w:szCs w:val="21"/>
              </w:rPr>
            </w:pPr>
            <w:r>
              <w:rPr>
                <w:rFonts w:hint="eastAsia" w:ascii="宋体" w:hAnsi="宋体" w:cs="宋体"/>
                <w:color w:val="auto"/>
                <w:szCs w:val="21"/>
              </w:rPr>
              <w:t>0771-7500768</w:t>
            </w:r>
          </w:p>
        </w:tc>
      </w:tr>
      <w:tr w14:paraId="2D936ADD">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E75216">
            <w:pPr>
              <w:widowControl/>
              <w:jc w:val="left"/>
              <w:textAlignment w:val="center"/>
              <w:rPr>
                <w:rFonts w:ascii="宋体" w:hAnsi="宋体" w:cs="宋体"/>
                <w:color w:val="auto"/>
                <w:szCs w:val="21"/>
              </w:rPr>
            </w:pPr>
            <w:r>
              <w:rPr>
                <w:rFonts w:hint="eastAsia" w:ascii="宋体" w:hAnsi="宋体" w:cs="宋体"/>
                <w:color w:val="auto"/>
                <w:szCs w:val="21"/>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CBF346A">
            <w:pPr>
              <w:widowControl/>
              <w:jc w:val="left"/>
              <w:textAlignment w:val="center"/>
              <w:rPr>
                <w:rFonts w:ascii="宋体" w:hAnsi="宋体" w:cs="宋体"/>
                <w:color w:val="auto"/>
                <w:szCs w:val="21"/>
              </w:rPr>
            </w:pPr>
            <w:r>
              <w:rPr>
                <w:rFonts w:hint="eastAsia" w:ascii="宋体" w:hAnsi="宋体" w:cs="宋体"/>
                <w:color w:val="auto"/>
                <w:szCs w:val="21"/>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2B769242">
            <w:pPr>
              <w:widowControl/>
              <w:jc w:val="center"/>
              <w:textAlignment w:val="center"/>
              <w:rPr>
                <w:rFonts w:ascii="宋体" w:hAnsi="宋体" w:cs="宋体"/>
                <w:color w:val="auto"/>
                <w:szCs w:val="21"/>
              </w:rPr>
            </w:pPr>
            <w:r>
              <w:rPr>
                <w:rFonts w:hint="eastAsia" w:ascii="宋体" w:hAnsi="宋体" w:cs="宋体"/>
                <w:color w:val="auto"/>
                <w:szCs w:val="21"/>
              </w:rPr>
              <w:t>0771-7525678</w:t>
            </w:r>
          </w:p>
        </w:tc>
      </w:tr>
      <w:tr w14:paraId="05C3D289">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636465">
            <w:pPr>
              <w:widowControl/>
              <w:jc w:val="left"/>
              <w:textAlignment w:val="center"/>
              <w:rPr>
                <w:rFonts w:ascii="宋体" w:hAnsi="宋体" w:cs="宋体"/>
                <w:color w:val="auto"/>
                <w:szCs w:val="21"/>
              </w:rPr>
            </w:pPr>
            <w:r>
              <w:rPr>
                <w:rFonts w:hint="eastAsia" w:ascii="宋体" w:hAnsi="宋体" w:cs="宋体"/>
                <w:b/>
                <w:bCs/>
                <w:color w:val="auto"/>
                <w:szCs w:val="21"/>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79D7B9C4">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04770187">
            <w:pPr>
              <w:widowControl/>
              <w:jc w:val="center"/>
              <w:textAlignment w:val="center"/>
              <w:rPr>
                <w:rFonts w:ascii="宋体" w:hAnsi="宋体" w:cs="宋体"/>
                <w:color w:val="auto"/>
                <w:szCs w:val="21"/>
              </w:rPr>
            </w:pPr>
          </w:p>
        </w:tc>
      </w:tr>
      <w:tr w14:paraId="1833A752">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347053">
            <w:pPr>
              <w:widowControl/>
              <w:jc w:val="left"/>
              <w:textAlignment w:val="center"/>
              <w:rPr>
                <w:rFonts w:ascii="宋体" w:hAnsi="宋体" w:cs="宋体"/>
                <w:color w:val="auto"/>
                <w:szCs w:val="21"/>
              </w:rPr>
            </w:pPr>
            <w:r>
              <w:rPr>
                <w:rFonts w:hint="eastAsia" w:ascii="宋体" w:hAnsi="宋体" w:cs="宋体"/>
                <w:color w:val="auto"/>
                <w:szCs w:val="21"/>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70FC94E">
            <w:pPr>
              <w:widowControl/>
              <w:jc w:val="left"/>
              <w:textAlignment w:val="center"/>
              <w:rPr>
                <w:rFonts w:ascii="宋体" w:hAnsi="宋体" w:cs="宋体"/>
                <w:color w:val="auto"/>
                <w:szCs w:val="21"/>
              </w:rPr>
            </w:pPr>
            <w:r>
              <w:rPr>
                <w:rFonts w:hint="eastAsia" w:ascii="宋体" w:hAnsi="宋体" w:cs="宋体"/>
                <w:color w:val="auto"/>
                <w:szCs w:val="21"/>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AEB9386">
            <w:pPr>
              <w:widowControl/>
              <w:jc w:val="center"/>
              <w:textAlignment w:val="center"/>
              <w:rPr>
                <w:rFonts w:ascii="宋体" w:hAnsi="宋体" w:cs="宋体"/>
                <w:color w:val="auto"/>
                <w:szCs w:val="21"/>
              </w:rPr>
            </w:pPr>
            <w:r>
              <w:rPr>
                <w:rFonts w:hint="eastAsia" w:ascii="宋体" w:hAnsi="宋体" w:cs="宋体"/>
                <w:color w:val="auto"/>
                <w:szCs w:val="21"/>
              </w:rPr>
              <w:t>0771-8620729</w:t>
            </w:r>
          </w:p>
        </w:tc>
      </w:tr>
      <w:tr w14:paraId="46D9528A">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696741">
            <w:pPr>
              <w:widowControl/>
              <w:jc w:val="left"/>
              <w:textAlignment w:val="center"/>
              <w:rPr>
                <w:rFonts w:ascii="宋体" w:hAnsi="宋体" w:cs="宋体"/>
                <w:color w:val="auto"/>
                <w:szCs w:val="21"/>
              </w:rPr>
            </w:pPr>
            <w:r>
              <w:rPr>
                <w:rFonts w:hint="eastAsia" w:ascii="宋体" w:hAnsi="宋体" w:cs="宋体"/>
                <w:color w:val="auto"/>
                <w:szCs w:val="21"/>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AA68E3D">
            <w:pPr>
              <w:widowControl/>
              <w:jc w:val="left"/>
              <w:textAlignment w:val="center"/>
              <w:rPr>
                <w:rFonts w:ascii="宋体" w:hAnsi="宋体" w:cs="宋体"/>
                <w:color w:val="auto"/>
                <w:szCs w:val="21"/>
              </w:rPr>
            </w:pPr>
            <w:r>
              <w:rPr>
                <w:rFonts w:hint="eastAsia" w:ascii="宋体" w:hAnsi="宋体" w:cs="宋体"/>
                <w:color w:val="auto"/>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9207482">
            <w:pPr>
              <w:widowControl/>
              <w:jc w:val="center"/>
              <w:textAlignment w:val="center"/>
              <w:rPr>
                <w:rFonts w:ascii="宋体" w:hAnsi="宋体" w:cs="宋体"/>
                <w:color w:val="auto"/>
                <w:szCs w:val="21"/>
              </w:rPr>
            </w:pPr>
            <w:r>
              <w:rPr>
                <w:rFonts w:hint="eastAsia" w:ascii="宋体" w:hAnsi="宋体" w:cs="宋体"/>
                <w:color w:val="auto"/>
                <w:szCs w:val="21"/>
              </w:rPr>
              <w:t>0771-7917093</w:t>
            </w:r>
          </w:p>
        </w:tc>
      </w:tr>
      <w:tr w14:paraId="28DB0FBA">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664CD7">
            <w:pPr>
              <w:widowControl/>
              <w:jc w:val="left"/>
              <w:textAlignment w:val="center"/>
              <w:rPr>
                <w:rFonts w:ascii="宋体" w:hAnsi="宋体" w:cs="宋体"/>
                <w:color w:val="auto"/>
                <w:szCs w:val="21"/>
              </w:rPr>
            </w:pPr>
            <w:r>
              <w:rPr>
                <w:rFonts w:hint="eastAsia" w:ascii="宋体" w:hAnsi="宋体" w:cs="宋体"/>
                <w:color w:val="auto"/>
                <w:szCs w:val="21"/>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E7DED9E">
            <w:pPr>
              <w:widowControl/>
              <w:spacing w:after="90" w:line="23" w:lineRule="atLeast"/>
              <w:jc w:val="left"/>
              <w:rPr>
                <w:rFonts w:ascii="宋体" w:hAnsi="宋体" w:cs="宋体"/>
                <w:color w:val="auto"/>
                <w:szCs w:val="21"/>
              </w:rPr>
            </w:pPr>
            <w:r>
              <w:rPr>
                <w:rFonts w:hint="eastAsia" w:ascii="宋体" w:hAnsi="宋体" w:cs="宋体"/>
                <w:color w:val="auto"/>
                <w:kern w:val="0"/>
                <w:szCs w:val="21"/>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F7A9EC2">
            <w:pPr>
              <w:widowControl/>
              <w:jc w:val="center"/>
              <w:textAlignment w:val="center"/>
              <w:rPr>
                <w:rFonts w:ascii="宋体" w:hAnsi="宋体" w:cs="宋体"/>
                <w:color w:val="auto"/>
                <w:szCs w:val="21"/>
              </w:rPr>
            </w:pPr>
            <w:r>
              <w:rPr>
                <w:rFonts w:hint="eastAsia" w:ascii="宋体" w:hAnsi="宋体" w:cs="宋体"/>
                <w:color w:val="auto"/>
                <w:szCs w:val="21"/>
              </w:rPr>
              <w:t>0771-8629006</w:t>
            </w:r>
          </w:p>
        </w:tc>
      </w:tr>
      <w:tr w14:paraId="51004891">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E08D77">
            <w:pPr>
              <w:widowControl/>
              <w:jc w:val="left"/>
              <w:textAlignment w:val="center"/>
              <w:rPr>
                <w:rFonts w:ascii="宋体" w:hAnsi="宋体" w:cs="宋体"/>
                <w:color w:val="auto"/>
                <w:szCs w:val="21"/>
              </w:rPr>
            </w:pPr>
            <w:r>
              <w:rPr>
                <w:rFonts w:hint="eastAsia" w:ascii="宋体" w:hAnsi="宋体" w:cs="宋体"/>
                <w:color w:val="auto"/>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ECF9410">
            <w:pPr>
              <w:widowControl/>
              <w:jc w:val="left"/>
              <w:textAlignment w:val="center"/>
              <w:rPr>
                <w:rFonts w:ascii="宋体" w:hAnsi="宋体" w:cs="宋体"/>
                <w:color w:val="auto"/>
                <w:szCs w:val="21"/>
              </w:rPr>
            </w:pPr>
            <w:r>
              <w:rPr>
                <w:rFonts w:hint="eastAsia" w:ascii="宋体" w:hAnsi="宋体" w:cs="宋体"/>
                <w:color w:val="auto"/>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0C5F998">
            <w:pPr>
              <w:widowControl/>
              <w:jc w:val="center"/>
              <w:textAlignment w:val="center"/>
              <w:rPr>
                <w:rFonts w:ascii="宋体" w:hAnsi="宋体" w:cs="宋体"/>
                <w:color w:val="auto"/>
                <w:szCs w:val="21"/>
              </w:rPr>
            </w:pPr>
            <w:r>
              <w:rPr>
                <w:rFonts w:hint="eastAsia" w:ascii="宋体" w:hAnsi="宋体" w:cs="宋体"/>
                <w:color w:val="auto"/>
                <w:szCs w:val="21"/>
              </w:rPr>
              <w:t>0771-8628166</w:t>
            </w:r>
          </w:p>
        </w:tc>
      </w:tr>
      <w:tr w14:paraId="3E507784">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394592">
            <w:pPr>
              <w:widowControl/>
              <w:jc w:val="left"/>
              <w:textAlignment w:val="center"/>
              <w:rPr>
                <w:rFonts w:ascii="宋体" w:hAnsi="宋体" w:cs="宋体"/>
                <w:color w:val="auto"/>
                <w:szCs w:val="21"/>
              </w:rPr>
            </w:pPr>
            <w:r>
              <w:rPr>
                <w:rFonts w:hint="eastAsia" w:ascii="宋体" w:hAnsi="宋体" w:cs="宋体"/>
                <w:color w:val="auto"/>
                <w:szCs w:val="21"/>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30A8861">
            <w:pPr>
              <w:widowControl/>
              <w:jc w:val="left"/>
              <w:textAlignment w:val="center"/>
              <w:rPr>
                <w:rFonts w:ascii="宋体" w:hAnsi="宋体" w:cs="宋体"/>
                <w:color w:val="auto"/>
                <w:szCs w:val="21"/>
              </w:rPr>
            </w:pPr>
            <w:r>
              <w:rPr>
                <w:rFonts w:hint="eastAsia" w:ascii="宋体" w:hAnsi="宋体" w:cs="宋体"/>
                <w:color w:val="auto"/>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15E9380">
            <w:pPr>
              <w:widowControl/>
              <w:jc w:val="center"/>
              <w:textAlignment w:val="center"/>
              <w:rPr>
                <w:rFonts w:ascii="宋体" w:hAnsi="宋体" w:cs="宋体"/>
                <w:color w:val="auto"/>
                <w:szCs w:val="21"/>
              </w:rPr>
            </w:pPr>
            <w:r>
              <w:rPr>
                <w:rFonts w:hint="eastAsia" w:ascii="宋体" w:hAnsi="宋体" w:cs="宋体"/>
                <w:color w:val="auto"/>
                <w:szCs w:val="21"/>
              </w:rPr>
              <w:t>0771-8630787</w:t>
            </w:r>
          </w:p>
        </w:tc>
      </w:tr>
      <w:tr w14:paraId="0B9287A3">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411EFA">
            <w:pPr>
              <w:widowControl/>
              <w:jc w:val="left"/>
              <w:textAlignment w:val="center"/>
              <w:rPr>
                <w:rFonts w:ascii="宋体" w:hAnsi="宋体" w:cs="宋体"/>
                <w:color w:val="auto"/>
                <w:szCs w:val="21"/>
              </w:rPr>
            </w:pPr>
            <w:r>
              <w:rPr>
                <w:rFonts w:hint="eastAsia" w:ascii="宋体" w:hAnsi="宋体" w:cs="宋体"/>
                <w:color w:val="auto"/>
                <w:szCs w:val="21"/>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85E7012">
            <w:pPr>
              <w:widowControl/>
              <w:jc w:val="left"/>
              <w:textAlignment w:val="center"/>
              <w:rPr>
                <w:rFonts w:ascii="宋体" w:hAnsi="宋体" w:cs="宋体"/>
                <w:color w:val="auto"/>
                <w:szCs w:val="21"/>
              </w:rPr>
            </w:pPr>
            <w:r>
              <w:rPr>
                <w:rFonts w:hint="eastAsia" w:ascii="宋体" w:hAnsi="宋体" w:cs="宋体"/>
                <w:color w:val="auto"/>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4548A38B">
            <w:pPr>
              <w:widowControl/>
              <w:jc w:val="center"/>
              <w:textAlignment w:val="center"/>
              <w:rPr>
                <w:rFonts w:ascii="宋体" w:hAnsi="宋体" w:cs="宋体"/>
                <w:color w:val="auto"/>
                <w:szCs w:val="21"/>
              </w:rPr>
            </w:pPr>
            <w:r>
              <w:rPr>
                <w:rFonts w:hint="eastAsia" w:ascii="宋体" w:hAnsi="宋体" w:cs="宋体"/>
                <w:color w:val="auto"/>
                <w:szCs w:val="21"/>
              </w:rPr>
              <w:t>0771-8622237</w:t>
            </w:r>
          </w:p>
        </w:tc>
      </w:tr>
      <w:tr w14:paraId="6EFFDBFF">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95A3173">
            <w:pPr>
              <w:widowControl/>
              <w:jc w:val="left"/>
              <w:textAlignment w:val="center"/>
              <w:rPr>
                <w:rFonts w:ascii="宋体" w:hAnsi="宋体" w:cs="宋体"/>
                <w:color w:val="auto"/>
                <w:szCs w:val="21"/>
              </w:rPr>
            </w:pPr>
            <w:r>
              <w:rPr>
                <w:rFonts w:hint="eastAsia" w:ascii="宋体" w:hAnsi="宋体" w:cs="宋体"/>
                <w:b/>
                <w:bCs/>
                <w:color w:val="auto"/>
                <w:szCs w:val="21"/>
              </w:rPr>
              <w:t>大新县</w:t>
            </w:r>
          </w:p>
        </w:tc>
      </w:tr>
      <w:tr w14:paraId="5960554D">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51D856">
            <w:pPr>
              <w:widowControl/>
              <w:jc w:val="left"/>
              <w:textAlignment w:val="center"/>
              <w:rPr>
                <w:rFonts w:ascii="宋体" w:hAnsi="宋体" w:cs="宋体"/>
                <w:color w:val="auto"/>
                <w:kern w:val="0"/>
                <w:szCs w:val="21"/>
              </w:rPr>
            </w:pPr>
            <w:r>
              <w:rPr>
                <w:rFonts w:hint="eastAsia" w:ascii="宋体" w:hAnsi="宋体" w:cs="宋体"/>
                <w:color w:val="auto"/>
                <w:szCs w:val="21"/>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EF8EB3E">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D8B19FA">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0771-3628078</w:t>
            </w:r>
          </w:p>
        </w:tc>
      </w:tr>
      <w:tr w14:paraId="47779613">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978DF5">
            <w:pPr>
              <w:widowControl/>
              <w:jc w:val="left"/>
              <w:textAlignment w:val="center"/>
              <w:rPr>
                <w:rFonts w:ascii="宋体" w:hAnsi="宋体" w:cs="宋体"/>
                <w:color w:val="auto"/>
                <w:kern w:val="0"/>
                <w:szCs w:val="21"/>
              </w:rPr>
            </w:pPr>
            <w:r>
              <w:rPr>
                <w:rFonts w:hint="eastAsia" w:ascii="宋体" w:hAnsi="宋体" w:cs="宋体"/>
                <w:color w:val="auto"/>
                <w:szCs w:val="21"/>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6B34480">
            <w:pPr>
              <w:widowControl/>
              <w:jc w:val="left"/>
              <w:textAlignment w:val="center"/>
              <w:rPr>
                <w:rFonts w:ascii="宋体" w:hAnsi="宋体" w:cs="宋体"/>
                <w:color w:val="auto"/>
                <w:kern w:val="0"/>
                <w:szCs w:val="21"/>
              </w:rPr>
            </w:pPr>
            <w:r>
              <w:rPr>
                <w:rFonts w:hint="eastAsia" w:ascii="宋体" w:hAnsi="宋体" w:cs="宋体"/>
                <w:color w:val="auto"/>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492076E">
            <w:pPr>
              <w:widowControl/>
              <w:jc w:val="center"/>
              <w:textAlignment w:val="center"/>
              <w:rPr>
                <w:rFonts w:ascii="宋体" w:hAnsi="宋体" w:cs="宋体"/>
                <w:color w:val="auto"/>
                <w:kern w:val="0"/>
                <w:szCs w:val="21"/>
              </w:rPr>
            </w:pPr>
            <w:r>
              <w:rPr>
                <w:rFonts w:hint="eastAsia" w:ascii="宋体" w:hAnsi="宋体" w:cs="宋体"/>
                <w:color w:val="auto"/>
                <w:kern w:val="0"/>
                <w:szCs w:val="21"/>
              </w:rPr>
              <w:t>0771-</w:t>
            </w:r>
            <w:r>
              <w:rPr>
                <w:rFonts w:hint="eastAsia" w:ascii="宋体" w:hAnsi="宋体" w:cs="宋体"/>
                <w:color w:val="auto"/>
                <w:szCs w:val="21"/>
              </w:rPr>
              <w:t>7917015</w:t>
            </w:r>
          </w:p>
        </w:tc>
      </w:tr>
      <w:tr w14:paraId="4E25346E">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20D068">
            <w:pPr>
              <w:widowControl/>
              <w:jc w:val="left"/>
              <w:textAlignment w:val="center"/>
              <w:rPr>
                <w:rFonts w:ascii="宋体" w:hAnsi="宋体" w:cs="宋体"/>
                <w:color w:val="auto"/>
                <w:kern w:val="0"/>
                <w:szCs w:val="21"/>
              </w:rPr>
            </w:pPr>
            <w:r>
              <w:rPr>
                <w:rFonts w:hint="eastAsia" w:ascii="宋体" w:hAnsi="宋体" w:cs="宋体"/>
                <w:color w:val="auto"/>
                <w:kern w:val="0"/>
                <w:szCs w:val="21"/>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18809F0">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FC005E2">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0771-3689766</w:t>
            </w:r>
          </w:p>
        </w:tc>
      </w:tr>
      <w:tr w14:paraId="500DF019">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C79DB8">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6FA377F">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D16C522">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0771-3623887</w:t>
            </w:r>
          </w:p>
        </w:tc>
      </w:tr>
      <w:tr w14:paraId="7C3C8F58">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FC2973">
            <w:pPr>
              <w:widowControl/>
              <w:jc w:val="left"/>
              <w:textAlignment w:val="center"/>
              <w:rPr>
                <w:rFonts w:ascii="宋体" w:hAnsi="宋体" w:cs="宋体"/>
                <w:color w:val="auto"/>
                <w:kern w:val="0"/>
                <w:szCs w:val="21"/>
              </w:rPr>
            </w:pPr>
            <w:r>
              <w:rPr>
                <w:rFonts w:hint="eastAsia" w:ascii="宋体" w:hAnsi="宋体" w:cs="宋体"/>
                <w:color w:val="auto"/>
                <w:szCs w:val="21"/>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79C0BA0">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2ACCDB2E">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0771-3621996</w:t>
            </w:r>
          </w:p>
        </w:tc>
      </w:tr>
      <w:tr w14:paraId="0192A0EB">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00A425">
            <w:pPr>
              <w:widowControl/>
              <w:jc w:val="left"/>
              <w:textAlignment w:val="center"/>
              <w:rPr>
                <w:rFonts w:ascii="宋体" w:hAnsi="宋体" w:cs="宋体"/>
                <w:color w:val="auto"/>
                <w:kern w:val="0"/>
                <w:szCs w:val="21"/>
              </w:rPr>
            </w:pPr>
            <w:r>
              <w:rPr>
                <w:rFonts w:hint="eastAsia" w:ascii="宋体" w:hAnsi="宋体" w:cs="宋体"/>
                <w:color w:val="auto"/>
                <w:szCs w:val="21"/>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CC90A73">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19C9E5EB">
            <w:pPr>
              <w:widowControl/>
              <w:jc w:val="center"/>
              <w:textAlignment w:val="center"/>
              <w:rPr>
                <w:rFonts w:ascii="宋体" w:hAnsi="宋体" w:cs="宋体"/>
                <w:color w:val="auto"/>
                <w:kern w:val="0"/>
                <w:szCs w:val="21"/>
              </w:rPr>
            </w:pPr>
            <w:r>
              <w:rPr>
                <w:rFonts w:hint="eastAsia" w:ascii="宋体" w:hAnsi="宋体" w:cs="宋体"/>
                <w:color w:val="auto"/>
                <w:szCs w:val="21"/>
              </w:rPr>
              <w:t>0771-3628366</w:t>
            </w:r>
          </w:p>
        </w:tc>
      </w:tr>
      <w:tr w14:paraId="35D5BB3D">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E8BD15">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3A0067A">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80B36B0">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0771-3698002</w:t>
            </w:r>
          </w:p>
        </w:tc>
      </w:tr>
      <w:tr w14:paraId="662F8C28">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3B1618">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4B247F7">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65E0F08">
            <w:pPr>
              <w:widowControl/>
              <w:jc w:val="center"/>
              <w:textAlignment w:val="center"/>
              <w:rPr>
                <w:rFonts w:ascii="宋体" w:hAnsi="宋体" w:cs="宋体"/>
                <w:color w:val="auto"/>
                <w:szCs w:val="21"/>
              </w:rPr>
            </w:pPr>
            <w:r>
              <w:rPr>
                <w:rFonts w:hint="eastAsia" w:ascii="宋体" w:hAnsi="宋体" w:cs="宋体"/>
                <w:color w:val="auto"/>
                <w:kern w:val="0"/>
                <w:szCs w:val="21"/>
              </w:rPr>
              <w:t>0771-3626199</w:t>
            </w:r>
          </w:p>
        </w:tc>
      </w:tr>
      <w:tr w14:paraId="3B0F1991">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7BC311">
            <w:pPr>
              <w:widowControl/>
              <w:jc w:val="left"/>
              <w:textAlignment w:val="center"/>
              <w:rPr>
                <w:rFonts w:ascii="宋体" w:hAnsi="宋体" w:cs="宋体"/>
                <w:color w:val="auto"/>
                <w:szCs w:val="21"/>
              </w:rPr>
            </w:pPr>
            <w:r>
              <w:rPr>
                <w:rFonts w:hint="eastAsia" w:ascii="宋体" w:hAnsi="宋体" w:cs="宋体"/>
                <w:b/>
                <w:bCs/>
                <w:color w:val="auto"/>
                <w:szCs w:val="21"/>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007BBB3D">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30324849">
            <w:pPr>
              <w:widowControl/>
              <w:jc w:val="center"/>
              <w:textAlignment w:val="center"/>
              <w:rPr>
                <w:rFonts w:ascii="宋体" w:hAnsi="宋体" w:cs="宋体"/>
                <w:color w:val="auto"/>
                <w:szCs w:val="21"/>
              </w:rPr>
            </w:pPr>
          </w:p>
        </w:tc>
      </w:tr>
      <w:tr w14:paraId="741E844B">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F52F02">
            <w:pPr>
              <w:widowControl/>
              <w:jc w:val="left"/>
              <w:textAlignment w:val="center"/>
              <w:rPr>
                <w:rFonts w:ascii="宋体" w:hAnsi="宋体" w:cs="宋体"/>
                <w:color w:val="auto"/>
                <w:szCs w:val="21"/>
              </w:rPr>
            </w:pPr>
            <w:r>
              <w:rPr>
                <w:rFonts w:hint="eastAsia" w:ascii="宋体" w:hAnsi="宋体" w:cs="宋体"/>
                <w:color w:val="auto"/>
                <w:szCs w:val="21"/>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A22DCCE">
            <w:pPr>
              <w:widowControl/>
              <w:jc w:val="left"/>
              <w:textAlignment w:val="center"/>
              <w:rPr>
                <w:rFonts w:ascii="宋体" w:hAnsi="宋体" w:cs="宋体"/>
                <w:color w:val="auto"/>
                <w:szCs w:val="21"/>
              </w:rPr>
            </w:pPr>
            <w:r>
              <w:rPr>
                <w:rFonts w:hint="eastAsia" w:ascii="宋体" w:hAnsi="宋体" w:cs="宋体"/>
                <w:color w:val="auto"/>
                <w:szCs w:val="21"/>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7C8A26F">
            <w:pPr>
              <w:widowControl/>
              <w:jc w:val="center"/>
              <w:textAlignment w:val="center"/>
              <w:rPr>
                <w:rFonts w:ascii="宋体" w:hAnsi="宋体" w:cs="宋体"/>
                <w:color w:val="auto"/>
                <w:szCs w:val="21"/>
              </w:rPr>
            </w:pPr>
            <w:r>
              <w:rPr>
                <w:rFonts w:hint="eastAsia" w:ascii="宋体" w:hAnsi="宋体" w:cs="宋体"/>
                <w:color w:val="auto"/>
                <w:szCs w:val="21"/>
              </w:rPr>
              <w:t>0771-8868619</w:t>
            </w:r>
          </w:p>
        </w:tc>
      </w:tr>
      <w:tr w14:paraId="3394BA87">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8730BF">
            <w:pPr>
              <w:widowControl/>
              <w:jc w:val="left"/>
              <w:textAlignment w:val="center"/>
              <w:rPr>
                <w:rFonts w:ascii="宋体" w:hAnsi="宋体" w:cs="宋体"/>
                <w:color w:val="auto"/>
                <w:szCs w:val="21"/>
              </w:rPr>
            </w:pPr>
            <w:r>
              <w:rPr>
                <w:rFonts w:hint="eastAsia" w:ascii="宋体" w:hAnsi="宋体" w:cs="宋体"/>
                <w:color w:val="auto"/>
                <w:szCs w:val="21"/>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9FB911D">
            <w:pPr>
              <w:widowControl/>
              <w:jc w:val="left"/>
              <w:textAlignment w:val="center"/>
              <w:rPr>
                <w:rFonts w:ascii="宋体" w:hAnsi="宋体" w:cs="宋体"/>
                <w:color w:val="auto"/>
                <w:szCs w:val="21"/>
              </w:rPr>
            </w:pPr>
            <w:r>
              <w:rPr>
                <w:rFonts w:hint="eastAsia" w:ascii="宋体" w:hAnsi="宋体" w:cs="宋体"/>
                <w:color w:val="auto"/>
                <w:szCs w:val="21"/>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4C34FFA">
            <w:pPr>
              <w:widowControl/>
              <w:jc w:val="center"/>
              <w:textAlignment w:val="center"/>
              <w:rPr>
                <w:rFonts w:ascii="宋体" w:hAnsi="宋体" w:cs="宋体"/>
                <w:color w:val="auto"/>
                <w:szCs w:val="21"/>
              </w:rPr>
            </w:pPr>
            <w:r>
              <w:rPr>
                <w:rFonts w:hint="eastAsia" w:ascii="宋体" w:hAnsi="宋体" w:cs="宋体"/>
                <w:color w:val="auto"/>
                <w:szCs w:val="21"/>
              </w:rPr>
              <w:t>0771-8812504</w:t>
            </w:r>
          </w:p>
        </w:tc>
      </w:tr>
      <w:tr w14:paraId="128E6FEB">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66F8BD">
            <w:pPr>
              <w:widowControl/>
              <w:jc w:val="left"/>
              <w:textAlignment w:val="center"/>
              <w:rPr>
                <w:rFonts w:ascii="宋体" w:hAnsi="宋体" w:cs="宋体"/>
                <w:color w:val="auto"/>
                <w:szCs w:val="21"/>
              </w:rPr>
            </w:pPr>
            <w:r>
              <w:rPr>
                <w:rFonts w:hint="eastAsia" w:ascii="宋体" w:hAnsi="宋体" w:cs="宋体"/>
                <w:color w:val="auto"/>
                <w:szCs w:val="21"/>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84E4791">
            <w:pPr>
              <w:widowControl/>
              <w:jc w:val="left"/>
              <w:textAlignment w:val="center"/>
              <w:rPr>
                <w:rFonts w:ascii="宋体" w:hAnsi="宋体" w:cs="宋体"/>
                <w:color w:val="auto"/>
                <w:szCs w:val="21"/>
              </w:rPr>
            </w:pPr>
            <w:r>
              <w:rPr>
                <w:rFonts w:hint="eastAsia" w:ascii="宋体" w:hAnsi="宋体" w:cs="宋体"/>
                <w:color w:val="auto"/>
                <w:szCs w:val="21"/>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433A633">
            <w:pPr>
              <w:widowControl/>
              <w:jc w:val="center"/>
              <w:textAlignment w:val="center"/>
              <w:rPr>
                <w:rFonts w:ascii="宋体" w:hAnsi="宋体" w:cs="宋体"/>
                <w:color w:val="auto"/>
                <w:szCs w:val="21"/>
              </w:rPr>
            </w:pPr>
            <w:r>
              <w:rPr>
                <w:rFonts w:hint="eastAsia" w:ascii="宋体" w:hAnsi="宋体" w:cs="宋体"/>
                <w:color w:val="auto"/>
                <w:szCs w:val="21"/>
              </w:rPr>
              <w:t>0771-8820525</w:t>
            </w:r>
          </w:p>
        </w:tc>
      </w:tr>
      <w:tr w14:paraId="6089FBBD">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45D5F0">
            <w:pPr>
              <w:widowControl/>
              <w:jc w:val="left"/>
              <w:textAlignment w:val="center"/>
              <w:rPr>
                <w:rFonts w:ascii="宋体" w:hAnsi="宋体" w:cs="宋体"/>
                <w:color w:val="auto"/>
                <w:szCs w:val="21"/>
              </w:rPr>
            </w:pPr>
            <w:r>
              <w:rPr>
                <w:rFonts w:hint="eastAsia" w:ascii="宋体" w:hAnsi="宋体" w:cs="宋体"/>
                <w:color w:val="auto"/>
                <w:szCs w:val="21"/>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DAC0B9F">
            <w:pPr>
              <w:widowControl/>
              <w:jc w:val="left"/>
              <w:textAlignment w:val="center"/>
              <w:rPr>
                <w:rFonts w:ascii="宋体" w:hAnsi="宋体" w:cs="宋体"/>
                <w:color w:val="auto"/>
                <w:szCs w:val="21"/>
              </w:rPr>
            </w:pPr>
            <w:r>
              <w:rPr>
                <w:rFonts w:hint="eastAsia" w:ascii="宋体" w:hAnsi="宋体" w:cs="宋体"/>
                <w:color w:val="auto"/>
                <w:szCs w:val="21"/>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F94409A">
            <w:pPr>
              <w:widowControl/>
              <w:jc w:val="center"/>
              <w:textAlignment w:val="center"/>
              <w:rPr>
                <w:rFonts w:ascii="宋体" w:hAnsi="宋体" w:cs="宋体"/>
                <w:color w:val="auto"/>
                <w:szCs w:val="21"/>
              </w:rPr>
            </w:pPr>
            <w:r>
              <w:rPr>
                <w:rFonts w:hint="eastAsia" w:ascii="宋体" w:hAnsi="宋体" w:cs="宋体"/>
                <w:color w:val="auto"/>
                <w:szCs w:val="21"/>
              </w:rPr>
              <w:t>0771-8813013</w:t>
            </w:r>
          </w:p>
        </w:tc>
      </w:tr>
      <w:tr w14:paraId="6D27143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DCA0CA">
            <w:pPr>
              <w:widowControl/>
              <w:jc w:val="left"/>
              <w:textAlignment w:val="center"/>
              <w:rPr>
                <w:rFonts w:ascii="宋体" w:hAnsi="宋体" w:cs="宋体"/>
                <w:color w:val="auto"/>
                <w:szCs w:val="21"/>
              </w:rPr>
            </w:pPr>
            <w:r>
              <w:rPr>
                <w:rFonts w:hint="eastAsia" w:ascii="宋体" w:hAnsi="宋体" w:cs="宋体"/>
                <w:color w:val="auto"/>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63C65EF">
            <w:pPr>
              <w:widowControl/>
              <w:jc w:val="left"/>
              <w:textAlignment w:val="center"/>
              <w:rPr>
                <w:rFonts w:ascii="宋体" w:hAnsi="宋体" w:cs="宋体"/>
                <w:color w:val="auto"/>
                <w:szCs w:val="21"/>
              </w:rPr>
            </w:pPr>
            <w:r>
              <w:rPr>
                <w:rFonts w:hint="eastAsia" w:ascii="宋体" w:hAnsi="宋体" w:cs="宋体"/>
                <w:color w:val="auto"/>
                <w:szCs w:val="21"/>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2A693A5E">
            <w:pPr>
              <w:widowControl/>
              <w:jc w:val="center"/>
              <w:textAlignment w:val="center"/>
              <w:rPr>
                <w:rFonts w:ascii="宋体" w:hAnsi="宋体" w:cs="宋体"/>
                <w:color w:val="auto"/>
                <w:szCs w:val="21"/>
              </w:rPr>
            </w:pPr>
            <w:r>
              <w:rPr>
                <w:rFonts w:hint="eastAsia" w:ascii="宋体" w:hAnsi="宋体" w:cs="宋体"/>
                <w:color w:val="auto"/>
                <w:szCs w:val="21"/>
              </w:rPr>
              <w:t>0771-8871021</w:t>
            </w:r>
          </w:p>
        </w:tc>
      </w:tr>
      <w:tr w14:paraId="0A8A8B27">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710EBF">
            <w:pPr>
              <w:widowControl/>
              <w:jc w:val="left"/>
              <w:textAlignment w:val="center"/>
              <w:rPr>
                <w:rFonts w:ascii="宋体" w:hAnsi="宋体" w:cs="宋体"/>
                <w:color w:val="auto"/>
                <w:szCs w:val="21"/>
              </w:rPr>
            </w:pPr>
            <w:r>
              <w:rPr>
                <w:rFonts w:hint="eastAsia" w:ascii="宋体" w:hAnsi="宋体" w:cs="宋体"/>
                <w:color w:val="auto"/>
                <w:szCs w:val="21"/>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5945D0B">
            <w:pPr>
              <w:widowControl/>
              <w:jc w:val="left"/>
              <w:textAlignment w:val="center"/>
              <w:rPr>
                <w:rFonts w:ascii="宋体" w:hAnsi="宋体" w:cs="宋体"/>
                <w:color w:val="auto"/>
                <w:szCs w:val="21"/>
              </w:rPr>
            </w:pPr>
            <w:r>
              <w:rPr>
                <w:rFonts w:hint="eastAsia" w:ascii="宋体" w:hAnsi="宋体" w:cs="宋体"/>
                <w:color w:val="auto"/>
                <w:szCs w:val="21"/>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05BF281F">
            <w:pPr>
              <w:widowControl/>
              <w:jc w:val="center"/>
              <w:textAlignment w:val="center"/>
              <w:rPr>
                <w:rFonts w:ascii="宋体" w:hAnsi="宋体" w:cs="宋体"/>
                <w:color w:val="auto"/>
                <w:szCs w:val="21"/>
              </w:rPr>
            </w:pPr>
            <w:r>
              <w:rPr>
                <w:rFonts w:hint="eastAsia" w:ascii="宋体" w:hAnsi="宋体" w:cs="宋体"/>
                <w:color w:val="auto"/>
                <w:szCs w:val="21"/>
              </w:rPr>
              <w:t>0771-8811533</w:t>
            </w:r>
          </w:p>
        </w:tc>
      </w:tr>
      <w:tr w14:paraId="72AF15C3">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040C9F">
            <w:pPr>
              <w:widowControl/>
              <w:textAlignment w:val="center"/>
              <w:rPr>
                <w:rFonts w:ascii="宋体" w:hAnsi="宋体" w:cs="宋体"/>
                <w:color w:val="auto"/>
                <w:szCs w:val="21"/>
              </w:rPr>
            </w:pPr>
            <w:r>
              <w:rPr>
                <w:rFonts w:hint="eastAsia" w:ascii="宋体" w:hAnsi="宋体" w:cs="宋体"/>
                <w:b/>
                <w:bCs/>
                <w:color w:val="auto"/>
                <w:szCs w:val="21"/>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0A22C2EA">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403D81FB">
            <w:pPr>
              <w:widowControl/>
              <w:jc w:val="center"/>
              <w:textAlignment w:val="center"/>
              <w:rPr>
                <w:rFonts w:ascii="宋体" w:hAnsi="宋体" w:cs="宋体"/>
                <w:color w:val="auto"/>
                <w:szCs w:val="21"/>
              </w:rPr>
            </w:pPr>
          </w:p>
        </w:tc>
      </w:tr>
      <w:tr w14:paraId="6EEC2085">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12A1C4">
            <w:pPr>
              <w:widowControl/>
              <w:jc w:val="left"/>
              <w:textAlignment w:val="center"/>
              <w:rPr>
                <w:rFonts w:ascii="宋体" w:hAnsi="宋体" w:cs="宋体"/>
                <w:color w:val="auto"/>
                <w:szCs w:val="21"/>
              </w:rPr>
            </w:pPr>
            <w:r>
              <w:rPr>
                <w:rFonts w:hint="eastAsia" w:ascii="宋体" w:hAnsi="宋体" w:cs="宋体"/>
                <w:color w:val="auto"/>
                <w:szCs w:val="21"/>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37A9211">
            <w:pPr>
              <w:widowControl/>
              <w:jc w:val="left"/>
              <w:textAlignment w:val="center"/>
              <w:rPr>
                <w:rFonts w:ascii="宋体" w:hAnsi="宋体" w:cs="宋体"/>
                <w:color w:val="auto"/>
                <w:szCs w:val="21"/>
              </w:rPr>
            </w:pPr>
            <w:r>
              <w:rPr>
                <w:rFonts w:hint="eastAsia" w:ascii="宋体" w:hAnsi="宋体" w:cs="宋体"/>
                <w:color w:val="auto"/>
                <w:szCs w:val="21"/>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E3E1B1D">
            <w:pPr>
              <w:widowControl/>
              <w:jc w:val="center"/>
              <w:textAlignment w:val="center"/>
              <w:rPr>
                <w:rFonts w:ascii="宋体" w:hAnsi="宋体" w:cs="宋体"/>
                <w:color w:val="auto"/>
                <w:szCs w:val="21"/>
              </w:rPr>
            </w:pPr>
            <w:r>
              <w:rPr>
                <w:rFonts w:hint="eastAsia" w:ascii="宋体" w:hAnsi="宋体" w:cs="宋体"/>
                <w:color w:val="auto"/>
                <w:szCs w:val="21"/>
              </w:rPr>
              <w:t>0771-3532211</w:t>
            </w:r>
          </w:p>
        </w:tc>
      </w:tr>
      <w:tr w14:paraId="074C7B9F">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0C1BD0">
            <w:pPr>
              <w:widowControl/>
              <w:jc w:val="left"/>
              <w:textAlignment w:val="center"/>
              <w:rPr>
                <w:rFonts w:ascii="宋体" w:hAnsi="宋体" w:cs="宋体"/>
                <w:color w:val="auto"/>
                <w:szCs w:val="21"/>
              </w:rPr>
            </w:pPr>
            <w:r>
              <w:rPr>
                <w:rFonts w:hint="eastAsia" w:ascii="宋体" w:hAnsi="宋体" w:cs="宋体"/>
                <w:color w:val="auto"/>
                <w:szCs w:val="21"/>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8921BF0">
            <w:pPr>
              <w:widowControl/>
              <w:jc w:val="left"/>
              <w:textAlignment w:val="center"/>
              <w:rPr>
                <w:rFonts w:ascii="宋体" w:hAnsi="宋体" w:cs="宋体"/>
                <w:color w:val="auto"/>
                <w:szCs w:val="21"/>
              </w:rPr>
            </w:pPr>
            <w:r>
              <w:rPr>
                <w:rFonts w:hint="eastAsia" w:ascii="宋体" w:hAnsi="宋体" w:cs="宋体"/>
                <w:color w:val="auto"/>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F208848">
            <w:pPr>
              <w:widowControl/>
              <w:jc w:val="center"/>
              <w:textAlignment w:val="center"/>
              <w:rPr>
                <w:rFonts w:ascii="宋体" w:hAnsi="宋体" w:cs="宋体"/>
                <w:color w:val="auto"/>
                <w:szCs w:val="21"/>
              </w:rPr>
            </w:pPr>
            <w:r>
              <w:rPr>
                <w:rFonts w:hint="eastAsia" w:ascii="宋体" w:hAnsi="宋体" w:cs="宋体"/>
                <w:color w:val="auto"/>
                <w:szCs w:val="21"/>
              </w:rPr>
              <w:t>0771-7917046</w:t>
            </w:r>
          </w:p>
        </w:tc>
      </w:tr>
      <w:tr w14:paraId="2CAD0CD2">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322237">
            <w:pPr>
              <w:widowControl/>
              <w:jc w:val="left"/>
              <w:textAlignment w:val="center"/>
              <w:rPr>
                <w:rFonts w:ascii="宋体" w:hAnsi="宋体" w:cs="宋体"/>
                <w:color w:val="auto"/>
                <w:szCs w:val="21"/>
              </w:rPr>
            </w:pPr>
            <w:r>
              <w:rPr>
                <w:rFonts w:hint="eastAsia" w:ascii="宋体" w:hAnsi="宋体" w:cs="宋体"/>
                <w:color w:val="auto"/>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BD05CC6">
            <w:pPr>
              <w:widowControl/>
              <w:jc w:val="left"/>
              <w:textAlignment w:val="center"/>
              <w:rPr>
                <w:rFonts w:ascii="宋体" w:hAnsi="宋体" w:cs="宋体"/>
                <w:color w:val="auto"/>
                <w:szCs w:val="21"/>
              </w:rPr>
            </w:pPr>
            <w:r>
              <w:rPr>
                <w:rFonts w:hint="eastAsia" w:ascii="宋体" w:hAnsi="宋体" w:cs="宋体"/>
                <w:color w:val="auto"/>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29D8389">
            <w:pPr>
              <w:widowControl/>
              <w:jc w:val="center"/>
              <w:textAlignment w:val="center"/>
              <w:rPr>
                <w:rFonts w:ascii="宋体" w:hAnsi="宋体" w:cs="宋体"/>
                <w:color w:val="auto"/>
                <w:szCs w:val="21"/>
              </w:rPr>
            </w:pPr>
            <w:r>
              <w:rPr>
                <w:rFonts w:hint="eastAsia" w:ascii="宋体" w:hAnsi="宋体" w:cs="宋体"/>
                <w:color w:val="auto"/>
                <w:szCs w:val="21"/>
              </w:rPr>
              <w:t>0771-3521361</w:t>
            </w:r>
          </w:p>
        </w:tc>
      </w:tr>
      <w:tr w14:paraId="14C56544">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A5E701">
            <w:pPr>
              <w:widowControl/>
              <w:jc w:val="left"/>
              <w:textAlignment w:val="center"/>
              <w:rPr>
                <w:rFonts w:ascii="宋体" w:hAnsi="宋体" w:cs="宋体"/>
                <w:color w:val="auto"/>
                <w:szCs w:val="21"/>
              </w:rPr>
            </w:pPr>
            <w:r>
              <w:rPr>
                <w:rFonts w:hint="eastAsia" w:ascii="宋体" w:hAnsi="宋体" w:cs="宋体"/>
                <w:color w:val="auto"/>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55DA0AA">
            <w:pPr>
              <w:widowControl/>
              <w:jc w:val="left"/>
              <w:textAlignment w:val="center"/>
              <w:rPr>
                <w:rFonts w:ascii="宋体" w:hAnsi="宋体" w:cs="宋体"/>
                <w:color w:val="auto"/>
                <w:szCs w:val="21"/>
              </w:rPr>
            </w:pPr>
            <w:r>
              <w:rPr>
                <w:rFonts w:hint="eastAsia" w:ascii="宋体" w:hAnsi="宋体" w:cs="宋体"/>
                <w:color w:val="auto"/>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7D55952">
            <w:pPr>
              <w:widowControl/>
              <w:jc w:val="center"/>
              <w:textAlignment w:val="center"/>
              <w:rPr>
                <w:rFonts w:ascii="宋体" w:hAnsi="宋体" w:cs="宋体"/>
                <w:color w:val="auto"/>
                <w:szCs w:val="21"/>
              </w:rPr>
            </w:pPr>
            <w:r>
              <w:rPr>
                <w:rFonts w:hint="eastAsia" w:ascii="宋体" w:hAnsi="宋体" w:cs="宋体"/>
                <w:color w:val="auto"/>
                <w:szCs w:val="21"/>
              </w:rPr>
              <w:t>0771-3522157</w:t>
            </w:r>
          </w:p>
        </w:tc>
      </w:tr>
      <w:tr w14:paraId="101FA9B7">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F73CEE">
            <w:pPr>
              <w:widowControl/>
              <w:jc w:val="left"/>
              <w:textAlignment w:val="center"/>
              <w:rPr>
                <w:rFonts w:ascii="宋体" w:hAnsi="宋体" w:cs="宋体"/>
                <w:color w:val="auto"/>
                <w:szCs w:val="21"/>
              </w:rPr>
            </w:pPr>
            <w:r>
              <w:rPr>
                <w:rFonts w:hint="eastAsia" w:ascii="宋体" w:hAnsi="宋体" w:cs="宋体"/>
                <w:color w:val="auto"/>
                <w:szCs w:val="21"/>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808D3E9">
            <w:pPr>
              <w:widowControl/>
              <w:jc w:val="left"/>
              <w:textAlignment w:val="center"/>
              <w:rPr>
                <w:rFonts w:ascii="宋体" w:hAnsi="宋体" w:cs="宋体"/>
                <w:color w:val="auto"/>
                <w:szCs w:val="21"/>
              </w:rPr>
            </w:pPr>
            <w:r>
              <w:rPr>
                <w:rFonts w:hint="eastAsia" w:ascii="宋体" w:hAnsi="宋体" w:cs="宋体"/>
                <w:color w:val="auto"/>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2F7532C">
            <w:pPr>
              <w:widowControl/>
              <w:jc w:val="center"/>
              <w:textAlignment w:val="center"/>
              <w:rPr>
                <w:rFonts w:ascii="宋体" w:hAnsi="宋体" w:cs="宋体"/>
                <w:color w:val="auto"/>
                <w:szCs w:val="21"/>
              </w:rPr>
            </w:pPr>
            <w:r>
              <w:rPr>
                <w:rFonts w:hint="eastAsia" w:ascii="宋体" w:hAnsi="宋体" w:cs="宋体"/>
                <w:color w:val="auto"/>
                <w:szCs w:val="21"/>
              </w:rPr>
              <w:t>0771-3528688</w:t>
            </w:r>
          </w:p>
        </w:tc>
      </w:tr>
      <w:tr w14:paraId="7076DAE7">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0DD7876">
            <w:pPr>
              <w:widowControl/>
              <w:jc w:val="left"/>
              <w:textAlignment w:val="center"/>
              <w:rPr>
                <w:rFonts w:ascii="宋体" w:hAnsi="宋体" w:cs="宋体"/>
                <w:color w:val="auto"/>
                <w:szCs w:val="21"/>
              </w:rPr>
            </w:pPr>
            <w:r>
              <w:rPr>
                <w:rFonts w:hint="eastAsia" w:ascii="宋体" w:hAnsi="宋体" w:cs="宋体"/>
                <w:b/>
                <w:bCs/>
                <w:color w:val="auto"/>
                <w:szCs w:val="21"/>
              </w:rPr>
              <w:t>凭祥市</w:t>
            </w:r>
          </w:p>
        </w:tc>
      </w:tr>
      <w:tr w14:paraId="25E8D0F5">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4BB29B">
            <w:pPr>
              <w:widowControl/>
              <w:jc w:val="left"/>
              <w:textAlignment w:val="center"/>
              <w:rPr>
                <w:rFonts w:ascii="宋体" w:hAnsi="宋体" w:cs="宋体"/>
                <w:color w:val="auto"/>
                <w:szCs w:val="21"/>
              </w:rPr>
            </w:pPr>
            <w:r>
              <w:rPr>
                <w:rFonts w:hint="eastAsia" w:ascii="宋体" w:hAnsi="宋体" w:cs="宋体"/>
                <w:color w:val="auto"/>
                <w:szCs w:val="21"/>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C561C8">
            <w:pPr>
              <w:widowControl/>
              <w:jc w:val="left"/>
              <w:textAlignment w:val="center"/>
              <w:rPr>
                <w:rFonts w:ascii="宋体" w:hAnsi="宋体" w:cs="宋体"/>
                <w:color w:val="auto"/>
                <w:szCs w:val="21"/>
              </w:rPr>
            </w:pPr>
            <w:r>
              <w:rPr>
                <w:rFonts w:hint="eastAsia" w:ascii="宋体" w:hAnsi="宋体" w:cs="宋体"/>
                <w:color w:val="auto"/>
                <w:szCs w:val="21"/>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A9D89E5">
            <w:pPr>
              <w:widowControl/>
              <w:jc w:val="center"/>
              <w:textAlignment w:val="center"/>
              <w:rPr>
                <w:rFonts w:ascii="宋体" w:hAnsi="宋体" w:cs="宋体"/>
                <w:color w:val="auto"/>
                <w:szCs w:val="21"/>
              </w:rPr>
            </w:pPr>
            <w:r>
              <w:rPr>
                <w:rFonts w:hint="eastAsia" w:ascii="宋体" w:hAnsi="宋体" w:cs="宋体"/>
                <w:color w:val="auto"/>
                <w:szCs w:val="21"/>
              </w:rPr>
              <w:t>0771-8529259</w:t>
            </w:r>
          </w:p>
        </w:tc>
      </w:tr>
      <w:tr w14:paraId="1B6369C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387912">
            <w:pPr>
              <w:widowControl/>
              <w:jc w:val="left"/>
              <w:textAlignment w:val="center"/>
              <w:rPr>
                <w:rFonts w:ascii="宋体" w:hAnsi="宋体" w:cs="宋体"/>
                <w:color w:val="auto"/>
                <w:szCs w:val="21"/>
              </w:rPr>
            </w:pPr>
            <w:r>
              <w:rPr>
                <w:rFonts w:hint="eastAsia" w:ascii="宋体" w:hAnsi="宋体" w:cs="宋体"/>
                <w:color w:val="auto"/>
                <w:szCs w:val="21"/>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1014DED">
            <w:pPr>
              <w:widowControl/>
              <w:jc w:val="left"/>
              <w:textAlignment w:val="center"/>
              <w:rPr>
                <w:rFonts w:ascii="宋体" w:hAnsi="宋体" w:cs="宋体"/>
                <w:color w:val="auto"/>
                <w:szCs w:val="21"/>
              </w:rPr>
            </w:pPr>
            <w:r>
              <w:rPr>
                <w:rFonts w:hint="eastAsia" w:ascii="宋体" w:hAnsi="宋体" w:cs="宋体"/>
                <w:color w:val="auto"/>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6E21B66">
            <w:pPr>
              <w:widowControl/>
              <w:jc w:val="center"/>
              <w:textAlignment w:val="center"/>
              <w:rPr>
                <w:rFonts w:ascii="宋体" w:hAnsi="宋体" w:cs="宋体"/>
                <w:color w:val="auto"/>
                <w:szCs w:val="21"/>
              </w:rPr>
            </w:pPr>
            <w:r>
              <w:rPr>
                <w:rFonts w:hint="eastAsia" w:ascii="宋体" w:hAnsi="宋体" w:cs="宋体"/>
                <w:color w:val="auto"/>
                <w:szCs w:val="21"/>
              </w:rPr>
              <w:t>0771-7917258</w:t>
            </w:r>
          </w:p>
        </w:tc>
      </w:tr>
      <w:tr w14:paraId="1B4B3EBE">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F9F0BE">
            <w:pPr>
              <w:widowControl/>
              <w:jc w:val="left"/>
              <w:textAlignment w:val="center"/>
              <w:rPr>
                <w:rFonts w:ascii="宋体" w:hAnsi="宋体" w:cs="宋体"/>
                <w:color w:val="auto"/>
                <w:szCs w:val="21"/>
              </w:rPr>
            </w:pPr>
            <w:r>
              <w:rPr>
                <w:rFonts w:hint="eastAsia" w:ascii="宋体" w:hAnsi="宋体" w:cs="宋体"/>
                <w:color w:val="auto"/>
                <w:szCs w:val="21"/>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336352">
            <w:pPr>
              <w:widowControl/>
              <w:jc w:val="left"/>
              <w:textAlignment w:val="center"/>
              <w:rPr>
                <w:rFonts w:ascii="宋体" w:hAnsi="宋体" w:cs="宋体"/>
                <w:color w:val="auto"/>
                <w:szCs w:val="21"/>
              </w:rPr>
            </w:pPr>
            <w:r>
              <w:rPr>
                <w:rFonts w:hint="eastAsia" w:ascii="宋体" w:hAnsi="宋体" w:cs="宋体"/>
                <w:color w:val="auto"/>
                <w:szCs w:val="21"/>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1F52633">
            <w:pPr>
              <w:widowControl/>
              <w:jc w:val="center"/>
              <w:textAlignment w:val="center"/>
              <w:rPr>
                <w:rFonts w:ascii="宋体" w:hAnsi="宋体" w:cs="宋体"/>
                <w:color w:val="auto"/>
                <w:szCs w:val="21"/>
              </w:rPr>
            </w:pPr>
            <w:r>
              <w:rPr>
                <w:rFonts w:hint="eastAsia" w:ascii="宋体" w:hAnsi="宋体" w:cs="宋体"/>
                <w:color w:val="auto"/>
                <w:szCs w:val="21"/>
              </w:rPr>
              <w:t>0771-8525068 0771-8536852</w:t>
            </w:r>
          </w:p>
        </w:tc>
      </w:tr>
      <w:tr w14:paraId="2C34A97C">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FF78DD">
            <w:pPr>
              <w:widowControl/>
              <w:jc w:val="left"/>
              <w:textAlignment w:val="center"/>
              <w:rPr>
                <w:rFonts w:ascii="宋体" w:hAnsi="宋体" w:cs="宋体"/>
                <w:color w:val="auto"/>
                <w:szCs w:val="21"/>
              </w:rPr>
            </w:pPr>
            <w:r>
              <w:rPr>
                <w:rFonts w:hint="eastAsia" w:ascii="宋体" w:hAnsi="宋体" w:cs="宋体"/>
                <w:color w:val="auto"/>
                <w:szCs w:val="21"/>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BA45351">
            <w:pPr>
              <w:widowControl/>
              <w:jc w:val="left"/>
              <w:textAlignment w:val="center"/>
              <w:rPr>
                <w:rFonts w:ascii="宋体" w:hAnsi="宋体" w:cs="宋体"/>
                <w:color w:val="auto"/>
                <w:szCs w:val="21"/>
              </w:rPr>
            </w:pPr>
            <w:r>
              <w:rPr>
                <w:rFonts w:hint="eastAsia" w:ascii="宋体" w:hAnsi="宋体" w:cs="宋体"/>
                <w:color w:val="auto"/>
                <w:szCs w:val="21"/>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2422B9F3">
            <w:pPr>
              <w:widowControl/>
              <w:jc w:val="center"/>
              <w:textAlignment w:val="center"/>
              <w:rPr>
                <w:rFonts w:ascii="宋体" w:hAnsi="宋体" w:cs="宋体"/>
                <w:color w:val="auto"/>
                <w:szCs w:val="21"/>
              </w:rPr>
            </w:pPr>
            <w:r>
              <w:rPr>
                <w:rFonts w:hint="eastAsia" w:ascii="宋体" w:hAnsi="宋体" w:cs="宋体"/>
                <w:color w:val="auto"/>
                <w:szCs w:val="21"/>
              </w:rPr>
              <w:t>0771-8551161</w:t>
            </w:r>
          </w:p>
        </w:tc>
      </w:tr>
      <w:tr w14:paraId="61A39DC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099AB5">
            <w:pPr>
              <w:widowControl/>
              <w:jc w:val="left"/>
              <w:textAlignment w:val="center"/>
              <w:rPr>
                <w:rFonts w:ascii="宋体" w:hAnsi="宋体" w:cs="宋体"/>
                <w:color w:val="auto"/>
                <w:szCs w:val="21"/>
              </w:rPr>
            </w:pPr>
            <w:r>
              <w:rPr>
                <w:rFonts w:hint="eastAsia" w:ascii="宋体" w:hAnsi="宋体" w:cs="宋体"/>
                <w:color w:val="auto"/>
                <w:szCs w:val="21"/>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827F1A7">
            <w:pPr>
              <w:widowControl/>
              <w:jc w:val="left"/>
              <w:textAlignment w:val="center"/>
              <w:rPr>
                <w:rFonts w:ascii="宋体" w:hAnsi="宋体" w:cs="宋体"/>
                <w:color w:val="auto"/>
                <w:szCs w:val="21"/>
              </w:rPr>
            </w:pPr>
            <w:r>
              <w:rPr>
                <w:rFonts w:hint="eastAsia" w:ascii="宋体" w:hAnsi="宋体" w:cs="宋体"/>
                <w:color w:val="auto"/>
                <w:szCs w:val="21"/>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04D60BE">
            <w:pPr>
              <w:widowControl/>
              <w:jc w:val="center"/>
              <w:textAlignment w:val="center"/>
              <w:rPr>
                <w:rFonts w:ascii="宋体" w:hAnsi="宋体" w:cs="宋体"/>
                <w:color w:val="auto"/>
                <w:szCs w:val="21"/>
              </w:rPr>
            </w:pPr>
            <w:r>
              <w:rPr>
                <w:rFonts w:hint="eastAsia" w:ascii="宋体" w:hAnsi="宋体" w:cs="宋体"/>
                <w:color w:val="auto"/>
                <w:szCs w:val="21"/>
              </w:rPr>
              <w:t>0771-8561665</w:t>
            </w:r>
          </w:p>
        </w:tc>
      </w:tr>
      <w:tr w14:paraId="05FCA3E2">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292B7B">
            <w:pPr>
              <w:widowControl/>
              <w:jc w:val="left"/>
              <w:textAlignment w:val="center"/>
              <w:rPr>
                <w:rFonts w:ascii="宋体" w:hAnsi="宋体" w:cs="宋体"/>
                <w:color w:val="auto"/>
                <w:szCs w:val="21"/>
              </w:rPr>
            </w:pPr>
            <w:r>
              <w:rPr>
                <w:rFonts w:hint="eastAsia" w:ascii="宋体" w:hAnsi="宋体" w:cs="宋体"/>
                <w:color w:val="auto"/>
                <w:szCs w:val="21"/>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8B1045F">
            <w:pPr>
              <w:widowControl/>
              <w:jc w:val="left"/>
              <w:textAlignment w:val="center"/>
              <w:rPr>
                <w:rFonts w:ascii="宋体" w:hAnsi="宋体" w:cs="宋体"/>
                <w:color w:val="auto"/>
                <w:szCs w:val="21"/>
              </w:rPr>
            </w:pPr>
            <w:r>
              <w:rPr>
                <w:rFonts w:hint="eastAsia" w:ascii="宋体" w:hAnsi="宋体" w:cs="宋体"/>
                <w:color w:val="auto"/>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0087C1B">
            <w:pPr>
              <w:widowControl/>
              <w:jc w:val="center"/>
              <w:textAlignment w:val="center"/>
              <w:rPr>
                <w:rFonts w:ascii="宋体" w:hAnsi="宋体" w:cs="宋体"/>
                <w:color w:val="auto"/>
                <w:szCs w:val="21"/>
              </w:rPr>
            </w:pPr>
            <w:r>
              <w:rPr>
                <w:rFonts w:hint="eastAsia" w:ascii="宋体" w:hAnsi="宋体" w:cs="宋体"/>
                <w:color w:val="auto"/>
                <w:szCs w:val="21"/>
              </w:rPr>
              <w:t>0771-8520356</w:t>
            </w:r>
          </w:p>
        </w:tc>
      </w:tr>
      <w:tr w14:paraId="189EBEA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8EBEE0">
            <w:pPr>
              <w:widowControl/>
              <w:jc w:val="left"/>
              <w:textAlignment w:val="center"/>
              <w:rPr>
                <w:rFonts w:ascii="宋体" w:hAnsi="宋体" w:cs="宋体"/>
                <w:color w:val="auto"/>
                <w:szCs w:val="21"/>
              </w:rPr>
            </w:pPr>
            <w:r>
              <w:rPr>
                <w:rFonts w:hint="eastAsia" w:ascii="宋体" w:hAnsi="宋体" w:cs="宋体"/>
                <w:color w:val="auto"/>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D139F04">
            <w:pPr>
              <w:widowControl/>
              <w:jc w:val="left"/>
              <w:textAlignment w:val="center"/>
              <w:rPr>
                <w:rFonts w:ascii="宋体" w:hAnsi="宋体" w:cs="宋体"/>
                <w:color w:val="auto"/>
                <w:szCs w:val="21"/>
              </w:rPr>
            </w:pPr>
            <w:r>
              <w:rPr>
                <w:rFonts w:hint="eastAsia" w:ascii="宋体" w:hAnsi="宋体" w:cs="宋体"/>
                <w:color w:val="auto"/>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8D8ADB2">
            <w:pPr>
              <w:widowControl/>
              <w:jc w:val="center"/>
              <w:textAlignment w:val="center"/>
              <w:rPr>
                <w:rFonts w:ascii="宋体" w:hAnsi="宋体" w:cs="宋体"/>
                <w:color w:val="auto"/>
                <w:szCs w:val="21"/>
              </w:rPr>
            </w:pPr>
            <w:r>
              <w:rPr>
                <w:rFonts w:hint="eastAsia" w:ascii="宋体" w:hAnsi="宋体" w:cs="宋体"/>
                <w:color w:val="auto"/>
                <w:szCs w:val="21"/>
              </w:rPr>
              <w:t>0771-8535667</w:t>
            </w:r>
          </w:p>
        </w:tc>
      </w:tr>
      <w:tr w14:paraId="3F73A509">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28B161">
            <w:pPr>
              <w:widowControl/>
              <w:jc w:val="left"/>
              <w:textAlignment w:val="center"/>
              <w:rPr>
                <w:rFonts w:ascii="宋体" w:hAnsi="宋体" w:cs="宋体"/>
                <w:color w:val="auto"/>
                <w:szCs w:val="21"/>
              </w:rPr>
            </w:pPr>
            <w:r>
              <w:rPr>
                <w:rFonts w:hint="eastAsia" w:ascii="宋体" w:hAnsi="宋体" w:cs="宋体"/>
                <w:color w:val="auto"/>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654AA9C">
            <w:pPr>
              <w:widowControl/>
              <w:jc w:val="left"/>
              <w:textAlignment w:val="center"/>
              <w:rPr>
                <w:rFonts w:ascii="宋体" w:hAnsi="宋体" w:cs="宋体"/>
                <w:color w:val="auto"/>
                <w:szCs w:val="21"/>
              </w:rPr>
            </w:pPr>
            <w:r>
              <w:rPr>
                <w:rFonts w:hint="eastAsia" w:ascii="宋体" w:hAnsi="宋体" w:cs="宋体"/>
                <w:color w:val="auto"/>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0BBB581">
            <w:pPr>
              <w:widowControl/>
              <w:jc w:val="center"/>
              <w:textAlignment w:val="center"/>
              <w:rPr>
                <w:rFonts w:ascii="宋体" w:hAnsi="宋体" w:cs="宋体"/>
                <w:color w:val="auto"/>
                <w:szCs w:val="21"/>
              </w:rPr>
            </w:pPr>
            <w:r>
              <w:rPr>
                <w:rFonts w:hint="eastAsia" w:ascii="宋体" w:hAnsi="宋体" w:cs="宋体"/>
                <w:color w:val="auto"/>
                <w:szCs w:val="21"/>
              </w:rPr>
              <w:t>0771-8520550</w:t>
            </w:r>
          </w:p>
        </w:tc>
      </w:tr>
      <w:tr w14:paraId="46AEE613">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64F398">
            <w:pPr>
              <w:widowControl/>
              <w:jc w:val="left"/>
              <w:textAlignment w:val="center"/>
              <w:rPr>
                <w:rFonts w:ascii="宋体" w:hAnsi="宋体" w:cs="宋体"/>
                <w:color w:val="auto"/>
                <w:szCs w:val="21"/>
              </w:rPr>
            </w:pPr>
            <w:r>
              <w:rPr>
                <w:rFonts w:hint="eastAsia" w:ascii="宋体" w:hAnsi="宋体" w:cs="宋体"/>
                <w:color w:val="auto"/>
                <w:szCs w:val="21"/>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7766682">
            <w:pPr>
              <w:widowControl/>
              <w:jc w:val="left"/>
              <w:textAlignment w:val="center"/>
              <w:rPr>
                <w:rFonts w:ascii="宋体" w:hAnsi="宋体" w:cs="宋体"/>
                <w:color w:val="auto"/>
                <w:szCs w:val="21"/>
              </w:rPr>
            </w:pPr>
            <w:r>
              <w:rPr>
                <w:rFonts w:hint="eastAsia" w:ascii="宋体" w:hAnsi="宋体" w:cs="宋体"/>
                <w:color w:val="auto"/>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BAE33CE">
            <w:pPr>
              <w:widowControl/>
              <w:jc w:val="center"/>
              <w:textAlignment w:val="center"/>
              <w:rPr>
                <w:rFonts w:ascii="宋体" w:hAnsi="宋体" w:cs="宋体"/>
                <w:color w:val="auto"/>
                <w:szCs w:val="21"/>
              </w:rPr>
            </w:pPr>
            <w:r>
              <w:rPr>
                <w:rFonts w:hint="eastAsia" w:ascii="宋体" w:hAnsi="宋体" w:cs="宋体"/>
                <w:color w:val="auto"/>
                <w:szCs w:val="21"/>
              </w:rPr>
              <w:t>0771-8556667</w:t>
            </w:r>
          </w:p>
        </w:tc>
      </w:tr>
    </w:tbl>
    <w:p w14:paraId="5B0BC055">
      <w:pPr>
        <w:jc w:val="left"/>
        <w:rPr>
          <w:rFonts w:ascii="宋体" w:hAnsi="宋体" w:cs="宋体"/>
          <w:color w:val="auto"/>
          <w:szCs w:val="21"/>
        </w:rPr>
      </w:pPr>
    </w:p>
    <w:p w14:paraId="1ADB6032">
      <w:pPr>
        <w:pStyle w:val="4"/>
        <w:rPr>
          <w:color w:val="auto"/>
        </w:rPr>
      </w:pPr>
    </w:p>
    <w:sectPr>
      <w:footerReference r:id="rId8" w:type="default"/>
      <w:footerReference r:id="rId9" w:type="even"/>
      <w:pgSz w:w="11906" w:h="16838"/>
      <w:pgMar w:top="1304" w:right="1134" w:bottom="113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华文细黑">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宋体"/>
    <w:panose1 w:val="00000000000000000000"/>
    <w:charset w:val="86"/>
    <w:family w:val="auto"/>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方正小标宋简体">
    <w:altName w:val="黑体"/>
    <w:panose1 w:val="00000000000000000000"/>
    <w:charset w:val="86"/>
    <w:family w:val="script"/>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DD15F">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7F57C">
    <w:pPr>
      <w:pStyle w:val="29"/>
      <w:jc w:val="center"/>
    </w:pPr>
    <w:r>
      <w:fldChar w:fldCharType="begin"/>
    </w:r>
    <w:r>
      <w:instrText xml:space="preserve">PAGE   \* MERGEFORMAT</w:instrText>
    </w:r>
    <w:r>
      <w:fldChar w:fldCharType="separate"/>
    </w:r>
    <w:r>
      <w:rPr>
        <w:lang w:val="zh-CN"/>
      </w:rPr>
      <w:t>8</w:t>
    </w:r>
    <w:r>
      <w:rPr>
        <w:lang w:val="zh-CN"/>
      </w:rPr>
      <w:fldChar w:fldCharType="end"/>
    </w:r>
  </w:p>
  <w:p w14:paraId="5EB6D7CF">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C380C">
    <w:pPr>
      <w:pStyle w:val="29"/>
    </w:pPr>
    <w:r>
      <w:pict>
        <v:shape id="文本框 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A8edo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fyCMysMNfz4/dvxx6/j&#10;z69sFu3pnC8o685RXuhfQU9Dk6R6dwvys2cWbhpht+oaEbpGiYro5fFldu/pgOMjyKZ7CxXVEbsA&#10;Caiv0UTvyA1G6NSaw7k1qg9MxpL5/OXskjNJV/ksn88vUwVRjI8d+vBagWExKDlS5xO42N/6EMmI&#10;YkyJtSysddum7rf2rwNKjCeJfOQ7MA/9pj+ZsYHqQDIQhmGir0RBA/iFs44GqeSW/g1n7RtLRsSZ&#10;GwMcg80YCCvpYckDZ0N4E4bZ3DnU24ZwR6uvyay1TkKiqwOHE0sajaTvNMZx9u7vU9afr7v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APHnaCgIAAAIEAAAOAAAAAAAAAAEAIAAAAB8BAABk&#10;cnMvZTJvRG9jLnhtbFBLBQYAAAAABgAGAFkBAACbBQAAAAA=&#10;">
          <v:path/>
          <v:fill on="f" focussize="0,0"/>
          <v:stroke on="f" joinstyle="miter"/>
          <v:imagedata o:title=""/>
          <o:lock v:ext="edit"/>
          <v:textbox inset="0mm,0mm,0mm,0mm" style="mso-fit-shape-to-text:t;">
            <w:txbxContent>
              <w:p w14:paraId="4A99792D">
                <w:pPr>
                  <w:pStyle w:val="29"/>
                  <w:rPr>
                    <w:rStyle w:val="49"/>
                  </w:rPr>
                </w:pPr>
                <w:r>
                  <w:fldChar w:fldCharType="begin"/>
                </w:r>
                <w:r>
                  <w:rPr>
                    <w:rStyle w:val="49"/>
                  </w:rPr>
                  <w:instrText xml:space="preserve">PAGE  </w:instrText>
                </w:r>
                <w:r>
                  <w:fldChar w:fldCharType="separate"/>
                </w:r>
                <w:r>
                  <w:rPr>
                    <w:rStyle w:val="49"/>
                  </w:rPr>
                  <w:t>62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1DB0A">
    <w:pPr>
      <w:pStyle w:val="29"/>
      <w:framePr w:wrap="around" w:vAnchor="text" w:hAnchor="margin" w:xAlign="center" w:y="1"/>
      <w:rPr>
        <w:rStyle w:val="49"/>
      </w:rPr>
    </w:pPr>
    <w:r>
      <w:fldChar w:fldCharType="begin"/>
    </w:r>
    <w:r>
      <w:rPr>
        <w:rStyle w:val="49"/>
      </w:rPr>
      <w:instrText xml:space="preserve">PAGE  </w:instrText>
    </w:r>
    <w:r>
      <w:fldChar w:fldCharType="end"/>
    </w:r>
  </w:p>
  <w:p w14:paraId="335F3E5C">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BC85A">
    <w:pPr>
      <w:pStyle w:val="29"/>
    </w:pPr>
    <w:r>
      <w:pict>
        <v:shape id="文本框 1030" o:spid="_x0000_s1027"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PlfknQAAAAAwEAAA8AAAAAAAAAAQAgAAAAIgAAAGRy&#10;cy9kb3ducmV2LnhtbFBLAQIUABQAAAAIAIdO4kCW13ZODQIAAAUEAAAOAAAAAAAAAAEAIAAAAB8B&#10;AABkcnMvZTJvRG9jLnhtbFBLBQYAAAAABgAGAFkBAACeBQAAAAA=&#10;">
          <v:path/>
          <v:fill on="f" focussize="0,0"/>
          <v:stroke on="f" joinstyle="miter"/>
          <v:imagedata o:title=""/>
          <o:lock v:ext="edit"/>
          <v:textbox inset="0mm,0mm,0mm,0mm" style="mso-fit-shape-to-text:t;">
            <w:txbxContent>
              <w:p w14:paraId="6B43D61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C28B9">
    <w:pPr>
      <w:pStyle w:val="29"/>
      <w:framePr w:wrap="around" w:vAnchor="text" w:hAnchor="margin" w:xAlign="center" w:y="1"/>
      <w:rPr>
        <w:rStyle w:val="49"/>
      </w:rPr>
    </w:pPr>
    <w:r>
      <w:fldChar w:fldCharType="begin"/>
    </w:r>
    <w:r>
      <w:rPr>
        <w:rStyle w:val="49"/>
      </w:rPr>
      <w:instrText xml:space="preserve">PAGE  </w:instrText>
    </w:r>
    <w:r>
      <w:fldChar w:fldCharType="end"/>
    </w:r>
  </w:p>
  <w:p w14:paraId="113491B6">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9782B">
    <w:pPr>
      <w:pStyle w:val="30"/>
      <w:pBdr>
        <w:bottom w:val="none" w:color="auto" w:sz="0" w:space="0"/>
      </w:pBdr>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4C377"/>
    <w:multiLevelType w:val="singleLevel"/>
    <w:tmpl w:val="DA74C377"/>
    <w:lvl w:ilvl="0" w:tentative="0">
      <w:start w:val="1"/>
      <w:numFmt w:val="decimal"/>
      <w:suff w:val="nothing"/>
      <w:lvlText w:val="（%1）"/>
      <w:lvlJc w:val="left"/>
    </w:lvl>
  </w:abstractNum>
  <w:abstractNum w:abstractNumId="1">
    <w:nsid w:val="2659688A"/>
    <w:multiLevelType w:val="singleLevel"/>
    <w:tmpl w:val="2659688A"/>
    <w:lvl w:ilvl="0" w:tentative="0">
      <w:start w:val="7"/>
      <w:numFmt w:val="decimal"/>
      <w:pStyle w:val="245"/>
      <w:lvlText w:val="%1、"/>
      <w:lvlJc w:val="left"/>
      <w:pPr>
        <w:tabs>
          <w:tab w:val="left" w:pos="1260"/>
        </w:tabs>
        <w:ind w:left="1260" w:hanging="720"/>
      </w:pPr>
      <w:rPr>
        <w:rFonts w:hint="eastAsia"/>
      </w:rPr>
    </w:lvl>
  </w:abstractNum>
  <w:abstractNum w:abstractNumId="2">
    <w:nsid w:val="53578075"/>
    <w:multiLevelType w:val="singleLevel"/>
    <w:tmpl w:val="53578075"/>
    <w:lvl w:ilvl="0" w:tentative="0">
      <w:start w:val="2"/>
      <w:numFmt w:val="decimal"/>
      <w:suff w:val="nothing"/>
      <w:lvlText w:val="（%1）"/>
      <w:lvlJc w:val="left"/>
    </w:lvl>
  </w:abstractNum>
  <w:abstractNum w:abstractNumId="3">
    <w:nsid w:val="5A23BBC6"/>
    <w:multiLevelType w:val="singleLevel"/>
    <w:tmpl w:val="5A23BBC6"/>
    <w:lvl w:ilvl="0" w:tentative="0">
      <w:start w:val="2"/>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DkyOWNiZDE4N2I2OGQ3YjgxNmNlNDJkNzgxMjEyMTEifQ=="/>
  </w:docVars>
  <w:rsids>
    <w:rsidRoot w:val="00172A27"/>
    <w:rsid w:val="00000953"/>
    <w:rsid w:val="00000F72"/>
    <w:rsid w:val="00002848"/>
    <w:rsid w:val="00002D06"/>
    <w:rsid w:val="0000367E"/>
    <w:rsid w:val="0000401E"/>
    <w:rsid w:val="000043FB"/>
    <w:rsid w:val="00004564"/>
    <w:rsid w:val="00004A40"/>
    <w:rsid w:val="00007FDD"/>
    <w:rsid w:val="00010215"/>
    <w:rsid w:val="00010A88"/>
    <w:rsid w:val="00011934"/>
    <w:rsid w:val="00011BC1"/>
    <w:rsid w:val="00014128"/>
    <w:rsid w:val="00014131"/>
    <w:rsid w:val="000142D8"/>
    <w:rsid w:val="0001443F"/>
    <w:rsid w:val="00014639"/>
    <w:rsid w:val="00015073"/>
    <w:rsid w:val="00015369"/>
    <w:rsid w:val="00015C4D"/>
    <w:rsid w:val="000162B6"/>
    <w:rsid w:val="00016791"/>
    <w:rsid w:val="00016E98"/>
    <w:rsid w:val="0001798A"/>
    <w:rsid w:val="00020532"/>
    <w:rsid w:val="000206AF"/>
    <w:rsid w:val="00021640"/>
    <w:rsid w:val="000229FD"/>
    <w:rsid w:val="00023164"/>
    <w:rsid w:val="0002331D"/>
    <w:rsid w:val="00023523"/>
    <w:rsid w:val="000237C4"/>
    <w:rsid w:val="00023F63"/>
    <w:rsid w:val="000244F8"/>
    <w:rsid w:val="0002455D"/>
    <w:rsid w:val="00024676"/>
    <w:rsid w:val="000270D7"/>
    <w:rsid w:val="000316C1"/>
    <w:rsid w:val="000331C4"/>
    <w:rsid w:val="000336DA"/>
    <w:rsid w:val="000340C8"/>
    <w:rsid w:val="00034923"/>
    <w:rsid w:val="00034DE8"/>
    <w:rsid w:val="000367A3"/>
    <w:rsid w:val="0003756D"/>
    <w:rsid w:val="000378C5"/>
    <w:rsid w:val="000379AC"/>
    <w:rsid w:val="00037B19"/>
    <w:rsid w:val="00040D09"/>
    <w:rsid w:val="0004192E"/>
    <w:rsid w:val="00041D16"/>
    <w:rsid w:val="00042022"/>
    <w:rsid w:val="000422BF"/>
    <w:rsid w:val="0004281C"/>
    <w:rsid w:val="00042FD9"/>
    <w:rsid w:val="00043EF5"/>
    <w:rsid w:val="000446F7"/>
    <w:rsid w:val="000448CD"/>
    <w:rsid w:val="0004529D"/>
    <w:rsid w:val="000454C0"/>
    <w:rsid w:val="000455CF"/>
    <w:rsid w:val="00045EE1"/>
    <w:rsid w:val="0004685F"/>
    <w:rsid w:val="00046B1D"/>
    <w:rsid w:val="00050775"/>
    <w:rsid w:val="00051D9B"/>
    <w:rsid w:val="0005239B"/>
    <w:rsid w:val="000528F2"/>
    <w:rsid w:val="00052F1B"/>
    <w:rsid w:val="000535D7"/>
    <w:rsid w:val="00054C3C"/>
    <w:rsid w:val="0005511B"/>
    <w:rsid w:val="0005575C"/>
    <w:rsid w:val="00057322"/>
    <w:rsid w:val="000575E8"/>
    <w:rsid w:val="00062E51"/>
    <w:rsid w:val="00063067"/>
    <w:rsid w:val="0006319A"/>
    <w:rsid w:val="00063B28"/>
    <w:rsid w:val="00063D49"/>
    <w:rsid w:val="00065165"/>
    <w:rsid w:val="000653A8"/>
    <w:rsid w:val="00065FD8"/>
    <w:rsid w:val="00066821"/>
    <w:rsid w:val="00066860"/>
    <w:rsid w:val="0006702E"/>
    <w:rsid w:val="0006714B"/>
    <w:rsid w:val="000672AC"/>
    <w:rsid w:val="00067E8C"/>
    <w:rsid w:val="00070982"/>
    <w:rsid w:val="00070B71"/>
    <w:rsid w:val="00071007"/>
    <w:rsid w:val="00071318"/>
    <w:rsid w:val="0007168E"/>
    <w:rsid w:val="000728A8"/>
    <w:rsid w:val="000730A4"/>
    <w:rsid w:val="00074C10"/>
    <w:rsid w:val="000751B2"/>
    <w:rsid w:val="00075B61"/>
    <w:rsid w:val="00076B10"/>
    <w:rsid w:val="00077175"/>
    <w:rsid w:val="00080A9D"/>
    <w:rsid w:val="00080ABC"/>
    <w:rsid w:val="000822BF"/>
    <w:rsid w:val="000826B8"/>
    <w:rsid w:val="000835D4"/>
    <w:rsid w:val="0008484F"/>
    <w:rsid w:val="0008558E"/>
    <w:rsid w:val="00085833"/>
    <w:rsid w:val="00086937"/>
    <w:rsid w:val="00086A3B"/>
    <w:rsid w:val="00086DFC"/>
    <w:rsid w:val="00087072"/>
    <w:rsid w:val="00087E1B"/>
    <w:rsid w:val="0009202F"/>
    <w:rsid w:val="00092103"/>
    <w:rsid w:val="0009288C"/>
    <w:rsid w:val="00092FC6"/>
    <w:rsid w:val="00094397"/>
    <w:rsid w:val="00095646"/>
    <w:rsid w:val="00095E53"/>
    <w:rsid w:val="000968BC"/>
    <w:rsid w:val="000A06CE"/>
    <w:rsid w:val="000A0D50"/>
    <w:rsid w:val="000A0EAB"/>
    <w:rsid w:val="000A124D"/>
    <w:rsid w:val="000A12CE"/>
    <w:rsid w:val="000A1461"/>
    <w:rsid w:val="000A1E84"/>
    <w:rsid w:val="000A3DFE"/>
    <w:rsid w:val="000A563C"/>
    <w:rsid w:val="000A7629"/>
    <w:rsid w:val="000A76DE"/>
    <w:rsid w:val="000A78ED"/>
    <w:rsid w:val="000B18EF"/>
    <w:rsid w:val="000B26F6"/>
    <w:rsid w:val="000B2783"/>
    <w:rsid w:val="000B34AE"/>
    <w:rsid w:val="000B3A3A"/>
    <w:rsid w:val="000B446F"/>
    <w:rsid w:val="000B44B8"/>
    <w:rsid w:val="000B5472"/>
    <w:rsid w:val="000B65D4"/>
    <w:rsid w:val="000B72C1"/>
    <w:rsid w:val="000B7448"/>
    <w:rsid w:val="000B7BA8"/>
    <w:rsid w:val="000C0EDC"/>
    <w:rsid w:val="000C16EA"/>
    <w:rsid w:val="000C17B5"/>
    <w:rsid w:val="000C2D68"/>
    <w:rsid w:val="000C3805"/>
    <w:rsid w:val="000C3A17"/>
    <w:rsid w:val="000C4574"/>
    <w:rsid w:val="000C548A"/>
    <w:rsid w:val="000C54F8"/>
    <w:rsid w:val="000C5DB5"/>
    <w:rsid w:val="000C647E"/>
    <w:rsid w:val="000D0A7A"/>
    <w:rsid w:val="000D0DCF"/>
    <w:rsid w:val="000D13A4"/>
    <w:rsid w:val="000D1F08"/>
    <w:rsid w:val="000D1F23"/>
    <w:rsid w:val="000D26D4"/>
    <w:rsid w:val="000D2911"/>
    <w:rsid w:val="000D2C68"/>
    <w:rsid w:val="000D4016"/>
    <w:rsid w:val="000D40CA"/>
    <w:rsid w:val="000D4253"/>
    <w:rsid w:val="000D4C3A"/>
    <w:rsid w:val="000D5065"/>
    <w:rsid w:val="000D5F15"/>
    <w:rsid w:val="000D6A91"/>
    <w:rsid w:val="000D6B0C"/>
    <w:rsid w:val="000D6E2A"/>
    <w:rsid w:val="000D6F43"/>
    <w:rsid w:val="000E0B20"/>
    <w:rsid w:val="000E0C60"/>
    <w:rsid w:val="000E1319"/>
    <w:rsid w:val="000E1CC6"/>
    <w:rsid w:val="000E5545"/>
    <w:rsid w:val="000E6288"/>
    <w:rsid w:val="000E6483"/>
    <w:rsid w:val="000F021E"/>
    <w:rsid w:val="000F026D"/>
    <w:rsid w:val="000F123C"/>
    <w:rsid w:val="000F1CA2"/>
    <w:rsid w:val="000F2A44"/>
    <w:rsid w:val="000F4D6A"/>
    <w:rsid w:val="000F6C2F"/>
    <w:rsid w:val="000F7712"/>
    <w:rsid w:val="000F7A47"/>
    <w:rsid w:val="001009E3"/>
    <w:rsid w:val="00102DBD"/>
    <w:rsid w:val="001044F3"/>
    <w:rsid w:val="0010503C"/>
    <w:rsid w:val="00105C2B"/>
    <w:rsid w:val="001063A6"/>
    <w:rsid w:val="00107281"/>
    <w:rsid w:val="00107CB4"/>
    <w:rsid w:val="00107DBE"/>
    <w:rsid w:val="00107DC8"/>
    <w:rsid w:val="00107E74"/>
    <w:rsid w:val="0011033F"/>
    <w:rsid w:val="00110965"/>
    <w:rsid w:val="00112F08"/>
    <w:rsid w:val="0011372F"/>
    <w:rsid w:val="00114E16"/>
    <w:rsid w:val="001153D6"/>
    <w:rsid w:val="00115AFC"/>
    <w:rsid w:val="00115DA4"/>
    <w:rsid w:val="00116438"/>
    <w:rsid w:val="00116466"/>
    <w:rsid w:val="00117410"/>
    <w:rsid w:val="00117C93"/>
    <w:rsid w:val="00117FD1"/>
    <w:rsid w:val="00121E26"/>
    <w:rsid w:val="00122AF5"/>
    <w:rsid w:val="00123FAE"/>
    <w:rsid w:val="00127986"/>
    <w:rsid w:val="00127A4C"/>
    <w:rsid w:val="00127A81"/>
    <w:rsid w:val="00127AC3"/>
    <w:rsid w:val="00127BBE"/>
    <w:rsid w:val="00127D05"/>
    <w:rsid w:val="001305F4"/>
    <w:rsid w:val="00130640"/>
    <w:rsid w:val="0013259B"/>
    <w:rsid w:val="00132E42"/>
    <w:rsid w:val="00132E91"/>
    <w:rsid w:val="0013375D"/>
    <w:rsid w:val="001338A3"/>
    <w:rsid w:val="001404A1"/>
    <w:rsid w:val="001404A9"/>
    <w:rsid w:val="00140CE0"/>
    <w:rsid w:val="00140EE7"/>
    <w:rsid w:val="001417FC"/>
    <w:rsid w:val="00141A43"/>
    <w:rsid w:val="00141FF4"/>
    <w:rsid w:val="001420DC"/>
    <w:rsid w:val="00144107"/>
    <w:rsid w:val="00144308"/>
    <w:rsid w:val="001447E2"/>
    <w:rsid w:val="00144C52"/>
    <w:rsid w:val="001457FA"/>
    <w:rsid w:val="001479F5"/>
    <w:rsid w:val="00150819"/>
    <w:rsid w:val="00150D4B"/>
    <w:rsid w:val="00151917"/>
    <w:rsid w:val="001519F9"/>
    <w:rsid w:val="00152350"/>
    <w:rsid w:val="0015555B"/>
    <w:rsid w:val="00155A82"/>
    <w:rsid w:val="00156DD2"/>
    <w:rsid w:val="001571F3"/>
    <w:rsid w:val="00157E3B"/>
    <w:rsid w:val="00162C9C"/>
    <w:rsid w:val="001638A6"/>
    <w:rsid w:val="00163C04"/>
    <w:rsid w:val="001650A5"/>
    <w:rsid w:val="001655AB"/>
    <w:rsid w:val="00165769"/>
    <w:rsid w:val="001712AF"/>
    <w:rsid w:val="00172A27"/>
    <w:rsid w:val="00172A7A"/>
    <w:rsid w:val="001730C0"/>
    <w:rsid w:val="00175751"/>
    <w:rsid w:val="00175826"/>
    <w:rsid w:val="001762FF"/>
    <w:rsid w:val="00176FA3"/>
    <w:rsid w:val="0017778E"/>
    <w:rsid w:val="00180895"/>
    <w:rsid w:val="00182D48"/>
    <w:rsid w:val="0018344B"/>
    <w:rsid w:val="001835F6"/>
    <w:rsid w:val="001850C4"/>
    <w:rsid w:val="001858C2"/>
    <w:rsid w:val="00185A5D"/>
    <w:rsid w:val="001909B5"/>
    <w:rsid w:val="00191610"/>
    <w:rsid w:val="001945DF"/>
    <w:rsid w:val="00196485"/>
    <w:rsid w:val="00196A28"/>
    <w:rsid w:val="00196C36"/>
    <w:rsid w:val="001A0630"/>
    <w:rsid w:val="001A1BC9"/>
    <w:rsid w:val="001A42E4"/>
    <w:rsid w:val="001A456E"/>
    <w:rsid w:val="001A461C"/>
    <w:rsid w:val="001A50ED"/>
    <w:rsid w:val="001A768C"/>
    <w:rsid w:val="001A7B91"/>
    <w:rsid w:val="001B14E9"/>
    <w:rsid w:val="001B15D7"/>
    <w:rsid w:val="001B2580"/>
    <w:rsid w:val="001B2A61"/>
    <w:rsid w:val="001B3D80"/>
    <w:rsid w:val="001B4CF4"/>
    <w:rsid w:val="001B4E50"/>
    <w:rsid w:val="001B5157"/>
    <w:rsid w:val="001B55B3"/>
    <w:rsid w:val="001B77A9"/>
    <w:rsid w:val="001C293E"/>
    <w:rsid w:val="001C2E31"/>
    <w:rsid w:val="001C30BA"/>
    <w:rsid w:val="001C322A"/>
    <w:rsid w:val="001C3A5C"/>
    <w:rsid w:val="001C3BF9"/>
    <w:rsid w:val="001C51B4"/>
    <w:rsid w:val="001C5FF6"/>
    <w:rsid w:val="001C6356"/>
    <w:rsid w:val="001D0015"/>
    <w:rsid w:val="001D09C2"/>
    <w:rsid w:val="001D1F31"/>
    <w:rsid w:val="001D2C4B"/>
    <w:rsid w:val="001D2E43"/>
    <w:rsid w:val="001D3F52"/>
    <w:rsid w:val="001D45D9"/>
    <w:rsid w:val="001D5F6E"/>
    <w:rsid w:val="001D6318"/>
    <w:rsid w:val="001D724F"/>
    <w:rsid w:val="001D7393"/>
    <w:rsid w:val="001D7EDF"/>
    <w:rsid w:val="001E0118"/>
    <w:rsid w:val="001E0904"/>
    <w:rsid w:val="001E09EB"/>
    <w:rsid w:val="001E1B6D"/>
    <w:rsid w:val="001E2405"/>
    <w:rsid w:val="001E2C78"/>
    <w:rsid w:val="001E2F92"/>
    <w:rsid w:val="001E6FAB"/>
    <w:rsid w:val="001E7CC1"/>
    <w:rsid w:val="001F0DA4"/>
    <w:rsid w:val="001F2668"/>
    <w:rsid w:val="001F2832"/>
    <w:rsid w:val="001F4E11"/>
    <w:rsid w:val="001F4E5A"/>
    <w:rsid w:val="001F5C08"/>
    <w:rsid w:val="001F6003"/>
    <w:rsid w:val="001F6CDF"/>
    <w:rsid w:val="001F710A"/>
    <w:rsid w:val="001F7B9E"/>
    <w:rsid w:val="001F7D02"/>
    <w:rsid w:val="00200DA4"/>
    <w:rsid w:val="002019C7"/>
    <w:rsid w:val="00201ADA"/>
    <w:rsid w:val="002021EC"/>
    <w:rsid w:val="00203238"/>
    <w:rsid w:val="00204403"/>
    <w:rsid w:val="00205ACE"/>
    <w:rsid w:val="00206C99"/>
    <w:rsid w:val="0020745E"/>
    <w:rsid w:val="002077EC"/>
    <w:rsid w:val="00207DF6"/>
    <w:rsid w:val="002105CE"/>
    <w:rsid w:val="00210B15"/>
    <w:rsid w:val="00211FB8"/>
    <w:rsid w:val="002127CE"/>
    <w:rsid w:val="00212C85"/>
    <w:rsid w:val="0021345A"/>
    <w:rsid w:val="002134EE"/>
    <w:rsid w:val="002141AB"/>
    <w:rsid w:val="002156BD"/>
    <w:rsid w:val="00215C33"/>
    <w:rsid w:val="0021636E"/>
    <w:rsid w:val="002167C1"/>
    <w:rsid w:val="00216CCF"/>
    <w:rsid w:val="00216D92"/>
    <w:rsid w:val="00217053"/>
    <w:rsid w:val="00217E54"/>
    <w:rsid w:val="002208ED"/>
    <w:rsid w:val="00220CE7"/>
    <w:rsid w:val="00220FEC"/>
    <w:rsid w:val="00222618"/>
    <w:rsid w:val="002241B4"/>
    <w:rsid w:val="002245D0"/>
    <w:rsid w:val="00224621"/>
    <w:rsid w:val="00224835"/>
    <w:rsid w:val="00224E89"/>
    <w:rsid w:val="0022513E"/>
    <w:rsid w:val="00225674"/>
    <w:rsid w:val="00226514"/>
    <w:rsid w:val="00226703"/>
    <w:rsid w:val="00226813"/>
    <w:rsid w:val="0022756D"/>
    <w:rsid w:val="0023217A"/>
    <w:rsid w:val="002326AC"/>
    <w:rsid w:val="002328BA"/>
    <w:rsid w:val="00232BB2"/>
    <w:rsid w:val="00232CC0"/>
    <w:rsid w:val="00233456"/>
    <w:rsid w:val="002337C3"/>
    <w:rsid w:val="00233E1D"/>
    <w:rsid w:val="002348AB"/>
    <w:rsid w:val="00234C74"/>
    <w:rsid w:val="002350DE"/>
    <w:rsid w:val="0023705B"/>
    <w:rsid w:val="00241839"/>
    <w:rsid w:val="00241B23"/>
    <w:rsid w:val="0024214A"/>
    <w:rsid w:val="00243FB0"/>
    <w:rsid w:val="002448BA"/>
    <w:rsid w:val="00244A0F"/>
    <w:rsid w:val="00246392"/>
    <w:rsid w:val="00250468"/>
    <w:rsid w:val="0025078A"/>
    <w:rsid w:val="00250A4B"/>
    <w:rsid w:val="00250AC0"/>
    <w:rsid w:val="002519E2"/>
    <w:rsid w:val="002529D3"/>
    <w:rsid w:val="002533C0"/>
    <w:rsid w:val="0025384F"/>
    <w:rsid w:val="002540FB"/>
    <w:rsid w:val="0025496A"/>
    <w:rsid w:val="00256C8C"/>
    <w:rsid w:val="0026020C"/>
    <w:rsid w:val="002621C8"/>
    <w:rsid w:val="0026256E"/>
    <w:rsid w:val="00262641"/>
    <w:rsid w:val="002632AD"/>
    <w:rsid w:val="0026330B"/>
    <w:rsid w:val="00263CE2"/>
    <w:rsid w:val="002645D9"/>
    <w:rsid w:val="00265F51"/>
    <w:rsid w:val="00267BB9"/>
    <w:rsid w:val="00270C1D"/>
    <w:rsid w:val="00273354"/>
    <w:rsid w:val="00274C65"/>
    <w:rsid w:val="00274D41"/>
    <w:rsid w:val="00276626"/>
    <w:rsid w:val="002771B6"/>
    <w:rsid w:val="0027724E"/>
    <w:rsid w:val="00280B23"/>
    <w:rsid w:val="00280CAD"/>
    <w:rsid w:val="002812C3"/>
    <w:rsid w:val="002814C0"/>
    <w:rsid w:val="0028156F"/>
    <w:rsid w:val="00281C5E"/>
    <w:rsid w:val="00282850"/>
    <w:rsid w:val="00282F80"/>
    <w:rsid w:val="002854D2"/>
    <w:rsid w:val="0028610B"/>
    <w:rsid w:val="00286146"/>
    <w:rsid w:val="002861A2"/>
    <w:rsid w:val="00286C08"/>
    <w:rsid w:val="0028709A"/>
    <w:rsid w:val="00290313"/>
    <w:rsid w:val="0029082A"/>
    <w:rsid w:val="00290999"/>
    <w:rsid w:val="00291BB8"/>
    <w:rsid w:val="00293093"/>
    <w:rsid w:val="00293322"/>
    <w:rsid w:val="00293704"/>
    <w:rsid w:val="00293B13"/>
    <w:rsid w:val="002941D5"/>
    <w:rsid w:val="00295AA8"/>
    <w:rsid w:val="00295C12"/>
    <w:rsid w:val="00295E45"/>
    <w:rsid w:val="00296FAA"/>
    <w:rsid w:val="0029736A"/>
    <w:rsid w:val="002976E2"/>
    <w:rsid w:val="00297F83"/>
    <w:rsid w:val="002A0175"/>
    <w:rsid w:val="002A223F"/>
    <w:rsid w:val="002A2B9E"/>
    <w:rsid w:val="002A2FF9"/>
    <w:rsid w:val="002A31A3"/>
    <w:rsid w:val="002A3A73"/>
    <w:rsid w:val="002A4DAB"/>
    <w:rsid w:val="002A5447"/>
    <w:rsid w:val="002A7933"/>
    <w:rsid w:val="002A7FA5"/>
    <w:rsid w:val="002B029F"/>
    <w:rsid w:val="002B02A0"/>
    <w:rsid w:val="002B1465"/>
    <w:rsid w:val="002B1787"/>
    <w:rsid w:val="002B1C25"/>
    <w:rsid w:val="002B2089"/>
    <w:rsid w:val="002B2689"/>
    <w:rsid w:val="002B2C27"/>
    <w:rsid w:val="002B3103"/>
    <w:rsid w:val="002B3352"/>
    <w:rsid w:val="002B458D"/>
    <w:rsid w:val="002B4783"/>
    <w:rsid w:val="002B4B47"/>
    <w:rsid w:val="002B570D"/>
    <w:rsid w:val="002B5713"/>
    <w:rsid w:val="002B5B83"/>
    <w:rsid w:val="002B6800"/>
    <w:rsid w:val="002B6EA3"/>
    <w:rsid w:val="002C07D4"/>
    <w:rsid w:val="002C0FEF"/>
    <w:rsid w:val="002C288F"/>
    <w:rsid w:val="002C375D"/>
    <w:rsid w:val="002C4800"/>
    <w:rsid w:val="002C4AA3"/>
    <w:rsid w:val="002C667A"/>
    <w:rsid w:val="002C7114"/>
    <w:rsid w:val="002D0139"/>
    <w:rsid w:val="002D075F"/>
    <w:rsid w:val="002D0A5B"/>
    <w:rsid w:val="002D2BEC"/>
    <w:rsid w:val="002D2E68"/>
    <w:rsid w:val="002D3857"/>
    <w:rsid w:val="002D3DDE"/>
    <w:rsid w:val="002D4850"/>
    <w:rsid w:val="002D4B79"/>
    <w:rsid w:val="002D4C2E"/>
    <w:rsid w:val="002D4D19"/>
    <w:rsid w:val="002D5EE6"/>
    <w:rsid w:val="002D5F58"/>
    <w:rsid w:val="002D5FB6"/>
    <w:rsid w:val="002D7109"/>
    <w:rsid w:val="002D718E"/>
    <w:rsid w:val="002E0288"/>
    <w:rsid w:val="002E0587"/>
    <w:rsid w:val="002E0DDB"/>
    <w:rsid w:val="002E18B8"/>
    <w:rsid w:val="002E37EC"/>
    <w:rsid w:val="002E3A91"/>
    <w:rsid w:val="002E3BA2"/>
    <w:rsid w:val="002E6286"/>
    <w:rsid w:val="002E639B"/>
    <w:rsid w:val="002E654D"/>
    <w:rsid w:val="002E6E90"/>
    <w:rsid w:val="002E74A0"/>
    <w:rsid w:val="002F1837"/>
    <w:rsid w:val="002F2ECE"/>
    <w:rsid w:val="002F2FB6"/>
    <w:rsid w:val="002F39E5"/>
    <w:rsid w:val="002F4459"/>
    <w:rsid w:val="002F4B93"/>
    <w:rsid w:val="002F5E70"/>
    <w:rsid w:val="002F6864"/>
    <w:rsid w:val="002F7841"/>
    <w:rsid w:val="00301944"/>
    <w:rsid w:val="00301C39"/>
    <w:rsid w:val="00301D8E"/>
    <w:rsid w:val="00303313"/>
    <w:rsid w:val="00303898"/>
    <w:rsid w:val="00305482"/>
    <w:rsid w:val="00306649"/>
    <w:rsid w:val="003078A6"/>
    <w:rsid w:val="00307AB2"/>
    <w:rsid w:val="003109D4"/>
    <w:rsid w:val="00311328"/>
    <w:rsid w:val="00311DB4"/>
    <w:rsid w:val="0031250A"/>
    <w:rsid w:val="003128F4"/>
    <w:rsid w:val="0031415A"/>
    <w:rsid w:val="003144BC"/>
    <w:rsid w:val="00314AC3"/>
    <w:rsid w:val="00314BC5"/>
    <w:rsid w:val="00315E45"/>
    <w:rsid w:val="00316886"/>
    <w:rsid w:val="00317172"/>
    <w:rsid w:val="0032337F"/>
    <w:rsid w:val="00323AEF"/>
    <w:rsid w:val="00324A8B"/>
    <w:rsid w:val="00324EEC"/>
    <w:rsid w:val="0032532C"/>
    <w:rsid w:val="00325C7B"/>
    <w:rsid w:val="003271CE"/>
    <w:rsid w:val="0033110E"/>
    <w:rsid w:val="003315DD"/>
    <w:rsid w:val="00331A68"/>
    <w:rsid w:val="00333401"/>
    <w:rsid w:val="00334410"/>
    <w:rsid w:val="003371E1"/>
    <w:rsid w:val="003371F3"/>
    <w:rsid w:val="0034036C"/>
    <w:rsid w:val="00340EF8"/>
    <w:rsid w:val="00343873"/>
    <w:rsid w:val="00343A34"/>
    <w:rsid w:val="00343ED8"/>
    <w:rsid w:val="003444E1"/>
    <w:rsid w:val="00345229"/>
    <w:rsid w:val="00345585"/>
    <w:rsid w:val="0034673C"/>
    <w:rsid w:val="0034754D"/>
    <w:rsid w:val="00347AA3"/>
    <w:rsid w:val="003501D9"/>
    <w:rsid w:val="00350420"/>
    <w:rsid w:val="003513A6"/>
    <w:rsid w:val="0035200C"/>
    <w:rsid w:val="0035238A"/>
    <w:rsid w:val="003534A5"/>
    <w:rsid w:val="00353F0D"/>
    <w:rsid w:val="00355BE4"/>
    <w:rsid w:val="00356129"/>
    <w:rsid w:val="00356165"/>
    <w:rsid w:val="00356E19"/>
    <w:rsid w:val="00357410"/>
    <w:rsid w:val="003601C9"/>
    <w:rsid w:val="00361552"/>
    <w:rsid w:val="00361849"/>
    <w:rsid w:val="0036193F"/>
    <w:rsid w:val="00361DC5"/>
    <w:rsid w:val="003620A9"/>
    <w:rsid w:val="003629C5"/>
    <w:rsid w:val="00363190"/>
    <w:rsid w:val="003642A6"/>
    <w:rsid w:val="003643D2"/>
    <w:rsid w:val="00367CE2"/>
    <w:rsid w:val="0037009D"/>
    <w:rsid w:val="003705B5"/>
    <w:rsid w:val="00370BC4"/>
    <w:rsid w:val="00371612"/>
    <w:rsid w:val="00371790"/>
    <w:rsid w:val="003717B0"/>
    <w:rsid w:val="0037294C"/>
    <w:rsid w:val="003729B4"/>
    <w:rsid w:val="0037306D"/>
    <w:rsid w:val="00373AAD"/>
    <w:rsid w:val="00374AEC"/>
    <w:rsid w:val="00376B16"/>
    <w:rsid w:val="003770B9"/>
    <w:rsid w:val="003774B5"/>
    <w:rsid w:val="003774F1"/>
    <w:rsid w:val="003779AD"/>
    <w:rsid w:val="00377A14"/>
    <w:rsid w:val="003819D8"/>
    <w:rsid w:val="00382421"/>
    <w:rsid w:val="003830F3"/>
    <w:rsid w:val="003838A4"/>
    <w:rsid w:val="00384CF8"/>
    <w:rsid w:val="003874A1"/>
    <w:rsid w:val="00391659"/>
    <w:rsid w:val="0039178F"/>
    <w:rsid w:val="00391E97"/>
    <w:rsid w:val="003923F8"/>
    <w:rsid w:val="00392F1E"/>
    <w:rsid w:val="003938A8"/>
    <w:rsid w:val="00393C09"/>
    <w:rsid w:val="00393F7F"/>
    <w:rsid w:val="0039485D"/>
    <w:rsid w:val="00394F78"/>
    <w:rsid w:val="00396BC5"/>
    <w:rsid w:val="003974C4"/>
    <w:rsid w:val="00397505"/>
    <w:rsid w:val="0039769C"/>
    <w:rsid w:val="003A1D01"/>
    <w:rsid w:val="003A1D41"/>
    <w:rsid w:val="003A266E"/>
    <w:rsid w:val="003A3D05"/>
    <w:rsid w:val="003A642D"/>
    <w:rsid w:val="003A6FA6"/>
    <w:rsid w:val="003A79EC"/>
    <w:rsid w:val="003A7CBF"/>
    <w:rsid w:val="003B015C"/>
    <w:rsid w:val="003B09C2"/>
    <w:rsid w:val="003B1360"/>
    <w:rsid w:val="003B14BD"/>
    <w:rsid w:val="003B2EC3"/>
    <w:rsid w:val="003B48F3"/>
    <w:rsid w:val="003B792E"/>
    <w:rsid w:val="003B7951"/>
    <w:rsid w:val="003B7EAA"/>
    <w:rsid w:val="003C1773"/>
    <w:rsid w:val="003C1E47"/>
    <w:rsid w:val="003C394C"/>
    <w:rsid w:val="003C3DF1"/>
    <w:rsid w:val="003C403E"/>
    <w:rsid w:val="003C512E"/>
    <w:rsid w:val="003C5896"/>
    <w:rsid w:val="003C63E6"/>
    <w:rsid w:val="003C7250"/>
    <w:rsid w:val="003C7C91"/>
    <w:rsid w:val="003D04D6"/>
    <w:rsid w:val="003D1CD9"/>
    <w:rsid w:val="003D47E5"/>
    <w:rsid w:val="003D56E0"/>
    <w:rsid w:val="003E0281"/>
    <w:rsid w:val="003E1A49"/>
    <w:rsid w:val="003E1FE8"/>
    <w:rsid w:val="003E2556"/>
    <w:rsid w:val="003E3841"/>
    <w:rsid w:val="003E3E75"/>
    <w:rsid w:val="003E4307"/>
    <w:rsid w:val="003E43B3"/>
    <w:rsid w:val="003E448A"/>
    <w:rsid w:val="003E4CD9"/>
    <w:rsid w:val="003E53EF"/>
    <w:rsid w:val="003E611B"/>
    <w:rsid w:val="003E61BD"/>
    <w:rsid w:val="003F081F"/>
    <w:rsid w:val="003F111A"/>
    <w:rsid w:val="003F13FF"/>
    <w:rsid w:val="003F27E8"/>
    <w:rsid w:val="003F2B22"/>
    <w:rsid w:val="003F3851"/>
    <w:rsid w:val="003F6AA4"/>
    <w:rsid w:val="003F6AC6"/>
    <w:rsid w:val="003F6C3C"/>
    <w:rsid w:val="003F7169"/>
    <w:rsid w:val="003F7284"/>
    <w:rsid w:val="00400679"/>
    <w:rsid w:val="00400CCC"/>
    <w:rsid w:val="00401A53"/>
    <w:rsid w:val="00401D32"/>
    <w:rsid w:val="00402053"/>
    <w:rsid w:val="004027AE"/>
    <w:rsid w:val="00403E54"/>
    <w:rsid w:val="00403FDB"/>
    <w:rsid w:val="004044AE"/>
    <w:rsid w:val="00404750"/>
    <w:rsid w:val="00404F2A"/>
    <w:rsid w:val="00406015"/>
    <w:rsid w:val="00406795"/>
    <w:rsid w:val="00406B66"/>
    <w:rsid w:val="00406C81"/>
    <w:rsid w:val="004108A7"/>
    <w:rsid w:val="00410DB1"/>
    <w:rsid w:val="0041123B"/>
    <w:rsid w:val="004117C4"/>
    <w:rsid w:val="00412387"/>
    <w:rsid w:val="00412609"/>
    <w:rsid w:val="00412A2B"/>
    <w:rsid w:val="00412F92"/>
    <w:rsid w:val="00414A4B"/>
    <w:rsid w:val="00415470"/>
    <w:rsid w:val="00415E5C"/>
    <w:rsid w:val="004163FD"/>
    <w:rsid w:val="00420282"/>
    <w:rsid w:val="004202CF"/>
    <w:rsid w:val="0042095B"/>
    <w:rsid w:val="0042096B"/>
    <w:rsid w:val="0042125F"/>
    <w:rsid w:val="00421807"/>
    <w:rsid w:val="00421BE3"/>
    <w:rsid w:val="00422D62"/>
    <w:rsid w:val="0042375E"/>
    <w:rsid w:val="004240DD"/>
    <w:rsid w:val="00424831"/>
    <w:rsid w:val="00425305"/>
    <w:rsid w:val="00425BA4"/>
    <w:rsid w:val="00425F93"/>
    <w:rsid w:val="004268F1"/>
    <w:rsid w:val="00430CC9"/>
    <w:rsid w:val="004346B4"/>
    <w:rsid w:val="00434D2F"/>
    <w:rsid w:val="004356C6"/>
    <w:rsid w:val="00435DB4"/>
    <w:rsid w:val="00436826"/>
    <w:rsid w:val="0044000F"/>
    <w:rsid w:val="00440887"/>
    <w:rsid w:val="00440B50"/>
    <w:rsid w:val="00441006"/>
    <w:rsid w:val="0044199C"/>
    <w:rsid w:val="0044268F"/>
    <w:rsid w:val="00442CC6"/>
    <w:rsid w:val="00442DC5"/>
    <w:rsid w:val="00442E3C"/>
    <w:rsid w:val="00443C0F"/>
    <w:rsid w:val="00444074"/>
    <w:rsid w:val="00450CDC"/>
    <w:rsid w:val="0045246E"/>
    <w:rsid w:val="00452783"/>
    <w:rsid w:val="00453221"/>
    <w:rsid w:val="004532CB"/>
    <w:rsid w:val="0045372C"/>
    <w:rsid w:val="00453C76"/>
    <w:rsid w:val="00453D3C"/>
    <w:rsid w:val="004543F1"/>
    <w:rsid w:val="00456660"/>
    <w:rsid w:val="00456B56"/>
    <w:rsid w:val="004602CD"/>
    <w:rsid w:val="00461088"/>
    <w:rsid w:val="004615C2"/>
    <w:rsid w:val="0046184D"/>
    <w:rsid w:val="00461DD7"/>
    <w:rsid w:val="004623EA"/>
    <w:rsid w:val="00462446"/>
    <w:rsid w:val="004636E5"/>
    <w:rsid w:val="00463850"/>
    <w:rsid w:val="00463FC7"/>
    <w:rsid w:val="004652F4"/>
    <w:rsid w:val="0046659A"/>
    <w:rsid w:val="00466C5F"/>
    <w:rsid w:val="00467148"/>
    <w:rsid w:val="00467533"/>
    <w:rsid w:val="0047118D"/>
    <w:rsid w:val="00471C80"/>
    <w:rsid w:val="00472001"/>
    <w:rsid w:val="0047277C"/>
    <w:rsid w:val="00473F56"/>
    <w:rsid w:val="00476586"/>
    <w:rsid w:val="00476A03"/>
    <w:rsid w:val="00476A36"/>
    <w:rsid w:val="00476F44"/>
    <w:rsid w:val="00477194"/>
    <w:rsid w:val="00480112"/>
    <w:rsid w:val="00480199"/>
    <w:rsid w:val="00480BDA"/>
    <w:rsid w:val="00481C67"/>
    <w:rsid w:val="004821F7"/>
    <w:rsid w:val="00483D88"/>
    <w:rsid w:val="00486418"/>
    <w:rsid w:val="004865EF"/>
    <w:rsid w:val="004878A7"/>
    <w:rsid w:val="00487B1C"/>
    <w:rsid w:val="004919C0"/>
    <w:rsid w:val="00491C3C"/>
    <w:rsid w:val="00493597"/>
    <w:rsid w:val="0049392A"/>
    <w:rsid w:val="004942BB"/>
    <w:rsid w:val="00494C55"/>
    <w:rsid w:val="0049526A"/>
    <w:rsid w:val="004974E9"/>
    <w:rsid w:val="004A0A92"/>
    <w:rsid w:val="004A19EC"/>
    <w:rsid w:val="004A3915"/>
    <w:rsid w:val="004A548E"/>
    <w:rsid w:val="004A5911"/>
    <w:rsid w:val="004B08D9"/>
    <w:rsid w:val="004B0930"/>
    <w:rsid w:val="004B0B3C"/>
    <w:rsid w:val="004B1B05"/>
    <w:rsid w:val="004B1EC0"/>
    <w:rsid w:val="004B25E5"/>
    <w:rsid w:val="004B2716"/>
    <w:rsid w:val="004B32B1"/>
    <w:rsid w:val="004B412F"/>
    <w:rsid w:val="004B6648"/>
    <w:rsid w:val="004B6BE6"/>
    <w:rsid w:val="004B6F03"/>
    <w:rsid w:val="004B713E"/>
    <w:rsid w:val="004B7FC4"/>
    <w:rsid w:val="004C0655"/>
    <w:rsid w:val="004C09D6"/>
    <w:rsid w:val="004C0F6F"/>
    <w:rsid w:val="004C1344"/>
    <w:rsid w:val="004C13BF"/>
    <w:rsid w:val="004C3807"/>
    <w:rsid w:val="004C43A0"/>
    <w:rsid w:val="004C54EF"/>
    <w:rsid w:val="004C618F"/>
    <w:rsid w:val="004C651D"/>
    <w:rsid w:val="004C73A1"/>
    <w:rsid w:val="004C7858"/>
    <w:rsid w:val="004D0550"/>
    <w:rsid w:val="004D138F"/>
    <w:rsid w:val="004D152C"/>
    <w:rsid w:val="004D25EB"/>
    <w:rsid w:val="004D31F5"/>
    <w:rsid w:val="004D336E"/>
    <w:rsid w:val="004D3CDD"/>
    <w:rsid w:val="004D3EF0"/>
    <w:rsid w:val="004D44C1"/>
    <w:rsid w:val="004D4B44"/>
    <w:rsid w:val="004D57E2"/>
    <w:rsid w:val="004D5DA5"/>
    <w:rsid w:val="004D7C66"/>
    <w:rsid w:val="004E0CF7"/>
    <w:rsid w:val="004E14EE"/>
    <w:rsid w:val="004E4123"/>
    <w:rsid w:val="004E442D"/>
    <w:rsid w:val="004E4616"/>
    <w:rsid w:val="004E588E"/>
    <w:rsid w:val="004F00A2"/>
    <w:rsid w:val="004F2817"/>
    <w:rsid w:val="004F31A2"/>
    <w:rsid w:val="004F4418"/>
    <w:rsid w:val="004F4922"/>
    <w:rsid w:val="004F5458"/>
    <w:rsid w:val="004F5723"/>
    <w:rsid w:val="004F58AE"/>
    <w:rsid w:val="004F625D"/>
    <w:rsid w:val="004F76F1"/>
    <w:rsid w:val="005005EB"/>
    <w:rsid w:val="005005F7"/>
    <w:rsid w:val="00500806"/>
    <w:rsid w:val="00501305"/>
    <w:rsid w:val="00504270"/>
    <w:rsid w:val="00505104"/>
    <w:rsid w:val="00506F17"/>
    <w:rsid w:val="00511212"/>
    <w:rsid w:val="0051199F"/>
    <w:rsid w:val="00511B46"/>
    <w:rsid w:val="00513452"/>
    <w:rsid w:val="00515759"/>
    <w:rsid w:val="00515C10"/>
    <w:rsid w:val="00515E88"/>
    <w:rsid w:val="0051612A"/>
    <w:rsid w:val="005170C7"/>
    <w:rsid w:val="0052147F"/>
    <w:rsid w:val="005215D6"/>
    <w:rsid w:val="00522063"/>
    <w:rsid w:val="005237BB"/>
    <w:rsid w:val="00524F29"/>
    <w:rsid w:val="00525221"/>
    <w:rsid w:val="00525760"/>
    <w:rsid w:val="00525A47"/>
    <w:rsid w:val="005261D7"/>
    <w:rsid w:val="00526DD1"/>
    <w:rsid w:val="005279DC"/>
    <w:rsid w:val="005315A6"/>
    <w:rsid w:val="00531935"/>
    <w:rsid w:val="0053348A"/>
    <w:rsid w:val="0053375D"/>
    <w:rsid w:val="00533C39"/>
    <w:rsid w:val="00533DA1"/>
    <w:rsid w:val="0053404A"/>
    <w:rsid w:val="0053404F"/>
    <w:rsid w:val="00535145"/>
    <w:rsid w:val="00535430"/>
    <w:rsid w:val="005376BA"/>
    <w:rsid w:val="005377EB"/>
    <w:rsid w:val="00537A43"/>
    <w:rsid w:val="00540A85"/>
    <w:rsid w:val="00540B2A"/>
    <w:rsid w:val="005420D8"/>
    <w:rsid w:val="00542ADD"/>
    <w:rsid w:val="00542D40"/>
    <w:rsid w:val="0054343B"/>
    <w:rsid w:val="005443CF"/>
    <w:rsid w:val="00544B97"/>
    <w:rsid w:val="00544C87"/>
    <w:rsid w:val="00546555"/>
    <w:rsid w:val="00546E9A"/>
    <w:rsid w:val="00546F1B"/>
    <w:rsid w:val="00547FEC"/>
    <w:rsid w:val="005507F4"/>
    <w:rsid w:val="005518AC"/>
    <w:rsid w:val="00551CDA"/>
    <w:rsid w:val="00551ED4"/>
    <w:rsid w:val="005524D1"/>
    <w:rsid w:val="005527DE"/>
    <w:rsid w:val="0055322E"/>
    <w:rsid w:val="00554AAB"/>
    <w:rsid w:val="00560DCC"/>
    <w:rsid w:val="00560E2A"/>
    <w:rsid w:val="00561782"/>
    <w:rsid w:val="00562903"/>
    <w:rsid w:val="00562EE0"/>
    <w:rsid w:val="005634C6"/>
    <w:rsid w:val="00563D31"/>
    <w:rsid w:val="00564095"/>
    <w:rsid w:val="00564F5C"/>
    <w:rsid w:val="005653DE"/>
    <w:rsid w:val="00565496"/>
    <w:rsid w:val="00566BCB"/>
    <w:rsid w:val="00572272"/>
    <w:rsid w:val="00572D22"/>
    <w:rsid w:val="00573520"/>
    <w:rsid w:val="005740EC"/>
    <w:rsid w:val="00574DA7"/>
    <w:rsid w:val="005758BF"/>
    <w:rsid w:val="00577456"/>
    <w:rsid w:val="00577A4A"/>
    <w:rsid w:val="00577D5E"/>
    <w:rsid w:val="00581259"/>
    <w:rsid w:val="005816AB"/>
    <w:rsid w:val="00582FA7"/>
    <w:rsid w:val="00583B94"/>
    <w:rsid w:val="00585402"/>
    <w:rsid w:val="00585A91"/>
    <w:rsid w:val="005862A9"/>
    <w:rsid w:val="00590066"/>
    <w:rsid w:val="00591765"/>
    <w:rsid w:val="00591E41"/>
    <w:rsid w:val="00591FF9"/>
    <w:rsid w:val="00592087"/>
    <w:rsid w:val="005920EB"/>
    <w:rsid w:val="00592556"/>
    <w:rsid w:val="00594182"/>
    <w:rsid w:val="00594804"/>
    <w:rsid w:val="005948AE"/>
    <w:rsid w:val="005955B4"/>
    <w:rsid w:val="005A0AEB"/>
    <w:rsid w:val="005A128B"/>
    <w:rsid w:val="005A2F4A"/>
    <w:rsid w:val="005A50E2"/>
    <w:rsid w:val="005B0485"/>
    <w:rsid w:val="005B09A6"/>
    <w:rsid w:val="005B0CD9"/>
    <w:rsid w:val="005B1256"/>
    <w:rsid w:val="005B13EE"/>
    <w:rsid w:val="005B159C"/>
    <w:rsid w:val="005B2595"/>
    <w:rsid w:val="005B2C31"/>
    <w:rsid w:val="005B2E4B"/>
    <w:rsid w:val="005B3581"/>
    <w:rsid w:val="005B35EB"/>
    <w:rsid w:val="005B614A"/>
    <w:rsid w:val="005B72FC"/>
    <w:rsid w:val="005C1D71"/>
    <w:rsid w:val="005C20C9"/>
    <w:rsid w:val="005C2A5E"/>
    <w:rsid w:val="005C2CEF"/>
    <w:rsid w:val="005C2D60"/>
    <w:rsid w:val="005C36C7"/>
    <w:rsid w:val="005C3EB7"/>
    <w:rsid w:val="005C5FF2"/>
    <w:rsid w:val="005C644A"/>
    <w:rsid w:val="005C652E"/>
    <w:rsid w:val="005C6B78"/>
    <w:rsid w:val="005C72CF"/>
    <w:rsid w:val="005C73FA"/>
    <w:rsid w:val="005C7635"/>
    <w:rsid w:val="005C7DBD"/>
    <w:rsid w:val="005D0195"/>
    <w:rsid w:val="005D2492"/>
    <w:rsid w:val="005D2907"/>
    <w:rsid w:val="005D3633"/>
    <w:rsid w:val="005D455F"/>
    <w:rsid w:val="005D47D7"/>
    <w:rsid w:val="005D5634"/>
    <w:rsid w:val="005D7D62"/>
    <w:rsid w:val="005E0C8F"/>
    <w:rsid w:val="005E0DD3"/>
    <w:rsid w:val="005E126E"/>
    <w:rsid w:val="005E2A13"/>
    <w:rsid w:val="005E305F"/>
    <w:rsid w:val="005E3700"/>
    <w:rsid w:val="005E3EEE"/>
    <w:rsid w:val="005E498D"/>
    <w:rsid w:val="005E4F21"/>
    <w:rsid w:val="005E50FD"/>
    <w:rsid w:val="005E6007"/>
    <w:rsid w:val="005E6753"/>
    <w:rsid w:val="005E74BE"/>
    <w:rsid w:val="005E77C0"/>
    <w:rsid w:val="005F1CD7"/>
    <w:rsid w:val="005F2D4F"/>
    <w:rsid w:val="005F3976"/>
    <w:rsid w:val="005F409E"/>
    <w:rsid w:val="005F57D3"/>
    <w:rsid w:val="005F59A3"/>
    <w:rsid w:val="005F682E"/>
    <w:rsid w:val="00600A3C"/>
    <w:rsid w:val="00600CF3"/>
    <w:rsid w:val="006038F1"/>
    <w:rsid w:val="00604A8B"/>
    <w:rsid w:val="00604E70"/>
    <w:rsid w:val="006061FA"/>
    <w:rsid w:val="00610585"/>
    <w:rsid w:val="00610E39"/>
    <w:rsid w:val="00611093"/>
    <w:rsid w:val="00612360"/>
    <w:rsid w:val="00612F79"/>
    <w:rsid w:val="00615453"/>
    <w:rsid w:val="00615965"/>
    <w:rsid w:val="00615BE0"/>
    <w:rsid w:val="00615D76"/>
    <w:rsid w:val="00616161"/>
    <w:rsid w:val="00617133"/>
    <w:rsid w:val="00617A55"/>
    <w:rsid w:val="00620433"/>
    <w:rsid w:val="006224C5"/>
    <w:rsid w:val="006230DB"/>
    <w:rsid w:val="00623394"/>
    <w:rsid w:val="006261F5"/>
    <w:rsid w:val="0062639D"/>
    <w:rsid w:val="00626EA4"/>
    <w:rsid w:val="00627187"/>
    <w:rsid w:val="00627279"/>
    <w:rsid w:val="00627C0B"/>
    <w:rsid w:val="00630314"/>
    <w:rsid w:val="006303A1"/>
    <w:rsid w:val="00630AFC"/>
    <w:rsid w:val="0063305E"/>
    <w:rsid w:val="00634938"/>
    <w:rsid w:val="00634B1E"/>
    <w:rsid w:val="00634F3E"/>
    <w:rsid w:val="0063552C"/>
    <w:rsid w:val="006355FE"/>
    <w:rsid w:val="00635967"/>
    <w:rsid w:val="00635E0C"/>
    <w:rsid w:val="0063745E"/>
    <w:rsid w:val="006400C8"/>
    <w:rsid w:val="006419F3"/>
    <w:rsid w:val="006428B4"/>
    <w:rsid w:val="00642FDD"/>
    <w:rsid w:val="00643134"/>
    <w:rsid w:val="00643831"/>
    <w:rsid w:val="00644051"/>
    <w:rsid w:val="00644497"/>
    <w:rsid w:val="00644B34"/>
    <w:rsid w:val="00645D1E"/>
    <w:rsid w:val="00645DB6"/>
    <w:rsid w:val="00647D21"/>
    <w:rsid w:val="00650718"/>
    <w:rsid w:val="00650B77"/>
    <w:rsid w:val="006512C0"/>
    <w:rsid w:val="006512CA"/>
    <w:rsid w:val="00651767"/>
    <w:rsid w:val="006519FA"/>
    <w:rsid w:val="00652ADD"/>
    <w:rsid w:val="00654997"/>
    <w:rsid w:val="00654B50"/>
    <w:rsid w:val="00654F18"/>
    <w:rsid w:val="00655D4D"/>
    <w:rsid w:val="006563F5"/>
    <w:rsid w:val="00656511"/>
    <w:rsid w:val="006578A4"/>
    <w:rsid w:val="00657912"/>
    <w:rsid w:val="006608E2"/>
    <w:rsid w:val="00661658"/>
    <w:rsid w:val="00661C26"/>
    <w:rsid w:val="006625A1"/>
    <w:rsid w:val="00663110"/>
    <w:rsid w:val="0066404E"/>
    <w:rsid w:val="00664C74"/>
    <w:rsid w:val="00665010"/>
    <w:rsid w:val="006653B6"/>
    <w:rsid w:val="00666352"/>
    <w:rsid w:val="0066654A"/>
    <w:rsid w:val="00670787"/>
    <w:rsid w:val="006714DE"/>
    <w:rsid w:val="006715E4"/>
    <w:rsid w:val="006716E2"/>
    <w:rsid w:val="00671B3C"/>
    <w:rsid w:val="006723BE"/>
    <w:rsid w:val="00672CEB"/>
    <w:rsid w:val="006730D5"/>
    <w:rsid w:val="006732A4"/>
    <w:rsid w:val="00673592"/>
    <w:rsid w:val="006739F8"/>
    <w:rsid w:val="00673ADC"/>
    <w:rsid w:val="00674B91"/>
    <w:rsid w:val="00675EF5"/>
    <w:rsid w:val="00681D24"/>
    <w:rsid w:val="006821EC"/>
    <w:rsid w:val="00682468"/>
    <w:rsid w:val="00682C01"/>
    <w:rsid w:val="00682DA1"/>
    <w:rsid w:val="00683898"/>
    <w:rsid w:val="006840C3"/>
    <w:rsid w:val="00684452"/>
    <w:rsid w:val="00684B29"/>
    <w:rsid w:val="00685514"/>
    <w:rsid w:val="00685757"/>
    <w:rsid w:val="006871DF"/>
    <w:rsid w:val="00694995"/>
    <w:rsid w:val="00694AE4"/>
    <w:rsid w:val="0069533C"/>
    <w:rsid w:val="00696415"/>
    <w:rsid w:val="0069679E"/>
    <w:rsid w:val="006967D3"/>
    <w:rsid w:val="006A07E7"/>
    <w:rsid w:val="006A3C71"/>
    <w:rsid w:val="006A455C"/>
    <w:rsid w:val="006A55FF"/>
    <w:rsid w:val="006A6442"/>
    <w:rsid w:val="006A64B1"/>
    <w:rsid w:val="006A7556"/>
    <w:rsid w:val="006A7B9A"/>
    <w:rsid w:val="006A7E25"/>
    <w:rsid w:val="006B0B89"/>
    <w:rsid w:val="006B22EC"/>
    <w:rsid w:val="006B2ED4"/>
    <w:rsid w:val="006B31FB"/>
    <w:rsid w:val="006B338D"/>
    <w:rsid w:val="006B50CF"/>
    <w:rsid w:val="006B526C"/>
    <w:rsid w:val="006B58F2"/>
    <w:rsid w:val="006B5F91"/>
    <w:rsid w:val="006B6C64"/>
    <w:rsid w:val="006B7020"/>
    <w:rsid w:val="006B761D"/>
    <w:rsid w:val="006B7BF9"/>
    <w:rsid w:val="006C017D"/>
    <w:rsid w:val="006C0DED"/>
    <w:rsid w:val="006C4F73"/>
    <w:rsid w:val="006C60FD"/>
    <w:rsid w:val="006C61D3"/>
    <w:rsid w:val="006C75D6"/>
    <w:rsid w:val="006D0530"/>
    <w:rsid w:val="006D1026"/>
    <w:rsid w:val="006D288C"/>
    <w:rsid w:val="006D390B"/>
    <w:rsid w:val="006D4FDF"/>
    <w:rsid w:val="006D5BA2"/>
    <w:rsid w:val="006D704C"/>
    <w:rsid w:val="006D7643"/>
    <w:rsid w:val="006E06B5"/>
    <w:rsid w:val="006E0E22"/>
    <w:rsid w:val="006E20E8"/>
    <w:rsid w:val="006E2685"/>
    <w:rsid w:val="006E277D"/>
    <w:rsid w:val="006E3385"/>
    <w:rsid w:val="006E5D43"/>
    <w:rsid w:val="006E679C"/>
    <w:rsid w:val="006E6A24"/>
    <w:rsid w:val="006F08F4"/>
    <w:rsid w:val="006F1433"/>
    <w:rsid w:val="006F14D0"/>
    <w:rsid w:val="006F1915"/>
    <w:rsid w:val="006F218D"/>
    <w:rsid w:val="006F2E4F"/>
    <w:rsid w:val="006F36BC"/>
    <w:rsid w:val="006F3B9D"/>
    <w:rsid w:val="006F41BA"/>
    <w:rsid w:val="006F44D3"/>
    <w:rsid w:val="006F5929"/>
    <w:rsid w:val="00700B04"/>
    <w:rsid w:val="007030BB"/>
    <w:rsid w:val="00703336"/>
    <w:rsid w:val="007037A3"/>
    <w:rsid w:val="00703DDB"/>
    <w:rsid w:val="00704AA9"/>
    <w:rsid w:val="00706E56"/>
    <w:rsid w:val="00707509"/>
    <w:rsid w:val="0071064E"/>
    <w:rsid w:val="0071068A"/>
    <w:rsid w:val="00710978"/>
    <w:rsid w:val="007109F2"/>
    <w:rsid w:val="00711141"/>
    <w:rsid w:val="007113CD"/>
    <w:rsid w:val="00711C85"/>
    <w:rsid w:val="00711E41"/>
    <w:rsid w:val="00712F42"/>
    <w:rsid w:val="00712F99"/>
    <w:rsid w:val="00713D5C"/>
    <w:rsid w:val="00716948"/>
    <w:rsid w:val="00717AC8"/>
    <w:rsid w:val="00717B16"/>
    <w:rsid w:val="00717F75"/>
    <w:rsid w:val="0072020A"/>
    <w:rsid w:val="007234FA"/>
    <w:rsid w:val="00723AB9"/>
    <w:rsid w:val="00724556"/>
    <w:rsid w:val="0072493A"/>
    <w:rsid w:val="00724D4D"/>
    <w:rsid w:val="00725309"/>
    <w:rsid w:val="00726B1C"/>
    <w:rsid w:val="00726FE2"/>
    <w:rsid w:val="00727521"/>
    <w:rsid w:val="00727AD2"/>
    <w:rsid w:val="00730518"/>
    <w:rsid w:val="00730524"/>
    <w:rsid w:val="00731D0F"/>
    <w:rsid w:val="00732416"/>
    <w:rsid w:val="00732511"/>
    <w:rsid w:val="00733308"/>
    <w:rsid w:val="00734C2F"/>
    <w:rsid w:val="00734CE5"/>
    <w:rsid w:val="00736688"/>
    <w:rsid w:val="00736A5C"/>
    <w:rsid w:val="00740443"/>
    <w:rsid w:val="00741DB6"/>
    <w:rsid w:val="007420AF"/>
    <w:rsid w:val="00742262"/>
    <w:rsid w:val="0074235B"/>
    <w:rsid w:val="00744235"/>
    <w:rsid w:val="00744472"/>
    <w:rsid w:val="007446C6"/>
    <w:rsid w:val="007446EA"/>
    <w:rsid w:val="00745021"/>
    <w:rsid w:val="00745203"/>
    <w:rsid w:val="007454A2"/>
    <w:rsid w:val="00745665"/>
    <w:rsid w:val="0074579E"/>
    <w:rsid w:val="00745F41"/>
    <w:rsid w:val="007472CC"/>
    <w:rsid w:val="00747707"/>
    <w:rsid w:val="00751F38"/>
    <w:rsid w:val="00752AB2"/>
    <w:rsid w:val="00753D2C"/>
    <w:rsid w:val="0075684D"/>
    <w:rsid w:val="00757696"/>
    <w:rsid w:val="00757916"/>
    <w:rsid w:val="007601BC"/>
    <w:rsid w:val="00761473"/>
    <w:rsid w:val="00762D86"/>
    <w:rsid w:val="0076360F"/>
    <w:rsid w:val="007639C5"/>
    <w:rsid w:val="00764209"/>
    <w:rsid w:val="00764D6B"/>
    <w:rsid w:val="00765948"/>
    <w:rsid w:val="00767CA0"/>
    <w:rsid w:val="00770693"/>
    <w:rsid w:val="00770B81"/>
    <w:rsid w:val="00771C4F"/>
    <w:rsid w:val="00771E95"/>
    <w:rsid w:val="00772256"/>
    <w:rsid w:val="00772EAB"/>
    <w:rsid w:val="0077445A"/>
    <w:rsid w:val="007744C4"/>
    <w:rsid w:val="00774949"/>
    <w:rsid w:val="00774C45"/>
    <w:rsid w:val="00775027"/>
    <w:rsid w:val="007751B7"/>
    <w:rsid w:val="007764E2"/>
    <w:rsid w:val="0078006C"/>
    <w:rsid w:val="0078039F"/>
    <w:rsid w:val="00782596"/>
    <w:rsid w:val="00782654"/>
    <w:rsid w:val="00783E7F"/>
    <w:rsid w:val="00786AC7"/>
    <w:rsid w:val="00792732"/>
    <w:rsid w:val="00793804"/>
    <w:rsid w:val="00793B7B"/>
    <w:rsid w:val="00793D5E"/>
    <w:rsid w:val="00793D81"/>
    <w:rsid w:val="007947CD"/>
    <w:rsid w:val="00794876"/>
    <w:rsid w:val="00794EA0"/>
    <w:rsid w:val="00794FBD"/>
    <w:rsid w:val="00796DAD"/>
    <w:rsid w:val="007A1001"/>
    <w:rsid w:val="007A58AD"/>
    <w:rsid w:val="007A6C23"/>
    <w:rsid w:val="007A71AA"/>
    <w:rsid w:val="007A722F"/>
    <w:rsid w:val="007A7BF9"/>
    <w:rsid w:val="007A7F52"/>
    <w:rsid w:val="007B07CC"/>
    <w:rsid w:val="007B0960"/>
    <w:rsid w:val="007B1BDC"/>
    <w:rsid w:val="007B3CCC"/>
    <w:rsid w:val="007B56AA"/>
    <w:rsid w:val="007B572E"/>
    <w:rsid w:val="007B6A4B"/>
    <w:rsid w:val="007B6B57"/>
    <w:rsid w:val="007C0CE2"/>
    <w:rsid w:val="007C144F"/>
    <w:rsid w:val="007C1E00"/>
    <w:rsid w:val="007C3D35"/>
    <w:rsid w:val="007C4D96"/>
    <w:rsid w:val="007C51F9"/>
    <w:rsid w:val="007C5BBA"/>
    <w:rsid w:val="007C71B1"/>
    <w:rsid w:val="007C7673"/>
    <w:rsid w:val="007C78F4"/>
    <w:rsid w:val="007D2D03"/>
    <w:rsid w:val="007D4367"/>
    <w:rsid w:val="007D62E5"/>
    <w:rsid w:val="007D6CC8"/>
    <w:rsid w:val="007D73FE"/>
    <w:rsid w:val="007D7ACE"/>
    <w:rsid w:val="007E05DF"/>
    <w:rsid w:val="007E0FFB"/>
    <w:rsid w:val="007E1AF9"/>
    <w:rsid w:val="007E271B"/>
    <w:rsid w:val="007E2B7F"/>
    <w:rsid w:val="007E301A"/>
    <w:rsid w:val="007E34FB"/>
    <w:rsid w:val="007E3779"/>
    <w:rsid w:val="007E3CCB"/>
    <w:rsid w:val="007E4ACF"/>
    <w:rsid w:val="007E4D9A"/>
    <w:rsid w:val="007E54C1"/>
    <w:rsid w:val="007E573C"/>
    <w:rsid w:val="007E6813"/>
    <w:rsid w:val="007E7E59"/>
    <w:rsid w:val="007F0627"/>
    <w:rsid w:val="007F1A55"/>
    <w:rsid w:val="007F3526"/>
    <w:rsid w:val="007F38F7"/>
    <w:rsid w:val="007F4BF2"/>
    <w:rsid w:val="007F6344"/>
    <w:rsid w:val="007F799F"/>
    <w:rsid w:val="00801478"/>
    <w:rsid w:val="00801649"/>
    <w:rsid w:val="00802338"/>
    <w:rsid w:val="008024EE"/>
    <w:rsid w:val="0080274E"/>
    <w:rsid w:val="00803769"/>
    <w:rsid w:val="008047F4"/>
    <w:rsid w:val="008055D6"/>
    <w:rsid w:val="00805640"/>
    <w:rsid w:val="008057D6"/>
    <w:rsid w:val="008065A9"/>
    <w:rsid w:val="008079E0"/>
    <w:rsid w:val="00811C26"/>
    <w:rsid w:val="00811EED"/>
    <w:rsid w:val="008126AD"/>
    <w:rsid w:val="00814469"/>
    <w:rsid w:val="0081572E"/>
    <w:rsid w:val="00816AD8"/>
    <w:rsid w:val="00816E86"/>
    <w:rsid w:val="008173B2"/>
    <w:rsid w:val="00817655"/>
    <w:rsid w:val="008176C8"/>
    <w:rsid w:val="00817D13"/>
    <w:rsid w:val="0082082B"/>
    <w:rsid w:val="00821821"/>
    <w:rsid w:val="00822DE2"/>
    <w:rsid w:val="0082314D"/>
    <w:rsid w:val="008232DE"/>
    <w:rsid w:val="00823DE2"/>
    <w:rsid w:val="008240BA"/>
    <w:rsid w:val="008244DC"/>
    <w:rsid w:val="00824AFE"/>
    <w:rsid w:val="008264DC"/>
    <w:rsid w:val="00827400"/>
    <w:rsid w:val="0083021D"/>
    <w:rsid w:val="00833651"/>
    <w:rsid w:val="00833929"/>
    <w:rsid w:val="00834247"/>
    <w:rsid w:val="0083427D"/>
    <w:rsid w:val="0083437B"/>
    <w:rsid w:val="00834B4C"/>
    <w:rsid w:val="00834DF1"/>
    <w:rsid w:val="00834FE3"/>
    <w:rsid w:val="00835D77"/>
    <w:rsid w:val="008364D4"/>
    <w:rsid w:val="00836B80"/>
    <w:rsid w:val="00840BA0"/>
    <w:rsid w:val="00842207"/>
    <w:rsid w:val="00842289"/>
    <w:rsid w:val="008426FB"/>
    <w:rsid w:val="00844250"/>
    <w:rsid w:val="00844E7B"/>
    <w:rsid w:val="00845C27"/>
    <w:rsid w:val="0084685D"/>
    <w:rsid w:val="008478C9"/>
    <w:rsid w:val="00850918"/>
    <w:rsid w:val="00850FB0"/>
    <w:rsid w:val="008533FB"/>
    <w:rsid w:val="00853E14"/>
    <w:rsid w:val="00854747"/>
    <w:rsid w:val="00856CA9"/>
    <w:rsid w:val="00856EF0"/>
    <w:rsid w:val="00857274"/>
    <w:rsid w:val="00857BC1"/>
    <w:rsid w:val="00857C32"/>
    <w:rsid w:val="00860975"/>
    <w:rsid w:val="008612F7"/>
    <w:rsid w:val="00861964"/>
    <w:rsid w:val="0086276F"/>
    <w:rsid w:val="00864285"/>
    <w:rsid w:val="00867A6F"/>
    <w:rsid w:val="00867E33"/>
    <w:rsid w:val="00867E5C"/>
    <w:rsid w:val="00867E91"/>
    <w:rsid w:val="00870317"/>
    <w:rsid w:val="008706BF"/>
    <w:rsid w:val="008721A5"/>
    <w:rsid w:val="00872873"/>
    <w:rsid w:val="00872A03"/>
    <w:rsid w:val="00875043"/>
    <w:rsid w:val="00875152"/>
    <w:rsid w:val="008757BB"/>
    <w:rsid w:val="00875AFC"/>
    <w:rsid w:val="00880474"/>
    <w:rsid w:val="0088136B"/>
    <w:rsid w:val="00881445"/>
    <w:rsid w:val="0088166E"/>
    <w:rsid w:val="0088195B"/>
    <w:rsid w:val="0088240E"/>
    <w:rsid w:val="00883012"/>
    <w:rsid w:val="00884104"/>
    <w:rsid w:val="00884194"/>
    <w:rsid w:val="008906E4"/>
    <w:rsid w:val="0089083B"/>
    <w:rsid w:val="00891205"/>
    <w:rsid w:val="00891D1E"/>
    <w:rsid w:val="00892EF0"/>
    <w:rsid w:val="00893270"/>
    <w:rsid w:val="00893B92"/>
    <w:rsid w:val="00894656"/>
    <w:rsid w:val="00894B76"/>
    <w:rsid w:val="008963A5"/>
    <w:rsid w:val="00896DFC"/>
    <w:rsid w:val="00897B59"/>
    <w:rsid w:val="00897DDE"/>
    <w:rsid w:val="00897E27"/>
    <w:rsid w:val="008A0884"/>
    <w:rsid w:val="008A0CFA"/>
    <w:rsid w:val="008A2B6E"/>
    <w:rsid w:val="008A3058"/>
    <w:rsid w:val="008A3E6A"/>
    <w:rsid w:val="008A3E72"/>
    <w:rsid w:val="008A40A8"/>
    <w:rsid w:val="008A43FE"/>
    <w:rsid w:val="008A4B0D"/>
    <w:rsid w:val="008A4F80"/>
    <w:rsid w:val="008A5325"/>
    <w:rsid w:val="008A5A5D"/>
    <w:rsid w:val="008B02FC"/>
    <w:rsid w:val="008B051E"/>
    <w:rsid w:val="008B0A38"/>
    <w:rsid w:val="008B2DB8"/>
    <w:rsid w:val="008B3140"/>
    <w:rsid w:val="008B4FA3"/>
    <w:rsid w:val="008B7E6C"/>
    <w:rsid w:val="008C2139"/>
    <w:rsid w:val="008C258A"/>
    <w:rsid w:val="008C2A63"/>
    <w:rsid w:val="008C30A3"/>
    <w:rsid w:val="008C30BC"/>
    <w:rsid w:val="008C4AD3"/>
    <w:rsid w:val="008C63D4"/>
    <w:rsid w:val="008C6AA1"/>
    <w:rsid w:val="008C6DA2"/>
    <w:rsid w:val="008C7ADF"/>
    <w:rsid w:val="008D04C8"/>
    <w:rsid w:val="008D09D6"/>
    <w:rsid w:val="008D0EA4"/>
    <w:rsid w:val="008D1ABF"/>
    <w:rsid w:val="008D23AE"/>
    <w:rsid w:val="008D253E"/>
    <w:rsid w:val="008D2619"/>
    <w:rsid w:val="008D3A97"/>
    <w:rsid w:val="008D57D1"/>
    <w:rsid w:val="008D5C2E"/>
    <w:rsid w:val="008D5C4B"/>
    <w:rsid w:val="008D66E6"/>
    <w:rsid w:val="008D6A49"/>
    <w:rsid w:val="008D6E0E"/>
    <w:rsid w:val="008D714B"/>
    <w:rsid w:val="008D7E5B"/>
    <w:rsid w:val="008E03E6"/>
    <w:rsid w:val="008E094A"/>
    <w:rsid w:val="008E0A3C"/>
    <w:rsid w:val="008E0D32"/>
    <w:rsid w:val="008E11CD"/>
    <w:rsid w:val="008E3F5B"/>
    <w:rsid w:val="008E5251"/>
    <w:rsid w:val="008E57BA"/>
    <w:rsid w:val="008E5AB1"/>
    <w:rsid w:val="008E5BD8"/>
    <w:rsid w:val="008E61E7"/>
    <w:rsid w:val="008E733A"/>
    <w:rsid w:val="008E7832"/>
    <w:rsid w:val="008F0F54"/>
    <w:rsid w:val="008F0F9F"/>
    <w:rsid w:val="008F151D"/>
    <w:rsid w:val="008F2C09"/>
    <w:rsid w:val="008F2D11"/>
    <w:rsid w:val="008F31DD"/>
    <w:rsid w:val="008F5273"/>
    <w:rsid w:val="008F55FA"/>
    <w:rsid w:val="008F6068"/>
    <w:rsid w:val="008F693A"/>
    <w:rsid w:val="008F7562"/>
    <w:rsid w:val="008F78F4"/>
    <w:rsid w:val="008F7E1D"/>
    <w:rsid w:val="00900ED8"/>
    <w:rsid w:val="00902006"/>
    <w:rsid w:val="009021AA"/>
    <w:rsid w:val="00902793"/>
    <w:rsid w:val="00902878"/>
    <w:rsid w:val="009031FF"/>
    <w:rsid w:val="009048B4"/>
    <w:rsid w:val="009053A8"/>
    <w:rsid w:val="009102C9"/>
    <w:rsid w:val="00911203"/>
    <w:rsid w:val="00911258"/>
    <w:rsid w:val="009119DF"/>
    <w:rsid w:val="00912ECE"/>
    <w:rsid w:val="0091305D"/>
    <w:rsid w:val="0091328B"/>
    <w:rsid w:val="0091360A"/>
    <w:rsid w:val="00915F41"/>
    <w:rsid w:val="00916985"/>
    <w:rsid w:val="00920017"/>
    <w:rsid w:val="009201E7"/>
    <w:rsid w:val="00921EFE"/>
    <w:rsid w:val="009220AE"/>
    <w:rsid w:val="00922FF6"/>
    <w:rsid w:val="00923954"/>
    <w:rsid w:val="00923CDA"/>
    <w:rsid w:val="00924DD4"/>
    <w:rsid w:val="00925B9F"/>
    <w:rsid w:val="0092609C"/>
    <w:rsid w:val="009262F7"/>
    <w:rsid w:val="009265D2"/>
    <w:rsid w:val="00926BF3"/>
    <w:rsid w:val="00927021"/>
    <w:rsid w:val="009274CA"/>
    <w:rsid w:val="00930676"/>
    <w:rsid w:val="009317C7"/>
    <w:rsid w:val="00931ADB"/>
    <w:rsid w:val="009322B1"/>
    <w:rsid w:val="00936C96"/>
    <w:rsid w:val="00936CC2"/>
    <w:rsid w:val="00936E92"/>
    <w:rsid w:val="00937407"/>
    <w:rsid w:val="0093766E"/>
    <w:rsid w:val="0093771D"/>
    <w:rsid w:val="00937743"/>
    <w:rsid w:val="00943202"/>
    <w:rsid w:val="00943205"/>
    <w:rsid w:val="00943283"/>
    <w:rsid w:val="009440B1"/>
    <w:rsid w:val="009448A9"/>
    <w:rsid w:val="00944A52"/>
    <w:rsid w:val="00944B46"/>
    <w:rsid w:val="009479C0"/>
    <w:rsid w:val="00950C92"/>
    <w:rsid w:val="00950EDD"/>
    <w:rsid w:val="009515E4"/>
    <w:rsid w:val="0095384B"/>
    <w:rsid w:val="009547F7"/>
    <w:rsid w:val="00954DD4"/>
    <w:rsid w:val="00955218"/>
    <w:rsid w:val="00955371"/>
    <w:rsid w:val="009557A8"/>
    <w:rsid w:val="00956FB9"/>
    <w:rsid w:val="00957373"/>
    <w:rsid w:val="009575A1"/>
    <w:rsid w:val="00960454"/>
    <w:rsid w:val="00960479"/>
    <w:rsid w:val="009608BA"/>
    <w:rsid w:val="00961121"/>
    <w:rsid w:val="00961301"/>
    <w:rsid w:val="009618CB"/>
    <w:rsid w:val="00962217"/>
    <w:rsid w:val="00962EA8"/>
    <w:rsid w:val="00963E4D"/>
    <w:rsid w:val="009643D6"/>
    <w:rsid w:val="00964649"/>
    <w:rsid w:val="009652C1"/>
    <w:rsid w:val="0096530F"/>
    <w:rsid w:val="009657F4"/>
    <w:rsid w:val="00966BA4"/>
    <w:rsid w:val="00967370"/>
    <w:rsid w:val="0097172E"/>
    <w:rsid w:val="009726AD"/>
    <w:rsid w:val="00972CD5"/>
    <w:rsid w:val="009751A9"/>
    <w:rsid w:val="00975B46"/>
    <w:rsid w:val="0097621B"/>
    <w:rsid w:val="009777BB"/>
    <w:rsid w:val="009819D0"/>
    <w:rsid w:val="0098211A"/>
    <w:rsid w:val="0098227E"/>
    <w:rsid w:val="00983015"/>
    <w:rsid w:val="009830F1"/>
    <w:rsid w:val="00984D5B"/>
    <w:rsid w:val="00985C6C"/>
    <w:rsid w:val="00985D82"/>
    <w:rsid w:val="00991902"/>
    <w:rsid w:val="00992956"/>
    <w:rsid w:val="00993B71"/>
    <w:rsid w:val="00993CE1"/>
    <w:rsid w:val="00994698"/>
    <w:rsid w:val="009958A4"/>
    <w:rsid w:val="00997543"/>
    <w:rsid w:val="00997C62"/>
    <w:rsid w:val="009A0136"/>
    <w:rsid w:val="009A147C"/>
    <w:rsid w:val="009A161C"/>
    <w:rsid w:val="009A168B"/>
    <w:rsid w:val="009A195C"/>
    <w:rsid w:val="009A1F47"/>
    <w:rsid w:val="009A229C"/>
    <w:rsid w:val="009A3973"/>
    <w:rsid w:val="009A43CB"/>
    <w:rsid w:val="009A5855"/>
    <w:rsid w:val="009A60D0"/>
    <w:rsid w:val="009A6134"/>
    <w:rsid w:val="009A6C10"/>
    <w:rsid w:val="009A6EBC"/>
    <w:rsid w:val="009A6EEA"/>
    <w:rsid w:val="009A6F08"/>
    <w:rsid w:val="009A7B86"/>
    <w:rsid w:val="009B2AC0"/>
    <w:rsid w:val="009B2B3F"/>
    <w:rsid w:val="009B32D3"/>
    <w:rsid w:val="009B3579"/>
    <w:rsid w:val="009B43E1"/>
    <w:rsid w:val="009B4A29"/>
    <w:rsid w:val="009B564D"/>
    <w:rsid w:val="009B5CD3"/>
    <w:rsid w:val="009B6546"/>
    <w:rsid w:val="009C058C"/>
    <w:rsid w:val="009C0D33"/>
    <w:rsid w:val="009C1C6A"/>
    <w:rsid w:val="009C1F4A"/>
    <w:rsid w:val="009C3417"/>
    <w:rsid w:val="009C5462"/>
    <w:rsid w:val="009C6D3D"/>
    <w:rsid w:val="009C7F8D"/>
    <w:rsid w:val="009D1206"/>
    <w:rsid w:val="009D223F"/>
    <w:rsid w:val="009D57B3"/>
    <w:rsid w:val="009D582F"/>
    <w:rsid w:val="009D6A22"/>
    <w:rsid w:val="009D6F7E"/>
    <w:rsid w:val="009E23C4"/>
    <w:rsid w:val="009E26E2"/>
    <w:rsid w:val="009E4CA8"/>
    <w:rsid w:val="009E5074"/>
    <w:rsid w:val="009E5DCD"/>
    <w:rsid w:val="009E652B"/>
    <w:rsid w:val="009E6901"/>
    <w:rsid w:val="009E7F43"/>
    <w:rsid w:val="009F215F"/>
    <w:rsid w:val="009F274E"/>
    <w:rsid w:val="009F2817"/>
    <w:rsid w:val="009F51F6"/>
    <w:rsid w:val="009F5DDA"/>
    <w:rsid w:val="009F5F36"/>
    <w:rsid w:val="009F615A"/>
    <w:rsid w:val="00A0055E"/>
    <w:rsid w:val="00A00620"/>
    <w:rsid w:val="00A00C13"/>
    <w:rsid w:val="00A00F16"/>
    <w:rsid w:val="00A01619"/>
    <w:rsid w:val="00A01FBA"/>
    <w:rsid w:val="00A0202F"/>
    <w:rsid w:val="00A028B5"/>
    <w:rsid w:val="00A02B0A"/>
    <w:rsid w:val="00A02DCF"/>
    <w:rsid w:val="00A047C6"/>
    <w:rsid w:val="00A04EE2"/>
    <w:rsid w:val="00A058BB"/>
    <w:rsid w:val="00A060EB"/>
    <w:rsid w:val="00A067EB"/>
    <w:rsid w:val="00A06924"/>
    <w:rsid w:val="00A07856"/>
    <w:rsid w:val="00A10269"/>
    <w:rsid w:val="00A102C2"/>
    <w:rsid w:val="00A103AB"/>
    <w:rsid w:val="00A10B87"/>
    <w:rsid w:val="00A120B4"/>
    <w:rsid w:val="00A12C6C"/>
    <w:rsid w:val="00A137CD"/>
    <w:rsid w:val="00A147FD"/>
    <w:rsid w:val="00A15B96"/>
    <w:rsid w:val="00A15CB1"/>
    <w:rsid w:val="00A178EC"/>
    <w:rsid w:val="00A17C08"/>
    <w:rsid w:val="00A20260"/>
    <w:rsid w:val="00A21E4D"/>
    <w:rsid w:val="00A21EF6"/>
    <w:rsid w:val="00A225AA"/>
    <w:rsid w:val="00A22BDB"/>
    <w:rsid w:val="00A249DC"/>
    <w:rsid w:val="00A25124"/>
    <w:rsid w:val="00A26410"/>
    <w:rsid w:val="00A26574"/>
    <w:rsid w:val="00A2664E"/>
    <w:rsid w:val="00A268EF"/>
    <w:rsid w:val="00A309F3"/>
    <w:rsid w:val="00A31284"/>
    <w:rsid w:val="00A318BA"/>
    <w:rsid w:val="00A31C3C"/>
    <w:rsid w:val="00A320C5"/>
    <w:rsid w:val="00A32472"/>
    <w:rsid w:val="00A32720"/>
    <w:rsid w:val="00A32B52"/>
    <w:rsid w:val="00A32D2C"/>
    <w:rsid w:val="00A3344C"/>
    <w:rsid w:val="00A35140"/>
    <w:rsid w:val="00A3640F"/>
    <w:rsid w:val="00A36671"/>
    <w:rsid w:val="00A36798"/>
    <w:rsid w:val="00A3752B"/>
    <w:rsid w:val="00A37846"/>
    <w:rsid w:val="00A37A6B"/>
    <w:rsid w:val="00A37CB1"/>
    <w:rsid w:val="00A37E05"/>
    <w:rsid w:val="00A40F48"/>
    <w:rsid w:val="00A414F6"/>
    <w:rsid w:val="00A4222E"/>
    <w:rsid w:val="00A427AF"/>
    <w:rsid w:val="00A4307F"/>
    <w:rsid w:val="00A442DF"/>
    <w:rsid w:val="00A44E43"/>
    <w:rsid w:val="00A45A04"/>
    <w:rsid w:val="00A5035E"/>
    <w:rsid w:val="00A503C9"/>
    <w:rsid w:val="00A504DA"/>
    <w:rsid w:val="00A506A2"/>
    <w:rsid w:val="00A52139"/>
    <w:rsid w:val="00A53B5A"/>
    <w:rsid w:val="00A53E1A"/>
    <w:rsid w:val="00A548D7"/>
    <w:rsid w:val="00A55012"/>
    <w:rsid w:val="00A56DF8"/>
    <w:rsid w:val="00A573E8"/>
    <w:rsid w:val="00A57BE9"/>
    <w:rsid w:val="00A608A7"/>
    <w:rsid w:val="00A629C4"/>
    <w:rsid w:val="00A629D8"/>
    <w:rsid w:val="00A62F65"/>
    <w:rsid w:val="00A63AD8"/>
    <w:rsid w:val="00A63E3F"/>
    <w:rsid w:val="00A65755"/>
    <w:rsid w:val="00A65CB5"/>
    <w:rsid w:val="00A666B9"/>
    <w:rsid w:val="00A6712C"/>
    <w:rsid w:val="00A70CFE"/>
    <w:rsid w:val="00A71E73"/>
    <w:rsid w:val="00A734FD"/>
    <w:rsid w:val="00A7449F"/>
    <w:rsid w:val="00A747B1"/>
    <w:rsid w:val="00A74DBC"/>
    <w:rsid w:val="00A766A9"/>
    <w:rsid w:val="00A81201"/>
    <w:rsid w:val="00A82F97"/>
    <w:rsid w:val="00A8423D"/>
    <w:rsid w:val="00A84655"/>
    <w:rsid w:val="00A8542B"/>
    <w:rsid w:val="00A85516"/>
    <w:rsid w:val="00A86180"/>
    <w:rsid w:val="00A86682"/>
    <w:rsid w:val="00A870B1"/>
    <w:rsid w:val="00A87B68"/>
    <w:rsid w:val="00A9019C"/>
    <w:rsid w:val="00A907C4"/>
    <w:rsid w:val="00A90BEE"/>
    <w:rsid w:val="00A920B3"/>
    <w:rsid w:val="00A9239A"/>
    <w:rsid w:val="00A93B2C"/>
    <w:rsid w:val="00A94955"/>
    <w:rsid w:val="00A952FF"/>
    <w:rsid w:val="00A96234"/>
    <w:rsid w:val="00A96763"/>
    <w:rsid w:val="00A97B0C"/>
    <w:rsid w:val="00AA13AF"/>
    <w:rsid w:val="00AA237D"/>
    <w:rsid w:val="00AA43C1"/>
    <w:rsid w:val="00AA4545"/>
    <w:rsid w:val="00AA643B"/>
    <w:rsid w:val="00AA68D6"/>
    <w:rsid w:val="00AA7F66"/>
    <w:rsid w:val="00AB4829"/>
    <w:rsid w:val="00AB588E"/>
    <w:rsid w:val="00AB6A7C"/>
    <w:rsid w:val="00AB6C38"/>
    <w:rsid w:val="00AB79A7"/>
    <w:rsid w:val="00AC0058"/>
    <w:rsid w:val="00AC0113"/>
    <w:rsid w:val="00AC01D8"/>
    <w:rsid w:val="00AC0645"/>
    <w:rsid w:val="00AC133A"/>
    <w:rsid w:val="00AC1340"/>
    <w:rsid w:val="00AC1620"/>
    <w:rsid w:val="00AC2D81"/>
    <w:rsid w:val="00AC306C"/>
    <w:rsid w:val="00AC32DF"/>
    <w:rsid w:val="00AC353D"/>
    <w:rsid w:val="00AC4053"/>
    <w:rsid w:val="00AC44C9"/>
    <w:rsid w:val="00AC4611"/>
    <w:rsid w:val="00AC496A"/>
    <w:rsid w:val="00AC7F1C"/>
    <w:rsid w:val="00AD20E2"/>
    <w:rsid w:val="00AD24BF"/>
    <w:rsid w:val="00AD287D"/>
    <w:rsid w:val="00AD2F5D"/>
    <w:rsid w:val="00AD5997"/>
    <w:rsid w:val="00AD5CD2"/>
    <w:rsid w:val="00AD6408"/>
    <w:rsid w:val="00AD7528"/>
    <w:rsid w:val="00AE04AF"/>
    <w:rsid w:val="00AE2157"/>
    <w:rsid w:val="00AE3102"/>
    <w:rsid w:val="00AE3609"/>
    <w:rsid w:val="00AE3969"/>
    <w:rsid w:val="00AE4762"/>
    <w:rsid w:val="00AE4EC7"/>
    <w:rsid w:val="00AE524A"/>
    <w:rsid w:val="00AE6576"/>
    <w:rsid w:val="00AE7041"/>
    <w:rsid w:val="00AE7719"/>
    <w:rsid w:val="00AF0347"/>
    <w:rsid w:val="00AF0391"/>
    <w:rsid w:val="00AF28C7"/>
    <w:rsid w:val="00AF32E6"/>
    <w:rsid w:val="00AF4051"/>
    <w:rsid w:val="00AF45A7"/>
    <w:rsid w:val="00AF57FA"/>
    <w:rsid w:val="00AF6489"/>
    <w:rsid w:val="00AF7B59"/>
    <w:rsid w:val="00B003DA"/>
    <w:rsid w:val="00B016D4"/>
    <w:rsid w:val="00B01AE8"/>
    <w:rsid w:val="00B020EB"/>
    <w:rsid w:val="00B02D33"/>
    <w:rsid w:val="00B0366D"/>
    <w:rsid w:val="00B03F16"/>
    <w:rsid w:val="00B04777"/>
    <w:rsid w:val="00B04E87"/>
    <w:rsid w:val="00B05510"/>
    <w:rsid w:val="00B05A95"/>
    <w:rsid w:val="00B05AC3"/>
    <w:rsid w:val="00B068BD"/>
    <w:rsid w:val="00B06FE2"/>
    <w:rsid w:val="00B0752F"/>
    <w:rsid w:val="00B1017E"/>
    <w:rsid w:val="00B11A8B"/>
    <w:rsid w:val="00B1252E"/>
    <w:rsid w:val="00B12DEB"/>
    <w:rsid w:val="00B13F9B"/>
    <w:rsid w:val="00B141AE"/>
    <w:rsid w:val="00B158A7"/>
    <w:rsid w:val="00B204EA"/>
    <w:rsid w:val="00B21D90"/>
    <w:rsid w:val="00B23C1A"/>
    <w:rsid w:val="00B252FB"/>
    <w:rsid w:val="00B263C9"/>
    <w:rsid w:val="00B26C01"/>
    <w:rsid w:val="00B27086"/>
    <w:rsid w:val="00B27667"/>
    <w:rsid w:val="00B3158E"/>
    <w:rsid w:val="00B32361"/>
    <w:rsid w:val="00B339DF"/>
    <w:rsid w:val="00B35C79"/>
    <w:rsid w:val="00B35C83"/>
    <w:rsid w:val="00B3614E"/>
    <w:rsid w:val="00B376F6"/>
    <w:rsid w:val="00B37D00"/>
    <w:rsid w:val="00B4047D"/>
    <w:rsid w:val="00B41579"/>
    <w:rsid w:val="00B420A3"/>
    <w:rsid w:val="00B43B64"/>
    <w:rsid w:val="00B441EE"/>
    <w:rsid w:val="00B44272"/>
    <w:rsid w:val="00B4454D"/>
    <w:rsid w:val="00B45970"/>
    <w:rsid w:val="00B50CF1"/>
    <w:rsid w:val="00B50E64"/>
    <w:rsid w:val="00B52724"/>
    <w:rsid w:val="00B52731"/>
    <w:rsid w:val="00B52C02"/>
    <w:rsid w:val="00B52C0E"/>
    <w:rsid w:val="00B52F85"/>
    <w:rsid w:val="00B52FE4"/>
    <w:rsid w:val="00B5308B"/>
    <w:rsid w:val="00B53E28"/>
    <w:rsid w:val="00B55986"/>
    <w:rsid w:val="00B60C6F"/>
    <w:rsid w:val="00B61071"/>
    <w:rsid w:val="00B62292"/>
    <w:rsid w:val="00B62A8D"/>
    <w:rsid w:val="00B62FE6"/>
    <w:rsid w:val="00B63CDF"/>
    <w:rsid w:val="00B65206"/>
    <w:rsid w:val="00B65395"/>
    <w:rsid w:val="00B6551D"/>
    <w:rsid w:val="00B666CC"/>
    <w:rsid w:val="00B66E6F"/>
    <w:rsid w:val="00B67993"/>
    <w:rsid w:val="00B71C0C"/>
    <w:rsid w:val="00B7226F"/>
    <w:rsid w:val="00B72444"/>
    <w:rsid w:val="00B74B3A"/>
    <w:rsid w:val="00B76E46"/>
    <w:rsid w:val="00B7739B"/>
    <w:rsid w:val="00B80CE1"/>
    <w:rsid w:val="00B8108E"/>
    <w:rsid w:val="00B8279A"/>
    <w:rsid w:val="00B82B23"/>
    <w:rsid w:val="00B82F1A"/>
    <w:rsid w:val="00B830A3"/>
    <w:rsid w:val="00B835E3"/>
    <w:rsid w:val="00B85EDB"/>
    <w:rsid w:val="00B85FFE"/>
    <w:rsid w:val="00B864DD"/>
    <w:rsid w:val="00B86D0D"/>
    <w:rsid w:val="00B86D3B"/>
    <w:rsid w:val="00B86FC4"/>
    <w:rsid w:val="00B87866"/>
    <w:rsid w:val="00B900C1"/>
    <w:rsid w:val="00B91A8D"/>
    <w:rsid w:val="00B9261B"/>
    <w:rsid w:val="00B92647"/>
    <w:rsid w:val="00B932D3"/>
    <w:rsid w:val="00B93745"/>
    <w:rsid w:val="00B94A4D"/>
    <w:rsid w:val="00B94F92"/>
    <w:rsid w:val="00B95EEB"/>
    <w:rsid w:val="00B9659C"/>
    <w:rsid w:val="00B9667C"/>
    <w:rsid w:val="00B970BA"/>
    <w:rsid w:val="00B974B9"/>
    <w:rsid w:val="00BA03FB"/>
    <w:rsid w:val="00BA0EB5"/>
    <w:rsid w:val="00BA10D5"/>
    <w:rsid w:val="00BA1E9D"/>
    <w:rsid w:val="00BA1F1E"/>
    <w:rsid w:val="00BA2600"/>
    <w:rsid w:val="00BA43D5"/>
    <w:rsid w:val="00BA5A30"/>
    <w:rsid w:val="00BA6560"/>
    <w:rsid w:val="00BA658D"/>
    <w:rsid w:val="00BA6B3A"/>
    <w:rsid w:val="00BA702A"/>
    <w:rsid w:val="00BB09D0"/>
    <w:rsid w:val="00BB0D8E"/>
    <w:rsid w:val="00BB0F22"/>
    <w:rsid w:val="00BB1200"/>
    <w:rsid w:val="00BB1E2B"/>
    <w:rsid w:val="00BB2738"/>
    <w:rsid w:val="00BB2B65"/>
    <w:rsid w:val="00BB3402"/>
    <w:rsid w:val="00BB5E9B"/>
    <w:rsid w:val="00BB77D4"/>
    <w:rsid w:val="00BB79BB"/>
    <w:rsid w:val="00BC0D5B"/>
    <w:rsid w:val="00BC0DD3"/>
    <w:rsid w:val="00BC2203"/>
    <w:rsid w:val="00BC2333"/>
    <w:rsid w:val="00BC2541"/>
    <w:rsid w:val="00BC2557"/>
    <w:rsid w:val="00BC339D"/>
    <w:rsid w:val="00BC3E2D"/>
    <w:rsid w:val="00BC58A1"/>
    <w:rsid w:val="00BC58C3"/>
    <w:rsid w:val="00BC5BC7"/>
    <w:rsid w:val="00BC5E59"/>
    <w:rsid w:val="00BC656D"/>
    <w:rsid w:val="00BD03FC"/>
    <w:rsid w:val="00BD124D"/>
    <w:rsid w:val="00BD1289"/>
    <w:rsid w:val="00BD1D6F"/>
    <w:rsid w:val="00BD258E"/>
    <w:rsid w:val="00BD2742"/>
    <w:rsid w:val="00BD2BCD"/>
    <w:rsid w:val="00BD2FEC"/>
    <w:rsid w:val="00BD3368"/>
    <w:rsid w:val="00BD3613"/>
    <w:rsid w:val="00BD4DDC"/>
    <w:rsid w:val="00BD5206"/>
    <w:rsid w:val="00BD72E6"/>
    <w:rsid w:val="00BD74A7"/>
    <w:rsid w:val="00BD787F"/>
    <w:rsid w:val="00BE17FB"/>
    <w:rsid w:val="00BE1AD8"/>
    <w:rsid w:val="00BE1C56"/>
    <w:rsid w:val="00BE4139"/>
    <w:rsid w:val="00BE4C2B"/>
    <w:rsid w:val="00BE4EFE"/>
    <w:rsid w:val="00BE5341"/>
    <w:rsid w:val="00BE762A"/>
    <w:rsid w:val="00BE7C58"/>
    <w:rsid w:val="00BF2EF4"/>
    <w:rsid w:val="00BF3759"/>
    <w:rsid w:val="00BF3CD9"/>
    <w:rsid w:val="00BF4769"/>
    <w:rsid w:val="00BF4958"/>
    <w:rsid w:val="00BF4973"/>
    <w:rsid w:val="00BF55F4"/>
    <w:rsid w:val="00BF5B17"/>
    <w:rsid w:val="00BF601B"/>
    <w:rsid w:val="00BF639E"/>
    <w:rsid w:val="00BF696E"/>
    <w:rsid w:val="00BF7BD1"/>
    <w:rsid w:val="00BF7DD8"/>
    <w:rsid w:val="00C00877"/>
    <w:rsid w:val="00C008C2"/>
    <w:rsid w:val="00C00F48"/>
    <w:rsid w:val="00C027CC"/>
    <w:rsid w:val="00C028A6"/>
    <w:rsid w:val="00C045C9"/>
    <w:rsid w:val="00C04628"/>
    <w:rsid w:val="00C04EB1"/>
    <w:rsid w:val="00C0555B"/>
    <w:rsid w:val="00C05728"/>
    <w:rsid w:val="00C063AC"/>
    <w:rsid w:val="00C06674"/>
    <w:rsid w:val="00C073E0"/>
    <w:rsid w:val="00C07A1D"/>
    <w:rsid w:val="00C1146B"/>
    <w:rsid w:val="00C114CE"/>
    <w:rsid w:val="00C1174D"/>
    <w:rsid w:val="00C130A4"/>
    <w:rsid w:val="00C144ED"/>
    <w:rsid w:val="00C15643"/>
    <w:rsid w:val="00C16966"/>
    <w:rsid w:val="00C16A63"/>
    <w:rsid w:val="00C17443"/>
    <w:rsid w:val="00C17B8F"/>
    <w:rsid w:val="00C219B0"/>
    <w:rsid w:val="00C21EB0"/>
    <w:rsid w:val="00C259AC"/>
    <w:rsid w:val="00C268EC"/>
    <w:rsid w:val="00C26EBB"/>
    <w:rsid w:val="00C27541"/>
    <w:rsid w:val="00C27F29"/>
    <w:rsid w:val="00C304E7"/>
    <w:rsid w:val="00C31014"/>
    <w:rsid w:val="00C31E13"/>
    <w:rsid w:val="00C31EB3"/>
    <w:rsid w:val="00C31FA8"/>
    <w:rsid w:val="00C32924"/>
    <w:rsid w:val="00C32B95"/>
    <w:rsid w:val="00C334DC"/>
    <w:rsid w:val="00C3359B"/>
    <w:rsid w:val="00C33B6E"/>
    <w:rsid w:val="00C33FF7"/>
    <w:rsid w:val="00C34849"/>
    <w:rsid w:val="00C35086"/>
    <w:rsid w:val="00C3536A"/>
    <w:rsid w:val="00C36441"/>
    <w:rsid w:val="00C415AE"/>
    <w:rsid w:val="00C41B85"/>
    <w:rsid w:val="00C41DDF"/>
    <w:rsid w:val="00C42700"/>
    <w:rsid w:val="00C43F4D"/>
    <w:rsid w:val="00C4463E"/>
    <w:rsid w:val="00C460FC"/>
    <w:rsid w:val="00C46ED9"/>
    <w:rsid w:val="00C47F6C"/>
    <w:rsid w:val="00C50248"/>
    <w:rsid w:val="00C52117"/>
    <w:rsid w:val="00C528E6"/>
    <w:rsid w:val="00C5318F"/>
    <w:rsid w:val="00C541B5"/>
    <w:rsid w:val="00C55C33"/>
    <w:rsid w:val="00C5630D"/>
    <w:rsid w:val="00C60F63"/>
    <w:rsid w:val="00C6110D"/>
    <w:rsid w:val="00C61646"/>
    <w:rsid w:val="00C619D3"/>
    <w:rsid w:val="00C61BED"/>
    <w:rsid w:val="00C6450E"/>
    <w:rsid w:val="00C660E6"/>
    <w:rsid w:val="00C66C7E"/>
    <w:rsid w:val="00C67B08"/>
    <w:rsid w:val="00C716EF"/>
    <w:rsid w:val="00C72044"/>
    <w:rsid w:val="00C72814"/>
    <w:rsid w:val="00C72871"/>
    <w:rsid w:val="00C72D46"/>
    <w:rsid w:val="00C73448"/>
    <w:rsid w:val="00C74E82"/>
    <w:rsid w:val="00C760AF"/>
    <w:rsid w:val="00C7632D"/>
    <w:rsid w:val="00C77214"/>
    <w:rsid w:val="00C77624"/>
    <w:rsid w:val="00C81D17"/>
    <w:rsid w:val="00C823FA"/>
    <w:rsid w:val="00C83A2A"/>
    <w:rsid w:val="00C83E2D"/>
    <w:rsid w:val="00C84137"/>
    <w:rsid w:val="00C84C76"/>
    <w:rsid w:val="00C85821"/>
    <w:rsid w:val="00C86713"/>
    <w:rsid w:val="00C87042"/>
    <w:rsid w:val="00C87D8C"/>
    <w:rsid w:val="00C905A2"/>
    <w:rsid w:val="00C910FC"/>
    <w:rsid w:val="00C9213B"/>
    <w:rsid w:val="00C92314"/>
    <w:rsid w:val="00C92F9D"/>
    <w:rsid w:val="00C93E3F"/>
    <w:rsid w:val="00C93E90"/>
    <w:rsid w:val="00C940E8"/>
    <w:rsid w:val="00C940EC"/>
    <w:rsid w:val="00C95CB9"/>
    <w:rsid w:val="00C97413"/>
    <w:rsid w:val="00C97588"/>
    <w:rsid w:val="00CA05B5"/>
    <w:rsid w:val="00CA0CC1"/>
    <w:rsid w:val="00CA36EA"/>
    <w:rsid w:val="00CA3D6B"/>
    <w:rsid w:val="00CA406F"/>
    <w:rsid w:val="00CA5985"/>
    <w:rsid w:val="00CA5F19"/>
    <w:rsid w:val="00CA5F95"/>
    <w:rsid w:val="00CB026D"/>
    <w:rsid w:val="00CB075D"/>
    <w:rsid w:val="00CB4469"/>
    <w:rsid w:val="00CB4863"/>
    <w:rsid w:val="00CB6A9D"/>
    <w:rsid w:val="00CB741D"/>
    <w:rsid w:val="00CC2747"/>
    <w:rsid w:val="00CC28D3"/>
    <w:rsid w:val="00CC3300"/>
    <w:rsid w:val="00CC3D36"/>
    <w:rsid w:val="00CC4045"/>
    <w:rsid w:val="00CC4800"/>
    <w:rsid w:val="00CC4FF7"/>
    <w:rsid w:val="00CC5CB7"/>
    <w:rsid w:val="00CC5DDF"/>
    <w:rsid w:val="00CC5F00"/>
    <w:rsid w:val="00CC6F65"/>
    <w:rsid w:val="00CC74DA"/>
    <w:rsid w:val="00CD0375"/>
    <w:rsid w:val="00CD051F"/>
    <w:rsid w:val="00CD140B"/>
    <w:rsid w:val="00CD21A7"/>
    <w:rsid w:val="00CD21D2"/>
    <w:rsid w:val="00CD2675"/>
    <w:rsid w:val="00CD2AE5"/>
    <w:rsid w:val="00CD3E48"/>
    <w:rsid w:val="00CD3EEA"/>
    <w:rsid w:val="00CD3F29"/>
    <w:rsid w:val="00CD620F"/>
    <w:rsid w:val="00CD6553"/>
    <w:rsid w:val="00CD6E46"/>
    <w:rsid w:val="00CD7E81"/>
    <w:rsid w:val="00CE0933"/>
    <w:rsid w:val="00CE0C18"/>
    <w:rsid w:val="00CE1926"/>
    <w:rsid w:val="00CE1B14"/>
    <w:rsid w:val="00CE1EF2"/>
    <w:rsid w:val="00CE2299"/>
    <w:rsid w:val="00CE3AF9"/>
    <w:rsid w:val="00CE426B"/>
    <w:rsid w:val="00CE4341"/>
    <w:rsid w:val="00CE43DF"/>
    <w:rsid w:val="00CE48BD"/>
    <w:rsid w:val="00CE4D18"/>
    <w:rsid w:val="00CE66BA"/>
    <w:rsid w:val="00CE7161"/>
    <w:rsid w:val="00CE791E"/>
    <w:rsid w:val="00CE7E37"/>
    <w:rsid w:val="00CF0C4E"/>
    <w:rsid w:val="00CF0ED5"/>
    <w:rsid w:val="00CF1E9C"/>
    <w:rsid w:val="00CF2CA2"/>
    <w:rsid w:val="00CF3A5D"/>
    <w:rsid w:val="00CF4614"/>
    <w:rsid w:val="00CF5219"/>
    <w:rsid w:val="00CF6084"/>
    <w:rsid w:val="00CF6709"/>
    <w:rsid w:val="00CF6CCF"/>
    <w:rsid w:val="00D010CE"/>
    <w:rsid w:val="00D012AB"/>
    <w:rsid w:val="00D03CF6"/>
    <w:rsid w:val="00D043FC"/>
    <w:rsid w:val="00D059CE"/>
    <w:rsid w:val="00D065D7"/>
    <w:rsid w:val="00D06B10"/>
    <w:rsid w:val="00D06E3D"/>
    <w:rsid w:val="00D109D4"/>
    <w:rsid w:val="00D10DB2"/>
    <w:rsid w:val="00D11B0D"/>
    <w:rsid w:val="00D12138"/>
    <w:rsid w:val="00D1290B"/>
    <w:rsid w:val="00D12D2C"/>
    <w:rsid w:val="00D131D0"/>
    <w:rsid w:val="00D13922"/>
    <w:rsid w:val="00D1453F"/>
    <w:rsid w:val="00D15009"/>
    <w:rsid w:val="00D16149"/>
    <w:rsid w:val="00D16946"/>
    <w:rsid w:val="00D169F0"/>
    <w:rsid w:val="00D17C22"/>
    <w:rsid w:val="00D20941"/>
    <w:rsid w:val="00D209F8"/>
    <w:rsid w:val="00D210F4"/>
    <w:rsid w:val="00D21225"/>
    <w:rsid w:val="00D218E2"/>
    <w:rsid w:val="00D21C2A"/>
    <w:rsid w:val="00D22A9B"/>
    <w:rsid w:val="00D22B8E"/>
    <w:rsid w:val="00D22DD9"/>
    <w:rsid w:val="00D23BFA"/>
    <w:rsid w:val="00D23DFB"/>
    <w:rsid w:val="00D26796"/>
    <w:rsid w:val="00D26D74"/>
    <w:rsid w:val="00D27639"/>
    <w:rsid w:val="00D30FDA"/>
    <w:rsid w:val="00D312B7"/>
    <w:rsid w:val="00D3161E"/>
    <w:rsid w:val="00D319B8"/>
    <w:rsid w:val="00D35299"/>
    <w:rsid w:val="00D3571B"/>
    <w:rsid w:val="00D36B42"/>
    <w:rsid w:val="00D3704A"/>
    <w:rsid w:val="00D37099"/>
    <w:rsid w:val="00D37FCD"/>
    <w:rsid w:val="00D40542"/>
    <w:rsid w:val="00D43E0C"/>
    <w:rsid w:val="00D4425C"/>
    <w:rsid w:val="00D4496A"/>
    <w:rsid w:val="00D45382"/>
    <w:rsid w:val="00D46675"/>
    <w:rsid w:val="00D47BC6"/>
    <w:rsid w:val="00D47DAA"/>
    <w:rsid w:val="00D506BC"/>
    <w:rsid w:val="00D51E56"/>
    <w:rsid w:val="00D52064"/>
    <w:rsid w:val="00D52F6C"/>
    <w:rsid w:val="00D53164"/>
    <w:rsid w:val="00D5377E"/>
    <w:rsid w:val="00D5380D"/>
    <w:rsid w:val="00D538AF"/>
    <w:rsid w:val="00D53B09"/>
    <w:rsid w:val="00D53CCD"/>
    <w:rsid w:val="00D53E0A"/>
    <w:rsid w:val="00D54BE3"/>
    <w:rsid w:val="00D551C7"/>
    <w:rsid w:val="00D55A03"/>
    <w:rsid w:val="00D55A46"/>
    <w:rsid w:val="00D56A4B"/>
    <w:rsid w:val="00D5707A"/>
    <w:rsid w:val="00D5785C"/>
    <w:rsid w:val="00D60BAD"/>
    <w:rsid w:val="00D61988"/>
    <w:rsid w:val="00D62022"/>
    <w:rsid w:val="00D62080"/>
    <w:rsid w:val="00D62D48"/>
    <w:rsid w:val="00D64209"/>
    <w:rsid w:val="00D64966"/>
    <w:rsid w:val="00D65607"/>
    <w:rsid w:val="00D65E8F"/>
    <w:rsid w:val="00D66AD5"/>
    <w:rsid w:val="00D66DD5"/>
    <w:rsid w:val="00D67CB9"/>
    <w:rsid w:val="00D703E9"/>
    <w:rsid w:val="00D70FFE"/>
    <w:rsid w:val="00D714EF"/>
    <w:rsid w:val="00D71F0A"/>
    <w:rsid w:val="00D721B7"/>
    <w:rsid w:val="00D74024"/>
    <w:rsid w:val="00D745F2"/>
    <w:rsid w:val="00D759A3"/>
    <w:rsid w:val="00D767D0"/>
    <w:rsid w:val="00D77C23"/>
    <w:rsid w:val="00D823C9"/>
    <w:rsid w:val="00D84AD7"/>
    <w:rsid w:val="00D85C34"/>
    <w:rsid w:val="00D863AF"/>
    <w:rsid w:val="00D8704B"/>
    <w:rsid w:val="00D8776F"/>
    <w:rsid w:val="00D90328"/>
    <w:rsid w:val="00D90AAE"/>
    <w:rsid w:val="00D90C94"/>
    <w:rsid w:val="00D9182E"/>
    <w:rsid w:val="00D93EF2"/>
    <w:rsid w:val="00D93F96"/>
    <w:rsid w:val="00D9567A"/>
    <w:rsid w:val="00D97C1B"/>
    <w:rsid w:val="00D97CAE"/>
    <w:rsid w:val="00D97FE0"/>
    <w:rsid w:val="00DA2F4B"/>
    <w:rsid w:val="00DA3145"/>
    <w:rsid w:val="00DA392A"/>
    <w:rsid w:val="00DA3B58"/>
    <w:rsid w:val="00DA3D88"/>
    <w:rsid w:val="00DA55A6"/>
    <w:rsid w:val="00DA597C"/>
    <w:rsid w:val="00DA6536"/>
    <w:rsid w:val="00DA6F8B"/>
    <w:rsid w:val="00DA7EFA"/>
    <w:rsid w:val="00DB13C0"/>
    <w:rsid w:val="00DB29AC"/>
    <w:rsid w:val="00DB2EC5"/>
    <w:rsid w:val="00DB2F86"/>
    <w:rsid w:val="00DB335C"/>
    <w:rsid w:val="00DB36CD"/>
    <w:rsid w:val="00DB3A6B"/>
    <w:rsid w:val="00DB3CB7"/>
    <w:rsid w:val="00DB451D"/>
    <w:rsid w:val="00DB571D"/>
    <w:rsid w:val="00DB74B9"/>
    <w:rsid w:val="00DC00D3"/>
    <w:rsid w:val="00DC0940"/>
    <w:rsid w:val="00DC2809"/>
    <w:rsid w:val="00DC3C89"/>
    <w:rsid w:val="00DC4184"/>
    <w:rsid w:val="00DC4337"/>
    <w:rsid w:val="00DC47D8"/>
    <w:rsid w:val="00DC4938"/>
    <w:rsid w:val="00DC5DE1"/>
    <w:rsid w:val="00DC68F1"/>
    <w:rsid w:val="00DC6A1C"/>
    <w:rsid w:val="00DD0CF2"/>
    <w:rsid w:val="00DD0E61"/>
    <w:rsid w:val="00DD1999"/>
    <w:rsid w:val="00DD1C5E"/>
    <w:rsid w:val="00DD2B20"/>
    <w:rsid w:val="00DD5A99"/>
    <w:rsid w:val="00DD6665"/>
    <w:rsid w:val="00DD682A"/>
    <w:rsid w:val="00DD77B1"/>
    <w:rsid w:val="00DE0691"/>
    <w:rsid w:val="00DE11C8"/>
    <w:rsid w:val="00DE22D2"/>
    <w:rsid w:val="00DE2B0A"/>
    <w:rsid w:val="00DE3DD6"/>
    <w:rsid w:val="00DE4453"/>
    <w:rsid w:val="00DE4604"/>
    <w:rsid w:val="00DE4DF9"/>
    <w:rsid w:val="00DE4DFB"/>
    <w:rsid w:val="00DE5FE7"/>
    <w:rsid w:val="00DE61EA"/>
    <w:rsid w:val="00DE6391"/>
    <w:rsid w:val="00DE64C6"/>
    <w:rsid w:val="00DE6973"/>
    <w:rsid w:val="00DE6BB9"/>
    <w:rsid w:val="00DE6E8D"/>
    <w:rsid w:val="00DE7F62"/>
    <w:rsid w:val="00DF1FC7"/>
    <w:rsid w:val="00DF229B"/>
    <w:rsid w:val="00DF2896"/>
    <w:rsid w:val="00DF2A1C"/>
    <w:rsid w:val="00DF4696"/>
    <w:rsid w:val="00DF5169"/>
    <w:rsid w:val="00DF55F7"/>
    <w:rsid w:val="00DF791F"/>
    <w:rsid w:val="00DF7D35"/>
    <w:rsid w:val="00E005E4"/>
    <w:rsid w:val="00E005F8"/>
    <w:rsid w:val="00E01756"/>
    <w:rsid w:val="00E02410"/>
    <w:rsid w:val="00E02F43"/>
    <w:rsid w:val="00E055FB"/>
    <w:rsid w:val="00E056F5"/>
    <w:rsid w:val="00E05F46"/>
    <w:rsid w:val="00E0698F"/>
    <w:rsid w:val="00E069DC"/>
    <w:rsid w:val="00E07038"/>
    <w:rsid w:val="00E11BBB"/>
    <w:rsid w:val="00E127D0"/>
    <w:rsid w:val="00E128EB"/>
    <w:rsid w:val="00E12A56"/>
    <w:rsid w:val="00E131EC"/>
    <w:rsid w:val="00E1329A"/>
    <w:rsid w:val="00E13A77"/>
    <w:rsid w:val="00E1414F"/>
    <w:rsid w:val="00E160B9"/>
    <w:rsid w:val="00E16B95"/>
    <w:rsid w:val="00E17F1E"/>
    <w:rsid w:val="00E20349"/>
    <w:rsid w:val="00E2166A"/>
    <w:rsid w:val="00E2301A"/>
    <w:rsid w:val="00E25DB4"/>
    <w:rsid w:val="00E2656B"/>
    <w:rsid w:val="00E27A02"/>
    <w:rsid w:val="00E30594"/>
    <w:rsid w:val="00E3093A"/>
    <w:rsid w:val="00E315AB"/>
    <w:rsid w:val="00E337FA"/>
    <w:rsid w:val="00E33C7A"/>
    <w:rsid w:val="00E34CE9"/>
    <w:rsid w:val="00E358F4"/>
    <w:rsid w:val="00E35F84"/>
    <w:rsid w:val="00E368DB"/>
    <w:rsid w:val="00E36D6D"/>
    <w:rsid w:val="00E36E40"/>
    <w:rsid w:val="00E37747"/>
    <w:rsid w:val="00E37FA0"/>
    <w:rsid w:val="00E37FF2"/>
    <w:rsid w:val="00E40283"/>
    <w:rsid w:val="00E402DC"/>
    <w:rsid w:val="00E41644"/>
    <w:rsid w:val="00E41B51"/>
    <w:rsid w:val="00E420F8"/>
    <w:rsid w:val="00E421B9"/>
    <w:rsid w:val="00E42FCB"/>
    <w:rsid w:val="00E45274"/>
    <w:rsid w:val="00E45D74"/>
    <w:rsid w:val="00E45F6A"/>
    <w:rsid w:val="00E463B3"/>
    <w:rsid w:val="00E46AF6"/>
    <w:rsid w:val="00E4735C"/>
    <w:rsid w:val="00E47DBC"/>
    <w:rsid w:val="00E502FD"/>
    <w:rsid w:val="00E50481"/>
    <w:rsid w:val="00E506D1"/>
    <w:rsid w:val="00E51955"/>
    <w:rsid w:val="00E519D3"/>
    <w:rsid w:val="00E51B9B"/>
    <w:rsid w:val="00E531B2"/>
    <w:rsid w:val="00E5376A"/>
    <w:rsid w:val="00E53D1A"/>
    <w:rsid w:val="00E56748"/>
    <w:rsid w:val="00E56992"/>
    <w:rsid w:val="00E60501"/>
    <w:rsid w:val="00E60F25"/>
    <w:rsid w:val="00E6156D"/>
    <w:rsid w:val="00E620F2"/>
    <w:rsid w:val="00E630FB"/>
    <w:rsid w:val="00E6332E"/>
    <w:rsid w:val="00E64FFE"/>
    <w:rsid w:val="00E655A3"/>
    <w:rsid w:val="00E65C89"/>
    <w:rsid w:val="00E65D24"/>
    <w:rsid w:val="00E67194"/>
    <w:rsid w:val="00E671D3"/>
    <w:rsid w:val="00E673B7"/>
    <w:rsid w:val="00E70061"/>
    <w:rsid w:val="00E70CB3"/>
    <w:rsid w:val="00E717AE"/>
    <w:rsid w:val="00E72080"/>
    <w:rsid w:val="00E72179"/>
    <w:rsid w:val="00E7217D"/>
    <w:rsid w:val="00E7274F"/>
    <w:rsid w:val="00E7479F"/>
    <w:rsid w:val="00E74BBD"/>
    <w:rsid w:val="00E75A52"/>
    <w:rsid w:val="00E77102"/>
    <w:rsid w:val="00E7732A"/>
    <w:rsid w:val="00E77679"/>
    <w:rsid w:val="00E8012C"/>
    <w:rsid w:val="00E80308"/>
    <w:rsid w:val="00E8157B"/>
    <w:rsid w:val="00E81DA3"/>
    <w:rsid w:val="00E821D0"/>
    <w:rsid w:val="00E828CA"/>
    <w:rsid w:val="00E8341F"/>
    <w:rsid w:val="00E843B3"/>
    <w:rsid w:val="00E87884"/>
    <w:rsid w:val="00E87C4A"/>
    <w:rsid w:val="00E900C5"/>
    <w:rsid w:val="00E90170"/>
    <w:rsid w:val="00E9145B"/>
    <w:rsid w:val="00E92237"/>
    <w:rsid w:val="00E922D3"/>
    <w:rsid w:val="00E92E39"/>
    <w:rsid w:val="00E936E6"/>
    <w:rsid w:val="00E93B72"/>
    <w:rsid w:val="00E942A8"/>
    <w:rsid w:val="00E94916"/>
    <w:rsid w:val="00E96349"/>
    <w:rsid w:val="00E973DC"/>
    <w:rsid w:val="00EA015D"/>
    <w:rsid w:val="00EA01C4"/>
    <w:rsid w:val="00EA04CE"/>
    <w:rsid w:val="00EA0D9C"/>
    <w:rsid w:val="00EA16B2"/>
    <w:rsid w:val="00EA3359"/>
    <w:rsid w:val="00EA46E5"/>
    <w:rsid w:val="00EA51F4"/>
    <w:rsid w:val="00EA5438"/>
    <w:rsid w:val="00EA56B4"/>
    <w:rsid w:val="00EA6AFC"/>
    <w:rsid w:val="00EA7B14"/>
    <w:rsid w:val="00EB0B5D"/>
    <w:rsid w:val="00EB1DE1"/>
    <w:rsid w:val="00EB23BB"/>
    <w:rsid w:val="00EB2BF3"/>
    <w:rsid w:val="00EB30C9"/>
    <w:rsid w:val="00EB3EE9"/>
    <w:rsid w:val="00EB5063"/>
    <w:rsid w:val="00EB5283"/>
    <w:rsid w:val="00EB6215"/>
    <w:rsid w:val="00EB7125"/>
    <w:rsid w:val="00EB7975"/>
    <w:rsid w:val="00EB7985"/>
    <w:rsid w:val="00EC030A"/>
    <w:rsid w:val="00EC18A3"/>
    <w:rsid w:val="00EC292A"/>
    <w:rsid w:val="00EC3304"/>
    <w:rsid w:val="00EC4261"/>
    <w:rsid w:val="00EC50DB"/>
    <w:rsid w:val="00EC545A"/>
    <w:rsid w:val="00EC566A"/>
    <w:rsid w:val="00EC5769"/>
    <w:rsid w:val="00EC587C"/>
    <w:rsid w:val="00EC6891"/>
    <w:rsid w:val="00EC69F3"/>
    <w:rsid w:val="00EC6AF3"/>
    <w:rsid w:val="00EC6AF7"/>
    <w:rsid w:val="00ED1346"/>
    <w:rsid w:val="00ED2AFF"/>
    <w:rsid w:val="00ED2D3A"/>
    <w:rsid w:val="00ED2EC0"/>
    <w:rsid w:val="00ED50E0"/>
    <w:rsid w:val="00ED5169"/>
    <w:rsid w:val="00ED5986"/>
    <w:rsid w:val="00ED5EC8"/>
    <w:rsid w:val="00ED70CE"/>
    <w:rsid w:val="00EE0744"/>
    <w:rsid w:val="00EE26D8"/>
    <w:rsid w:val="00EE32B4"/>
    <w:rsid w:val="00EE3A41"/>
    <w:rsid w:val="00EE3FC6"/>
    <w:rsid w:val="00EE623A"/>
    <w:rsid w:val="00EE65F0"/>
    <w:rsid w:val="00EE6B93"/>
    <w:rsid w:val="00EE781F"/>
    <w:rsid w:val="00EE7D6E"/>
    <w:rsid w:val="00EF05D4"/>
    <w:rsid w:val="00EF1298"/>
    <w:rsid w:val="00EF1920"/>
    <w:rsid w:val="00EF1F61"/>
    <w:rsid w:val="00EF3440"/>
    <w:rsid w:val="00EF3920"/>
    <w:rsid w:val="00EF3D52"/>
    <w:rsid w:val="00EF4AC9"/>
    <w:rsid w:val="00EF54D6"/>
    <w:rsid w:val="00EF5908"/>
    <w:rsid w:val="00EF5EB5"/>
    <w:rsid w:val="00EF73D3"/>
    <w:rsid w:val="00F00CFB"/>
    <w:rsid w:val="00F00D6E"/>
    <w:rsid w:val="00F00F91"/>
    <w:rsid w:val="00F01085"/>
    <w:rsid w:val="00F02C31"/>
    <w:rsid w:val="00F03EC9"/>
    <w:rsid w:val="00F0433B"/>
    <w:rsid w:val="00F05371"/>
    <w:rsid w:val="00F05932"/>
    <w:rsid w:val="00F05BF8"/>
    <w:rsid w:val="00F06302"/>
    <w:rsid w:val="00F10E6D"/>
    <w:rsid w:val="00F10EC9"/>
    <w:rsid w:val="00F10F52"/>
    <w:rsid w:val="00F111E2"/>
    <w:rsid w:val="00F11272"/>
    <w:rsid w:val="00F11CB8"/>
    <w:rsid w:val="00F16D9B"/>
    <w:rsid w:val="00F17B49"/>
    <w:rsid w:val="00F2088C"/>
    <w:rsid w:val="00F20CB1"/>
    <w:rsid w:val="00F21437"/>
    <w:rsid w:val="00F228CC"/>
    <w:rsid w:val="00F23934"/>
    <w:rsid w:val="00F24155"/>
    <w:rsid w:val="00F242D6"/>
    <w:rsid w:val="00F24865"/>
    <w:rsid w:val="00F24B07"/>
    <w:rsid w:val="00F25535"/>
    <w:rsid w:val="00F25739"/>
    <w:rsid w:val="00F25E5B"/>
    <w:rsid w:val="00F2713B"/>
    <w:rsid w:val="00F3009B"/>
    <w:rsid w:val="00F304D3"/>
    <w:rsid w:val="00F30E04"/>
    <w:rsid w:val="00F3121E"/>
    <w:rsid w:val="00F319DD"/>
    <w:rsid w:val="00F31CC8"/>
    <w:rsid w:val="00F32A74"/>
    <w:rsid w:val="00F3518B"/>
    <w:rsid w:val="00F36BC1"/>
    <w:rsid w:val="00F40547"/>
    <w:rsid w:val="00F408BD"/>
    <w:rsid w:val="00F4189D"/>
    <w:rsid w:val="00F4216F"/>
    <w:rsid w:val="00F42314"/>
    <w:rsid w:val="00F42730"/>
    <w:rsid w:val="00F42C01"/>
    <w:rsid w:val="00F432AB"/>
    <w:rsid w:val="00F436D9"/>
    <w:rsid w:val="00F43704"/>
    <w:rsid w:val="00F43D55"/>
    <w:rsid w:val="00F44F3A"/>
    <w:rsid w:val="00F4536A"/>
    <w:rsid w:val="00F45FE8"/>
    <w:rsid w:val="00F46503"/>
    <w:rsid w:val="00F46DCE"/>
    <w:rsid w:val="00F473BA"/>
    <w:rsid w:val="00F478EC"/>
    <w:rsid w:val="00F47991"/>
    <w:rsid w:val="00F47E28"/>
    <w:rsid w:val="00F50061"/>
    <w:rsid w:val="00F50388"/>
    <w:rsid w:val="00F50F89"/>
    <w:rsid w:val="00F51339"/>
    <w:rsid w:val="00F52FD2"/>
    <w:rsid w:val="00F531DC"/>
    <w:rsid w:val="00F53748"/>
    <w:rsid w:val="00F538CF"/>
    <w:rsid w:val="00F53CE0"/>
    <w:rsid w:val="00F53F9F"/>
    <w:rsid w:val="00F541BD"/>
    <w:rsid w:val="00F547A3"/>
    <w:rsid w:val="00F56282"/>
    <w:rsid w:val="00F56C06"/>
    <w:rsid w:val="00F57096"/>
    <w:rsid w:val="00F57A3D"/>
    <w:rsid w:val="00F62698"/>
    <w:rsid w:val="00F635AD"/>
    <w:rsid w:val="00F63964"/>
    <w:rsid w:val="00F64D8B"/>
    <w:rsid w:val="00F654E0"/>
    <w:rsid w:val="00F66750"/>
    <w:rsid w:val="00F7014C"/>
    <w:rsid w:val="00F70B1F"/>
    <w:rsid w:val="00F70E1F"/>
    <w:rsid w:val="00F70F85"/>
    <w:rsid w:val="00F71B96"/>
    <w:rsid w:val="00F72435"/>
    <w:rsid w:val="00F72595"/>
    <w:rsid w:val="00F72AFF"/>
    <w:rsid w:val="00F74821"/>
    <w:rsid w:val="00F75C41"/>
    <w:rsid w:val="00F764FC"/>
    <w:rsid w:val="00F76862"/>
    <w:rsid w:val="00F7778B"/>
    <w:rsid w:val="00F77970"/>
    <w:rsid w:val="00F77B0D"/>
    <w:rsid w:val="00F8102D"/>
    <w:rsid w:val="00F81090"/>
    <w:rsid w:val="00F834F9"/>
    <w:rsid w:val="00F867BA"/>
    <w:rsid w:val="00F87897"/>
    <w:rsid w:val="00F87B63"/>
    <w:rsid w:val="00F90271"/>
    <w:rsid w:val="00F90340"/>
    <w:rsid w:val="00F9289A"/>
    <w:rsid w:val="00F92DF7"/>
    <w:rsid w:val="00F948FB"/>
    <w:rsid w:val="00F94E1A"/>
    <w:rsid w:val="00F9509D"/>
    <w:rsid w:val="00F96273"/>
    <w:rsid w:val="00F97D05"/>
    <w:rsid w:val="00FA09AF"/>
    <w:rsid w:val="00FA1124"/>
    <w:rsid w:val="00FA3E38"/>
    <w:rsid w:val="00FA5545"/>
    <w:rsid w:val="00FA55AA"/>
    <w:rsid w:val="00FA615E"/>
    <w:rsid w:val="00FA7101"/>
    <w:rsid w:val="00FA7739"/>
    <w:rsid w:val="00FB0547"/>
    <w:rsid w:val="00FB2FDD"/>
    <w:rsid w:val="00FB3BDC"/>
    <w:rsid w:val="00FB3FD7"/>
    <w:rsid w:val="00FB62BE"/>
    <w:rsid w:val="00FB6386"/>
    <w:rsid w:val="00FC2555"/>
    <w:rsid w:val="00FC45A8"/>
    <w:rsid w:val="00FC50D4"/>
    <w:rsid w:val="00FC58B7"/>
    <w:rsid w:val="00FC715B"/>
    <w:rsid w:val="00FC7E02"/>
    <w:rsid w:val="00FD16BD"/>
    <w:rsid w:val="00FD37B5"/>
    <w:rsid w:val="00FD3FDC"/>
    <w:rsid w:val="00FD4757"/>
    <w:rsid w:val="00FD4CB9"/>
    <w:rsid w:val="00FD4EE7"/>
    <w:rsid w:val="00FD5DF1"/>
    <w:rsid w:val="00FD7FE0"/>
    <w:rsid w:val="00FE0699"/>
    <w:rsid w:val="00FE15E9"/>
    <w:rsid w:val="00FE1F46"/>
    <w:rsid w:val="00FE2721"/>
    <w:rsid w:val="00FE2AE4"/>
    <w:rsid w:val="00FE369B"/>
    <w:rsid w:val="00FE3C4B"/>
    <w:rsid w:val="00FE42F8"/>
    <w:rsid w:val="00FE5262"/>
    <w:rsid w:val="00FE55CF"/>
    <w:rsid w:val="00FE6BCF"/>
    <w:rsid w:val="00FF0D3D"/>
    <w:rsid w:val="00FF1DA5"/>
    <w:rsid w:val="00FF1FE6"/>
    <w:rsid w:val="00FF6B63"/>
    <w:rsid w:val="00FF7081"/>
    <w:rsid w:val="00FF7D18"/>
    <w:rsid w:val="00FF7E08"/>
    <w:rsid w:val="01101FB2"/>
    <w:rsid w:val="017634E4"/>
    <w:rsid w:val="018856AF"/>
    <w:rsid w:val="01934780"/>
    <w:rsid w:val="01A912DA"/>
    <w:rsid w:val="01A95359"/>
    <w:rsid w:val="01B65D6B"/>
    <w:rsid w:val="020F3E3B"/>
    <w:rsid w:val="026B5620"/>
    <w:rsid w:val="02BD720C"/>
    <w:rsid w:val="034A7CBD"/>
    <w:rsid w:val="035E6E25"/>
    <w:rsid w:val="03D87216"/>
    <w:rsid w:val="04150238"/>
    <w:rsid w:val="052B1173"/>
    <w:rsid w:val="053346E4"/>
    <w:rsid w:val="059C5A3C"/>
    <w:rsid w:val="05E6612A"/>
    <w:rsid w:val="06500E17"/>
    <w:rsid w:val="0665030C"/>
    <w:rsid w:val="071C68AE"/>
    <w:rsid w:val="076F11D5"/>
    <w:rsid w:val="07C301EB"/>
    <w:rsid w:val="07C93273"/>
    <w:rsid w:val="07D465AB"/>
    <w:rsid w:val="09146933"/>
    <w:rsid w:val="09541B23"/>
    <w:rsid w:val="096424AD"/>
    <w:rsid w:val="09F2640F"/>
    <w:rsid w:val="0A067C3B"/>
    <w:rsid w:val="0A461507"/>
    <w:rsid w:val="0A7E43E7"/>
    <w:rsid w:val="0A887B1D"/>
    <w:rsid w:val="0ADE38FD"/>
    <w:rsid w:val="0B217CEC"/>
    <w:rsid w:val="0B3E7C46"/>
    <w:rsid w:val="0B8230A3"/>
    <w:rsid w:val="0BFB1AD5"/>
    <w:rsid w:val="0D037946"/>
    <w:rsid w:val="0DFA2BFE"/>
    <w:rsid w:val="0E4D64C8"/>
    <w:rsid w:val="0E9B7F18"/>
    <w:rsid w:val="0EDC547B"/>
    <w:rsid w:val="0F443124"/>
    <w:rsid w:val="0F640E0F"/>
    <w:rsid w:val="0F734171"/>
    <w:rsid w:val="0FE95324"/>
    <w:rsid w:val="10370A0C"/>
    <w:rsid w:val="10A83EEB"/>
    <w:rsid w:val="10AD2502"/>
    <w:rsid w:val="10FB7B84"/>
    <w:rsid w:val="11983F16"/>
    <w:rsid w:val="119E69F0"/>
    <w:rsid w:val="11AC31FB"/>
    <w:rsid w:val="11B35AC0"/>
    <w:rsid w:val="11E569CB"/>
    <w:rsid w:val="12691182"/>
    <w:rsid w:val="12D521DD"/>
    <w:rsid w:val="12D839D1"/>
    <w:rsid w:val="12E804D5"/>
    <w:rsid w:val="13215580"/>
    <w:rsid w:val="132650F8"/>
    <w:rsid w:val="133576D0"/>
    <w:rsid w:val="136452C0"/>
    <w:rsid w:val="13B710B6"/>
    <w:rsid w:val="13E12710"/>
    <w:rsid w:val="142A4914"/>
    <w:rsid w:val="14800779"/>
    <w:rsid w:val="14AB38D4"/>
    <w:rsid w:val="15260D9B"/>
    <w:rsid w:val="15504E1F"/>
    <w:rsid w:val="157D7A67"/>
    <w:rsid w:val="16CE53F5"/>
    <w:rsid w:val="176C41EC"/>
    <w:rsid w:val="181300B2"/>
    <w:rsid w:val="18296142"/>
    <w:rsid w:val="183C1F53"/>
    <w:rsid w:val="188A5A9D"/>
    <w:rsid w:val="18C56D3B"/>
    <w:rsid w:val="19571313"/>
    <w:rsid w:val="19A54BF8"/>
    <w:rsid w:val="19D779EC"/>
    <w:rsid w:val="19E219ED"/>
    <w:rsid w:val="1A180016"/>
    <w:rsid w:val="1A3259AD"/>
    <w:rsid w:val="1AAE72A7"/>
    <w:rsid w:val="1AFF7797"/>
    <w:rsid w:val="1B053056"/>
    <w:rsid w:val="1B3E5629"/>
    <w:rsid w:val="1BE55780"/>
    <w:rsid w:val="1C1451B2"/>
    <w:rsid w:val="1C2629F1"/>
    <w:rsid w:val="1C517F83"/>
    <w:rsid w:val="1DA13929"/>
    <w:rsid w:val="1DCA7323"/>
    <w:rsid w:val="1E3A477C"/>
    <w:rsid w:val="1EC85787"/>
    <w:rsid w:val="1EF415B4"/>
    <w:rsid w:val="20BC03EC"/>
    <w:rsid w:val="20D61B3B"/>
    <w:rsid w:val="21034449"/>
    <w:rsid w:val="215658B1"/>
    <w:rsid w:val="219A4905"/>
    <w:rsid w:val="22173671"/>
    <w:rsid w:val="22393159"/>
    <w:rsid w:val="229248DE"/>
    <w:rsid w:val="22BA1565"/>
    <w:rsid w:val="22C81958"/>
    <w:rsid w:val="231177A3"/>
    <w:rsid w:val="232C7111"/>
    <w:rsid w:val="234467AB"/>
    <w:rsid w:val="234A6E67"/>
    <w:rsid w:val="237F4FDE"/>
    <w:rsid w:val="23DD77DA"/>
    <w:rsid w:val="24066BDB"/>
    <w:rsid w:val="2409047A"/>
    <w:rsid w:val="240A3215"/>
    <w:rsid w:val="24763AB7"/>
    <w:rsid w:val="24FB7DC2"/>
    <w:rsid w:val="25020536"/>
    <w:rsid w:val="25732620"/>
    <w:rsid w:val="260449B7"/>
    <w:rsid w:val="26107771"/>
    <w:rsid w:val="261B0AA7"/>
    <w:rsid w:val="26860885"/>
    <w:rsid w:val="270C6416"/>
    <w:rsid w:val="27441CC8"/>
    <w:rsid w:val="27481510"/>
    <w:rsid w:val="27532138"/>
    <w:rsid w:val="277505BD"/>
    <w:rsid w:val="278B6C42"/>
    <w:rsid w:val="27A94840"/>
    <w:rsid w:val="27AC56E3"/>
    <w:rsid w:val="286979D7"/>
    <w:rsid w:val="28836A4D"/>
    <w:rsid w:val="28E107A2"/>
    <w:rsid w:val="292813A2"/>
    <w:rsid w:val="2962138D"/>
    <w:rsid w:val="29960B9A"/>
    <w:rsid w:val="2A334FBD"/>
    <w:rsid w:val="2B245020"/>
    <w:rsid w:val="2B5F363F"/>
    <w:rsid w:val="2B634FBD"/>
    <w:rsid w:val="2BEE7E05"/>
    <w:rsid w:val="2C1B212E"/>
    <w:rsid w:val="2C362F15"/>
    <w:rsid w:val="2D6107C2"/>
    <w:rsid w:val="2E8801EE"/>
    <w:rsid w:val="2E980D78"/>
    <w:rsid w:val="2EDF1E7E"/>
    <w:rsid w:val="2EF531C6"/>
    <w:rsid w:val="2F805A94"/>
    <w:rsid w:val="2FD440C0"/>
    <w:rsid w:val="304F2588"/>
    <w:rsid w:val="30943D2F"/>
    <w:rsid w:val="30D56A93"/>
    <w:rsid w:val="30E14F91"/>
    <w:rsid w:val="30EF5831"/>
    <w:rsid w:val="312F519A"/>
    <w:rsid w:val="31740BD8"/>
    <w:rsid w:val="32582CF8"/>
    <w:rsid w:val="32C61150"/>
    <w:rsid w:val="32D721E1"/>
    <w:rsid w:val="32EF5E01"/>
    <w:rsid w:val="3367054F"/>
    <w:rsid w:val="33904F7E"/>
    <w:rsid w:val="342237CC"/>
    <w:rsid w:val="345F02AE"/>
    <w:rsid w:val="348C4B17"/>
    <w:rsid w:val="34930D92"/>
    <w:rsid w:val="350D5DEE"/>
    <w:rsid w:val="35164262"/>
    <w:rsid w:val="351D5B33"/>
    <w:rsid w:val="35213875"/>
    <w:rsid w:val="35266411"/>
    <w:rsid w:val="353D343A"/>
    <w:rsid w:val="35935DF5"/>
    <w:rsid w:val="35A41005"/>
    <w:rsid w:val="36232597"/>
    <w:rsid w:val="369B7EDF"/>
    <w:rsid w:val="38B7004D"/>
    <w:rsid w:val="39537D75"/>
    <w:rsid w:val="399A5379"/>
    <w:rsid w:val="3A266863"/>
    <w:rsid w:val="3B003F2D"/>
    <w:rsid w:val="3B3101AC"/>
    <w:rsid w:val="3BA94498"/>
    <w:rsid w:val="3C1622DD"/>
    <w:rsid w:val="3C1A012A"/>
    <w:rsid w:val="3C29411D"/>
    <w:rsid w:val="3CF25AF7"/>
    <w:rsid w:val="3D0308BE"/>
    <w:rsid w:val="3D277BF5"/>
    <w:rsid w:val="3DB30D52"/>
    <w:rsid w:val="3DC12254"/>
    <w:rsid w:val="3DD97C8D"/>
    <w:rsid w:val="3DEE79A0"/>
    <w:rsid w:val="3E366731"/>
    <w:rsid w:val="3E4F22C8"/>
    <w:rsid w:val="3E7F135B"/>
    <w:rsid w:val="3E993FCC"/>
    <w:rsid w:val="3FE26263"/>
    <w:rsid w:val="3FE90322"/>
    <w:rsid w:val="3FF971C0"/>
    <w:rsid w:val="408420BB"/>
    <w:rsid w:val="40A91388"/>
    <w:rsid w:val="40FE73AD"/>
    <w:rsid w:val="41565937"/>
    <w:rsid w:val="41C06A10"/>
    <w:rsid w:val="41D00779"/>
    <w:rsid w:val="42826FDF"/>
    <w:rsid w:val="42E9148A"/>
    <w:rsid w:val="43137B46"/>
    <w:rsid w:val="43831F55"/>
    <w:rsid w:val="43EC7FC3"/>
    <w:rsid w:val="441B5AA4"/>
    <w:rsid w:val="44297E41"/>
    <w:rsid w:val="44374290"/>
    <w:rsid w:val="445D36B1"/>
    <w:rsid w:val="44B37668"/>
    <w:rsid w:val="44CC56D0"/>
    <w:rsid w:val="44F94751"/>
    <w:rsid w:val="456D0411"/>
    <w:rsid w:val="45EC031F"/>
    <w:rsid w:val="46C91677"/>
    <w:rsid w:val="480B4BFD"/>
    <w:rsid w:val="487D4E0F"/>
    <w:rsid w:val="48F05286"/>
    <w:rsid w:val="490A030F"/>
    <w:rsid w:val="49150C4C"/>
    <w:rsid w:val="49A716A5"/>
    <w:rsid w:val="49B57605"/>
    <w:rsid w:val="4A875F18"/>
    <w:rsid w:val="4AF37504"/>
    <w:rsid w:val="4B07535B"/>
    <w:rsid w:val="4B1F5161"/>
    <w:rsid w:val="4B6B5764"/>
    <w:rsid w:val="4C4902C6"/>
    <w:rsid w:val="4C603682"/>
    <w:rsid w:val="4C707265"/>
    <w:rsid w:val="4D7E7F26"/>
    <w:rsid w:val="4ED82D9F"/>
    <w:rsid w:val="4EFA5CAC"/>
    <w:rsid w:val="4F72505A"/>
    <w:rsid w:val="4F9F0519"/>
    <w:rsid w:val="50002380"/>
    <w:rsid w:val="5080101B"/>
    <w:rsid w:val="50B14EE7"/>
    <w:rsid w:val="513749B3"/>
    <w:rsid w:val="515672E9"/>
    <w:rsid w:val="51976B08"/>
    <w:rsid w:val="524A26A8"/>
    <w:rsid w:val="52727066"/>
    <w:rsid w:val="535B5689"/>
    <w:rsid w:val="536310C8"/>
    <w:rsid w:val="53670B95"/>
    <w:rsid w:val="549040FD"/>
    <w:rsid w:val="54E7744E"/>
    <w:rsid w:val="55277EAD"/>
    <w:rsid w:val="554276CD"/>
    <w:rsid w:val="55CA4039"/>
    <w:rsid w:val="55DD6F17"/>
    <w:rsid w:val="56443294"/>
    <w:rsid w:val="56B64DB8"/>
    <w:rsid w:val="570F757A"/>
    <w:rsid w:val="577C7118"/>
    <w:rsid w:val="581773DC"/>
    <w:rsid w:val="58287414"/>
    <w:rsid w:val="588740CE"/>
    <w:rsid w:val="58E73F74"/>
    <w:rsid w:val="590C2A62"/>
    <w:rsid w:val="592F3F03"/>
    <w:rsid w:val="59582C6C"/>
    <w:rsid w:val="59CF33D3"/>
    <w:rsid w:val="5A81165A"/>
    <w:rsid w:val="5AB126F6"/>
    <w:rsid w:val="5B0B12A0"/>
    <w:rsid w:val="5B1433B1"/>
    <w:rsid w:val="5CE2702C"/>
    <w:rsid w:val="5D743B69"/>
    <w:rsid w:val="5DB04DB9"/>
    <w:rsid w:val="5E0B591A"/>
    <w:rsid w:val="5E7238AF"/>
    <w:rsid w:val="5E817C29"/>
    <w:rsid w:val="5E842182"/>
    <w:rsid w:val="5E8B6BF7"/>
    <w:rsid w:val="5ECC0D90"/>
    <w:rsid w:val="5ECE050B"/>
    <w:rsid w:val="5EF06D5F"/>
    <w:rsid w:val="5F1E3693"/>
    <w:rsid w:val="5F1E7164"/>
    <w:rsid w:val="5F364B05"/>
    <w:rsid w:val="5FAA1D1A"/>
    <w:rsid w:val="5FFF2150"/>
    <w:rsid w:val="60823F80"/>
    <w:rsid w:val="60931857"/>
    <w:rsid w:val="60A76942"/>
    <w:rsid w:val="60E761A9"/>
    <w:rsid w:val="620263AB"/>
    <w:rsid w:val="623D36E3"/>
    <w:rsid w:val="6280717C"/>
    <w:rsid w:val="62F04081"/>
    <w:rsid w:val="631E5CAD"/>
    <w:rsid w:val="63725D0E"/>
    <w:rsid w:val="638A31EC"/>
    <w:rsid w:val="639018D1"/>
    <w:rsid w:val="639237D7"/>
    <w:rsid w:val="64030466"/>
    <w:rsid w:val="647C5B23"/>
    <w:rsid w:val="649D0C50"/>
    <w:rsid w:val="64C6241A"/>
    <w:rsid w:val="650E4DE5"/>
    <w:rsid w:val="6571230A"/>
    <w:rsid w:val="65884052"/>
    <w:rsid w:val="65A23E19"/>
    <w:rsid w:val="65F97210"/>
    <w:rsid w:val="68253615"/>
    <w:rsid w:val="6906312E"/>
    <w:rsid w:val="69551F42"/>
    <w:rsid w:val="696372B1"/>
    <w:rsid w:val="6A085D71"/>
    <w:rsid w:val="6ABB472E"/>
    <w:rsid w:val="6AF74D12"/>
    <w:rsid w:val="6C3A689C"/>
    <w:rsid w:val="6DD923E6"/>
    <w:rsid w:val="6DDA4344"/>
    <w:rsid w:val="6E023C70"/>
    <w:rsid w:val="6E791EB6"/>
    <w:rsid w:val="6FF56708"/>
    <w:rsid w:val="71080E6A"/>
    <w:rsid w:val="71167885"/>
    <w:rsid w:val="71665975"/>
    <w:rsid w:val="718B6892"/>
    <w:rsid w:val="718D4B5B"/>
    <w:rsid w:val="71BA13EF"/>
    <w:rsid w:val="728564EA"/>
    <w:rsid w:val="734B7734"/>
    <w:rsid w:val="73DF324D"/>
    <w:rsid w:val="73E515B6"/>
    <w:rsid w:val="73FF0EA8"/>
    <w:rsid w:val="741A51E1"/>
    <w:rsid w:val="747C597A"/>
    <w:rsid w:val="74D15B6D"/>
    <w:rsid w:val="75096549"/>
    <w:rsid w:val="751834B0"/>
    <w:rsid w:val="752F5FFD"/>
    <w:rsid w:val="754742BA"/>
    <w:rsid w:val="754A769E"/>
    <w:rsid w:val="75770645"/>
    <w:rsid w:val="75972BB4"/>
    <w:rsid w:val="76676633"/>
    <w:rsid w:val="767A6F44"/>
    <w:rsid w:val="76A81442"/>
    <w:rsid w:val="76B04A9A"/>
    <w:rsid w:val="76C24CDC"/>
    <w:rsid w:val="775743C4"/>
    <w:rsid w:val="77613082"/>
    <w:rsid w:val="78B25EE0"/>
    <w:rsid w:val="79C87163"/>
    <w:rsid w:val="79CC49FF"/>
    <w:rsid w:val="79E852B0"/>
    <w:rsid w:val="7AE83ABA"/>
    <w:rsid w:val="7B476B4B"/>
    <w:rsid w:val="7BA95770"/>
    <w:rsid w:val="7C201D9F"/>
    <w:rsid w:val="7C75591A"/>
    <w:rsid w:val="7C7D1645"/>
    <w:rsid w:val="7CDF6A4A"/>
    <w:rsid w:val="7D0D3FA6"/>
    <w:rsid w:val="7DB87774"/>
    <w:rsid w:val="7DBA4644"/>
    <w:rsid w:val="7DC442B0"/>
    <w:rsid w:val="7F62644E"/>
    <w:rsid w:val="7F93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9"/>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link w:val="60"/>
    <w:autoRedefine/>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1"/>
    <w:qFormat/>
    <w:uiPriority w:val="99"/>
    <w:pPr>
      <w:keepNext/>
      <w:keepLines/>
      <w:spacing w:before="280" w:after="290" w:line="376" w:lineRule="auto"/>
      <w:outlineLvl w:val="4"/>
    </w:pPr>
    <w:rPr>
      <w:b/>
      <w:bCs/>
      <w:sz w:val="28"/>
      <w:szCs w:val="28"/>
    </w:rPr>
  </w:style>
  <w:style w:type="paragraph" w:styleId="7">
    <w:name w:val="heading 6"/>
    <w:basedOn w:val="1"/>
    <w:next w:val="1"/>
    <w:link w:val="62"/>
    <w:autoRedefine/>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3"/>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4"/>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5"/>
    <w:autoRedefine/>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18"/>
      <w:szCs w:val="18"/>
    </w:rPr>
  </w:style>
  <w:style w:type="paragraph" w:styleId="12">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Normal Indent"/>
    <w:basedOn w:val="1"/>
    <w:autoRedefine/>
    <w:qFormat/>
    <w:uiPriority w:val="99"/>
    <w:pPr>
      <w:widowControl/>
      <w:ind w:firstLine="420"/>
      <w:jc w:val="left"/>
    </w:pPr>
    <w:rPr>
      <w:kern w:val="0"/>
      <w:sz w:val="20"/>
      <w:szCs w:val="20"/>
    </w:rPr>
  </w:style>
  <w:style w:type="paragraph" w:styleId="14">
    <w:name w:val="caption"/>
    <w:basedOn w:val="1"/>
    <w:next w:val="1"/>
    <w:qFormat/>
    <w:uiPriority w:val="99"/>
    <w:rPr>
      <w:rFonts w:ascii="Cambria" w:hAnsi="Cambria" w:eastAsia="黑体" w:cs="Cambria"/>
      <w:sz w:val="20"/>
      <w:szCs w:val="20"/>
    </w:rPr>
  </w:style>
  <w:style w:type="paragraph" w:styleId="15">
    <w:name w:val="Document Map"/>
    <w:basedOn w:val="1"/>
    <w:link w:val="66"/>
    <w:autoRedefine/>
    <w:qFormat/>
    <w:uiPriority w:val="99"/>
    <w:pPr>
      <w:shd w:val="clear" w:color="auto" w:fill="000080"/>
    </w:pPr>
  </w:style>
  <w:style w:type="paragraph" w:styleId="16">
    <w:name w:val="annotation text"/>
    <w:basedOn w:val="1"/>
    <w:link w:val="67"/>
    <w:autoRedefine/>
    <w:qFormat/>
    <w:uiPriority w:val="0"/>
    <w:pPr>
      <w:jc w:val="left"/>
    </w:pPr>
  </w:style>
  <w:style w:type="paragraph" w:styleId="17">
    <w:name w:val="Body Text 3"/>
    <w:basedOn w:val="1"/>
    <w:link w:val="68"/>
    <w:autoRedefine/>
    <w:qFormat/>
    <w:uiPriority w:val="0"/>
    <w:rPr>
      <w:rFonts w:ascii="宋体"/>
      <w:sz w:val="24"/>
      <w:szCs w:val="20"/>
    </w:rPr>
  </w:style>
  <w:style w:type="paragraph" w:styleId="18">
    <w:name w:val="Body Text"/>
    <w:basedOn w:val="1"/>
    <w:next w:val="1"/>
    <w:autoRedefine/>
    <w:qFormat/>
    <w:uiPriority w:val="99"/>
    <w:pPr>
      <w:spacing w:after="120"/>
    </w:pPr>
  </w:style>
  <w:style w:type="paragraph" w:styleId="19">
    <w:name w:val="Body Text Indent"/>
    <w:basedOn w:val="1"/>
    <w:link w:val="69"/>
    <w:autoRedefine/>
    <w:qFormat/>
    <w:uiPriority w:val="0"/>
    <w:pPr>
      <w:spacing w:line="200" w:lineRule="exact"/>
      <w:ind w:firstLine="301"/>
    </w:pPr>
    <w:rPr>
      <w:rFonts w:ascii="宋体" w:hAnsi="Courier New"/>
      <w:spacing w:val="-4"/>
      <w:sz w:val="18"/>
      <w:szCs w:val="20"/>
    </w:rPr>
  </w:style>
  <w:style w:type="paragraph" w:styleId="20">
    <w:name w:val="Block Text"/>
    <w:basedOn w:val="1"/>
    <w:autoRedefine/>
    <w:qFormat/>
    <w:uiPriority w:val="0"/>
    <w:pPr>
      <w:widowControl/>
      <w:spacing w:after="120" w:line="357" w:lineRule="atLeast"/>
      <w:ind w:left="1440" w:right="1440"/>
      <w:textAlignment w:val="baseline"/>
    </w:pPr>
    <w:rPr>
      <w:color w:val="000000"/>
      <w:kern w:val="0"/>
      <w:szCs w:val="20"/>
      <w:u w:color="000000"/>
    </w:rPr>
  </w:style>
  <w:style w:type="paragraph" w:styleId="21">
    <w:name w:val="index 4"/>
    <w:basedOn w:val="1"/>
    <w:next w:val="1"/>
    <w:autoRedefine/>
    <w:qFormat/>
    <w:uiPriority w:val="99"/>
    <w:pPr>
      <w:ind w:left="600" w:leftChars="600"/>
    </w:pPr>
    <w:rPr>
      <w:szCs w:val="21"/>
    </w:rPr>
  </w:style>
  <w:style w:type="paragraph" w:styleId="22">
    <w:name w:val="toc 5"/>
    <w:basedOn w:val="1"/>
    <w:next w:val="1"/>
    <w:autoRedefine/>
    <w:qFormat/>
    <w:uiPriority w:val="39"/>
    <w:pPr>
      <w:ind w:left="840"/>
      <w:jc w:val="left"/>
    </w:pPr>
    <w:rPr>
      <w:sz w:val="18"/>
      <w:szCs w:val="18"/>
    </w:rPr>
  </w:style>
  <w:style w:type="paragraph" w:styleId="23">
    <w:name w:val="toc 3"/>
    <w:basedOn w:val="1"/>
    <w:next w:val="1"/>
    <w:qFormat/>
    <w:uiPriority w:val="39"/>
    <w:pPr>
      <w:ind w:left="840" w:leftChars="400"/>
    </w:pPr>
  </w:style>
  <w:style w:type="paragraph" w:styleId="24">
    <w:name w:val="Plain Text"/>
    <w:basedOn w:val="1"/>
    <w:next w:val="5"/>
    <w:link w:val="70"/>
    <w:qFormat/>
    <w:uiPriority w:val="0"/>
    <w:rPr>
      <w:rFonts w:ascii="宋体"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1"/>
    <w:qFormat/>
    <w:uiPriority w:val="99"/>
    <w:pPr>
      <w:ind w:left="100" w:leftChars="2500"/>
    </w:pPr>
  </w:style>
  <w:style w:type="paragraph" w:styleId="27">
    <w:name w:val="Body Text Indent 2"/>
    <w:basedOn w:val="1"/>
    <w:link w:val="72"/>
    <w:qFormat/>
    <w:uiPriority w:val="99"/>
    <w:pPr>
      <w:spacing w:after="120" w:line="480" w:lineRule="auto"/>
      <w:ind w:left="420" w:leftChars="200"/>
    </w:pPr>
  </w:style>
  <w:style w:type="paragraph" w:styleId="28">
    <w:name w:val="Balloon Text"/>
    <w:basedOn w:val="1"/>
    <w:link w:val="73"/>
    <w:semiHidden/>
    <w:qFormat/>
    <w:uiPriority w:val="99"/>
    <w:rPr>
      <w:sz w:val="18"/>
      <w:szCs w:val="18"/>
    </w:rPr>
  </w:style>
  <w:style w:type="paragraph" w:styleId="29">
    <w:name w:val="footer"/>
    <w:basedOn w:val="1"/>
    <w:link w:val="74"/>
    <w:qFormat/>
    <w:uiPriority w:val="99"/>
    <w:pPr>
      <w:tabs>
        <w:tab w:val="center" w:pos="4153"/>
        <w:tab w:val="right" w:pos="8306"/>
      </w:tabs>
      <w:snapToGrid w:val="0"/>
      <w:jc w:val="left"/>
    </w:pPr>
    <w:rPr>
      <w:sz w:val="18"/>
      <w:szCs w:val="18"/>
    </w:rPr>
  </w:style>
  <w:style w:type="paragraph" w:styleId="30">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840"/>
        <w:tab w:val="right" w:leader="dot" w:pos="9628"/>
      </w:tabs>
    </w:pPr>
  </w:style>
  <w:style w:type="paragraph" w:styleId="32">
    <w:name w:val="toc 4"/>
    <w:basedOn w:val="1"/>
    <w:next w:val="1"/>
    <w:qFormat/>
    <w:uiPriority w:val="39"/>
    <w:pPr>
      <w:ind w:left="630"/>
      <w:jc w:val="left"/>
    </w:pPr>
    <w:rPr>
      <w:sz w:val="18"/>
      <w:szCs w:val="18"/>
    </w:rPr>
  </w:style>
  <w:style w:type="paragraph" w:styleId="33">
    <w:name w:val="Subtitle"/>
    <w:basedOn w:val="1"/>
    <w:next w:val="1"/>
    <w:link w:val="76"/>
    <w:qFormat/>
    <w:uiPriority w:val="11"/>
    <w:pPr>
      <w:spacing w:before="240" w:after="60" w:line="312" w:lineRule="auto"/>
      <w:jc w:val="center"/>
      <w:outlineLvl w:val="1"/>
    </w:pPr>
    <w:rPr>
      <w:rFonts w:ascii="Cambria" w:hAnsi="Cambria"/>
      <w:b/>
      <w:bCs/>
      <w:kern w:val="28"/>
      <w:sz w:val="32"/>
      <w:szCs w:val="32"/>
    </w:rPr>
  </w:style>
  <w:style w:type="paragraph" w:styleId="34">
    <w:name w:val="footnote text"/>
    <w:basedOn w:val="1"/>
    <w:link w:val="77"/>
    <w:qFormat/>
    <w:uiPriority w:val="99"/>
    <w:pPr>
      <w:adjustRightInd w:val="0"/>
      <w:spacing w:line="312" w:lineRule="atLeast"/>
      <w:jc w:val="left"/>
      <w:textAlignment w:val="baseline"/>
    </w:pPr>
    <w:rPr>
      <w:kern w:val="0"/>
      <w:sz w:val="18"/>
      <w:szCs w:val="18"/>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78"/>
    <w:qFormat/>
    <w:uiPriority w:val="0"/>
    <w:pPr>
      <w:spacing w:after="120"/>
      <w:ind w:left="420" w:leftChars="200"/>
    </w:pPr>
    <w:rPr>
      <w:sz w:val="16"/>
      <w:szCs w:val="16"/>
    </w:rPr>
  </w:style>
  <w:style w:type="paragraph" w:styleId="37">
    <w:name w:val="toc 2"/>
    <w:basedOn w:val="1"/>
    <w:next w:val="1"/>
    <w:qFormat/>
    <w:uiPriority w:val="39"/>
    <w:pPr>
      <w:ind w:left="420" w:leftChars="200"/>
    </w:pPr>
  </w:style>
  <w:style w:type="paragraph" w:styleId="38">
    <w:name w:val="toc 9"/>
    <w:basedOn w:val="1"/>
    <w:next w:val="1"/>
    <w:qFormat/>
    <w:uiPriority w:val="39"/>
    <w:pPr>
      <w:ind w:left="1680"/>
      <w:jc w:val="left"/>
    </w:pPr>
    <w:rPr>
      <w:sz w:val="18"/>
      <w:szCs w:val="18"/>
    </w:rPr>
  </w:style>
  <w:style w:type="paragraph" w:styleId="39">
    <w:name w:val="Body Text 2"/>
    <w:basedOn w:val="1"/>
    <w:link w:val="79"/>
    <w:qFormat/>
    <w:uiPriority w:val="0"/>
    <w:pPr>
      <w:spacing w:after="120" w:line="480" w:lineRule="auto"/>
    </w:pPr>
  </w:style>
  <w:style w:type="paragraph" w:styleId="40">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300" w:lineRule="exact"/>
      <w:ind w:firstLine="430" w:firstLineChars="205"/>
    </w:pPr>
    <w:rPr>
      <w:rFonts w:ascii="宋体" w:hAnsi="Courier New"/>
      <w:bCs/>
      <w:szCs w:val="36"/>
    </w:rPr>
  </w:style>
  <w:style w:type="paragraph" w:styleId="43">
    <w:name w:val="Title"/>
    <w:basedOn w:val="1"/>
    <w:next w:val="1"/>
    <w:link w:val="81"/>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6"/>
    <w:next w:val="16"/>
    <w:link w:val="82"/>
    <w:semiHidden/>
    <w:qFormat/>
    <w:uiPriority w:val="99"/>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autoRedefine/>
    <w:qFormat/>
    <w:uiPriority w:val="22"/>
    <w:rPr>
      <w:b/>
      <w:bCs/>
    </w:rPr>
  </w:style>
  <w:style w:type="character" w:styleId="49">
    <w:name w:val="page number"/>
    <w:qFormat/>
    <w:uiPriority w:val="0"/>
  </w:style>
  <w:style w:type="character" w:styleId="50">
    <w:name w:val="FollowedHyperlink"/>
    <w:qFormat/>
    <w:uiPriority w:val="99"/>
    <w:rPr>
      <w:rFonts w:ascii="Arial" w:hAnsi="Arial" w:eastAsia="黑体"/>
      <w:color w:val="800080"/>
      <w:kern w:val="2"/>
      <w:sz w:val="21"/>
      <w:szCs w:val="21"/>
      <w:u w:val="single"/>
      <w:lang w:val="en-US" w:eastAsia="zh-CN" w:bidi="ar-SA"/>
    </w:rPr>
  </w:style>
  <w:style w:type="character" w:styleId="51">
    <w:name w:val="Emphasis"/>
    <w:qFormat/>
    <w:uiPriority w:val="99"/>
    <w:rPr>
      <w:color w:val="CC0000"/>
      <w:sz w:val="24"/>
      <w:szCs w:val="24"/>
    </w:rPr>
  </w:style>
  <w:style w:type="character" w:styleId="52">
    <w:name w:val="HTML Definition"/>
    <w:basedOn w:val="47"/>
    <w:qFormat/>
    <w:uiPriority w:val="0"/>
    <w:rPr>
      <w:i/>
      <w:iCs/>
    </w:rPr>
  </w:style>
  <w:style w:type="character" w:styleId="53">
    <w:name w:val="Hyperlink"/>
    <w:basedOn w:val="47"/>
    <w:autoRedefine/>
    <w:qFormat/>
    <w:uiPriority w:val="99"/>
    <w:rPr>
      <w:color w:val="3177FD"/>
      <w:u w:val="none"/>
    </w:rPr>
  </w:style>
  <w:style w:type="character" w:styleId="54">
    <w:name w:val="HTML Code"/>
    <w:basedOn w:val="47"/>
    <w:autoRedefine/>
    <w:qFormat/>
    <w:uiPriority w:val="0"/>
    <w:rPr>
      <w:rFonts w:hint="default" w:ascii="Consolas" w:hAnsi="Consolas" w:eastAsia="Consolas" w:cs="Consolas"/>
      <w:sz w:val="21"/>
      <w:szCs w:val="21"/>
    </w:rPr>
  </w:style>
  <w:style w:type="character" w:styleId="55">
    <w:name w:val="annotation reference"/>
    <w:qFormat/>
    <w:uiPriority w:val="0"/>
    <w:rPr>
      <w:sz w:val="21"/>
      <w:szCs w:val="21"/>
    </w:rPr>
  </w:style>
  <w:style w:type="character" w:styleId="56">
    <w:name w:val="HTML Keyboard"/>
    <w:basedOn w:val="47"/>
    <w:autoRedefine/>
    <w:qFormat/>
    <w:uiPriority w:val="0"/>
    <w:rPr>
      <w:rFonts w:ascii="Consolas" w:hAnsi="Consolas" w:eastAsia="Consolas" w:cs="Consolas"/>
      <w:sz w:val="21"/>
      <w:szCs w:val="21"/>
    </w:rPr>
  </w:style>
  <w:style w:type="character" w:styleId="57">
    <w:name w:val="HTML Sample"/>
    <w:basedOn w:val="47"/>
    <w:qFormat/>
    <w:uiPriority w:val="0"/>
    <w:rPr>
      <w:rFonts w:hint="default" w:ascii="Consolas" w:hAnsi="Consolas" w:eastAsia="Consolas" w:cs="Consolas"/>
      <w:sz w:val="21"/>
      <w:szCs w:val="21"/>
    </w:rPr>
  </w:style>
  <w:style w:type="character" w:customStyle="1" w:styleId="58">
    <w:name w:val="标题 1 Char"/>
    <w:qFormat/>
    <w:uiPriority w:val="99"/>
    <w:rPr>
      <w:rFonts w:eastAsia="宋体"/>
      <w:b/>
      <w:bCs/>
      <w:kern w:val="44"/>
      <w:sz w:val="44"/>
      <w:szCs w:val="44"/>
      <w:lang w:val="en-US" w:eastAsia="zh-CN" w:bidi="ar-SA"/>
    </w:rPr>
  </w:style>
  <w:style w:type="character" w:customStyle="1" w:styleId="59">
    <w:name w:val="标题 2 Char"/>
    <w:link w:val="3"/>
    <w:autoRedefine/>
    <w:qFormat/>
    <w:locked/>
    <w:uiPriority w:val="99"/>
    <w:rPr>
      <w:rFonts w:ascii="Arial" w:hAnsi="Arial" w:eastAsia="黑体"/>
      <w:b/>
      <w:bCs/>
      <w:kern w:val="2"/>
      <w:sz w:val="32"/>
      <w:szCs w:val="32"/>
    </w:rPr>
  </w:style>
  <w:style w:type="character" w:customStyle="1" w:styleId="60">
    <w:name w:val="标题 4 Char"/>
    <w:link w:val="5"/>
    <w:qFormat/>
    <w:uiPriority w:val="99"/>
    <w:rPr>
      <w:rFonts w:ascii="Arial" w:hAnsi="Arial" w:eastAsia="黑体"/>
      <w:b/>
      <w:bCs/>
      <w:kern w:val="2"/>
      <w:sz w:val="28"/>
      <w:szCs w:val="28"/>
    </w:rPr>
  </w:style>
  <w:style w:type="character" w:customStyle="1" w:styleId="61">
    <w:name w:val="标题 5 Char"/>
    <w:link w:val="6"/>
    <w:autoRedefine/>
    <w:qFormat/>
    <w:uiPriority w:val="99"/>
    <w:rPr>
      <w:b/>
      <w:bCs/>
      <w:kern w:val="2"/>
      <w:sz w:val="28"/>
      <w:szCs w:val="28"/>
    </w:rPr>
  </w:style>
  <w:style w:type="character" w:customStyle="1" w:styleId="62">
    <w:name w:val="标题 6 Char"/>
    <w:link w:val="7"/>
    <w:autoRedefine/>
    <w:qFormat/>
    <w:uiPriority w:val="9"/>
    <w:rPr>
      <w:rFonts w:ascii="Arial" w:hAnsi="Arial" w:eastAsia="黑体"/>
      <w:b/>
      <w:bCs/>
      <w:sz w:val="24"/>
      <w:szCs w:val="24"/>
    </w:rPr>
  </w:style>
  <w:style w:type="character" w:customStyle="1" w:styleId="63">
    <w:name w:val="标题 7 Char"/>
    <w:link w:val="8"/>
    <w:qFormat/>
    <w:uiPriority w:val="9"/>
    <w:rPr>
      <w:b/>
      <w:bCs/>
      <w:sz w:val="24"/>
      <w:szCs w:val="24"/>
    </w:rPr>
  </w:style>
  <w:style w:type="character" w:customStyle="1" w:styleId="64">
    <w:name w:val="标题 8 Char"/>
    <w:link w:val="9"/>
    <w:qFormat/>
    <w:uiPriority w:val="9"/>
    <w:rPr>
      <w:rFonts w:ascii="Arial" w:hAnsi="Arial" w:eastAsia="黑体"/>
      <w:sz w:val="24"/>
      <w:szCs w:val="24"/>
    </w:rPr>
  </w:style>
  <w:style w:type="character" w:customStyle="1" w:styleId="65">
    <w:name w:val="标题 9 Char"/>
    <w:link w:val="10"/>
    <w:autoRedefine/>
    <w:qFormat/>
    <w:uiPriority w:val="9"/>
    <w:rPr>
      <w:rFonts w:ascii="Arial" w:hAnsi="Arial" w:eastAsia="黑体"/>
      <w:sz w:val="21"/>
      <w:szCs w:val="21"/>
    </w:rPr>
  </w:style>
  <w:style w:type="character" w:customStyle="1" w:styleId="66">
    <w:name w:val="文档结构图 Char"/>
    <w:link w:val="15"/>
    <w:autoRedefine/>
    <w:qFormat/>
    <w:uiPriority w:val="99"/>
    <w:rPr>
      <w:kern w:val="2"/>
      <w:sz w:val="21"/>
      <w:szCs w:val="24"/>
      <w:shd w:val="clear" w:color="auto" w:fill="000080"/>
    </w:rPr>
  </w:style>
  <w:style w:type="character" w:customStyle="1" w:styleId="67">
    <w:name w:val="批注文字 Char2"/>
    <w:link w:val="16"/>
    <w:qFormat/>
    <w:locked/>
    <w:uiPriority w:val="0"/>
    <w:rPr>
      <w:kern w:val="2"/>
      <w:sz w:val="21"/>
      <w:szCs w:val="24"/>
    </w:rPr>
  </w:style>
  <w:style w:type="character" w:customStyle="1" w:styleId="68">
    <w:name w:val="正文文本 3 Char"/>
    <w:link w:val="17"/>
    <w:qFormat/>
    <w:uiPriority w:val="0"/>
    <w:rPr>
      <w:rFonts w:ascii="宋体"/>
      <w:kern w:val="2"/>
      <w:sz w:val="24"/>
    </w:rPr>
  </w:style>
  <w:style w:type="character" w:customStyle="1" w:styleId="69">
    <w:name w:val="正文文本缩进 Char"/>
    <w:link w:val="19"/>
    <w:qFormat/>
    <w:locked/>
    <w:uiPriority w:val="0"/>
    <w:rPr>
      <w:rFonts w:ascii="宋体" w:hAnsi="Courier New"/>
      <w:spacing w:val="-4"/>
      <w:kern w:val="2"/>
      <w:sz w:val="18"/>
    </w:rPr>
  </w:style>
  <w:style w:type="character" w:customStyle="1" w:styleId="70">
    <w:name w:val="纯文本 Char"/>
    <w:link w:val="24"/>
    <w:qFormat/>
    <w:uiPriority w:val="0"/>
    <w:rPr>
      <w:rFonts w:ascii="宋体" w:hAnsi="Courier New" w:eastAsia="宋体"/>
      <w:kern w:val="2"/>
      <w:sz w:val="21"/>
      <w:lang w:val="en-US" w:eastAsia="zh-CN" w:bidi="ar-SA"/>
    </w:rPr>
  </w:style>
  <w:style w:type="character" w:customStyle="1" w:styleId="71">
    <w:name w:val="日期 Char"/>
    <w:link w:val="26"/>
    <w:autoRedefine/>
    <w:qFormat/>
    <w:locked/>
    <w:uiPriority w:val="99"/>
    <w:rPr>
      <w:kern w:val="2"/>
      <w:sz w:val="21"/>
      <w:szCs w:val="24"/>
    </w:rPr>
  </w:style>
  <w:style w:type="character" w:customStyle="1" w:styleId="72">
    <w:name w:val="正文文本缩进 2 Char"/>
    <w:link w:val="27"/>
    <w:autoRedefine/>
    <w:qFormat/>
    <w:locked/>
    <w:uiPriority w:val="99"/>
    <w:rPr>
      <w:kern w:val="2"/>
      <w:sz w:val="21"/>
      <w:szCs w:val="24"/>
    </w:rPr>
  </w:style>
  <w:style w:type="character" w:customStyle="1" w:styleId="73">
    <w:name w:val="批注框文本 Char"/>
    <w:link w:val="28"/>
    <w:semiHidden/>
    <w:qFormat/>
    <w:locked/>
    <w:uiPriority w:val="99"/>
    <w:rPr>
      <w:kern w:val="2"/>
      <w:sz w:val="18"/>
      <w:szCs w:val="18"/>
    </w:rPr>
  </w:style>
  <w:style w:type="character" w:customStyle="1" w:styleId="74">
    <w:name w:val="页脚 Char"/>
    <w:link w:val="29"/>
    <w:qFormat/>
    <w:uiPriority w:val="99"/>
    <w:rPr>
      <w:kern w:val="2"/>
      <w:sz w:val="18"/>
      <w:szCs w:val="18"/>
    </w:rPr>
  </w:style>
  <w:style w:type="character" w:customStyle="1" w:styleId="75">
    <w:name w:val="页眉 Char"/>
    <w:link w:val="30"/>
    <w:qFormat/>
    <w:uiPriority w:val="0"/>
    <w:rPr>
      <w:kern w:val="2"/>
      <w:sz w:val="18"/>
      <w:szCs w:val="18"/>
    </w:rPr>
  </w:style>
  <w:style w:type="character" w:customStyle="1" w:styleId="76">
    <w:name w:val="副标题 Char"/>
    <w:link w:val="33"/>
    <w:qFormat/>
    <w:uiPriority w:val="11"/>
    <w:rPr>
      <w:rFonts w:ascii="Cambria" w:hAnsi="Cambria"/>
      <w:b/>
      <w:bCs/>
      <w:kern w:val="28"/>
      <w:sz w:val="32"/>
      <w:szCs w:val="32"/>
    </w:rPr>
  </w:style>
  <w:style w:type="character" w:customStyle="1" w:styleId="77">
    <w:name w:val="脚注文本 Char"/>
    <w:link w:val="34"/>
    <w:qFormat/>
    <w:uiPriority w:val="99"/>
    <w:rPr>
      <w:sz w:val="18"/>
      <w:szCs w:val="18"/>
    </w:rPr>
  </w:style>
  <w:style w:type="character" w:customStyle="1" w:styleId="78">
    <w:name w:val="正文文本缩进 3 Char"/>
    <w:link w:val="36"/>
    <w:autoRedefine/>
    <w:qFormat/>
    <w:uiPriority w:val="0"/>
    <w:rPr>
      <w:kern w:val="2"/>
      <w:sz w:val="16"/>
      <w:szCs w:val="16"/>
    </w:rPr>
  </w:style>
  <w:style w:type="character" w:customStyle="1" w:styleId="79">
    <w:name w:val="正文文本 2 Char"/>
    <w:link w:val="39"/>
    <w:autoRedefine/>
    <w:qFormat/>
    <w:uiPriority w:val="0"/>
    <w:rPr>
      <w:kern w:val="2"/>
      <w:sz w:val="21"/>
      <w:szCs w:val="24"/>
    </w:rPr>
  </w:style>
  <w:style w:type="character" w:customStyle="1" w:styleId="80">
    <w:name w:val="HTML 预设格式 Char"/>
    <w:link w:val="40"/>
    <w:autoRedefine/>
    <w:qFormat/>
    <w:uiPriority w:val="0"/>
    <w:rPr>
      <w:rFonts w:ascii="Arial" w:hAnsi="Arial" w:cs="Arial"/>
      <w:sz w:val="24"/>
      <w:szCs w:val="24"/>
    </w:rPr>
  </w:style>
  <w:style w:type="character" w:customStyle="1" w:styleId="81">
    <w:name w:val="标题 Char"/>
    <w:link w:val="43"/>
    <w:qFormat/>
    <w:uiPriority w:val="99"/>
    <w:rPr>
      <w:rFonts w:ascii="Arial" w:hAnsi="Arial"/>
      <w:b/>
      <w:sz w:val="32"/>
    </w:rPr>
  </w:style>
  <w:style w:type="character" w:customStyle="1" w:styleId="82">
    <w:name w:val="批注主题 Char"/>
    <w:link w:val="44"/>
    <w:autoRedefine/>
    <w:semiHidden/>
    <w:qFormat/>
    <w:locked/>
    <w:uiPriority w:val="99"/>
    <w:rPr>
      <w:b/>
      <w:bCs/>
      <w:kern w:val="2"/>
      <w:sz w:val="21"/>
      <w:szCs w:val="24"/>
    </w:rPr>
  </w:style>
  <w:style w:type="character" w:customStyle="1" w:styleId="83">
    <w:name w:val="Plain Text Char"/>
    <w:autoRedefine/>
    <w:qFormat/>
    <w:uiPriority w:val="99"/>
    <w:rPr>
      <w:rFonts w:ascii="宋体" w:hAnsi="Courier New" w:eastAsia="宋体" w:cs="宋体"/>
      <w:sz w:val="24"/>
      <w:szCs w:val="24"/>
    </w:rPr>
  </w:style>
  <w:style w:type="character" w:customStyle="1" w:styleId="84">
    <w:name w:val="引用 Char1"/>
    <w:autoRedefine/>
    <w:qFormat/>
    <w:uiPriority w:val="99"/>
    <w:rPr>
      <w:rFonts w:ascii="Times New Roman" w:hAnsi="Times New Roman" w:eastAsia="宋体" w:cs="Times New Roman"/>
      <w:i/>
      <w:iCs/>
      <w:color w:val="000000"/>
      <w:sz w:val="24"/>
      <w:szCs w:val="24"/>
    </w:rPr>
  </w:style>
  <w:style w:type="character" w:customStyle="1" w:styleId="85">
    <w:name w:val="Heading 5 Char"/>
    <w:qFormat/>
    <w:uiPriority w:val="99"/>
    <w:rPr>
      <w:rFonts w:eastAsia="宋体"/>
      <w:b/>
      <w:bCs/>
      <w:kern w:val="2"/>
      <w:sz w:val="28"/>
      <w:szCs w:val="28"/>
      <w:lang w:val="en-US" w:eastAsia="zh-CN"/>
    </w:rPr>
  </w:style>
  <w:style w:type="character" w:customStyle="1" w:styleId="86">
    <w:name w:val="10"/>
    <w:qFormat/>
    <w:uiPriority w:val="0"/>
  </w:style>
  <w:style w:type="character" w:customStyle="1" w:styleId="87">
    <w:name w:val="cjn1"/>
    <w:qFormat/>
    <w:uiPriority w:val="0"/>
    <w:rPr>
      <w:rFonts w:ascii="宋体" w:hAnsi="宋体" w:eastAsia="宋体"/>
      <w:spacing w:val="500"/>
      <w:sz w:val="22"/>
      <w:szCs w:val="22"/>
      <w:u w:val="none"/>
    </w:rPr>
  </w:style>
  <w:style w:type="character" w:customStyle="1" w:styleId="88">
    <w:name w:val="NormalCharacter"/>
    <w:autoRedefine/>
    <w:semiHidden/>
    <w:qFormat/>
    <w:uiPriority w:val="0"/>
  </w:style>
  <w:style w:type="character" w:customStyle="1" w:styleId="89">
    <w:name w:val="Footer Char"/>
    <w:autoRedefine/>
    <w:qFormat/>
    <w:uiPriority w:val="99"/>
    <w:rPr>
      <w:rFonts w:eastAsia="宋体"/>
      <w:kern w:val="2"/>
      <w:sz w:val="18"/>
      <w:szCs w:val="18"/>
      <w:lang w:val="en-US" w:eastAsia="zh-CN"/>
    </w:rPr>
  </w:style>
  <w:style w:type="character" w:customStyle="1" w:styleId="90">
    <w:name w:val="Comment Text Char"/>
    <w:qFormat/>
    <w:uiPriority w:val="99"/>
    <w:rPr>
      <w:sz w:val="24"/>
      <w:szCs w:val="24"/>
    </w:rPr>
  </w:style>
  <w:style w:type="character" w:customStyle="1" w:styleId="91">
    <w:name w:val="Char Char20"/>
    <w:autoRedefine/>
    <w:qFormat/>
    <w:uiPriority w:val="99"/>
    <w:rPr>
      <w:rFonts w:ascii="Times New Roman" w:hAnsi="Times New Roman" w:eastAsia="宋体" w:cs="Times New Roman"/>
      <w:b/>
      <w:bCs/>
      <w:sz w:val="32"/>
      <w:szCs w:val="32"/>
    </w:rPr>
  </w:style>
  <w:style w:type="character" w:customStyle="1" w:styleId="92">
    <w:name w:val="Char Char18"/>
    <w:autoRedefine/>
    <w:qFormat/>
    <w:uiPriority w:val="99"/>
    <w:rPr>
      <w:rFonts w:ascii="Times New Roman" w:hAnsi="Times New Roman" w:eastAsia="宋体" w:cs="Times New Roman"/>
      <w:b/>
      <w:bCs/>
      <w:sz w:val="28"/>
      <w:szCs w:val="28"/>
    </w:rPr>
  </w:style>
  <w:style w:type="character" w:customStyle="1" w:styleId="93">
    <w:name w:val="Comment Text Char1"/>
    <w:autoRedefine/>
    <w:qFormat/>
    <w:uiPriority w:val="99"/>
    <w:rPr>
      <w:sz w:val="24"/>
      <w:szCs w:val="24"/>
    </w:rPr>
  </w:style>
  <w:style w:type="character" w:customStyle="1" w:styleId="94">
    <w:name w:val="textcontents"/>
    <w:qFormat/>
    <w:uiPriority w:val="99"/>
  </w:style>
  <w:style w:type="character" w:customStyle="1" w:styleId="95">
    <w:name w:val="Char Char22"/>
    <w:qFormat/>
    <w:uiPriority w:val="99"/>
    <w:rPr>
      <w:rFonts w:ascii="Times New Roman" w:hAnsi="Times New Roman" w:eastAsia="宋体" w:cs="Times New Roman"/>
      <w:b/>
      <w:bCs/>
      <w:kern w:val="44"/>
      <w:sz w:val="44"/>
      <w:szCs w:val="44"/>
    </w:rPr>
  </w:style>
  <w:style w:type="character" w:customStyle="1" w:styleId="96">
    <w:name w:val="Char Char181"/>
    <w:autoRedefine/>
    <w:qFormat/>
    <w:uiPriority w:val="99"/>
    <w:rPr>
      <w:b/>
      <w:bCs/>
      <w:kern w:val="44"/>
      <w:sz w:val="44"/>
      <w:szCs w:val="44"/>
    </w:rPr>
  </w:style>
  <w:style w:type="character" w:customStyle="1" w:styleId="97">
    <w:name w:val="Footnote Text Char"/>
    <w:qFormat/>
    <w:uiPriority w:val="99"/>
    <w:rPr>
      <w:rFonts w:eastAsia="宋体"/>
      <w:sz w:val="18"/>
      <w:szCs w:val="18"/>
      <w:lang w:val="en-US" w:eastAsia="zh-CN"/>
    </w:rPr>
  </w:style>
  <w:style w:type="character" w:customStyle="1" w:styleId="98">
    <w:name w:val="批注文字 Char"/>
    <w:autoRedefine/>
    <w:qFormat/>
    <w:uiPriority w:val="0"/>
    <w:rPr>
      <w:kern w:val="2"/>
      <w:sz w:val="24"/>
      <w:szCs w:val="24"/>
    </w:rPr>
  </w:style>
  <w:style w:type="character" w:customStyle="1" w:styleId="99">
    <w:name w:val="Heading 4 Char"/>
    <w:qFormat/>
    <w:uiPriority w:val="99"/>
    <w:rPr>
      <w:rFonts w:ascii="Arial" w:hAnsi="Arial" w:eastAsia="宋体" w:cs="Arial"/>
      <w:b/>
      <w:bCs/>
      <w:kern w:val="2"/>
      <w:sz w:val="28"/>
      <w:szCs w:val="28"/>
      <w:lang w:val="en-US" w:eastAsia="zh-CN"/>
    </w:rPr>
  </w:style>
  <w:style w:type="character" w:customStyle="1" w:styleId="100">
    <w:name w:val="批注框文本 Char1"/>
    <w:autoRedefine/>
    <w:qFormat/>
    <w:uiPriority w:val="99"/>
    <w:rPr>
      <w:rFonts w:ascii="Times New Roman" w:hAnsi="Times New Roman" w:eastAsia="宋体" w:cs="Times New Roman"/>
      <w:sz w:val="18"/>
      <w:szCs w:val="18"/>
    </w:rPr>
  </w:style>
  <w:style w:type="character" w:customStyle="1" w:styleId="101">
    <w:name w:val="Title Char"/>
    <w:qFormat/>
    <w:uiPriority w:val="99"/>
    <w:rPr>
      <w:rFonts w:ascii="Cambria" w:hAnsi="Cambria" w:cs="Cambria"/>
      <w:b/>
      <w:bCs/>
      <w:sz w:val="32"/>
      <w:szCs w:val="32"/>
    </w:rPr>
  </w:style>
  <w:style w:type="character" w:customStyle="1" w:styleId="102">
    <w:name w:val="font161"/>
    <w:autoRedefine/>
    <w:qFormat/>
    <w:uiPriority w:val="0"/>
    <w:rPr>
      <w:rFonts w:ascii="Arial" w:hAnsi="Arial" w:eastAsia="黑体"/>
      <w:b/>
      <w:bCs/>
      <w:kern w:val="2"/>
      <w:sz w:val="32"/>
      <w:szCs w:val="32"/>
      <w:lang w:val="en-US" w:eastAsia="zh-CN" w:bidi="ar-SA"/>
    </w:rPr>
  </w:style>
  <w:style w:type="character" w:customStyle="1" w:styleId="103">
    <w:name w:val="明显引用 Char"/>
    <w:link w:val="104"/>
    <w:autoRedefine/>
    <w:qFormat/>
    <w:locked/>
    <w:uiPriority w:val="99"/>
    <w:rPr>
      <w:b/>
      <w:bCs/>
      <w:i/>
      <w:iCs/>
      <w:color w:val="4F81BD"/>
    </w:rPr>
  </w:style>
  <w:style w:type="paragraph" w:customStyle="1" w:styleId="104">
    <w:name w:val="明显引用1"/>
    <w:basedOn w:val="1"/>
    <w:next w:val="1"/>
    <w:link w:val="103"/>
    <w:autoRedefine/>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05">
    <w:name w:val="Header Char"/>
    <w:autoRedefine/>
    <w:qFormat/>
    <w:uiPriority w:val="99"/>
    <w:rPr>
      <w:rFonts w:eastAsia="宋体"/>
      <w:kern w:val="2"/>
      <w:sz w:val="18"/>
      <w:szCs w:val="18"/>
      <w:lang w:val="en-US" w:eastAsia="zh-CN"/>
    </w:rPr>
  </w:style>
  <w:style w:type="character" w:customStyle="1" w:styleId="106">
    <w:name w:val="Heading 3 Char"/>
    <w:qFormat/>
    <w:uiPriority w:val="99"/>
    <w:rPr>
      <w:b/>
      <w:bCs/>
      <w:kern w:val="2"/>
      <w:sz w:val="32"/>
      <w:szCs w:val="32"/>
    </w:rPr>
  </w:style>
  <w:style w:type="character" w:customStyle="1" w:styleId="107">
    <w:name w:val="Heading 1 Char"/>
    <w:autoRedefine/>
    <w:qFormat/>
    <w:uiPriority w:val="99"/>
    <w:rPr>
      <w:rFonts w:eastAsia="宋体"/>
      <w:b/>
      <w:bCs/>
      <w:kern w:val="44"/>
      <w:sz w:val="44"/>
      <w:szCs w:val="44"/>
      <w:lang w:val="en-US" w:eastAsia="zh-CN"/>
    </w:rPr>
  </w:style>
  <w:style w:type="character" w:customStyle="1" w:styleId="108">
    <w:name w:val="标题 Char2"/>
    <w:qFormat/>
    <w:uiPriority w:val="99"/>
    <w:rPr>
      <w:rFonts w:ascii="Cambria" w:hAnsi="Cambria" w:eastAsia="宋体" w:cs="Cambria"/>
      <w:b/>
      <w:bCs/>
      <w:sz w:val="32"/>
      <w:szCs w:val="32"/>
    </w:rPr>
  </w:style>
  <w:style w:type="character" w:customStyle="1" w:styleId="109">
    <w:name w:val="标题4 Char Char"/>
    <w:link w:val="110"/>
    <w:autoRedefine/>
    <w:qFormat/>
    <w:locked/>
    <w:uiPriority w:val="99"/>
    <w:rPr>
      <w:rFonts w:ascii="Arial" w:hAnsi="Arial" w:cs="Arial"/>
      <w:b/>
      <w:bCs/>
      <w:sz w:val="32"/>
      <w:szCs w:val="32"/>
    </w:rPr>
  </w:style>
  <w:style w:type="paragraph" w:customStyle="1" w:styleId="110">
    <w:name w:val="标题4"/>
    <w:basedOn w:val="3"/>
    <w:next w:val="21"/>
    <w:link w:val="109"/>
    <w:autoRedefine/>
    <w:qFormat/>
    <w:uiPriority w:val="99"/>
    <w:pPr>
      <w:spacing w:before="60" w:after="60" w:line="413" w:lineRule="auto"/>
    </w:pPr>
    <w:rPr>
      <w:rFonts w:eastAsia="宋体"/>
      <w:kern w:val="0"/>
    </w:rPr>
  </w:style>
  <w:style w:type="character" w:customStyle="1" w:styleId="111">
    <w:name w:val="标题 3 Char"/>
    <w:autoRedefine/>
    <w:qFormat/>
    <w:uiPriority w:val="99"/>
    <w:rPr>
      <w:rFonts w:ascii="宋体" w:eastAsia="宋体"/>
      <w:b/>
      <w:bCs/>
      <w:kern w:val="2"/>
      <w:sz w:val="24"/>
      <w:szCs w:val="24"/>
      <w:lang w:val="en-US" w:eastAsia="zh-CN" w:bidi="ar-SA"/>
    </w:rPr>
  </w:style>
  <w:style w:type="character" w:customStyle="1" w:styleId="112">
    <w:name w:val="明显强调1"/>
    <w:qFormat/>
    <w:uiPriority w:val="99"/>
    <w:rPr>
      <w:b/>
      <w:bCs/>
      <w:i/>
      <w:iCs/>
      <w:color w:val="4F81BD"/>
    </w:rPr>
  </w:style>
  <w:style w:type="character" w:customStyle="1" w:styleId="113">
    <w:name w:val="正文文本 Char1"/>
    <w:autoRedefine/>
    <w:qFormat/>
    <w:uiPriority w:val="99"/>
    <w:rPr>
      <w:kern w:val="2"/>
      <w:sz w:val="22"/>
      <w:szCs w:val="22"/>
    </w:rPr>
  </w:style>
  <w:style w:type="character" w:customStyle="1" w:styleId="114">
    <w:name w:val="日期 Char1"/>
    <w:qFormat/>
    <w:uiPriority w:val="99"/>
    <w:rPr>
      <w:rFonts w:ascii="Times New Roman" w:hAnsi="Times New Roman" w:eastAsia="宋体" w:cs="Times New Roman"/>
      <w:sz w:val="24"/>
      <w:szCs w:val="24"/>
    </w:rPr>
  </w:style>
  <w:style w:type="character" w:customStyle="1" w:styleId="115">
    <w:name w:val="普通文字 Char Char1"/>
    <w:autoRedefine/>
    <w:semiHidden/>
    <w:qFormat/>
    <w:uiPriority w:val="0"/>
    <w:rPr>
      <w:rFonts w:ascii="宋体" w:hAnsi="Courier New" w:eastAsia="宋体"/>
      <w:kern w:val="2"/>
      <w:sz w:val="21"/>
      <w:lang w:val="en-US" w:eastAsia="zh-CN" w:bidi="ar-SA"/>
    </w:rPr>
  </w:style>
  <w:style w:type="character" w:customStyle="1" w:styleId="116">
    <w:name w:val="col-icon8"/>
    <w:qFormat/>
    <w:uiPriority w:val="0"/>
    <w:rPr>
      <w:shd w:val="clear" w:color="auto" w:fill="FFFFFF"/>
    </w:rPr>
  </w:style>
  <w:style w:type="character" w:customStyle="1" w:styleId="117">
    <w:name w:val="不明显强调1"/>
    <w:autoRedefine/>
    <w:qFormat/>
    <w:uiPriority w:val="99"/>
    <w:rPr>
      <w:i/>
      <w:iCs/>
      <w:color w:val="808080"/>
    </w:rPr>
  </w:style>
  <w:style w:type="character" w:customStyle="1" w:styleId="118">
    <w:name w:val="Char Char21"/>
    <w:qFormat/>
    <w:uiPriority w:val="99"/>
    <w:rPr>
      <w:rFonts w:ascii="Arial" w:hAnsi="Arial" w:eastAsia="黑体" w:cs="Arial"/>
      <w:b/>
      <w:bCs/>
      <w:sz w:val="32"/>
      <w:szCs w:val="32"/>
    </w:rPr>
  </w:style>
  <w:style w:type="character" w:customStyle="1" w:styleId="119">
    <w:name w:val="Comment Subject Char"/>
    <w:qFormat/>
    <w:uiPriority w:val="99"/>
    <w:rPr>
      <w:b/>
      <w:bCs/>
      <w:sz w:val="24"/>
      <w:szCs w:val="24"/>
    </w:rPr>
  </w:style>
  <w:style w:type="character" w:customStyle="1" w:styleId="120">
    <w:name w:val="Char Char"/>
    <w:autoRedefine/>
    <w:qFormat/>
    <w:uiPriority w:val="0"/>
    <w:rPr>
      <w:rFonts w:ascii="Arial" w:hAnsi="Arial" w:eastAsia="黑体"/>
      <w:b/>
      <w:bCs/>
      <w:kern w:val="2"/>
      <w:sz w:val="32"/>
      <w:szCs w:val="32"/>
      <w:lang w:val="en-US" w:eastAsia="zh-CN" w:bidi="ar-SA"/>
    </w:rPr>
  </w:style>
  <w:style w:type="character" w:customStyle="1" w:styleId="121">
    <w:name w:val="批注主题 Char1"/>
    <w:qFormat/>
    <w:uiPriority w:val="99"/>
    <w:rPr>
      <w:rFonts w:ascii="Times New Roman" w:hAnsi="Times New Roman" w:eastAsia="宋体" w:cs="Times New Roman"/>
      <w:b/>
      <w:bCs/>
      <w:sz w:val="24"/>
      <w:szCs w:val="24"/>
    </w:rPr>
  </w:style>
  <w:style w:type="character" w:customStyle="1" w:styleId="122">
    <w:name w:val="Char Char9"/>
    <w:qFormat/>
    <w:uiPriority w:val="99"/>
    <w:rPr>
      <w:rFonts w:eastAsia="宋体"/>
      <w:b/>
      <w:bCs/>
      <w:kern w:val="44"/>
      <w:sz w:val="44"/>
      <w:szCs w:val="44"/>
      <w:lang w:val="en-US" w:eastAsia="zh-CN"/>
    </w:rPr>
  </w:style>
  <w:style w:type="character" w:customStyle="1" w:styleId="123">
    <w:name w:val="Char Char6"/>
    <w:autoRedefine/>
    <w:qFormat/>
    <w:uiPriority w:val="99"/>
    <w:rPr>
      <w:rFonts w:eastAsia="宋体"/>
      <w:b/>
      <w:bCs/>
      <w:kern w:val="44"/>
      <w:sz w:val="44"/>
      <w:szCs w:val="44"/>
      <w:lang w:val="en-US" w:eastAsia="zh-CN"/>
    </w:rPr>
  </w:style>
  <w:style w:type="character" w:customStyle="1" w:styleId="124">
    <w:name w:val="纯文本 Char2"/>
    <w:autoRedefine/>
    <w:qFormat/>
    <w:uiPriority w:val="0"/>
    <w:rPr>
      <w:rFonts w:ascii="宋体" w:hAnsi="Courier New" w:cs="Courier New"/>
      <w:kern w:val="2"/>
      <w:sz w:val="21"/>
      <w:szCs w:val="21"/>
    </w:rPr>
  </w:style>
  <w:style w:type="character" w:customStyle="1" w:styleId="125">
    <w:name w:val="正文文本 Char"/>
    <w:qFormat/>
    <w:uiPriority w:val="99"/>
    <w:rPr>
      <w:rFonts w:eastAsia="宋体"/>
      <w:kern w:val="2"/>
      <w:sz w:val="28"/>
      <w:lang w:val="en-US" w:eastAsia="zh-CN" w:bidi="ar-SA"/>
    </w:rPr>
  </w:style>
  <w:style w:type="character" w:customStyle="1" w:styleId="126">
    <w:name w:val="不明显参考1"/>
    <w:qFormat/>
    <w:uiPriority w:val="99"/>
    <w:rPr>
      <w:smallCaps/>
      <w:color w:val="auto"/>
      <w:u w:val="single"/>
    </w:rPr>
  </w:style>
  <w:style w:type="character" w:customStyle="1" w:styleId="127">
    <w:name w:val="书籍标题1"/>
    <w:autoRedefine/>
    <w:qFormat/>
    <w:uiPriority w:val="99"/>
    <w:rPr>
      <w:b/>
      <w:bCs/>
      <w:smallCaps/>
      <w:spacing w:val="5"/>
    </w:rPr>
  </w:style>
  <w:style w:type="character" w:customStyle="1" w:styleId="128">
    <w:name w:val="Document Map Char"/>
    <w:qFormat/>
    <w:uiPriority w:val="99"/>
    <w:rPr>
      <w:rFonts w:eastAsia="宋体"/>
      <w:kern w:val="2"/>
      <w:sz w:val="24"/>
      <w:szCs w:val="24"/>
      <w:lang w:val="en-US" w:eastAsia="zh-CN"/>
    </w:rPr>
  </w:style>
  <w:style w:type="character" w:customStyle="1" w:styleId="129">
    <w:name w:val="Balloon Text Char"/>
    <w:autoRedefine/>
    <w:qFormat/>
    <w:uiPriority w:val="99"/>
    <w:rPr>
      <w:sz w:val="18"/>
      <w:szCs w:val="18"/>
    </w:rPr>
  </w:style>
  <w:style w:type="character" w:customStyle="1" w:styleId="130">
    <w:name w:val="明显参考1"/>
    <w:autoRedefine/>
    <w:qFormat/>
    <w:uiPriority w:val="99"/>
    <w:rPr>
      <w:b/>
      <w:bCs/>
      <w:smallCaps/>
      <w:color w:val="auto"/>
      <w:spacing w:val="5"/>
      <w:u w:val="single"/>
    </w:rPr>
  </w:style>
  <w:style w:type="character" w:customStyle="1" w:styleId="131">
    <w:name w:val="纯文本 Char1"/>
    <w:autoRedefine/>
    <w:qFormat/>
    <w:uiPriority w:val="0"/>
    <w:rPr>
      <w:rFonts w:ascii="宋体" w:hAnsi="Courier New" w:eastAsia="宋体"/>
      <w:b/>
      <w:bCs/>
      <w:kern w:val="2"/>
      <w:sz w:val="21"/>
      <w:szCs w:val="32"/>
      <w:lang w:val="en-US" w:eastAsia="zh-CN" w:bidi="ar-SA"/>
    </w:rPr>
  </w:style>
  <w:style w:type="character" w:customStyle="1" w:styleId="132">
    <w:name w:val="Body Text Indent Char"/>
    <w:autoRedefine/>
    <w:qFormat/>
    <w:uiPriority w:val="99"/>
    <w:rPr>
      <w:rFonts w:ascii="宋体" w:hAnsi="宋体" w:eastAsia="宋体" w:cs="宋体"/>
      <w:kern w:val="2"/>
      <w:sz w:val="21"/>
      <w:szCs w:val="21"/>
      <w:lang w:val="en-US" w:eastAsia="zh-CN"/>
    </w:rPr>
  </w:style>
  <w:style w:type="character" w:customStyle="1" w:styleId="133">
    <w:name w:val="列出段落 Char"/>
    <w:link w:val="134"/>
    <w:qFormat/>
    <w:uiPriority w:val="0"/>
    <w:rPr>
      <w:rFonts w:ascii="Calibri" w:hAnsi="Calibri"/>
      <w:kern w:val="2"/>
      <w:sz w:val="21"/>
      <w:szCs w:val="22"/>
    </w:rPr>
  </w:style>
  <w:style w:type="paragraph" w:styleId="134">
    <w:name w:val="List Paragraph"/>
    <w:basedOn w:val="1"/>
    <w:link w:val="133"/>
    <w:autoRedefine/>
    <w:qFormat/>
    <w:uiPriority w:val="0"/>
    <w:pPr>
      <w:ind w:firstLine="420" w:firstLineChars="200"/>
    </w:pPr>
    <w:rPr>
      <w:rFonts w:ascii="Calibri" w:hAnsi="Calibri"/>
      <w:szCs w:val="22"/>
    </w:rPr>
  </w:style>
  <w:style w:type="character" w:customStyle="1" w:styleId="135">
    <w:name w:val="文档结构图 Char1"/>
    <w:autoRedefine/>
    <w:qFormat/>
    <w:uiPriority w:val="99"/>
    <w:rPr>
      <w:rFonts w:ascii="宋体" w:hAnsi="Times New Roman" w:eastAsia="宋体" w:cs="宋体"/>
      <w:sz w:val="18"/>
      <w:szCs w:val="18"/>
    </w:rPr>
  </w:style>
  <w:style w:type="character" w:customStyle="1" w:styleId="136">
    <w:name w:val="批注文字 Char Char"/>
    <w:qFormat/>
    <w:uiPriority w:val="99"/>
    <w:rPr>
      <w:rFonts w:ascii="宋体" w:hAnsi="Times New Roman" w:eastAsia="宋体" w:cs="宋体"/>
      <w:sz w:val="20"/>
      <w:szCs w:val="20"/>
    </w:rPr>
  </w:style>
  <w:style w:type="character" w:customStyle="1" w:styleId="137">
    <w:name w:val="Body Text Indent 2 Char"/>
    <w:autoRedefine/>
    <w:qFormat/>
    <w:uiPriority w:val="99"/>
    <w:rPr>
      <w:rFonts w:eastAsia="宋体"/>
      <w:kern w:val="2"/>
      <w:sz w:val="24"/>
      <w:szCs w:val="24"/>
      <w:lang w:val="en-US" w:eastAsia="zh-CN"/>
    </w:rPr>
  </w:style>
  <w:style w:type="character" w:customStyle="1" w:styleId="138">
    <w:name w:val="Char Char23"/>
    <w:qFormat/>
    <w:uiPriority w:val="99"/>
    <w:rPr>
      <w:rFonts w:eastAsia="宋体"/>
      <w:b/>
      <w:bCs/>
      <w:kern w:val="44"/>
      <w:sz w:val="44"/>
      <w:szCs w:val="44"/>
      <w:lang w:val="en-US" w:eastAsia="zh-CN"/>
    </w:rPr>
  </w:style>
  <w:style w:type="character" w:customStyle="1" w:styleId="139">
    <w:name w:val="批注文字 Char1"/>
    <w:autoRedefine/>
    <w:qFormat/>
    <w:uiPriority w:val="99"/>
    <w:rPr>
      <w:rFonts w:ascii="Times New Roman" w:hAnsi="Times New Roman" w:eastAsia="宋体" w:cs="Times New Roman"/>
      <w:sz w:val="24"/>
      <w:szCs w:val="24"/>
    </w:rPr>
  </w:style>
  <w:style w:type="character" w:customStyle="1" w:styleId="140">
    <w:name w:val="引用 Char"/>
    <w:link w:val="141"/>
    <w:autoRedefine/>
    <w:qFormat/>
    <w:locked/>
    <w:uiPriority w:val="99"/>
    <w:rPr>
      <w:i/>
      <w:iCs/>
      <w:color w:val="000000"/>
    </w:rPr>
  </w:style>
  <w:style w:type="paragraph" w:customStyle="1" w:styleId="141">
    <w:name w:val="引用1"/>
    <w:basedOn w:val="1"/>
    <w:next w:val="1"/>
    <w:link w:val="140"/>
    <w:autoRedefine/>
    <w:qFormat/>
    <w:uiPriority w:val="99"/>
    <w:rPr>
      <w:i/>
      <w:iCs/>
      <w:color w:val="000000"/>
      <w:kern w:val="0"/>
      <w:sz w:val="20"/>
      <w:szCs w:val="20"/>
    </w:rPr>
  </w:style>
  <w:style w:type="character" w:customStyle="1" w:styleId="142">
    <w:name w:val="Date Char"/>
    <w:autoRedefine/>
    <w:qFormat/>
    <w:uiPriority w:val="99"/>
    <w:rPr>
      <w:rFonts w:eastAsia="宋体"/>
      <w:kern w:val="2"/>
      <w:sz w:val="24"/>
      <w:szCs w:val="24"/>
      <w:lang w:val="en-US" w:eastAsia="zh-CN"/>
    </w:rPr>
  </w:style>
  <w:style w:type="character" w:customStyle="1" w:styleId="143">
    <w:name w:val="Heading 2 Char"/>
    <w:autoRedefine/>
    <w:qFormat/>
    <w:uiPriority w:val="99"/>
    <w:rPr>
      <w:rFonts w:ascii="Arial" w:hAnsi="Arial" w:eastAsia="黑体" w:cs="Arial"/>
      <w:b/>
      <w:bCs/>
      <w:kern w:val="2"/>
      <w:sz w:val="32"/>
      <w:szCs w:val="32"/>
      <w:lang w:val="en-US" w:eastAsia="zh-CN"/>
    </w:rPr>
  </w:style>
  <w:style w:type="character" w:customStyle="1" w:styleId="144">
    <w:name w:val="正文文本 3 Char1"/>
    <w:autoRedefine/>
    <w:qFormat/>
    <w:uiPriority w:val="0"/>
    <w:rPr>
      <w:kern w:val="2"/>
      <w:sz w:val="16"/>
      <w:szCs w:val="16"/>
    </w:rPr>
  </w:style>
  <w:style w:type="character" w:customStyle="1" w:styleId="145">
    <w:name w:val="Char Char19"/>
    <w:autoRedefine/>
    <w:qFormat/>
    <w:uiPriority w:val="99"/>
    <w:rPr>
      <w:rFonts w:ascii="Arial" w:hAnsi="Arial" w:eastAsia="宋体" w:cs="Arial"/>
      <w:b/>
      <w:bCs/>
      <w:sz w:val="28"/>
      <w:szCs w:val="28"/>
    </w:rPr>
  </w:style>
  <w:style w:type="character" w:customStyle="1" w:styleId="146">
    <w:name w:val="font5 Char"/>
    <w:autoRedefine/>
    <w:qFormat/>
    <w:uiPriority w:val="0"/>
    <w:rPr>
      <w:rFonts w:ascii="宋体" w:hAnsi="宋体" w:eastAsia="宋体"/>
      <w:sz w:val="24"/>
      <w:szCs w:val="24"/>
      <w:lang w:val="en-US" w:eastAsia="zh-CN" w:bidi="ar-SA"/>
    </w:rPr>
  </w:style>
  <w:style w:type="character" w:customStyle="1" w:styleId="147">
    <w:name w:val="标题5 Char Char"/>
    <w:link w:val="148"/>
    <w:autoRedefine/>
    <w:qFormat/>
    <w:locked/>
    <w:uiPriority w:val="99"/>
    <w:rPr>
      <w:rFonts w:ascii="Arial" w:hAnsi="Arial" w:cs="Arial"/>
      <w:b/>
      <w:bCs/>
      <w:sz w:val="32"/>
      <w:szCs w:val="32"/>
    </w:rPr>
  </w:style>
  <w:style w:type="paragraph" w:customStyle="1" w:styleId="148">
    <w:name w:val="标题5"/>
    <w:basedOn w:val="4"/>
    <w:link w:val="147"/>
    <w:autoRedefine/>
    <w:qFormat/>
    <w:uiPriority w:val="99"/>
    <w:pPr>
      <w:spacing w:line="413" w:lineRule="auto"/>
    </w:pPr>
    <w:rPr>
      <w:rFonts w:ascii="Arial" w:hAnsi="Arial"/>
      <w:kern w:val="0"/>
    </w:rPr>
  </w:style>
  <w:style w:type="character" w:customStyle="1" w:styleId="149">
    <w:name w:val="Char Char24"/>
    <w:autoRedefine/>
    <w:qFormat/>
    <w:uiPriority w:val="99"/>
    <w:rPr>
      <w:rFonts w:eastAsia="宋体"/>
      <w:b/>
      <w:bCs/>
      <w:kern w:val="44"/>
      <w:sz w:val="44"/>
      <w:szCs w:val="44"/>
      <w:lang w:val="en-US" w:eastAsia="zh-CN"/>
    </w:rPr>
  </w:style>
  <w:style w:type="character" w:customStyle="1" w:styleId="150">
    <w:name w:val="Heading 3 Char1"/>
    <w:qFormat/>
    <w:uiPriority w:val="99"/>
    <w:rPr>
      <w:rFonts w:eastAsia="宋体"/>
      <w:b/>
      <w:bCs/>
      <w:kern w:val="2"/>
      <w:sz w:val="32"/>
      <w:szCs w:val="32"/>
      <w:lang w:val="en-US" w:eastAsia="zh-CN"/>
    </w:rPr>
  </w:style>
  <w:style w:type="character" w:customStyle="1" w:styleId="151">
    <w:name w:val="标题 Char1"/>
    <w:autoRedefine/>
    <w:qFormat/>
    <w:uiPriority w:val="99"/>
    <w:rPr>
      <w:rFonts w:ascii="Cambria" w:hAnsi="Cambria" w:eastAsia="宋体" w:cs="Cambria"/>
      <w:b/>
      <w:bCs/>
      <w:sz w:val="32"/>
      <w:szCs w:val="32"/>
    </w:rPr>
  </w:style>
  <w:style w:type="character" w:customStyle="1" w:styleId="152">
    <w:name w:val="明显引用 Char1"/>
    <w:qFormat/>
    <w:uiPriority w:val="99"/>
    <w:rPr>
      <w:rFonts w:ascii="Times New Roman" w:hAnsi="Times New Roman" w:eastAsia="宋体" w:cs="Times New Roman"/>
      <w:b/>
      <w:bCs/>
      <w:i/>
      <w:iCs/>
      <w:color w:val="4F81BD"/>
      <w:sz w:val="24"/>
      <w:szCs w:val="24"/>
    </w:rPr>
  </w:style>
  <w:style w:type="character" w:customStyle="1" w:styleId="153">
    <w:name w:val="Char Char91"/>
    <w:qFormat/>
    <w:uiPriority w:val="99"/>
    <w:rPr>
      <w:rFonts w:eastAsia="宋体"/>
      <w:b/>
      <w:bCs/>
      <w:kern w:val="44"/>
      <w:sz w:val="44"/>
      <w:szCs w:val="44"/>
      <w:lang w:val="en-US" w:eastAsia="zh-CN"/>
    </w:rPr>
  </w:style>
  <w:style w:type="paragraph" w:customStyle="1" w:styleId="154">
    <w:name w:val="表头"/>
    <w:basedOn w:val="1"/>
    <w:autoRedefine/>
    <w:qFormat/>
    <w:uiPriority w:val="0"/>
    <w:pPr>
      <w:spacing w:line="300" w:lineRule="auto"/>
      <w:jc w:val="center"/>
    </w:pPr>
    <w:rPr>
      <w:rFonts w:eastAsia="黑体" w:cs="华文细黑"/>
      <w:color w:val="000000"/>
    </w:rPr>
  </w:style>
  <w:style w:type="paragraph" w:customStyle="1" w:styleId="155">
    <w:name w:val="Char Char Char Char Char Char Char"/>
    <w:basedOn w:val="1"/>
    <w:autoRedefine/>
    <w:qFormat/>
    <w:uiPriority w:val="0"/>
  </w:style>
  <w:style w:type="paragraph" w:customStyle="1" w:styleId="156">
    <w:name w:val="Normal_0"/>
    <w:basedOn w:val="157"/>
    <w:qFormat/>
    <w:uiPriority w:val="0"/>
    <w:pPr>
      <w:widowControl/>
      <w:spacing w:line="384" w:lineRule="auto"/>
      <w:jc w:val="left"/>
    </w:pPr>
    <w:rPr>
      <w:rFonts w:ascii="宋体" w:hAnsi="宋体" w:cs="宋体"/>
      <w:kern w:val="0"/>
      <w:sz w:val="24"/>
      <w:szCs w:val="24"/>
    </w:rPr>
  </w:style>
  <w:style w:type="paragraph" w:customStyle="1" w:styleId="15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xl34"/>
    <w:basedOn w:val="1"/>
    <w:autoRedefine/>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159">
    <w:name w:val="样式1"/>
    <w:basedOn w:val="1"/>
    <w:next w:val="5"/>
    <w:qFormat/>
    <w:uiPriority w:val="99"/>
    <w:pPr>
      <w:spacing w:line="360" w:lineRule="auto"/>
      <w:ind w:firstLine="420" w:firstLineChars="200"/>
    </w:pPr>
    <w:rPr>
      <w:rFonts w:ascii="宋体" w:hAnsi="宋体" w:cs="宋体"/>
      <w:szCs w:val="21"/>
    </w:rPr>
  </w:style>
  <w:style w:type="paragraph" w:customStyle="1" w:styleId="16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61">
    <w:name w:val="z-窗体顶端1"/>
    <w:basedOn w:val="1"/>
    <w:next w:val="1"/>
    <w:autoRedefine/>
    <w:qFormat/>
    <w:uiPriority w:val="0"/>
    <w:pPr>
      <w:widowControl/>
      <w:pBdr>
        <w:bottom w:val="single" w:color="auto" w:sz="6" w:space="1"/>
      </w:pBdr>
      <w:jc w:val="center"/>
    </w:pPr>
    <w:rPr>
      <w:rFonts w:ascii="Arial" w:hAnsi="Arial" w:cs="Arial"/>
      <w:vanish/>
      <w:color w:val="000000"/>
      <w:kern w:val="0"/>
      <w:sz w:val="16"/>
      <w:szCs w:val="16"/>
    </w:rPr>
  </w:style>
  <w:style w:type="paragraph" w:customStyle="1" w:styleId="162">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6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64">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65">
    <w:name w:val="2-2ji"/>
    <w:basedOn w:val="3"/>
    <w:autoRedefine/>
    <w:qFormat/>
    <w:uiPriority w:val="99"/>
    <w:pPr>
      <w:spacing w:before="0" w:after="0" w:line="360" w:lineRule="auto"/>
      <w:jc w:val="center"/>
    </w:pPr>
    <w:rPr>
      <w:rFonts w:ascii="宋体" w:hAnsi="宋体" w:eastAsia="宋体" w:cs="宋体"/>
      <w:sz w:val="36"/>
      <w:szCs w:val="36"/>
      <w:lang w:val="zh-CN"/>
    </w:rPr>
  </w:style>
  <w:style w:type="paragraph" w:customStyle="1" w:styleId="166">
    <w:name w:val="Char Char Char2 Char"/>
    <w:basedOn w:val="1"/>
    <w:autoRedefine/>
    <w:qFormat/>
    <w:uiPriority w:val="0"/>
    <w:pPr>
      <w:tabs>
        <w:tab w:val="left" w:pos="815"/>
      </w:tabs>
      <w:ind w:left="815" w:hanging="360"/>
    </w:pPr>
  </w:style>
  <w:style w:type="paragraph" w:customStyle="1" w:styleId="16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69">
    <w:name w:val="Char Char Char 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70">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71">
    <w:name w:val="简单回函地址"/>
    <w:basedOn w:val="1"/>
    <w:autoRedefine/>
    <w:qFormat/>
    <w:uiPriority w:val="0"/>
    <w:rPr>
      <w:rFonts w:ascii="仿宋_GB2312" w:hAnsi="宋体" w:eastAsia="仿宋_GB2312"/>
      <w:bCs/>
      <w:sz w:val="30"/>
      <w:szCs w:val="20"/>
    </w:rPr>
  </w:style>
  <w:style w:type="paragraph" w:customStyle="1" w:styleId="172">
    <w:name w:val="TOC 标题1"/>
    <w:basedOn w:val="2"/>
    <w:next w:val="1"/>
    <w:qFormat/>
    <w:uiPriority w:val="99"/>
    <w:pPr>
      <w:spacing w:line="576" w:lineRule="auto"/>
      <w:outlineLvl w:val="9"/>
    </w:pPr>
    <w:rPr>
      <w:rFonts w:ascii="Calibri" w:hAnsi="Calibri" w:eastAsia="黑体" w:cs="Calibri"/>
      <w:lang w:val="zh-CN"/>
    </w:rPr>
  </w:style>
  <w:style w:type="paragraph" w:customStyle="1" w:styleId="173">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74">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175">
    <w:name w:val="font8"/>
    <w:basedOn w:val="1"/>
    <w:autoRedefine/>
    <w:qFormat/>
    <w:uiPriority w:val="0"/>
    <w:pPr>
      <w:widowControl/>
      <w:spacing w:before="100" w:beforeAutospacing="1" w:after="100" w:afterAutospacing="1"/>
      <w:jc w:val="left"/>
    </w:pPr>
    <w:rPr>
      <w:rFonts w:hint="eastAsia" w:ascii="宋体" w:hAnsi="宋体"/>
      <w:kern w:val="0"/>
      <w:sz w:val="40"/>
      <w:szCs w:val="40"/>
    </w:rPr>
  </w:style>
  <w:style w:type="paragraph" w:customStyle="1" w:styleId="176">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177">
    <w:name w:val="xl44"/>
    <w:basedOn w:val="1"/>
    <w:autoRedefine/>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178">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79">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0">
    <w:name w:val="font6"/>
    <w:basedOn w:val="1"/>
    <w:qFormat/>
    <w:uiPriority w:val="0"/>
    <w:pPr>
      <w:widowControl/>
      <w:spacing w:before="100" w:beforeAutospacing="1" w:after="100" w:afterAutospacing="1"/>
      <w:jc w:val="left"/>
    </w:pPr>
    <w:rPr>
      <w:kern w:val="0"/>
      <w:sz w:val="24"/>
    </w:rPr>
  </w:style>
  <w:style w:type="paragraph" w:customStyle="1" w:styleId="181">
    <w:name w:val="表"/>
    <w:basedOn w:val="1"/>
    <w:qFormat/>
    <w:uiPriority w:val="0"/>
    <w:pPr>
      <w:spacing w:line="300" w:lineRule="auto"/>
    </w:pPr>
    <w:rPr>
      <w:color w:val="000000"/>
      <w:szCs w:val="21"/>
    </w:rPr>
  </w:style>
  <w:style w:type="paragraph" w:customStyle="1" w:styleId="182">
    <w:name w:val="font9"/>
    <w:basedOn w:val="1"/>
    <w:qFormat/>
    <w:uiPriority w:val="0"/>
    <w:pPr>
      <w:widowControl/>
      <w:spacing w:before="100" w:beforeAutospacing="1" w:after="100" w:afterAutospacing="1"/>
      <w:jc w:val="left"/>
    </w:pPr>
    <w:rPr>
      <w:kern w:val="0"/>
      <w:sz w:val="40"/>
      <w:szCs w:val="40"/>
    </w:rPr>
  </w:style>
  <w:style w:type="paragraph" w:customStyle="1" w:styleId="18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8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8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8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87">
    <w:name w:val="样式 行距: 固定值 25 磅"/>
    <w:basedOn w:val="1"/>
    <w:qFormat/>
    <w:uiPriority w:val="0"/>
    <w:pPr>
      <w:spacing w:line="500" w:lineRule="exact"/>
    </w:pPr>
    <w:rPr>
      <w:rFonts w:cs="宋体"/>
      <w:sz w:val="28"/>
      <w:szCs w:val="20"/>
    </w:rPr>
  </w:style>
  <w:style w:type="paragraph" w:customStyle="1" w:styleId="188">
    <w:name w:val="Char Char Char Char Char Char Char Char Char1 Char Char Char Char Char Char Char Char Char Char Char Char Char"/>
    <w:basedOn w:val="2"/>
    <w:qFormat/>
    <w:uiPriority w:val="0"/>
    <w:pPr>
      <w:snapToGrid w:val="0"/>
      <w:spacing w:before="240" w:after="240" w:line="348" w:lineRule="auto"/>
    </w:pPr>
  </w:style>
  <w:style w:type="paragraph" w:customStyle="1" w:styleId="189">
    <w:name w:val="表格"/>
    <w:basedOn w:val="1"/>
    <w:autoRedefine/>
    <w:qFormat/>
    <w:uiPriority w:val="0"/>
    <w:pPr>
      <w:jc w:val="center"/>
      <w:textAlignment w:val="center"/>
    </w:pPr>
    <w:rPr>
      <w:rFonts w:ascii="华文细黑" w:hAnsi="华文细黑"/>
      <w:kern w:val="0"/>
      <w:szCs w:val="20"/>
    </w:rPr>
  </w:style>
  <w:style w:type="paragraph" w:customStyle="1" w:styleId="1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1">
    <w:name w:val="标题2"/>
    <w:basedOn w:val="3"/>
    <w:next w:val="1"/>
    <w:qFormat/>
    <w:uiPriority w:val="0"/>
    <w:pPr>
      <w:snapToGrid w:val="0"/>
      <w:spacing w:before="120" w:after="120" w:line="240" w:lineRule="auto"/>
      <w:jc w:val="left"/>
    </w:pPr>
    <w:rPr>
      <w:b w:val="0"/>
      <w:bCs w:val="0"/>
      <w:sz w:val="21"/>
      <w:szCs w:val="21"/>
    </w:rPr>
  </w:style>
  <w:style w:type="paragraph" w:customStyle="1" w:styleId="192">
    <w:name w:val="正文段"/>
    <w:basedOn w:val="1"/>
    <w:autoRedefine/>
    <w:qFormat/>
    <w:uiPriority w:val="0"/>
    <w:pPr>
      <w:widowControl/>
      <w:snapToGrid w:val="0"/>
      <w:spacing w:afterLines="50"/>
      <w:ind w:firstLine="200" w:firstLineChars="200"/>
    </w:pPr>
    <w:rPr>
      <w:kern w:val="0"/>
      <w:sz w:val="24"/>
      <w:szCs w:val="20"/>
    </w:rPr>
  </w:style>
  <w:style w:type="paragraph" w:customStyle="1" w:styleId="193">
    <w:name w:val="修订11"/>
    <w:qFormat/>
    <w:uiPriority w:val="99"/>
    <w:rPr>
      <w:rFonts w:ascii="Times New Roman" w:hAnsi="Times New Roman" w:eastAsia="宋体" w:cs="Times New Roman"/>
      <w:kern w:val="2"/>
      <w:sz w:val="21"/>
      <w:szCs w:val="21"/>
      <w:lang w:val="en-US" w:eastAsia="zh-CN" w:bidi="ar-SA"/>
    </w:rPr>
  </w:style>
  <w:style w:type="paragraph" w:customStyle="1" w:styleId="194">
    <w:name w:val="p0"/>
    <w:basedOn w:val="1"/>
    <w:qFormat/>
    <w:uiPriority w:val="99"/>
    <w:pPr>
      <w:widowControl/>
      <w:spacing w:before="100" w:beforeAutospacing="1" w:after="100" w:afterAutospacing="1" w:line="312" w:lineRule="auto"/>
      <w:jc w:val="left"/>
    </w:pPr>
    <w:rPr>
      <w:rFonts w:ascii="宋体" w:hAnsi="宋体" w:cs="宋体"/>
      <w:kern w:val="0"/>
      <w:sz w:val="24"/>
    </w:rPr>
  </w:style>
  <w:style w:type="paragraph" w:customStyle="1" w:styleId="19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9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9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198">
    <w:name w:val="1"/>
    <w:basedOn w:val="1"/>
    <w:next w:val="24"/>
    <w:autoRedefine/>
    <w:qFormat/>
    <w:uiPriority w:val="99"/>
    <w:rPr>
      <w:rFonts w:ascii="宋体" w:hAnsi="Courier New"/>
      <w:szCs w:val="20"/>
    </w:rPr>
  </w:style>
  <w:style w:type="paragraph" w:customStyle="1" w:styleId="199">
    <w:name w:val="文件目录"/>
    <w:basedOn w:val="1"/>
    <w:autoRedefine/>
    <w:qFormat/>
    <w:uiPriority w:val="0"/>
    <w:pPr>
      <w:spacing w:line="600" w:lineRule="exact"/>
      <w:jc w:val="left"/>
    </w:pPr>
    <w:rPr>
      <w:b/>
      <w:sz w:val="30"/>
      <w:szCs w:val="20"/>
    </w:rPr>
  </w:style>
  <w:style w:type="paragraph" w:customStyle="1" w:styleId="200">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0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202">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3">
    <w:name w:val="Char Char Char Char Char Char Char Char Char Char Char Char Char Char Char Char Char Char Char"/>
    <w:basedOn w:val="1"/>
    <w:autoRedefine/>
    <w:semiHidden/>
    <w:qFormat/>
    <w:uiPriority w:val="0"/>
  </w:style>
  <w:style w:type="paragraph" w:customStyle="1" w:styleId="204">
    <w:name w:val="_Style 37"/>
    <w:basedOn w:val="1"/>
    <w:next w:val="1"/>
    <w:qFormat/>
    <w:uiPriority w:val="99"/>
    <w:rPr>
      <w:szCs w:val="21"/>
    </w:rPr>
  </w:style>
  <w:style w:type="paragraph" w:customStyle="1" w:styleId="205">
    <w:name w:val="正文文本 21"/>
    <w:basedOn w:val="1"/>
    <w:qFormat/>
    <w:uiPriority w:val="0"/>
    <w:pPr>
      <w:adjustRightInd w:val="0"/>
      <w:spacing w:line="460" w:lineRule="exact"/>
      <w:ind w:firstLine="635"/>
      <w:jc w:val="left"/>
      <w:textAlignment w:val="baseline"/>
    </w:pPr>
    <w:rPr>
      <w:sz w:val="28"/>
      <w:szCs w:val="20"/>
    </w:rPr>
  </w:style>
  <w:style w:type="paragraph" w:customStyle="1" w:styleId="20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07">
    <w:name w:val="表格文字"/>
    <w:basedOn w:val="1"/>
    <w:qFormat/>
    <w:uiPriority w:val="0"/>
    <w:pPr>
      <w:adjustRightInd w:val="0"/>
      <w:spacing w:line="420" w:lineRule="atLeast"/>
      <w:jc w:val="left"/>
      <w:textAlignment w:val="baseline"/>
    </w:pPr>
    <w:rPr>
      <w:kern w:val="0"/>
      <w:szCs w:val="20"/>
    </w:rPr>
  </w:style>
  <w:style w:type="paragraph" w:customStyle="1" w:styleId="208">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209">
    <w:name w:val="Default"/>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10">
    <w:name w:val="Char1"/>
    <w:basedOn w:val="1"/>
    <w:qFormat/>
    <w:uiPriority w:val="99"/>
    <w:pPr>
      <w:widowControl/>
      <w:spacing w:after="160" w:line="240" w:lineRule="exact"/>
      <w:jc w:val="left"/>
    </w:pPr>
    <w:rPr>
      <w:szCs w:val="21"/>
    </w:rPr>
  </w:style>
  <w:style w:type="paragraph" w:customStyle="1" w:styleId="211">
    <w:name w:val="p17"/>
    <w:basedOn w:val="1"/>
    <w:qFormat/>
    <w:uiPriority w:val="0"/>
    <w:pPr>
      <w:widowControl/>
      <w:spacing w:before="100" w:beforeAutospacing="1" w:after="100" w:afterAutospacing="1" w:line="312" w:lineRule="auto"/>
      <w:jc w:val="left"/>
    </w:pPr>
    <w:rPr>
      <w:rFonts w:ascii="宋体" w:hAnsi="宋体" w:cs="宋体"/>
      <w:kern w:val="0"/>
      <w:sz w:val="24"/>
    </w:rPr>
  </w:style>
  <w:style w:type="paragraph" w:customStyle="1" w:styleId="212">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21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1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215">
    <w:name w:val="文件标题"/>
    <w:basedOn w:val="1"/>
    <w:qFormat/>
    <w:uiPriority w:val="0"/>
    <w:pPr>
      <w:jc w:val="center"/>
    </w:pPr>
    <w:rPr>
      <w:b/>
      <w:sz w:val="36"/>
      <w:szCs w:val="20"/>
    </w:rPr>
  </w:style>
  <w:style w:type="paragraph" w:customStyle="1" w:styleId="216">
    <w:name w:val="head1"/>
    <w:basedOn w:val="1"/>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217">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1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9">
    <w:name w:val="xl31"/>
    <w:basedOn w:val="1"/>
    <w:qFormat/>
    <w:uiPriority w:val="0"/>
    <w:pPr>
      <w:widowControl/>
      <w:spacing w:before="100" w:beforeAutospacing="1" w:after="100" w:afterAutospacing="1"/>
      <w:jc w:val="center"/>
    </w:pPr>
    <w:rPr>
      <w:rFonts w:ascii="宋体" w:hAnsi="宋体"/>
      <w:kern w:val="0"/>
      <w:sz w:val="24"/>
    </w:rPr>
  </w:style>
  <w:style w:type="paragraph" w:customStyle="1" w:styleId="22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22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223">
    <w:name w:val="表格2"/>
    <w:basedOn w:val="1"/>
    <w:qFormat/>
    <w:uiPriority w:val="0"/>
    <w:pPr>
      <w:adjustRightInd w:val="0"/>
      <w:spacing w:before="60" w:after="60"/>
      <w:jc w:val="center"/>
    </w:pPr>
    <w:rPr>
      <w:rFonts w:ascii="宋体"/>
      <w:color w:val="000000"/>
      <w:kern w:val="0"/>
      <w:sz w:val="24"/>
      <w:szCs w:val="20"/>
    </w:rPr>
  </w:style>
  <w:style w:type="paragraph" w:customStyle="1" w:styleId="224">
    <w:name w:val="5 Char Char Char Char Char Char Char Char Char Char"/>
    <w:basedOn w:val="1"/>
    <w:qFormat/>
    <w:uiPriority w:val="0"/>
  </w:style>
  <w:style w:type="paragraph" w:customStyle="1" w:styleId="225">
    <w:name w:val="合同正文"/>
    <w:basedOn w:val="1"/>
    <w:qFormat/>
    <w:uiPriority w:val="0"/>
    <w:pPr>
      <w:adjustRightInd w:val="0"/>
      <w:spacing w:line="580" w:lineRule="exact"/>
    </w:pPr>
    <w:rPr>
      <w:b/>
      <w:sz w:val="24"/>
      <w:szCs w:val="20"/>
    </w:rPr>
  </w:style>
  <w:style w:type="paragraph" w:customStyle="1" w:styleId="226">
    <w:name w:val="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2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22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29">
    <w:name w:val="纯文本1"/>
    <w:basedOn w:val="1"/>
    <w:qFormat/>
    <w:uiPriority w:val="0"/>
    <w:pPr>
      <w:adjustRightInd w:val="0"/>
      <w:jc w:val="left"/>
      <w:textAlignment w:val="baseline"/>
    </w:pPr>
    <w:rPr>
      <w:rFonts w:ascii="宋体" w:hAnsi="Courier New"/>
      <w:szCs w:val="20"/>
    </w:rPr>
  </w:style>
  <w:style w:type="paragraph" w:customStyle="1" w:styleId="230">
    <w:name w:val="列出段落1"/>
    <w:basedOn w:val="1"/>
    <w:qFormat/>
    <w:uiPriority w:val="99"/>
    <w:pPr>
      <w:ind w:firstLine="420" w:firstLineChars="200"/>
    </w:pPr>
    <w:rPr>
      <w:rFonts w:ascii="Calibri" w:hAnsi="Calibri" w:cs="Calibri"/>
      <w:szCs w:val="21"/>
    </w:rPr>
  </w:style>
  <w:style w:type="paragraph" w:customStyle="1" w:styleId="231">
    <w:name w:val="xl45"/>
    <w:basedOn w:val="1"/>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2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233">
    <w:name w:val="font1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34">
    <w:name w:val="默认段落字体 Para Char Char Char Char Char Char Char"/>
    <w:basedOn w:val="1"/>
    <w:qFormat/>
    <w:uiPriority w:val="0"/>
    <w:pPr>
      <w:adjustRightInd w:val="0"/>
      <w:spacing w:line="360" w:lineRule="auto"/>
      <w:ind w:left="200" w:hanging="200" w:hangingChars="200"/>
    </w:pPr>
    <w:rPr>
      <w:kern w:val="0"/>
      <w:sz w:val="24"/>
      <w:szCs w:val="20"/>
    </w:rPr>
  </w:style>
  <w:style w:type="paragraph" w:customStyle="1" w:styleId="235">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236">
    <w:name w:val="Char2"/>
    <w:basedOn w:val="1"/>
    <w:qFormat/>
    <w:uiPriority w:val="0"/>
    <w:pPr>
      <w:snapToGrid w:val="0"/>
      <w:spacing w:line="360" w:lineRule="auto"/>
      <w:ind w:firstLine="200" w:firstLineChars="200"/>
    </w:pPr>
    <w:rPr>
      <w:rFonts w:ascii="Arial" w:hAnsi="Arial" w:eastAsia="黑体"/>
      <w:szCs w:val="21"/>
    </w:rPr>
  </w:style>
  <w:style w:type="paragraph" w:customStyle="1" w:styleId="237">
    <w:name w:val="Char Char Char Char Char Char Char1"/>
    <w:basedOn w:val="1"/>
    <w:qFormat/>
    <w:uiPriority w:val="99"/>
    <w:pPr>
      <w:widowControl/>
      <w:spacing w:after="160" w:line="240" w:lineRule="exact"/>
      <w:jc w:val="left"/>
    </w:pPr>
    <w:rPr>
      <w:szCs w:val="21"/>
    </w:rPr>
  </w:style>
  <w:style w:type="paragraph" w:customStyle="1" w:styleId="23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239">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0">
    <w:name w:val="列出段落2"/>
    <w:basedOn w:val="1"/>
    <w:qFormat/>
    <w:uiPriority w:val="99"/>
    <w:pPr>
      <w:ind w:firstLine="420" w:firstLineChars="200"/>
    </w:pPr>
    <w:rPr>
      <w:rFonts w:ascii="Calibri" w:hAnsi="Calibri" w:cs="Calibri"/>
      <w:szCs w:val="21"/>
    </w:rPr>
  </w:style>
  <w:style w:type="paragraph" w:customStyle="1" w:styleId="241">
    <w:name w:val="样式 标题 3 + (中文) 黑体 小四 非加粗 段前: 7.8 磅 段后: 0 磅 行距: 固定值 20 磅"/>
    <w:basedOn w:val="4"/>
    <w:qFormat/>
    <w:uiPriority w:val="99"/>
    <w:pPr>
      <w:spacing w:before="0" w:after="0" w:line="400" w:lineRule="exact"/>
      <w:jc w:val="center"/>
    </w:pPr>
    <w:rPr>
      <w:rFonts w:ascii="宋体" w:hAnsi="宋体" w:eastAsia="黑体" w:cs="宋体"/>
      <w:b w:val="0"/>
      <w:bCs w:val="0"/>
      <w:kern w:val="0"/>
      <w:sz w:val="24"/>
      <w:szCs w:val="20"/>
    </w:rPr>
  </w:style>
  <w:style w:type="paragraph" w:customStyle="1" w:styleId="24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3">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44">
    <w:name w:val="Char Char Char Char Char Char Char Char Char Char"/>
    <w:basedOn w:val="1"/>
    <w:qFormat/>
    <w:uiPriority w:val="0"/>
  </w:style>
  <w:style w:type="paragraph" w:customStyle="1" w:styleId="245">
    <w:name w:val="."/>
    <w:basedOn w:val="1"/>
    <w:qFormat/>
    <w:uiPriority w:val="0"/>
    <w:pPr>
      <w:widowControl/>
      <w:numPr>
        <w:ilvl w:val="0"/>
        <w:numId w:val="1"/>
      </w:numPr>
      <w:overflowPunct w:val="0"/>
      <w:autoSpaceDE w:val="0"/>
      <w:autoSpaceDN w:val="0"/>
      <w:adjustRightInd w:val="0"/>
      <w:spacing w:before="60" w:after="60" w:line="264" w:lineRule="auto"/>
      <w:ind w:left="1135" w:hanging="284"/>
      <w:textAlignment w:val="baseline"/>
    </w:pPr>
    <w:rPr>
      <w:rFonts w:ascii="宋体"/>
      <w:kern w:val="0"/>
      <w:sz w:val="24"/>
      <w:szCs w:val="20"/>
    </w:rPr>
  </w:style>
  <w:style w:type="character" w:customStyle="1" w:styleId="246">
    <w:name w:val="bookmark-item"/>
    <w:qFormat/>
    <w:uiPriority w:val="0"/>
  </w:style>
  <w:style w:type="paragraph" w:customStyle="1" w:styleId="247">
    <w:name w:val="Normal_17"/>
    <w:qFormat/>
    <w:uiPriority w:val="0"/>
    <w:pPr>
      <w:spacing w:before="120" w:after="240"/>
      <w:jc w:val="both"/>
    </w:pPr>
    <w:rPr>
      <w:rFonts w:ascii="Calibri" w:hAnsi="Calibri" w:eastAsia="Calibri" w:cs="Times New Roman"/>
      <w:sz w:val="22"/>
      <w:szCs w:val="22"/>
      <w:lang w:val="ru-RU" w:eastAsia="en-US" w:bidi="ar-SA"/>
    </w:rPr>
  </w:style>
  <w:style w:type="character" w:customStyle="1" w:styleId="248">
    <w:name w:val="纯文本 Char3"/>
    <w:qFormat/>
    <w:uiPriority w:val="0"/>
    <w:rPr>
      <w:rFonts w:ascii="宋体" w:hAnsi="Courier New" w:eastAsia="宋体" w:cs="Courier New"/>
      <w:kern w:val="2"/>
      <w:sz w:val="21"/>
      <w:szCs w:val="21"/>
      <w:lang w:val="en-US" w:eastAsia="zh-CN" w:bidi="ar-SA"/>
    </w:rPr>
  </w:style>
  <w:style w:type="paragraph" w:styleId="24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Blockquote"/>
    <w:basedOn w:val="1"/>
    <w:qFormat/>
    <w:uiPriority w:val="0"/>
    <w:pPr>
      <w:adjustRightInd w:val="0"/>
      <w:spacing w:before="100" w:after="100"/>
      <w:ind w:left="360" w:right="360"/>
    </w:pPr>
    <w:rPr>
      <w:sz w:val="24"/>
    </w:rPr>
  </w:style>
  <w:style w:type="paragraph" w:customStyle="1" w:styleId="251">
    <w:name w:val="Table Paragraph"/>
    <w:basedOn w:val="1"/>
    <w:qFormat/>
    <w:uiPriority w:val="1"/>
  </w:style>
  <w:style w:type="paragraph" w:customStyle="1" w:styleId="252">
    <w:name w:val="纯文本_0"/>
    <w:basedOn w:val="178"/>
    <w:qFormat/>
    <w:uiPriority w:val="0"/>
    <w:rPr>
      <w:rFonts w:ascii="宋体" w:hAnsi="Courier New"/>
    </w:rPr>
  </w:style>
  <w:style w:type="paragraph" w:customStyle="1" w:styleId="253">
    <w:name w:val="PlainText"/>
    <w:basedOn w:val="1"/>
    <w:qFormat/>
    <w:uiPriority w:val="0"/>
    <w:rPr>
      <w:rFonts w:ascii="宋体" w:hAnsi="Courier New"/>
      <w:szCs w:val="20"/>
    </w:rPr>
  </w:style>
  <w:style w:type="character" w:customStyle="1" w:styleId="254">
    <w:name w:val="ant-radio+*"/>
    <w:basedOn w:val="47"/>
    <w:qFormat/>
    <w:uiPriority w:val="0"/>
  </w:style>
  <w:style w:type="character" w:customStyle="1" w:styleId="255">
    <w:name w:val="ant-radio+*1"/>
    <w:basedOn w:val="47"/>
    <w:qFormat/>
    <w:uiPriority w:val="0"/>
  </w:style>
  <w:style w:type="character" w:customStyle="1" w:styleId="256">
    <w:name w:val="first-child1"/>
    <w:basedOn w:val="47"/>
    <w:qFormat/>
    <w:uiPriority w:val="0"/>
  </w:style>
  <w:style w:type="character" w:customStyle="1" w:styleId="257">
    <w:name w:val="ant-input28"/>
    <w:basedOn w:val="47"/>
    <w:qFormat/>
    <w:uiPriority w:val="0"/>
  </w:style>
  <w:style w:type="character" w:customStyle="1" w:styleId="258">
    <w:name w:val="last-child"/>
    <w:basedOn w:val="47"/>
    <w:qFormat/>
    <w:uiPriority w:val="0"/>
  </w:style>
  <w:style w:type="character" w:customStyle="1" w:styleId="259">
    <w:name w:val="ant-select-tree-checkbox"/>
    <w:basedOn w:val="47"/>
    <w:qFormat/>
    <w:uiPriority w:val="0"/>
  </w:style>
  <w:style w:type="character" w:customStyle="1" w:styleId="260">
    <w:name w:val="ant-select-tree-switcher"/>
    <w:basedOn w:val="47"/>
    <w:qFormat/>
    <w:uiPriority w:val="0"/>
  </w:style>
  <w:style w:type="character" w:customStyle="1" w:styleId="261">
    <w:name w:val="nc-lang-cnt"/>
    <w:basedOn w:val="47"/>
    <w:qFormat/>
    <w:uiPriority w:val="0"/>
    <w:rPr>
      <w:rFonts w:hint="cs"/>
      <w:rtl/>
      <w:cs/>
    </w:rPr>
  </w:style>
  <w:style w:type="character" w:customStyle="1" w:styleId="262">
    <w:name w:val="nc-lang-cnt1"/>
    <w:basedOn w:val="47"/>
    <w:qFormat/>
    <w:uiPriority w:val="0"/>
    <w:rPr>
      <w:rFonts w:hint="cs"/>
      <w:rtl/>
      <w:cs/>
    </w:rPr>
  </w:style>
  <w:style w:type="character" w:customStyle="1" w:styleId="263">
    <w:name w:val="nc-lang-cnt2"/>
    <w:basedOn w:val="47"/>
    <w:qFormat/>
    <w:uiPriority w:val="0"/>
  </w:style>
  <w:style w:type="character" w:customStyle="1" w:styleId="264">
    <w:name w:val="nc-lang-cnt3"/>
    <w:basedOn w:val="47"/>
    <w:qFormat/>
    <w:uiPriority w:val="0"/>
  </w:style>
  <w:style w:type="character" w:customStyle="1" w:styleId="265">
    <w:name w:val="nc-lang-cnt4"/>
    <w:basedOn w:val="47"/>
    <w:qFormat/>
    <w:uiPriority w:val="0"/>
    <w:rPr>
      <w:rFonts w:hint="cs"/>
      <w:rtl/>
      <w:cs/>
    </w:rPr>
  </w:style>
  <w:style w:type="character" w:customStyle="1" w:styleId="266">
    <w:name w:val="nc-lang-cnt5"/>
    <w:basedOn w:val="47"/>
    <w:autoRedefine/>
    <w:qFormat/>
    <w:uiPriority w:val="0"/>
    <w:rPr>
      <w:rFonts w:hint="cs"/>
      <w:rtl/>
      <w:cs/>
    </w:rPr>
  </w:style>
  <w:style w:type="character" w:customStyle="1" w:styleId="267">
    <w:name w:val="nc-lang-cnt6"/>
    <w:basedOn w:val="47"/>
    <w:qFormat/>
    <w:uiPriority w:val="0"/>
  </w:style>
  <w:style w:type="character" w:customStyle="1" w:styleId="268">
    <w:name w:val="ant-select-tree-iconele"/>
    <w:basedOn w:val="47"/>
    <w:qFormat/>
    <w:uiPriority w:val="0"/>
  </w:style>
  <w:style w:type="character" w:customStyle="1" w:styleId="269">
    <w:name w:val="ant-table-tbody1"/>
    <w:basedOn w:val="47"/>
    <w:qFormat/>
    <w:uiPriority w:val="0"/>
  </w:style>
  <w:style w:type="paragraph" w:customStyle="1" w:styleId="270">
    <w:name w:val="正文_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8759F-A9EA-4442-A732-FC593FBB69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89</Pages>
  <Words>172</Words>
  <Characters>203</Characters>
  <Lines>386</Lines>
  <Paragraphs>108</Paragraphs>
  <TotalTime>46</TotalTime>
  <ScaleCrop>false</ScaleCrop>
  <LinksUpToDate>false</LinksUpToDate>
  <CharactersWithSpaces>212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2021-11-18T03:04:00Z</dcterms:created>
  <dc:creator>USER</dc:creator>
  <cp:lastModifiedBy>微信用户</cp:lastModifiedBy>
  <cp:lastPrinted>2021-08-27T07:45:00Z</cp:lastPrinted>
  <dcterms:modified xsi:type="dcterms:W3CDTF">2025-05-08T03:12:53Z</dcterms:modified>
  <dc:title>第三章  项目需求</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47D45172DE864ECEB5697E1DF09013BB</vt:lpwstr>
  </property>
  <property fmtid="{D5CDD505-2E9C-101B-9397-08002B2CF9AE}" pid="4" name="KSOTemplateDocerSaveRecord">
    <vt:lpwstr>eyJoZGlkIjoiZjkyZTAzYzBiNjExM2JlNGVmZDQ0OWI4ZDE0OTQ5YWMiLCJ1c2VySWQiOiIxMzU2MTI2MzQ5In0=</vt:lpwstr>
  </property>
</Properties>
</file>