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86E48">
      <w:pPr>
        <w:spacing w:line="480" w:lineRule="auto"/>
        <w:jc w:val="center"/>
        <w:rPr>
          <w:rFonts w:ascii="宋体" w:hAnsi="宋体" w:eastAsia="宋体"/>
          <w:b/>
          <w:color w:val="auto"/>
          <w:sz w:val="52"/>
          <w:szCs w:val="52"/>
          <w:highlight w:val="none"/>
        </w:rPr>
      </w:pPr>
    </w:p>
    <w:p w14:paraId="40079CDE">
      <w:pPr>
        <w:spacing w:line="480" w:lineRule="auto"/>
        <w:jc w:val="center"/>
        <w:rPr>
          <w:rFonts w:ascii="宋体" w:hAnsi="宋体" w:eastAsia="宋体"/>
          <w:b/>
          <w:color w:val="auto"/>
          <w:sz w:val="52"/>
          <w:szCs w:val="52"/>
          <w:highlight w:val="none"/>
        </w:rPr>
      </w:pPr>
      <w:r>
        <w:rPr>
          <w:rFonts w:hint="eastAsia" w:ascii="宋体" w:hAnsi="宋体" w:eastAsia="宋体"/>
          <w:b/>
          <w:color w:val="auto"/>
          <w:sz w:val="52"/>
          <w:szCs w:val="52"/>
          <w:highlight w:val="none"/>
        </w:rPr>
        <w:t>南宁市政府采购</w:t>
      </w:r>
    </w:p>
    <w:p w14:paraId="638DE6DF">
      <w:pPr>
        <w:spacing w:line="480" w:lineRule="auto"/>
        <w:jc w:val="center"/>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竞争性磋商文件（工程类）</w:t>
      </w:r>
    </w:p>
    <w:p w14:paraId="75C47800">
      <w:pPr>
        <w:spacing w:line="480" w:lineRule="auto"/>
        <w:jc w:val="center"/>
        <w:rPr>
          <w:rFonts w:ascii="宋体" w:hAnsi="宋体" w:eastAsia="宋体"/>
          <w:b/>
          <w:color w:val="auto"/>
          <w:szCs w:val="21"/>
          <w:highlight w:val="none"/>
        </w:rPr>
      </w:pPr>
    </w:p>
    <w:p w14:paraId="025A6470">
      <w:pPr>
        <w:spacing w:line="480" w:lineRule="auto"/>
        <w:jc w:val="center"/>
        <w:rPr>
          <w:rFonts w:ascii="华文新魏" w:hAnsi="宋体" w:eastAsia="华文新魏"/>
          <w:b/>
          <w:color w:val="auto"/>
          <w:sz w:val="72"/>
          <w:szCs w:val="72"/>
          <w:highlight w:val="none"/>
        </w:rPr>
      </w:pPr>
      <w:r>
        <w:rPr>
          <w:rFonts w:hint="eastAsia" w:ascii="华文新魏" w:hAnsi="宋体" w:eastAsia="华文新魏"/>
          <w:b/>
          <w:color w:val="auto"/>
          <w:sz w:val="72"/>
          <w:szCs w:val="72"/>
          <w:highlight w:val="none"/>
        </w:rPr>
        <w:t>竞争性磋商文件</w:t>
      </w:r>
    </w:p>
    <w:p w14:paraId="7B4EAEB2">
      <w:pPr>
        <w:spacing w:line="480" w:lineRule="auto"/>
        <w:jc w:val="center"/>
        <w:rPr>
          <w:rFonts w:ascii="宋体" w:hAnsi="宋体" w:eastAsia="宋体"/>
          <w:color w:val="auto"/>
          <w:szCs w:val="21"/>
          <w:highlight w:val="none"/>
        </w:rPr>
      </w:pPr>
    </w:p>
    <w:p w14:paraId="5C141439">
      <w:pPr>
        <w:spacing w:line="480" w:lineRule="auto"/>
        <w:jc w:val="center"/>
        <w:rPr>
          <w:rFonts w:ascii="宋体" w:hAnsi="宋体" w:eastAsia="宋体"/>
          <w:color w:val="auto"/>
          <w:szCs w:val="21"/>
          <w:highlight w:val="none"/>
        </w:rPr>
      </w:pPr>
      <w:r>
        <w:rPr>
          <w:rFonts w:hint="eastAsia" w:ascii="宋体" w:hAnsi="宋体" w:eastAsia="宋体"/>
          <w:color w:val="auto"/>
          <w:szCs w:val="21"/>
          <w:highlight w:val="none"/>
        </w:rPr>
        <w:t>（全流程电子化评标）</w:t>
      </w:r>
    </w:p>
    <w:p w14:paraId="289D95F7">
      <w:pPr>
        <w:spacing w:line="480" w:lineRule="auto"/>
        <w:jc w:val="center"/>
        <w:rPr>
          <w:rFonts w:ascii="宋体" w:hAnsi="宋体" w:eastAsia="宋体"/>
          <w:b/>
          <w:color w:val="auto"/>
          <w:szCs w:val="21"/>
          <w:highlight w:val="none"/>
        </w:rPr>
      </w:pPr>
    </w:p>
    <w:p w14:paraId="64201612">
      <w:pPr>
        <w:spacing w:line="480" w:lineRule="auto"/>
        <w:jc w:val="center"/>
        <w:rPr>
          <w:rFonts w:ascii="宋体" w:hAnsi="宋体" w:eastAsia="宋体"/>
          <w:b/>
          <w:color w:val="auto"/>
          <w:szCs w:val="21"/>
          <w:highlight w:val="none"/>
        </w:rPr>
      </w:pPr>
    </w:p>
    <w:p w14:paraId="1EA7F3D2">
      <w:pPr>
        <w:spacing w:line="480" w:lineRule="auto"/>
        <w:jc w:val="center"/>
        <w:rPr>
          <w:rFonts w:ascii="宋体" w:hAnsi="宋体" w:eastAsia="宋体"/>
          <w:b/>
          <w:color w:val="auto"/>
          <w:szCs w:val="21"/>
          <w:highlight w:val="none"/>
        </w:rPr>
      </w:pPr>
    </w:p>
    <w:p w14:paraId="381D809A">
      <w:pPr>
        <w:spacing w:line="480" w:lineRule="auto"/>
        <w:ind w:firstLine="1807" w:firstLineChars="6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项目名称：</w:t>
      </w:r>
      <w:r>
        <w:rPr>
          <w:rFonts w:hint="eastAsia" w:ascii="仿宋" w:hAnsi="仿宋" w:eastAsia="仿宋"/>
          <w:b/>
          <w:color w:val="auto"/>
          <w:sz w:val="30"/>
          <w:szCs w:val="30"/>
          <w:highlight w:val="none"/>
          <w:lang w:eastAsia="zh-CN"/>
        </w:rPr>
        <w:t>刘圩镇槐里村智慧高效设施农业大棚建设</w:t>
      </w:r>
    </w:p>
    <w:p w14:paraId="266E6C79">
      <w:pPr>
        <w:spacing w:line="480" w:lineRule="auto"/>
        <w:ind w:firstLine="1807" w:firstLineChars="6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项目编号：</w:t>
      </w:r>
      <w:r>
        <w:rPr>
          <w:rFonts w:hint="eastAsia" w:ascii="仿宋" w:hAnsi="仿宋" w:eastAsia="仿宋"/>
          <w:b/>
          <w:color w:val="auto"/>
          <w:sz w:val="30"/>
          <w:szCs w:val="30"/>
          <w:highlight w:val="none"/>
          <w:lang w:eastAsia="zh-CN"/>
        </w:rPr>
        <w:t>NNZC2025-C2-030177-KWZB</w:t>
      </w:r>
    </w:p>
    <w:p w14:paraId="77AF5819">
      <w:pPr>
        <w:spacing w:line="480" w:lineRule="auto"/>
        <w:ind w:firstLine="1807" w:firstLineChars="600"/>
        <w:rPr>
          <w:rFonts w:hint="eastAsia" w:ascii="仿宋" w:hAnsi="仿宋" w:eastAsia="仿宋"/>
          <w:b/>
          <w:color w:val="auto"/>
          <w:sz w:val="30"/>
          <w:szCs w:val="30"/>
          <w:highlight w:val="none"/>
        </w:rPr>
      </w:pPr>
      <w:r>
        <w:rPr>
          <w:rFonts w:hint="eastAsia" w:ascii="仿宋" w:hAnsi="仿宋" w:eastAsia="仿宋"/>
          <w:b/>
          <w:color w:val="auto"/>
          <w:sz w:val="30"/>
          <w:szCs w:val="30"/>
          <w:highlight w:val="none"/>
        </w:rPr>
        <w:t>采购计划编号：QXZC2025-C2-00819</w:t>
      </w:r>
    </w:p>
    <w:p w14:paraId="0E6D2352">
      <w:pPr>
        <w:spacing w:line="480" w:lineRule="auto"/>
        <w:ind w:firstLine="1807" w:firstLineChars="600"/>
        <w:rPr>
          <w:rFonts w:ascii="仿宋" w:hAnsi="仿宋" w:eastAsia="仿宋"/>
          <w:b/>
          <w:color w:val="auto"/>
          <w:sz w:val="30"/>
          <w:szCs w:val="30"/>
          <w:highlight w:val="none"/>
        </w:rPr>
      </w:pPr>
      <w:r>
        <w:rPr>
          <w:rFonts w:hint="eastAsia" w:ascii="仿宋" w:hAnsi="仿宋" w:eastAsia="仿宋"/>
          <w:b/>
          <w:color w:val="auto"/>
          <w:sz w:val="30"/>
          <w:szCs w:val="30"/>
          <w:highlight w:val="none"/>
        </w:rPr>
        <w:t>项目所属区划：南宁市青秀区</w:t>
      </w:r>
    </w:p>
    <w:p w14:paraId="1C73B77A">
      <w:pPr>
        <w:spacing w:line="480" w:lineRule="auto"/>
        <w:ind w:firstLine="1807" w:firstLineChars="600"/>
        <w:rPr>
          <w:rFonts w:ascii="仿宋" w:hAnsi="仿宋" w:eastAsia="仿宋"/>
          <w:b/>
          <w:color w:val="auto"/>
          <w:sz w:val="30"/>
          <w:szCs w:val="30"/>
          <w:highlight w:val="none"/>
        </w:rPr>
      </w:pPr>
      <w:r>
        <w:rPr>
          <w:rFonts w:hint="eastAsia" w:ascii="仿宋" w:hAnsi="仿宋" w:eastAsia="仿宋"/>
          <w:b/>
          <w:color w:val="auto"/>
          <w:sz w:val="30"/>
          <w:szCs w:val="30"/>
          <w:highlight w:val="none"/>
        </w:rPr>
        <w:t>采购人：南宁市青秀区刘圩镇人民政府</w:t>
      </w:r>
    </w:p>
    <w:p w14:paraId="635B5847">
      <w:pPr>
        <w:spacing w:line="480" w:lineRule="auto"/>
        <w:ind w:firstLine="1807" w:firstLineChars="600"/>
        <w:rPr>
          <w:rFonts w:ascii="仿宋" w:hAnsi="仿宋" w:eastAsia="仿宋"/>
          <w:b/>
          <w:color w:val="auto"/>
          <w:sz w:val="30"/>
          <w:szCs w:val="30"/>
          <w:highlight w:val="none"/>
        </w:rPr>
      </w:pPr>
      <w:r>
        <w:rPr>
          <w:rFonts w:hint="eastAsia" w:ascii="仿宋" w:hAnsi="仿宋" w:eastAsia="仿宋"/>
          <w:b/>
          <w:color w:val="auto"/>
          <w:sz w:val="30"/>
          <w:szCs w:val="30"/>
          <w:highlight w:val="none"/>
        </w:rPr>
        <w:t>采购代理机构：广西科文招标有限公司</w:t>
      </w:r>
    </w:p>
    <w:p w14:paraId="19E76DA2">
      <w:pPr>
        <w:spacing w:line="480" w:lineRule="auto"/>
        <w:ind w:firstLine="1807" w:firstLineChars="600"/>
        <w:rPr>
          <w:rFonts w:ascii="仿宋" w:hAnsi="仿宋" w:eastAsia="仿宋"/>
          <w:b/>
          <w:color w:val="auto"/>
          <w:sz w:val="30"/>
          <w:szCs w:val="30"/>
          <w:highlight w:val="none"/>
        </w:rPr>
      </w:pPr>
    </w:p>
    <w:p w14:paraId="64EE0FB7">
      <w:pPr>
        <w:spacing w:line="480" w:lineRule="auto"/>
        <w:jc w:val="center"/>
        <w:rPr>
          <w:rFonts w:ascii="仿宋" w:hAnsi="仿宋" w:eastAsia="仿宋"/>
          <w:b/>
          <w:color w:val="auto"/>
          <w:sz w:val="30"/>
          <w:szCs w:val="30"/>
          <w:highlight w:val="none"/>
        </w:rPr>
        <w:sectPr>
          <w:headerReference r:id="rId3" w:type="default"/>
          <w:pgSz w:w="11906" w:h="16838"/>
          <w:pgMar w:top="1134" w:right="1134" w:bottom="1134" w:left="1134" w:header="851" w:footer="907" w:gutter="0"/>
          <w:cols w:space="425" w:num="1"/>
          <w:docGrid w:type="lines" w:linePitch="312" w:charSpace="0"/>
        </w:sectPr>
      </w:pPr>
      <w:r>
        <w:rPr>
          <w:rFonts w:hint="eastAsia" w:ascii="仿宋" w:hAnsi="仿宋" w:eastAsia="仿宋"/>
          <w:b/>
          <w:color w:val="auto"/>
          <w:sz w:val="30"/>
          <w:szCs w:val="30"/>
          <w:highlight w:val="none"/>
        </w:rPr>
        <w:t>202</w:t>
      </w:r>
      <w:r>
        <w:rPr>
          <w:rFonts w:ascii="仿宋" w:hAnsi="仿宋" w:eastAsia="仿宋"/>
          <w:b/>
          <w:color w:val="auto"/>
          <w:sz w:val="30"/>
          <w:szCs w:val="30"/>
          <w:highlight w:val="none"/>
        </w:rPr>
        <w:t>5</w:t>
      </w:r>
      <w:r>
        <w:rPr>
          <w:rFonts w:hint="eastAsia" w:ascii="仿宋" w:hAnsi="仿宋" w:eastAsia="仿宋"/>
          <w:b/>
          <w:color w:val="auto"/>
          <w:sz w:val="30"/>
          <w:szCs w:val="30"/>
          <w:highlight w:val="none"/>
        </w:rPr>
        <w:t>年</w:t>
      </w:r>
      <w:r>
        <w:rPr>
          <w:rFonts w:hint="eastAsia" w:ascii="仿宋" w:hAnsi="仿宋" w:eastAsia="仿宋"/>
          <w:b/>
          <w:color w:val="auto"/>
          <w:sz w:val="30"/>
          <w:szCs w:val="30"/>
          <w:highlight w:val="none"/>
          <w:lang w:val="en-US" w:eastAsia="zh-CN"/>
        </w:rPr>
        <w:t>11月11日</w:t>
      </w:r>
    </w:p>
    <w:p w14:paraId="512773BE">
      <w:pPr>
        <w:spacing w:line="30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目录</w:t>
      </w:r>
    </w:p>
    <w:p w14:paraId="4CCDC826">
      <w:pPr>
        <w:spacing w:line="360" w:lineRule="auto"/>
        <w:rPr>
          <w:rFonts w:ascii="宋体" w:hAnsi="宋体" w:eastAsia="宋体"/>
          <w:color w:val="auto"/>
          <w:szCs w:val="21"/>
          <w:highlight w:val="none"/>
        </w:rPr>
      </w:pPr>
    </w:p>
    <w:p w14:paraId="435A9DD8">
      <w:pPr>
        <w:pStyle w:val="12"/>
        <w:tabs>
          <w:tab w:val="right" w:leader="dot" w:pos="9638"/>
        </w:tabs>
      </w:pP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TOC \o "1-3" \u </w:instrText>
      </w:r>
      <w:r>
        <w:rPr>
          <w:rFonts w:ascii="宋体" w:hAnsi="宋体" w:eastAsia="宋体"/>
          <w:color w:val="auto"/>
          <w:szCs w:val="21"/>
          <w:highlight w:val="none"/>
        </w:rPr>
        <w:fldChar w:fldCharType="separate"/>
      </w:r>
      <w:r>
        <w:rPr>
          <w:rFonts w:hint="eastAsia" w:ascii="宋体" w:hAnsi="宋体" w:eastAsia="宋体"/>
          <w:color w:val="auto"/>
          <w:highlight w:val="none"/>
        </w:rPr>
        <w:t>第一</w:t>
      </w:r>
      <w:r>
        <w:rPr>
          <w:rFonts w:hint="eastAsia" w:ascii="宋体" w:hAnsi="宋体" w:eastAsia="宋体"/>
          <w:color w:val="auto"/>
          <w:spacing w:val="120"/>
          <w:highlight w:val="none"/>
        </w:rPr>
        <w:t>章</w:t>
      </w:r>
      <w:r>
        <w:rPr>
          <w:rFonts w:hint="eastAsia" w:ascii="宋体" w:hAnsi="宋体" w:eastAsia="宋体"/>
          <w:color w:val="auto"/>
          <w:highlight w:val="none"/>
        </w:rPr>
        <w:t>竞争性磋商公告</w:t>
      </w:r>
      <w:r>
        <w:tab/>
      </w:r>
      <w:r>
        <w:fldChar w:fldCharType="begin"/>
      </w:r>
      <w:r>
        <w:instrText xml:space="preserve"> PAGEREF _Toc3115 \h </w:instrText>
      </w:r>
      <w:r>
        <w:fldChar w:fldCharType="separate"/>
      </w:r>
      <w:r>
        <w:t>2</w:t>
      </w:r>
      <w:r>
        <w:fldChar w:fldCharType="end"/>
      </w:r>
    </w:p>
    <w:p w14:paraId="75372C51">
      <w:pPr>
        <w:pStyle w:val="12"/>
        <w:tabs>
          <w:tab w:val="right" w:leader="dot" w:pos="9638"/>
        </w:tabs>
      </w:pPr>
      <w:r>
        <w:rPr>
          <w:rFonts w:hint="eastAsia" w:ascii="宋体" w:hAnsi="宋体" w:eastAsia="宋体"/>
          <w:color w:val="auto"/>
          <w:highlight w:val="none"/>
        </w:rPr>
        <w:t>第二</w:t>
      </w:r>
      <w:r>
        <w:rPr>
          <w:rFonts w:hint="eastAsia" w:ascii="宋体" w:hAnsi="宋体" w:eastAsia="宋体"/>
          <w:color w:val="auto"/>
          <w:spacing w:val="120"/>
          <w:highlight w:val="none"/>
        </w:rPr>
        <w:t>章</w:t>
      </w:r>
      <w:r>
        <w:rPr>
          <w:rFonts w:hint="eastAsia" w:ascii="宋体" w:hAnsi="宋体" w:eastAsia="宋体"/>
          <w:color w:val="auto"/>
          <w:highlight w:val="none"/>
        </w:rPr>
        <w:t>采购需求</w:t>
      </w:r>
      <w:r>
        <w:tab/>
      </w:r>
      <w:r>
        <w:fldChar w:fldCharType="begin"/>
      </w:r>
      <w:r>
        <w:instrText xml:space="preserve"> PAGEREF _Toc31850 \h </w:instrText>
      </w:r>
      <w:r>
        <w:fldChar w:fldCharType="separate"/>
      </w:r>
      <w:r>
        <w:t>6</w:t>
      </w:r>
      <w:r>
        <w:fldChar w:fldCharType="end"/>
      </w:r>
    </w:p>
    <w:p w14:paraId="75442285">
      <w:pPr>
        <w:pStyle w:val="12"/>
        <w:tabs>
          <w:tab w:val="right" w:leader="dot" w:pos="9638"/>
        </w:tabs>
      </w:pPr>
      <w:r>
        <w:rPr>
          <w:rFonts w:hint="eastAsia"/>
          <w:color w:val="auto"/>
          <w:highlight w:val="none"/>
        </w:rPr>
        <w:t>第三</w:t>
      </w:r>
      <w:r>
        <w:rPr>
          <w:rFonts w:hint="eastAsia" w:ascii="宋体" w:hAnsi="宋体" w:eastAsia="宋体"/>
          <w:color w:val="auto"/>
          <w:spacing w:val="120"/>
          <w:highlight w:val="none"/>
        </w:rPr>
        <w:t>章</w:t>
      </w:r>
      <w:r>
        <w:rPr>
          <w:rFonts w:hint="eastAsia"/>
          <w:color w:val="auto"/>
          <w:highlight w:val="none"/>
        </w:rPr>
        <w:t>供应商须知</w:t>
      </w:r>
      <w:r>
        <w:tab/>
      </w:r>
      <w:r>
        <w:fldChar w:fldCharType="begin"/>
      </w:r>
      <w:r>
        <w:instrText xml:space="preserve"> PAGEREF _Toc10941 \h </w:instrText>
      </w:r>
      <w:r>
        <w:fldChar w:fldCharType="separate"/>
      </w:r>
      <w:r>
        <w:t>14</w:t>
      </w:r>
      <w:r>
        <w:fldChar w:fldCharType="end"/>
      </w:r>
    </w:p>
    <w:p w14:paraId="26378AED">
      <w:pPr>
        <w:pStyle w:val="13"/>
        <w:tabs>
          <w:tab w:val="right" w:leader="dot" w:pos="9638"/>
        </w:tabs>
      </w:pPr>
      <w:r>
        <w:rPr>
          <w:rFonts w:hint="eastAsia"/>
          <w:color w:val="auto"/>
          <w:highlight w:val="none"/>
        </w:rPr>
        <w:t>第一</w:t>
      </w:r>
      <w:r>
        <w:rPr>
          <w:rFonts w:hint="eastAsia"/>
          <w:color w:val="auto"/>
          <w:spacing w:val="120"/>
          <w:highlight w:val="none"/>
        </w:rPr>
        <w:t>节</w:t>
      </w:r>
      <w:r>
        <w:rPr>
          <w:rFonts w:hint="eastAsia"/>
          <w:color w:val="auto"/>
          <w:highlight w:val="none"/>
        </w:rPr>
        <w:t>供应商须知前附表</w:t>
      </w:r>
      <w:r>
        <w:tab/>
      </w:r>
      <w:r>
        <w:fldChar w:fldCharType="begin"/>
      </w:r>
      <w:r>
        <w:instrText xml:space="preserve"> PAGEREF _Toc15875 \h </w:instrText>
      </w:r>
      <w:r>
        <w:fldChar w:fldCharType="separate"/>
      </w:r>
      <w:r>
        <w:t>14</w:t>
      </w:r>
      <w:r>
        <w:fldChar w:fldCharType="end"/>
      </w:r>
    </w:p>
    <w:p w14:paraId="07B91B64">
      <w:pPr>
        <w:pStyle w:val="13"/>
        <w:tabs>
          <w:tab w:val="right" w:leader="dot" w:pos="9638"/>
        </w:tabs>
      </w:pPr>
      <w:r>
        <w:rPr>
          <w:rFonts w:hint="eastAsia"/>
          <w:color w:val="auto"/>
          <w:highlight w:val="none"/>
        </w:rPr>
        <w:t>第二</w:t>
      </w:r>
      <w:r>
        <w:rPr>
          <w:rFonts w:hint="eastAsia"/>
          <w:color w:val="auto"/>
          <w:spacing w:val="120"/>
          <w:highlight w:val="none"/>
        </w:rPr>
        <w:t>节</w:t>
      </w:r>
      <w:r>
        <w:rPr>
          <w:rFonts w:hint="eastAsia"/>
          <w:color w:val="auto"/>
          <w:highlight w:val="none"/>
        </w:rPr>
        <w:t>供应商须知正文</w:t>
      </w:r>
      <w:r>
        <w:tab/>
      </w:r>
      <w:r>
        <w:fldChar w:fldCharType="begin"/>
      </w:r>
      <w:r>
        <w:instrText xml:space="preserve"> PAGEREF _Toc5923 \h </w:instrText>
      </w:r>
      <w:r>
        <w:fldChar w:fldCharType="separate"/>
      </w:r>
      <w:r>
        <w:t>21</w:t>
      </w:r>
      <w:r>
        <w:fldChar w:fldCharType="end"/>
      </w:r>
    </w:p>
    <w:p w14:paraId="2FD370B5">
      <w:pPr>
        <w:pStyle w:val="7"/>
        <w:tabs>
          <w:tab w:val="right" w:leader="dot" w:pos="9638"/>
        </w:tabs>
      </w:pPr>
      <w:r>
        <w:rPr>
          <w:rFonts w:hint="eastAsia" w:ascii="宋体" w:hAnsi="宋体" w:eastAsia="宋体"/>
          <w:color w:val="auto"/>
          <w:szCs w:val="28"/>
          <w:highlight w:val="none"/>
        </w:rPr>
        <w:t>一、总则</w:t>
      </w:r>
      <w:r>
        <w:tab/>
      </w:r>
      <w:r>
        <w:fldChar w:fldCharType="begin"/>
      </w:r>
      <w:r>
        <w:instrText xml:space="preserve"> PAGEREF _Toc18912 \h </w:instrText>
      </w:r>
      <w:r>
        <w:fldChar w:fldCharType="separate"/>
      </w:r>
      <w:r>
        <w:t>21</w:t>
      </w:r>
      <w:r>
        <w:fldChar w:fldCharType="end"/>
      </w:r>
    </w:p>
    <w:p w14:paraId="2A0B5F94">
      <w:pPr>
        <w:pStyle w:val="7"/>
        <w:tabs>
          <w:tab w:val="right" w:leader="dot" w:pos="9638"/>
        </w:tabs>
      </w:pPr>
      <w:r>
        <w:rPr>
          <w:rFonts w:hint="eastAsia" w:ascii="宋体" w:hAnsi="宋体" w:eastAsia="宋体"/>
          <w:color w:val="auto"/>
          <w:szCs w:val="28"/>
          <w:highlight w:val="none"/>
        </w:rPr>
        <w:t>二、磋商文件</w:t>
      </w:r>
      <w:r>
        <w:tab/>
      </w:r>
      <w:r>
        <w:fldChar w:fldCharType="begin"/>
      </w:r>
      <w:r>
        <w:instrText xml:space="preserve"> PAGEREF _Toc21121 \h </w:instrText>
      </w:r>
      <w:r>
        <w:fldChar w:fldCharType="separate"/>
      </w:r>
      <w:r>
        <w:t>24</w:t>
      </w:r>
      <w:r>
        <w:fldChar w:fldCharType="end"/>
      </w:r>
    </w:p>
    <w:p w14:paraId="52F28458">
      <w:pPr>
        <w:pStyle w:val="7"/>
        <w:tabs>
          <w:tab w:val="right" w:leader="dot" w:pos="9638"/>
        </w:tabs>
      </w:pPr>
      <w:r>
        <w:rPr>
          <w:rFonts w:hint="eastAsia" w:ascii="宋体" w:hAnsi="宋体" w:eastAsia="宋体"/>
          <w:color w:val="auto"/>
          <w:szCs w:val="28"/>
          <w:highlight w:val="none"/>
        </w:rPr>
        <w:t>三、响应文件的编制</w:t>
      </w:r>
      <w:r>
        <w:tab/>
      </w:r>
      <w:r>
        <w:fldChar w:fldCharType="begin"/>
      </w:r>
      <w:r>
        <w:instrText xml:space="preserve"> PAGEREF _Toc1155 \h </w:instrText>
      </w:r>
      <w:r>
        <w:fldChar w:fldCharType="separate"/>
      </w:r>
      <w:r>
        <w:t>25</w:t>
      </w:r>
      <w:r>
        <w:fldChar w:fldCharType="end"/>
      </w:r>
    </w:p>
    <w:p w14:paraId="645A97C4">
      <w:pPr>
        <w:pStyle w:val="7"/>
        <w:tabs>
          <w:tab w:val="right" w:leader="dot" w:pos="9638"/>
        </w:tabs>
      </w:pPr>
      <w:r>
        <w:rPr>
          <w:rFonts w:hint="eastAsia" w:ascii="宋体" w:hAnsi="宋体" w:eastAsia="宋体"/>
          <w:color w:val="auto"/>
          <w:szCs w:val="28"/>
          <w:highlight w:val="none"/>
        </w:rPr>
        <w:t>四、评审及磋商</w:t>
      </w:r>
      <w:r>
        <w:tab/>
      </w:r>
      <w:r>
        <w:fldChar w:fldCharType="begin"/>
      </w:r>
      <w:r>
        <w:instrText xml:space="preserve"> PAGEREF _Toc16252 \h </w:instrText>
      </w:r>
      <w:r>
        <w:fldChar w:fldCharType="separate"/>
      </w:r>
      <w:r>
        <w:t>27</w:t>
      </w:r>
      <w:r>
        <w:fldChar w:fldCharType="end"/>
      </w:r>
    </w:p>
    <w:p w14:paraId="0DD31E22">
      <w:pPr>
        <w:pStyle w:val="7"/>
        <w:tabs>
          <w:tab w:val="right" w:leader="dot" w:pos="9638"/>
        </w:tabs>
      </w:pPr>
      <w:r>
        <w:rPr>
          <w:rFonts w:hint="eastAsia" w:ascii="宋体" w:hAnsi="宋体" w:eastAsia="宋体"/>
          <w:color w:val="auto"/>
          <w:szCs w:val="28"/>
          <w:highlight w:val="none"/>
        </w:rPr>
        <w:t>五、成交及合同</w:t>
      </w:r>
      <w:r>
        <w:tab/>
      </w:r>
      <w:r>
        <w:fldChar w:fldCharType="begin"/>
      </w:r>
      <w:r>
        <w:instrText xml:space="preserve"> PAGEREF _Toc15747 \h </w:instrText>
      </w:r>
      <w:r>
        <w:fldChar w:fldCharType="separate"/>
      </w:r>
      <w:r>
        <w:t>28</w:t>
      </w:r>
      <w:r>
        <w:fldChar w:fldCharType="end"/>
      </w:r>
    </w:p>
    <w:p w14:paraId="1BA21643">
      <w:pPr>
        <w:pStyle w:val="7"/>
        <w:tabs>
          <w:tab w:val="right" w:leader="dot" w:pos="9638"/>
        </w:tabs>
      </w:pPr>
      <w:r>
        <w:rPr>
          <w:rFonts w:hint="eastAsia" w:ascii="宋体" w:hAnsi="宋体" w:eastAsia="宋体"/>
          <w:color w:val="auto"/>
          <w:szCs w:val="28"/>
          <w:highlight w:val="none"/>
        </w:rPr>
        <w:t>六、验收</w:t>
      </w:r>
      <w:r>
        <w:tab/>
      </w:r>
      <w:r>
        <w:fldChar w:fldCharType="begin"/>
      </w:r>
      <w:r>
        <w:instrText xml:space="preserve"> PAGEREF _Toc4299 \h </w:instrText>
      </w:r>
      <w:r>
        <w:fldChar w:fldCharType="separate"/>
      </w:r>
      <w:r>
        <w:t>31</w:t>
      </w:r>
      <w:r>
        <w:fldChar w:fldCharType="end"/>
      </w:r>
    </w:p>
    <w:p w14:paraId="264B190E">
      <w:pPr>
        <w:pStyle w:val="7"/>
        <w:tabs>
          <w:tab w:val="right" w:leader="dot" w:pos="9638"/>
        </w:tabs>
      </w:pPr>
      <w:r>
        <w:rPr>
          <w:rFonts w:hint="eastAsia" w:ascii="宋体" w:hAnsi="宋体" w:eastAsia="宋体"/>
          <w:color w:val="auto"/>
          <w:szCs w:val="28"/>
          <w:highlight w:val="none"/>
        </w:rPr>
        <w:t>七、其他事项</w:t>
      </w:r>
      <w:r>
        <w:tab/>
      </w:r>
      <w:r>
        <w:fldChar w:fldCharType="begin"/>
      </w:r>
      <w:r>
        <w:instrText xml:space="preserve"> PAGEREF _Toc24650 \h </w:instrText>
      </w:r>
      <w:r>
        <w:fldChar w:fldCharType="separate"/>
      </w:r>
      <w:r>
        <w:t>31</w:t>
      </w:r>
      <w:r>
        <w:fldChar w:fldCharType="end"/>
      </w:r>
    </w:p>
    <w:p w14:paraId="016D7535">
      <w:pPr>
        <w:pStyle w:val="12"/>
        <w:tabs>
          <w:tab w:val="right" w:leader="dot" w:pos="9638"/>
        </w:tabs>
      </w:pPr>
      <w:r>
        <w:rPr>
          <w:rFonts w:hint="eastAsia"/>
          <w:color w:val="auto"/>
          <w:highlight w:val="none"/>
        </w:rPr>
        <w:t>第四</w:t>
      </w:r>
      <w:r>
        <w:rPr>
          <w:rFonts w:hint="eastAsia" w:ascii="宋体" w:hAnsi="宋体" w:eastAsia="宋体"/>
          <w:color w:val="auto"/>
          <w:spacing w:val="120"/>
          <w:highlight w:val="none"/>
        </w:rPr>
        <w:t>章</w:t>
      </w:r>
      <w:r>
        <w:rPr>
          <w:rFonts w:hint="eastAsia"/>
          <w:color w:val="auto"/>
          <w:highlight w:val="none"/>
        </w:rPr>
        <w:t>评审程序、评审方法和评审标准</w:t>
      </w:r>
      <w:r>
        <w:tab/>
      </w:r>
      <w:r>
        <w:fldChar w:fldCharType="begin"/>
      </w:r>
      <w:r>
        <w:instrText xml:space="preserve"> PAGEREF _Toc16761 \h </w:instrText>
      </w:r>
      <w:r>
        <w:fldChar w:fldCharType="separate"/>
      </w:r>
      <w:r>
        <w:t>33</w:t>
      </w:r>
      <w:r>
        <w:fldChar w:fldCharType="end"/>
      </w:r>
    </w:p>
    <w:p w14:paraId="558F1D16">
      <w:pPr>
        <w:pStyle w:val="13"/>
        <w:tabs>
          <w:tab w:val="right" w:leader="dot" w:pos="9638"/>
        </w:tabs>
      </w:pPr>
      <w:r>
        <w:rPr>
          <w:rFonts w:hint="eastAsia"/>
          <w:color w:val="auto"/>
          <w:highlight w:val="none"/>
        </w:rPr>
        <w:t>第一</w:t>
      </w:r>
      <w:r>
        <w:rPr>
          <w:rFonts w:hint="eastAsia"/>
          <w:color w:val="auto"/>
          <w:spacing w:val="120"/>
          <w:highlight w:val="none"/>
        </w:rPr>
        <w:t>节</w:t>
      </w:r>
      <w:r>
        <w:rPr>
          <w:rFonts w:hint="eastAsia"/>
          <w:color w:val="auto"/>
          <w:highlight w:val="none"/>
        </w:rPr>
        <w:t>评审程序和评审方法</w:t>
      </w:r>
      <w:r>
        <w:tab/>
      </w:r>
      <w:r>
        <w:fldChar w:fldCharType="begin"/>
      </w:r>
      <w:r>
        <w:instrText xml:space="preserve"> PAGEREF _Toc27613 \h </w:instrText>
      </w:r>
      <w:r>
        <w:fldChar w:fldCharType="separate"/>
      </w:r>
      <w:r>
        <w:t>33</w:t>
      </w:r>
      <w:r>
        <w:fldChar w:fldCharType="end"/>
      </w:r>
    </w:p>
    <w:p w14:paraId="767B752F">
      <w:pPr>
        <w:pStyle w:val="13"/>
        <w:tabs>
          <w:tab w:val="right" w:leader="dot" w:pos="9638"/>
        </w:tabs>
      </w:pPr>
      <w:r>
        <w:rPr>
          <w:rFonts w:hint="eastAsia"/>
          <w:color w:val="auto"/>
          <w:highlight w:val="none"/>
        </w:rPr>
        <w:t>第二</w:t>
      </w:r>
      <w:r>
        <w:rPr>
          <w:rFonts w:hint="eastAsia"/>
          <w:color w:val="auto"/>
          <w:spacing w:val="120"/>
          <w:highlight w:val="none"/>
        </w:rPr>
        <w:t>节</w:t>
      </w:r>
      <w:r>
        <w:rPr>
          <w:rFonts w:hint="eastAsia"/>
          <w:color w:val="auto"/>
          <w:highlight w:val="none"/>
        </w:rPr>
        <w:t>评标报告</w:t>
      </w:r>
      <w:r>
        <w:tab/>
      </w:r>
      <w:r>
        <w:fldChar w:fldCharType="begin"/>
      </w:r>
      <w:r>
        <w:instrText xml:space="preserve"> PAGEREF _Toc3087 \h </w:instrText>
      </w:r>
      <w:r>
        <w:fldChar w:fldCharType="separate"/>
      </w:r>
      <w:r>
        <w:t>43</w:t>
      </w:r>
      <w:r>
        <w:fldChar w:fldCharType="end"/>
      </w:r>
    </w:p>
    <w:p w14:paraId="5B73F3A2">
      <w:pPr>
        <w:pStyle w:val="13"/>
        <w:tabs>
          <w:tab w:val="right" w:leader="dot" w:pos="9638"/>
        </w:tabs>
      </w:pPr>
      <w:r>
        <w:rPr>
          <w:rFonts w:hint="eastAsia"/>
          <w:color w:val="auto"/>
          <w:highlight w:val="none"/>
        </w:rPr>
        <w:t>第三</w:t>
      </w:r>
      <w:r>
        <w:rPr>
          <w:rFonts w:hint="eastAsia"/>
          <w:color w:val="auto"/>
          <w:spacing w:val="120"/>
          <w:highlight w:val="none"/>
        </w:rPr>
        <w:t>节</w:t>
      </w:r>
      <w:r>
        <w:rPr>
          <w:rFonts w:hint="eastAsia"/>
          <w:color w:val="auto"/>
          <w:highlight w:val="none"/>
        </w:rPr>
        <w:t>评审过程的保密与录像</w:t>
      </w:r>
      <w:r>
        <w:tab/>
      </w:r>
      <w:r>
        <w:fldChar w:fldCharType="begin"/>
      </w:r>
      <w:r>
        <w:instrText xml:space="preserve"> PAGEREF _Toc29134 \h </w:instrText>
      </w:r>
      <w:r>
        <w:fldChar w:fldCharType="separate"/>
      </w:r>
      <w:r>
        <w:t>43</w:t>
      </w:r>
      <w:r>
        <w:fldChar w:fldCharType="end"/>
      </w:r>
    </w:p>
    <w:p w14:paraId="50C41184">
      <w:pPr>
        <w:pStyle w:val="12"/>
        <w:tabs>
          <w:tab w:val="right" w:leader="dot" w:pos="9638"/>
        </w:tabs>
      </w:pPr>
      <w:r>
        <w:rPr>
          <w:rFonts w:hint="eastAsia"/>
          <w:color w:val="auto"/>
          <w:highlight w:val="none"/>
        </w:rPr>
        <w:t>第五</w:t>
      </w:r>
      <w:r>
        <w:rPr>
          <w:rFonts w:hint="eastAsia" w:ascii="宋体" w:hAnsi="宋体" w:eastAsia="宋体"/>
          <w:color w:val="auto"/>
          <w:spacing w:val="120"/>
          <w:highlight w:val="none"/>
        </w:rPr>
        <w:t>章</w:t>
      </w:r>
      <w:r>
        <w:rPr>
          <w:rFonts w:hint="eastAsia"/>
          <w:color w:val="auto"/>
          <w:highlight w:val="none"/>
        </w:rPr>
        <w:t>响应文件格式</w:t>
      </w:r>
      <w:r>
        <w:tab/>
      </w:r>
      <w:r>
        <w:fldChar w:fldCharType="begin"/>
      </w:r>
      <w:r>
        <w:instrText xml:space="preserve"> PAGEREF _Toc16449 \h </w:instrText>
      </w:r>
      <w:r>
        <w:fldChar w:fldCharType="separate"/>
      </w:r>
      <w:r>
        <w:t>44</w:t>
      </w:r>
      <w:r>
        <w:fldChar w:fldCharType="end"/>
      </w:r>
    </w:p>
    <w:p w14:paraId="5734D202">
      <w:pPr>
        <w:pStyle w:val="13"/>
        <w:tabs>
          <w:tab w:val="right" w:leader="dot" w:pos="9638"/>
        </w:tabs>
      </w:pPr>
      <w:r>
        <w:rPr>
          <w:rFonts w:hint="eastAsia"/>
          <w:color w:val="auto"/>
          <w:highlight w:val="none"/>
        </w:rPr>
        <w:t>第一</w:t>
      </w:r>
      <w:r>
        <w:rPr>
          <w:rFonts w:hint="eastAsia"/>
          <w:color w:val="auto"/>
          <w:spacing w:val="120"/>
          <w:highlight w:val="none"/>
        </w:rPr>
        <w:t>节</w:t>
      </w:r>
      <w:r>
        <w:rPr>
          <w:rFonts w:hint="eastAsia"/>
          <w:color w:val="auto"/>
          <w:highlight w:val="none"/>
        </w:rPr>
        <w:t>封面格式</w:t>
      </w:r>
      <w:r>
        <w:tab/>
      </w:r>
      <w:r>
        <w:fldChar w:fldCharType="begin"/>
      </w:r>
      <w:r>
        <w:instrText xml:space="preserve"> PAGEREF _Toc7620 \h </w:instrText>
      </w:r>
      <w:r>
        <w:fldChar w:fldCharType="separate"/>
      </w:r>
      <w:r>
        <w:t>45</w:t>
      </w:r>
      <w:r>
        <w:fldChar w:fldCharType="end"/>
      </w:r>
    </w:p>
    <w:p w14:paraId="5894AB6A">
      <w:pPr>
        <w:pStyle w:val="13"/>
        <w:tabs>
          <w:tab w:val="right" w:leader="dot" w:pos="9638"/>
        </w:tabs>
      </w:pPr>
      <w:r>
        <w:rPr>
          <w:rFonts w:hint="eastAsia"/>
          <w:color w:val="auto"/>
          <w:highlight w:val="none"/>
        </w:rPr>
        <w:t>第二</w:t>
      </w:r>
      <w:r>
        <w:rPr>
          <w:rFonts w:hint="eastAsia"/>
          <w:color w:val="auto"/>
          <w:spacing w:val="120"/>
          <w:highlight w:val="none"/>
        </w:rPr>
        <w:t>节</w:t>
      </w:r>
      <w:r>
        <w:rPr>
          <w:rFonts w:hint="eastAsia"/>
          <w:color w:val="auto"/>
          <w:highlight w:val="none"/>
        </w:rPr>
        <w:t>资格证明文件格式</w:t>
      </w:r>
      <w:r>
        <w:tab/>
      </w:r>
      <w:r>
        <w:fldChar w:fldCharType="begin"/>
      </w:r>
      <w:r>
        <w:instrText xml:space="preserve"> PAGEREF _Toc4822 \h </w:instrText>
      </w:r>
      <w:r>
        <w:fldChar w:fldCharType="separate"/>
      </w:r>
      <w:r>
        <w:t>46</w:t>
      </w:r>
      <w:r>
        <w:fldChar w:fldCharType="end"/>
      </w:r>
    </w:p>
    <w:p w14:paraId="2D51B2B3">
      <w:pPr>
        <w:pStyle w:val="13"/>
        <w:tabs>
          <w:tab w:val="right" w:leader="dot" w:pos="9638"/>
        </w:tabs>
      </w:pPr>
      <w:r>
        <w:rPr>
          <w:rFonts w:hint="eastAsia"/>
          <w:color w:val="auto"/>
          <w:highlight w:val="none"/>
        </w:rPr>
        <w:t>第三</w:t>
      </w:r>
      <w:r>
        <w:rPr>
          <w:rFonts w:hint="eastAsia"/>
          <w:color w:val="auto"/>
          <w:spacing w:val="120"/>
          <w:highlight w:val="none"/>
        </w:rPr>
        <w:t>节</w:t>
      </w:r>
      <w:r>
        <w:rPr>
          <w:rFonts w:hint="eastAsia"/>
          <w:color w:val="auto"/>
          <w:highlight w:val="none"/>
        </w:rPr>
        <w:t>商务技术文件格式</w:t>
      </w:r>
      <w:r>
        <w:tab/>
      </w:r>
      <w:r>
        <w:fldChar w:fldCharType="begin"/>
      </w:r>
      <w:r>
        <w:instrText xml:space="preserve"> PAGEREF _Toc4671 \h </w:instrText>
      </w:r>
      <w:r>
        <w:fldChar w:fldCharType="separate"/>
      </w:r>
      <w:r>
        <w:t>59</w:t>
      </w:r>
      <w:r>
        <w:fldChar w:fldCharType="end"/>
      </w:r>
    </w:p>
    <w:p w14:paraId="2F3718D5">
      <w:pPr>
        <w:pStyle w:val="13"/>
        <w:tabs>
          <w:tab w:val="right" w:leader="dot" w:pos="9638"/>
        </w:tabs>
      </w:pPr>
      <w:r>
        <w:rPr>
          <w:rFonts w:hint="eastAsia"/>
          <w:color w:val="auto"/>
          <w:highlight w:val="none"/>
        </w:rPr>
        <w:t>第四</w:t>
      </w:r>
      <w:r>
        <w:rPr>
          <w:rFonts w:hint="eastAsia"/>
          <w:color w:val="auto"/>
          <w:spacing w:val="120"/>
          <w:highlight w:val="none"/>
        </w:rPr>
        <w:t>节</w:t>
      </w:r>
      <w:r>
        <w:rPr>
          <w:rFonts w:hint="eastAsia"/>
          <w:color w:val="auto"/>
          <w:highlight w:val="none"/>
        </w:rPr>
        <w:t>报价文件格式</w:t>
      </w:r>
      <w:r>
        <w:tab/>
      </w:r>
      <w:r>
        <w:fldChar w:fldCharType="begin"/>
      </w:r>
      <w:r>
        <w:instrText xml:space="preserve"> PAGEREF _Toc8664 \h </w:instrText>
      </w:r>
      <w:r>
        <w:fldChar w:fldCharType="separate"/>
      </w:r>
      <w:r>
        <w:t>74</w:t>
      </w:r>
      <w:r>
        <w:fldChar w:fldCharType="end"/>
      </w:r>
    </w:p>
    <w:p w14:paraId="14A430B4">
      <w:pPr>
        <w:pStyle w:val="13"/>
        <w:tabs>
          <w:tab w:val="right" w:leader="dot" w:pos="9638"/>
        </w:tabs>
      </w:pPr>
      <w:r>
        <w:rPr>
          <w:rFonts w:hint="eastAsia"/>
          <w:color w:val="auto"/>
          <w:highlight w:val="none"/>
        </w:rPr>
        <w:t>第五</w:t>
      </w:r>
      <w:r>
        <w:rPr>
          <w:rFonts w:hint="eastAsia"/>
          <w:color w:val="auto"/>
          <w:spacing w:val="120"/>
          <w:highlight w:val="none"/>
        </w:rPr>
        <w:t>节</w:t>
      </w:r>
      <w:r>
        <w:rPr>
          <w:rFonts w:hint="eastAsia"/>
          <w:color w:val="auto"/>
          <w:highlight w:val="none"/>
        </w:rPr>
        <w:t>其他文书、文件格式</w:t>
      </w:r>
      <w:r>
        <w:tab/>
      </w:r>
      <w:r>
        <w:fldChar w:fldCharType="begin"/>
      </w:r>
      <w:r>
        <w:instrText xml:space="preserve"> PAGEREF _Toc3201 \h </w:instrText>
      </w:r>
      <w:r>
        <w:fldChar w:fldCharType="separate"/>
      </w:r>
      <w:r>
        <w:t>79</w:t>
      </w:r>
      <w:r>
        <w:fldChar w:fldCharType="end"/>
      </w:r>
    </w:p>
    <w:p w14:paraId="4E297EC9">
      <w:pPr>
        <w:pStyle w:val="12"/>
        <w:tabs>
          <w:tab w:val="right" w:leader="dot" w:pos="9638"/>
        </w:tabs>
      </w:pPr>
      <w:r>
        <w:rPr>
          <w:rFonts w:hint="eastAsia"/>
          <w:color w:val="auto"/>
          <w:highlight w:val="none"/>
        </w:rPr>
        <w:t>第六</w:t>
      </w:r>
      <w:r>
        <w:rPr>
          <w:rFonts w:hint="eastAsia" w:ascii="宋体" w:hAnsi="宋体" w:eastAsia="宋体"/>
          <w:color w:val="auto"/>
          <w:spacing w:val="120"/>
          <w:highlight w:val="none"/>
        </w:rPr>
        <w:t>章</w:t>
      </w:r>
      <w:r>
        <w:rPr>
          <w:rFonts w:hint="eastAsia"/>
          <w:color w:val="auto"/>
          <w:highlight w:val="none"/>
        </w:rPr>
        <w:t>合同文本</w:t>
      </w:r>
      <w:r>
        <w:tab/>
      </w:r>
      <w:r>
        <w:fldChar w:fldCharType="begin"/>
      </w:r>
      <w:r>
        <w:instrText xml:space="preserve"> PAGEREF _Toc30553 \h </w:instrText>
      </w:r>
      <w:r>
        <w:fldChar w:fldCharType="separate"/>
      </w:r>
      <w:r>
        <w:t>80</w:t>
      </w:r>
      <w:r>
        <w:fldChar w:fldCharType="end"/>
      </w:r>
    </w:p>
    <w:p w14:paraId="0100B7F6">
      <w:pPr>
        <w:pStyle w:val="12"/>
        <w:tabs>
          <w:tab w:val="right" w:leader="dot" w:pos="9638"/>
        </w:tabs>
      </w:pPr>
      <w:r>
        <w:rPr>
          <w:rFonts w:hint="eastAsia"/>
          <w:color w:val="auto"/>
          <w:highlight w:val="none"/>
        </w:rPr>
        <w:t>第七</w:t>
      </w:r>
      <w:r>
        <w:rPr>
          <w:rFonts w:hint="eastAsia" w:ascii="宋体" w:hAnsi="宋体" w:eastAsia="宋体"/>
          <w:color w:val="auto"/>
          <w:spacing w:val="120"/>
          <w:highlight w:val="none"/>
        </w:rPr>
        <w:t>章</w:t>
      </w:r>
      <w:r>
        <w:rPr>
          <w:rFonts w:hint="eastAsia"/>
          <w:color w:val="auto"/>
          <w:highlight w:val="none"/>
        </w:rPr>
        <w:t>质疑、投诉材料格式</w:t>
      </w:r>
      <w:r>
        <w:tab/>
      </w:r>
      <w:r>
        <w:fldChar w:fldCharType="begin"/>
      </w:r>
      <w:r>
        <w:instrText xml:space="preserve"> PAGEREF _Toc4295 \h </w:instrText>
      </w:r>
      <w:r>
        <w:fldChar w:fldCharType="separate"/>
      </w:r>
      <w:r>
        <w:t>114</w:t>
      </w:r>
      <w:r>
        <w:fldChar w:fldCharType="end"/>
      </w:r>
    </w:p>
    <w:p w14:paraId="0E4B47A9">
      <w:pPr>
        <w:spacing w:line="360" w:lineRule="auto"/>
        <w:rPr>
          <w:rFonts w:ascii="宋体" w:hAnsi="宋体" w:eastAsia="宋体"/>
          <w:color w:val="auto"/>
          <w:szCs w:val="21"/>
          <w:highlight w:val="none"/>
        </w:rPr>
      </w:pPr>
      <w:r>
        <w:rPr>
          <w:rFonts w:ascii="宋体" w:hAnsi="宋体" w:eastAsia="宋体"/>
          <w:color w:val="auto"/>
          <w:szCs w:val="21"/>
          <w:highlight w:val="none"/>
        </w:rPr>
        <w:fldChar w:fldCharType="end"/>
      </w:r>
    </w:p>
    <w:p w14:paraId="18DCA7F0">
      <w:pPr>
        <w:spacing w:line="300" w:lineRule="auto"/>
        <w:rPr>
          <w:rFonts w:ascii="宋体" w:hAnsi="宋体" w:eastAsia="宋体"/>
          <w:color w:val="auto"/>
          <w:szCs w:val="21"/>
          <w:highlight w:val="none"/>
        </w:rPr>
        <w:sectPr>
          <w:footerReference r:id="rId4" w:type="default"/>
          <w:pgSz w:w="11906" w:h="16838"/>
          <w:pgMar w:top="1134" w:right="1134" w:bottom="1134" w:left="1134" w:header="851" w:footer="680" w:gutter="0"/>
          <w:pgNumType w:fmt="decimal" w:start="1"/>
          <w:cols w:space="425" w:num="1"/>
          <w:docGrid w:type="lines" w:linePitch="312" w:charSpace="0"/>
        </w:sectPr>
      </w:pPr>
      <w:bookmarkStart w:id="24" w:name="_GoBack"/>
      <w:bookmarkEnd w:id="24"/>
    </w:p>
    <w:p w14:paraId="6BB24BA4">
      <w:pPr>
        <w:pStyle w:val="2"/>
        <w:jc w:val="center"/>
        <w:rPr>
          <w:rFonts w:ascii="宋体" w:hAnsi="宋体" w:eastAsia="宋体"/>
          <w:color w:val="auto"/>
          <w:highlight w:val="none"/>
        </w:rPr>
      </w:pPr>
      <w:bookmarkStart w:id="0" w:name="_Toc3115"/>
      <w:r>
        <w:rPr>
          <w:rFonts w:hint="eastAsia" w:ascii="宋体" w:hAnsi="宋体" w:eastAsia="宋体"/>
          <w:color w:val="auto"/>
          <w:highlight w:val="none"/>
        </w:rPr>
        <w:t>第一</w:t>
      </w:r>
      <w:r>
        <w:rPr>
          <w:rFonts w:hint="eastAsia" w:ascii="宋体" w:hAnsi="宋体" w:eastAsia="宋体"/>
          <w:color w:val="auto"/>
          <w:spacing w:val="120"/>
          <w:highlight w:val="none"/>
        </w:rPr>
        <w:t>章</w:t>
      </w:r>
      <w:r>
        <w:rPr>
          <w:rFonts w:hint="eastAsia" w:ascii="宋体" w:hAnsi="宋体" w:eastAsia="宋体"/>
          <w:color w:val="auto"/>
          <w:highlight w:val="none"/>
        </w:rPr>
        <w:t>竞争性磋商公告</w:t>
      </w:r>
      <w:bookmarkEnd w:id="0"/>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24A1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AEDECA1">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项目概况</w:t>
            </w:r>
          </w:p>
          <w:p w14:paraId="1695F1DF">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u w:val="single"/>
                <w:lang w:eastAsia="zh-CN"/>
              </w:rPr>
              <w:t>刘圩镇槐里村智慧高效设施农业大棚建设</w:t>
            </w:r>
            <w:r>
              <w:rPr>
                <w:rFonts w:hint="eastAsia" w:ascii="宋体" w:hAnsi="宋体" w:eastAsia="宋体"/>
                <w:color w:val="auto"/>
                <w:szCs w:val="21"/>
                <w:highlight w:val="none"/>
              </w:rPr>
              <w:t>采购项目的潜在供应商应在广西政府采购云平台（https：//www.gcy.zfcg.gxzf.gov.cn）获取（下载）竞争性磋商文件，并于</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u w:val="single"/>
              </w:rPr>
              <w:t>年</w:t>
            </w:r>
            <w:r>
              <w:rPr>
                <w:rFonts w:hint="eastAsia" w:ascii="宋体" w:hAnsi="宋体" w:eastAsia="宋体"/>
                <w:color w:val="auto"/>
                <w:szCs w:val="21"/>
                <w:highlight w:val="none"/>
                <w:u w:val="single"/>
                <w:lang w:val="en-US" w:eastAsia="zh-CN"/>
              </w:rPr>
              <w:t>11月24日</w:t>
            </w:r>
            <w:r>
              <w:rPr>
                <w:rFonts w:hint="eastAsia" w:ascii="宋体" w:hAnsi="宋体" w:eastAsia="宋体"/>
                <w:color w:val="auto"/>
                <w:szCs w:val="21"/>
                <w:highlight w:val="none"/>
                <w:u w:val="single"/>
              </w:rPr>
              <w:t>09点</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0分</w:t>
            </w:r>
            <w:r>
              <w:rPr>
                <w:rFonts w:hint="eastAsia" w:ascii="宋体" w:hAnsi="宋体" w:eastAsia="宋体"/>
                <w:color w:val="auto"/>
                <w:szCs w:val="21"/>
                <w:highlight w:val="none"/>
              </w:rPr>
              <w:t>（北京时间）前提交响应文件。</w:t>
            </w:r>
          </w:p>
        </w:tc>
      </w:tr>
    </w:tbl>
    <w:p w14:paraId="03DC7964">
      <w:pPr>
        <w:spacing w:line="360" w:lineRule="auto"/>
        <w:ind w:firstLine="420" w:firstLineChars="200"/>
        <w:rPr>
          <w:rFonts w:ascii="宋体" w:hAnsi="宋体" w:eastAsia="宋体"/>
          <w:color w:val="auto"/>
          <w:szCs w:val="21"/>
          <w:highlight w:val="none"/>
        </w:rPr>
      </w:pPr>
    </w:p>
    <w:p w14:paraId="426F60A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一、项目基本情况</w:t>
      </w:r>
    </w:p>
    <w:p w14:paraId="2C9DC22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1.项目编号：</w:t>
      </w:r>
      <w:r>
        <w:rPr>
          <w:rFonts w:hint="eastAsia" w:ascii="宋体" w:hAnsi="宋体" w:eastAsia="宋体"/>
          <w:color w:val="auto"/>
          <w:szCs w:val="21"/>
          <w:highlight w:val="none"/>
          <w:lang w:eastAsia="zh-CN"/>
        </w:rPr>
        <w:t>NNZC2025-C2-030177-KWZB</w:t>
      </w:r>
    </w:p>
    <w:p w14:paraId="32055B9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2.项目名称：</w:t>
      </w:r>
      <w:r>
        <w:rPr>
          <w:rFonts w:hint="eastAsia" w:ascii="宋体" w:hAnsi="宋体" w:eastAsia="宋体"/>
          <w:color w:val="auto"/>
          <w:szCs w:val="21"/>
          <w:highlight w:val="none"/>
          <w:lang w:eastAsia="zh-CN"/>
        </w:rPr>
        <w:t>刘圩镇槐里村智慧高效设施农业大棚建设</w:t>
      </w:r>
    </w:p>
    <w:p w14:paraId="3610598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3.采购方式：竞争性磋商</w:t>
      </w:r>
    </w:p>
    <w:p w14:paraId="079E1F37">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4.预算金额：</w:t>
      </w:r>
      <w:r>
        <w:rPr>
          <w:rFonts w:hint="eastAsia" w:ascii="宋体" w:hAnsi="宋体" w:eastAsia="宋体"/>
          <w:color w:val="auto"/>
          <w:szCs w:val="21"/>
          <w:highlight w:val="none"/>
          <w:lang w:eastAsia="zh-CN"/>
        </w:rPr>
        <w:t>2660149.96元</w:t>
      </w:r>
    </w:p>
    <w:p w14:paraId="51D9A6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5.最高限价（如有）：同预算金额</w:t>
      </w:r>
    </w:p>
    <w:p w14:paraId="423730D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6.采购需求：</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76"/>
        <w:gridCol w:w="727"/>
        <w:gridCol w:w="727"/>
        <w:gridCol w:w="5496"/>
      </w:tblGrid>
      <w:tr w14:paraId="4A26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5" w:type="pct"/>
            <w:vAlign w:val="center"/>
          </w:tcPr>
          <w:p w14:paraId="3758784D">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105" w:type="pct"/>
            <w:vAlign w:val="center"/>
          </w:tcPr>
          <w:p w14:paraId="64615310">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标的的名称</w:t>
            </w:r>
          </w:p>
        </w:tc>
        <w:tc>
          <w:tcPr>
            <w:tcW w:w="369" w:type="pct"/>
            <w:vAlign w:val="center"/>
          </w:tcPr>
          <w:p w14:paraId="3BEC27F8">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单位</w:t>
            </w:r>
          </w:p>
        </w:tc>
        <w:tc>
          <w:tcPr>
            <w:tcW w:w="369" w:type="pct"/>
            <w:vAlign w:val="center"/>
          </w:tcPr>
          <w:p w14:paraId="1C914DCF">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2791" w:type="pct"/>
            <w:vAlign w:val="center"/>
          </w:tcPr>
          <w:p w14:paraId="71F91F09">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简要技术需求</w:t>
            </w:r>
          </w:p>
        </w:tc>
      </w:tr>
      <w:tr w14:paraId="3A7F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pct"/>
            <w:vAlign w:val="center"/>
          </w:tcPr>
          <w:p w14:paraId="22A13FCB">
            <w:pPr>
              <w:spacing w:line="300" w:lineRule="auto"/>
              <w:jc w:val="center"/>
              <w:rPr>
                <w:rFonts w:ascii="宋体" w:hAnsi="宋体" w:eastAsia="宋体"/>
                <w:color w:val="auto"/>
                <w:szCs w:val="21"/>
                <w:highlight w:val="none"/>
              </w:rPr>
            </w:pPr>
            <w:r>
              <w:rPr>
                <w:rFonts w:ascii="宋体" w:hAnsi="宋体" w:eastAsia="宋体"/>
                <w:color w:val="auto"/>
                <w:szCs w:val="21"/>
                <w:highlight w:val="none"/>
              </w:rPr>
              <w:t>1</w:t>
            </w:r>
          </w:p>
        </w:tc>
        <w:tc>
          <w:tcPr>
            <w:tcW w:w="1105" w:type="pct"/>
            <w:vAlign w:val="center"/>
          </w:tcPr>
          <w:p w14:paraId="09C210D1">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刘圩镇槐里村智慧高效设施农业大棚建设</w:t>
            </w:r>
          </w:p>
        </w:tc>
        <w:tc>
          <w:tcPr>
            <w:tcW w:w="369" w:type="pct"/>
            <w:vAlign w:val="center"/>
          </w:tcPr>
          <w:p w14:paraId="4BAF9DA6">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项</w:t>
            </w:r>
          </w:p>
        </w:tc>
        <w:tc>
          <w:tcPr>
            <w:tcW w:w="369" w:type="pct"/>
            <w:vAlign w:val="center"/>
          </w:tcPr>
          <w:p w14:paraId="0DC61EE4">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2791" w:type="pct"/>
            <w:vAlign w:val="center"/>
          </w:tcPr>
          <w:p w14:paraId="64D31C9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lang w:eastAsia="zh-CN"/>
              </w:rPr>
              <w:t>本工程为刘圩镇槐里村智慧高效设施农业大棚建设工程。包含1#棚和2#棚，总建筑面积5920㎡。1#棚建筑面积：3360㎡,地上1层，主要包含士建工程、结构工程、安装工程等。2#棚建筑</w:t>
            </w:r>
            <w:r>
              <w:rPr>
                <w:rFonts w:hint="eastAsia" w:ascii="宋体" w:hAnsi="宋体" w:eastAsia="宋体"/>
                <w:color w:val="auto"/>
                <w:szCs w:val="21"/>
                <w:highlight w:val="none"/>
                <w:lang w:val="en-US" w:eastAsia="zh-CN"/>
              </w:rPr>
              <w:t>面积</w:t>
            </w:r>
            <w:r>
              <w:rPr>
                <w:rFonts w:hint="eastAsia" w:ascii="宋体" w:hAnsi="宋体" w:eastAsia="宋体"/>
                <w:color w:val="auto"/>
                <w:szCs w:val="21"/>
                <w:highlight w:val="none"/>
                <w:lang w:eastAsia="zh-CN"/>
              </w:rPr>
              <w:t>:2560㎡,单层,主要包含</w:t>
            </w:r>
            <w:r>
              <w:rPr>
                <w:rFonts w:hint="eastAsia" w:ascii="宋体" w:hAnsi="宋体" w:eastAsia="宋体"/>
                <w:color w:val="auto"/>
                <w:szCs w:val="21"/>
                <w:highlight w:val="none"/>
                <w:lang w:val="en-US" w:eastAsia="zh-CN"/>
              </w:rPr>
              <w:t>土建</w:t>
            </w:r>
            <w:r>
              <w:rPr>
                <w:rFonts w:hint="eastAsia" w:ascii="宋体" w:hAnsi="宋体" w:eastAsia="宋体"/>
                <w:color w:val="auto"/>
                <w:szCs w:val="21"/>
                <w:highlight w:val="none"/>
                <w:lang w:eastAsia="zh-CN"/>
              </w:rPr>
              <w:t>工程、钢结构工程、安装工程。以及室外围栏工程、室外路灯工程、室外总平土石方工程、室外主水管输水系统工程及泵房工程</w:t>
            </w:r>
            <w:r>
              <w:rPr>
                <w:rFonts w:hint="eastAsia" w:ascii="宋体" w:hAnsi="宋体" w:eastAsia="宋体"/>
                <w:color w:val="auto"/>
                <w:szCs w:val="21"/>
                <w:highlight w:val="none"/>
              </w:rPr>
              <w:t>。具体详见采购文件附件。</w:t>
            </w:r>
          </w:p>
        </w:tc>
      </w:tr>
    </w:tbl>
    <w:p w14:paraId="5CAEAE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7.合同履行期限：具体详见采购文件“第二章采购需求”商务条款。</w:t>
      </w:r>
    </w:p>
    <w:p w14:paraId="65CCA03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本项目是否接受联合体：□是，</w:t>
      </w: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否</w:t>
      </w:r>
    </w:p>
    <w:p w14:paraId="2ADB1D6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二、供应商的资格条件</w:t>
      </w:r>
    </w:p>
    <w:p w14:paraId="43B2C34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1.满足《中华人民共和国政府采购法》第二十二条规定；</w:t>
      </w:r>
    </w:p>
    <w:p w14:paraId="6E95A2A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2.落实政府采购政策需满足的资格要求：</w:t>
      </w:r>
    </w:p>
    <w:p w14:paraId="1D53C22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sym w:font="Wingdings 2" w:char="F052"/>
      </w:r>
      <w:r>
        <w:rPr>
          <w:rFonts w:hint="eastAsia" w:ascii="宋体" w:hAnsi="宋体" w:eastAsia="宋体"/>
          <w:color w:val="auto"/>
          <w:szCs w:val="21"/>
          <w:highlight w:val="none"/>
        </w:rPr>
        <w:t>专门面向中小企业采购的项目（供应商应为中小微企业或监狱企业或残疾人福利性单位）</w:t>
      </w:r>
    </w:p>
    <w:p w14:paraId="64A368F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□非专门面向中小企业采购的项目；</w:t>
      </w:r>
    </w:p>
    <w:p w14:paraId="38EFB7D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3.本项目的特定资格要求：供应商具备建筑工程施工总承包三级（含三级）以上资质，同时</w:t>
      </w:r>
      <w:r>
        <w:rPr>
          <w:rFonts w:hint="eastAsia" w:ascii="宋体" w:hAnsi="宋体" w:eastAsia="宋体"/>
          <w:color w:val="auto"/>
          <w:szCs w:val="21"/>
          <w:highlight w:val="none"/>
          <w:lang w:val="en-US" w:eastAsia="zh-CN"/>
        </w:rPr>
        <w:t>具备有效的</w:t>
      </w:r>
      <w:r>
        <w:rPr>
          <w:rFonts w:hint="eastAsia" w:ascii="宋体" w:hAnsi="宋体" w:eastAsia="宋体"/>
          <w:color w:val="auto"/>
          <w:szCs w:val="21"/>
          <w:highlight w:val="none"/>
        </w:rPr>
        <w:t>省级及以上建设行政主管部门颁发的安全生产许可证，并在人员、设备、资金等方面具备相应的施工能力；</w:t>
      </w:r>
    </w:p>
    <w:p w14:paraId="6D058F4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4.本项目的特定条件：拟投入本项目的项目经理须具备建筑工程专业二级（含二级）以上注册建造师资格，并持有省级或省级以上行政主管部门或其授权部门（机构）颁发的B类安全生产考核合格证书。本项目不接受有在建、已中标未开工或已列为其他项目中标候选人第一名的建造师作为项目经理</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拟投入本项目的专职安全员具备有效的安全生产考核合格证书（C类）。</w:t>
      </w:r>
    </w:p>
    <w:p w14:paraId="43C45C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586B4F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32AFB6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三、获取竞争性磋商文件</w:t>
      </w:r>
    </w:p>
    <w:p w14:paraId="0F43DC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时间：自公告发布之日起。</w:t>
      </w:r>
    </w:p>
    <w:p w14:paraId="23EDBEA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0EAC45A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售价：0元。</w:t>
      </w:r>
    </w:p>
    <w:p w14:paraId="05770CC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四、响应文件提交</w:t>
      </w:r>
    </w:p>
    <w:p w14:paraId="43D6F2B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1、首次响应文件提交截止时间（北京时间）：</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u w:val="single"/>
        </w:rPr>
        <w:t>年</w:t>
      </w:r>
      <w:r>
        <w:rPr>
          <w:rFonts w:hint="eastAsia" w:ascii="宋体" w:hAnsi="宋体" w:eastAsia="宋体"/>
          <w:color w:val="auto"/>
          <w:szCs w:val="21"/>
          <w:highlight w:val="none"/>
          <w:u w:val="single"/>
          <w:lang w:val="en-US" w:eastAsia="zh-CN"/>
        </w:rPr>
        <w:t>11月24日</w:t>
      </w:r>
      <w:r>
        <w:rPr>
          <w:rFonts w:hint="eastAsia" w:ascii="宋体" w:hAnsi="宋体" w:eastAsia="宋体"/>
          <w:color w:val="auto"/>
          <w:szCs w:val="21"/>
          <w:highlight w:val="none"/>
          <w:u w:val="single"/>
        </w:rPr>
        <w:t>09点</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0分（从磋商文件开始发出之日起至供应商提交首次响应文件截止之日止不得少于10日）</w:t>
      </w:r>
    </w:p>
    <w:p w14:paraId="73BDA58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2、首次响应文件提交地点：</w:t>
      </w:r>
    </w:p>
    <w:p w14:paraId="4D85AE9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b/>
          <w:color w:val="auto"/>
          <w:szCs w:val="21"/>
          <w:highlight w:val="none"/>
        </w:rPr>
        <w:t>供应商在“广西政府采购云平台”提交电子版响应文件时，请填写参加远程采购活动经办人联系方式</w:t>
      </w:r>
      <w:r>
        <w:rPr>
          <w:rFonts w:hint="eastAsia" w:ascii="宋体" w:hAnsi="宋体" w:eastAsia="宋体"/>
          <w:color w:val="auto"/>
          <w:szCs w:val="21"/>
          <w:highlight w:val="none"/>
        </w:rPr>
        <w:t>，电子响应文件具体操作流程详见本公告附件2。</w:t>
      </w:r>
    </w:p>
    <w:p w14:paraId="0E6212F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765E2A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978704F">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01E09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3、CA证书在线解密：首次响应文件开启时，</w:t>
      </w:r>
      <w:r>
        <w:rPr>
          <w:rFonts w:hint="eastAsia" w:ascii="宋体" w:hAnsi="宋体" w:eastAsia="宋体"/>
          <w:b/>
          <w:color w:val="auto"/>
          <w:szCs w:val="21"/>
          <w:highlight w:val="none"/>
        </w:rPr>
        <w:t>须要供应商携带制作响应文件时用来加密的有效数字证书（CA认证）</w:t>
      </w:r>
      <w:r>
        <w:rPr>
          <w:rFonts w:hint="eastAsia" w:ascii="宋体" w:hAnsi="宋体" w:eastAsia="宋体"/>
          <w:color w:val="auto"/>
          <w:szCs w:val="21"/>
          <w:highlight w:val="none"/>
        </w:rPr>
        <w:t>登录“广西政府采购云平台”电子开标大厅现场按规定时间对加密的响应文件进行解密，</w:t>
      </w:r>
      <w:r>
        <w:rPr>
          <w:rFonts w:hint="eastAsia" w:ascii="宋体" w:hAnsi="宋体" w:eastAsia="宋体"/>
          <w:color w:val="auto"/>
          <w:szCs w:val="21"/>
          <w:highlight w:val="none"/>
          <w:u w:val="single"/>
        </w:rPr>
        <w:t>未能按要求进行解密的，由此产生的后果由竞标人自行承担。</w:t>
      </w:r>
    </w:p>
    <w:p w14:paraId="640BEB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4、供应商需要在具备有摄像头及语音功能且互联网网络状况良好的电脑登录“广西政府采购云平台”远程开标大厅参与本次磋商，否则后果自负。</w:t>
      </w:r>
    </w:p>
    <w:p w14:paraId="7A390FE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五、开启（首次响应文件开启时间）</w:t>
      </w:r>
    </w:p>
    <w:p w14:paraId="447E8D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1.时间（北京时间）：</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u w:val="single"/>
        </w:rPr>
        <w:t>年</w:t>
      </w:r>
      <w:r>
        <w:rPr>
          <w:rFonts w:hint="eastAsia" w:ascii="宋体" w:hAnsi="宋体" w:eastAsia="宋体"/>
          <w:color w:val="auto"/>
          <w:szCs w:val="21"/>
          <w:highlight w:val="none"/>
          <w:u w:val="single"/>
          <w:lang w:val="en-US" w:eastAsia="zh-CN"/>
        </w:rPr>
        <w:t>11月24日</w:t>
      </w:r>
      <w:r>
        <w:rPr>
          <w:rFonts w:hint="eastAsia" w:ascii="宋体" w:hAnsi="宋体" w:eastAsia="宋体"/>
          <w:color w:val="auto"/>
          <w:szCs w:val="21"/>
          <w:highlight w:val="none"/>
          <w:u w:val="single"/>
        </w:rPr>
        <w:t>09点</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0分</w:t>
      </w:r>
      <w:r>
        <w:rPr>
          <w:rFonts w:hint="eastAsia" w:ascii="宋体" w:hAnsi="宋体" w:eastAsia="宋体"/>
          <w:color w:val="auto"/>
          <w:szCs w:val="21"/>
          <w:highlight w:val="none"/>
        </w:rPr>
        <w:t>后</w:t>
      </w:r>
    </w:p>
    <w:p w14:paraId="717F782E">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2.地点：</w:t>
      </w:r>
      <w:r>
        <w:rPr>
          <w:rFonts w:hint="eastAsia" w:ascii="宋体" w:hAnsi="宋体" w:eastAsia="宋体"/>
          <w:color w:val="auto"/>
          <w:szCs w:val="21"/>
          <w:highlight w:val="none"/>
          <w:u w:val="single"/>
        </w:rPr>
        <w:t>“广西政府采购云平台”远程开标大厅</w:t>
      </w:r>
    </w:p>
    <w:p w14:paraId="4032BA9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六、公告期限</w:t>
      </w:r>
    </w:p>
    <w:p w14:paraId="3D3A095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自本公告发布之日起</w:t>
      </w:r>
      <w:r>
        <w:rPr>
          <w:rFonts w:ascii="宋体" w:hAnsi="宋体" w:eastAsia="宋体"/>
          <w:color w:val="auto"/>
          <w:szCs w:val="21"/>
          <w:highlight w:val="none"/>
        </w:rPr>
        <w:t>5</w:t>
      </w:r>
      <w:r>
        <w:rPr>
          <w:rFonts w:hint="eastAsia" w:ascii="宋体" w:hAnsi="宋体" w:eastAsia="宋体"/>
          <w:color w:val="auto"/>
          <w:szCs w:val="21"/>
          <w:highlight w:val="none"/>
        </w:rPr>
        <w:t>个工作日。</w:t>
      </w:r>
    </w:p>
    <w:p w14:paraId="2729AE7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七、其他补充事宜</w:t>
      </w:r>
    </w:p>
    <w:p w14:paraId="7A1D480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1.磋商保证金：本项目不收取磋商保证金。</w:t>
      </w:r>
    </w:p>
    <w:p w14:paraId="1FA5216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2.采购意向公开链接：</w:t>
      </w:r>
    </w:p>
    <w:p w14:paraId="1DF42048">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u w:val="single"/>
        </w:rPr>
        <w:t>http://www.ccgp-guangxi.gov.cn/site/detail?categoryCode=reformColumn&amp;parentId=66601&amp;articleId=kXWI2SCXXYiK8Du9dAfvPg==</w:t>
      </w:r>
    </w:p>
    <w:p w14:paraId="121F880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3.网上查询地址</w:t>
      </w:r>
    </w:p>
    <w:p w14:paraId="2FC4D99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中国政府采购网（</w:t>
      </w:r>
      <w:r>
        <w:rPr>
          <w:rFonts w:hint="eastAsia" w:ascii="宋体" w:hAnsi="宋体" w:eastAsia="宋体"/>
          <w:color w:val="auto"/>
          <w:szCs w:val="21"/>
          <w:highlight w:val="none"/>
          <w:u w:val="single"/>
        </w:rPr>
        <w:t>www.ccgp.gov.cn</w:t>
      </w:r>
      <w:r>
        <w:rPr>
          <w:rFonts w:hint="eastAsia" w:ascii="宋体" w:hAnsi="宋体" w:eastAsia="宋体"/>
          <w:color w:val="auto"/>
          <w:szCs w:val="21"/>
          <w:highlight w:val="none"/>
        </w:rPr>
        <w:t>）、广西壮族自治区政府采购网（</w:t>
      </w:r>
      <w:r>
        <w:rPr>
          <w:rFonts w:ascii="宋体" w:hAnsi="宋体" w:eastAsia="宋体"/>
          <w:color w:val="auto"/>
          <w:szCs w:val="21"/>
          <w:highlight w:val="none"/>
          <w:u w:val="single"/>
        </w:rPr>
        <w:t>http：//www.ccgp-guangxi.gov.cn/</w:t>
      </w:r>
      <w:r>
        <w:rPr>
          <w:rFonts w:hint="eastAsia" w:ascii="宋体" w:hAnsi="宋体" w:eastAsia="宋体"/>
          <w:color w:val="auto"/>
          <w:szCs w:val="21"/>
          <w:highlight w:val="none"/>
        </w:rPr>
        <w:t>）、全国公共资源交易平台（广西•南宁）（</w:t>
      </w:r>
      <w:r>
        <w:rPr>
          <w:rFonts w:ascii="宋体" w:hAnsi="宋体" w:eastAsia="宋体"/>
          <w:color w:val="auto"/>
          <w:szCs w:val="21"/>
          <w:highlight w:val="none"/>
          <w:u w:val="single"/>
        </w:rPr>
        <w:t>http：//ggzy.jgswj.gxzf.gov.cn/nnggzy/</w:t>
      </w:r>
      <w:r>
        <w:rPr>
          <w:rFonts w:hint="eastAsia" w:ascii="宋体" w:hAnsi="宋体" w:eastAsia="宋体"/>
          <w:color w:val="auto"/>
          <w:szCs w:val="21"/>
          <w:highlight w:val="none"/>
        </w:rPr>
        <w:t>）</w:t>
      </w:r>
    </w:p>
    <w:p w14:paraId="381670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4.本项目需要落实的政府采购政策</w:t>
      </w:r>
    </w:p>
    <w:p w14:paraId="1F0964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（1）《政府采购促进中小企业发展暂行办法》（财库[2020]46号）。</w:t>
      </w:r>
    </w:p>
    <w:p w14:paraId="36533E4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（2）《关于我区政府采购支持监狱企业发展有关问题的通知》（桂财采[2015]24号）。</w:t>
      </w:r>
    </w:p>
    <w:p w14:paraId="1BE5890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（3）《三部门联合发布关于促进残疾人就业政府采购政策的通知》（财库〔2017〕141号）。</w:t>
      </w:r>
    </w:p>
    <w:p w14:paraId="127C4DD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2D8970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w:t>
      </w:r>
      <w:r>
        <w:rPr>
          <w:rFonts w:ascii="宋体" w:hAnsi="宋体" w:eastAsia="宋体"/>
          <w:color w:val="auto"/>
          <w:szCs w:val="21"/>
          <w:highlight w:val="none"/>
        </w:rPr>
        <w:t>.</w:t>
      </w:r>
      <w:r>
        <w:rPr>
          <w:rFonts w:hint="eastAsia" w:ascii="宋体" w:hAnsi="宋体" w:eastAsia="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w:t>
      </w:r>
      <w:r>
        <w:rPr>
          <w:rFonts w:ascii="宋体" w:hAnsi="宋体" w:eastAsia="宋体"/>
          <w:color w:val="auto"/>
          <w:szCs w:val="21"/>
          <w:highlight w:val="none"/>
        </w:rPr>
        <w:t>95763</w:t>
      </w:r>
      <w:r>
        <w:rPr>
          <w:rFonts w:hint="eastAsia" w:ascii="宋体" w:hAnsi="宋体" w:eastAsia="宋体"/>
          <w:color w:val="auto"/>
          <w:szCs w:val="21"/>
          <w:highlight w:val="none"/>
        </w:rPr>
        <w:t>获取热线服务帮助。</w:t>
      </w:r>
    </w:p>
    <w:p w14:paraId="1FED5F8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八、凡对本次采购提出询问，请按以下方式联系</w:t>
      </w:r>
    </w:p>
    <w:p w14:paraId="47C57EE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1.采购人信息</w:t>
      </w:r>
    </w:p>
    <w:p w14:paraId="4DB5B199">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名称：</w:t>
      </w:r>
      <w:r>
        <w:rPr>
          <w:rFonts w:hint="eastAsia" w:ascii="宋体" w:hAnsi="宋体" w:eastAsia="宋体"/>
          <w:color w:val="auto"/>
          <w:szCs w:val="21"/>
          <w:highlight w:val="none"/>
          <w:u w:val="single"/>
        </w:rPr>
        <w:t>南宁市青秀区刘圩镇人民政府</w:t>
      </w:r>
    </w:p>
    <w:p w14:paraId="1E22178B">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地址：</w:t>
      </w:r>
      <w:r>
        <w:rPr>
          <w:rFonts w:hint="eastAsia" w:ascii="宋体" w:hAnsi="宋体" w:eastAsia="宋体"/>
          <w:color w:val="auto"/>
          <w:szCs w:val="21"/>
          <w:highlight w:val="none"/>
          <w:u w:val="single"/>
        </w:rPr>
        <w:t>广西壮族自治区南宁市青秀区刘圩镇新兴街24号</w:t>
      </w:r>
    </w:p>
    <w:p w14:paraId="6C12291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u w:val="single"/>
          <w:lang w:val="en-US" w:eastAsia="zh-CN"/>
        </w:rPr>
        <w:t>赵</w:t>
      </w:r>
      <w:r>
        <w:rPr>
          <w:rFonts w:hint="eastAsia" w:ascii="宋体" w:hAnsi="宋体" w:eastAsia="宋体"/>
          <w:color w:val="auto"/>
          <w:szCs w:val="21"/>
          <w:highlight w:val="none"/>
          <w:u w:val="single"/>
        </w:rPr>
        <w:t>主任</w:t>
      </w:r>
    </w:p>
    <w:p w14:paraId="57073DFE">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联系电话：</w:t>
      </w:r>
      <w:r>
        <w:rPr>
          <w:rFonts w:ascii="宋体" w:hAnsi="宋体" w:eastAsia="宋体"/>
          <w:color w:val="auto"/>
          <w:szCs w:val="21"/>
          <w:highlight w:val="none"/>
          <w:u w:val="single"/>
        </w:rPr>
        <w:t>0771-4302016</w:t>
      </w:r>
    </w:p>
    <w:p w14:paraId="690C1C9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2.采购代理机构信息</w:t>
      </w:r>
    </w:p>
    <w:p w14:paraId="6159D1C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名称：</w:t>
      </w:r>
      <w:r>
        <w:rPr>
          <w:rFonts w:hint="eastAsia" w:ascii="宋体" w:hAnsi="宋体" w:eastAsia="宋体"/>
          <w:color w:val="auto"/>
          <w:szCs w:val="21"/>
          <w:highlight w:val="none"/>
          <w:u w:val="single"/>
        </w:rPr>
        <w:t>广西科文招标有限公司</w:t>
      </w:r>
    </w:p>
    <w:p w14:paraId="62F33EB0">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地址：</w:t>
      </w:r>
      <w:r>
        <w:rPr>
          <w:rFonts w:hint="eastAsia" w:ascii="宋体" w:hAnsi="宋体" w:eastAsia="宋体"/>
          <w:color w:val="auto"/>
          <w:szCs w:val="21"/>
          <w:highlight w:val="none"/>
          <w:u w:val="single"/>
        </w:rPr>
        <w:t>广西壮族自治区南宁市民族大道141号中鼎万象东方D区五层</w:t>
      </w:r>
    </w:p>
    <w:p w14:paraId="577798C3">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u w:val="single"/>
        </w:rPr>
        <w:t>梁栩菁</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u w:val="single"/>
        </w:rPr>
        <w:t>刘忠虎</w:t>
      </w:r>
    </w:p>
    <w:p w14:paraId="2DB90124">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rPr>
        <w:t>0771-</w:t>
      </w:r>
      <w:r>
        <w:rPr>
          <w:rFonts w:ascii="宋体" w:hAnsi="宋体" w:eastAsia="宋体"/>
          <w:color w:val="auto"/>
          <w:szCs w:val="21"/>
          <w:highlight w:val="none"/>
          <w:u w:val="single"/>
        </w:rPr>
        <w:t>2023835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2023</w:t>
      </w:r>
      <w:r>
        <w:rPr>
          <w:rFonts w:ascii="宋体" w:hAnsi="宋体" w:eastAsia="宋体"/>
          <w:color w:val="auto"/>
          <w:szCs w:val="21"/>
          <w:highlight w:val="none"/>
          <w:u w:val="single"/>
        </w:rPr>
        <w:t>903</w:t>
      </w:r>
    </w:p>
    <w:p w14:paraId="4379D6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3.项目联系方式</w:t>
      </w:r>
    </w:p>
    <w:p w14:paraId="31C797B8">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u w:val="single"/>
        </w:rPr>
        <w:t>梁栩菁</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u w:val="single"/>
        </w:rPr>
        <w:t>刘忠虎</w:t>
      </w:r>
    </w:p>
    <w:p w14:paraId="2524CA6D">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电话：</w:t>
      </w:r>
      <w:r>
        <w:rPr>
          <w:rFonts w:hint="eastAsia" w:ascii="宋体" w:hAnsi="宋体" w:eastAsia="宋体"/>
          <w:color w:val="auto"/>
          <w:szCs w:val="21"/>
          <w:highlight w:val="none"/>
          <w:u w:val="single"/>
        </w:rPr>
        <w:t>0771-</w:t>
      </w:r>
      <w:r>
        <w:rPr>
          <w:rFonts w:ascii="宋体" w:hAnsi="宋体" w:eastAsia="宋体"/>
          <w:color w:val="auto"/>
          <w:szCs w:val="21"/>
          <w:highlight w:val="none"/>
          <w:u w:val="single"/>
        </w:rPr>
        <w:t>2023835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2023</w:t>
      </w:r>
      <w:r>
        <w:rPr>
          <w:rFonts w:ascii="宋体" w:hAnsi="宋体" w:eastAsia="宋体"/>
          <w:color w:val="auto"/>
          <w:szCs w:val="21"/>
          <w:highlight w:val="none"/>
          <w:u w:val="single"/>
        </w:rPr>
        <w:t>903</w:t>
      </w:r>
    </w:p>
    <w:p w14:paraId="37FE7594">
      <w:pPr>
        <w:spacing w:line="360" w:lineRule="auto"/>
        <w:ind w:firstLine="420" w:firstLineChars="200"/>
        <w:rPr>
          <w:rFonts w:ascii="宋体" w:hAnsi="宋体" w:eastAsia="宋体"/>
          <w:color w:val="auto"/>
          <w:szCs w:val="21"/>
          <w:highlight w:val="none"/>
        </w:rPr>
      </w:pPr>
    </w:p>
    <w:p w14:paraId="0123E7E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附件：1.CA证书申请方式及操作指南下载地址（登陆</w:t>
      </w:r>
      <w:r>
        <w:rPr>
          <w:rFonts w:ascii="宋体" w:hAnsi="宋体" w:eastAsia="宋体"/>
          <w:color w:val="auto"/>
          <w:szCs w:val="21"/>
          <w:highlight w:val="none"/>
          <w:u w:val="single"/>
        </w:rPr>
        <w:t>http：//nncz.nanning.gov.cn/</w:t>
      </w:r>
      <w:r>
        <w:rPr>
          <w:rFonts w:hint="eastAsia" w:ascii="宋体" w:hAnsi="宋体" w:eastAsia="宋体"/>
          <w:color w:val="auto"/>
          <w:szCs w:val="21"/>
          <w:highlight w:val="none"/>
        </w:rPr>
        <w:t>（南宁市财政局官网）-业务专题-政府采购监督管理-资料下载-“广西政采云西部CA办理方式”或“南宁市政采云CA证书办理操作指南”）</w:t>
      </w:r>
    </w:p>
    <w:p w14:paraId="78ECE88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2.电子投标文件制作与投送教程（在此网址下载：</w:t>
      </w:r>
      <w:r>
        <w:rPr>
          <w:rFonts w:ascii="宋体" w:hAnsi="宋体" w:eastAsia="宋体"/>
          <w:color w:val="auto"/>
          <w:szCs w:val="21"/>
          <w:highlight w:val="none"/>
          <w:u w:val="single"/>
        </w:rPr>
        <w:t>http：//nncz.nanning.gov.cn/</w:t>
      </w:r>
      <w:r>
        <w:rPr>
          <w:rFonts w:hint="eastAsia" w:ascii="宋体" w:hAnsi="宋体" w:eastAsia="宋体"/>
          <w:color w:val="auto"/>
          <w:szCs w:val="21"/>
          <w:highlight w:val="none"/>
        </w:rPr>
        <w:t>（南宁市财政局官网）-业务专题-政府采购监督管理-资料下载-南宁市政府采购项目全流程电子化交易操作指南）</w:t>
      </w:r>
    </w:p>
    <w:p w14:paraId="6B09DCC7">
      <w:pPr>
        <w:spacing w:line="360" w:lineRule="auto"/>
        <w:ind w:firstLine="420" w:firstLineChars="200"/>
        <w:rPr>
          <w:rFonts w:ascii="宋体" w:hAnsi="宋体" w:eastAsia="宋体"/>
          <w:color w:val="auto"/>
          <w:szCs w:val="21"/>
          <w:highlight w:val="none"/>
        </w:rPr>
      </w:pPr>
    </w:p>
    <w:p w14:paraId="5E906D35">
      <w:pPr>
        <w:spacing w:line="360" w:lineRule="auto"/>
        <w:ind w:firstLine="420" w:firstLineChars="200"/>
        <w:jc w:val="right"/>
        <w:rPr>
          <w:rFonts w:ascii="宋体" w:hAnsi="宋体" w:eastAsia="宋体"/>
          <w:color w:val="auto"/>
          <w:szCs w:val="21"/>
          <w:highlight w:val="none"/>
          <w:u w:val="single"/>
        </w:rPr>
      </w:pPr>
      <w:r>
        <w:rPr>
          <w:rFonts w:hint="eastAsia" w:ascii="宋体" w:hAnsi="宋体" w:eastAsia="宋体"/>
          <w:color w:val="auto"/>
          <w:szCs w:val="21"/>
          <w:highlight w:val="none"/>
          <w:u w:val="single"/>
        </w:rPr>
        <w:t>广西科文招标有限公司</w:t>
      </w:r>
    </w:p>
    <w:p w14:paraId="08D31F38">
      <w:pPr>
        <w:wordWrap w:val="0"/>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11</w:t>
      </w:r>
      <w:r>
        <w:rPr>
          <w:rFonts w:hint="eastAsia" w:ascii="宋体" w:hAnsi="宋体" w:eastAsia="宋体"/>
          <w:color w:val="auto"/>
          <w:szCs w:val="21"/>
          <w:highlight w:val="none"/>
          <w:u w:val="none"/>
          <w:lang w:val="en-US" w:eastAsia="zh-CN"/>
        </w:rPr>
        <w:t>月</w:t>
      </w:r>
      <w:r>
        <w:rPr>
          <w:rFonts w:hint="eastAsia" w:ascii="宋体" w:hAnsi="宋体" w:eastAsia="宋体"/>
          <w:color w:val="auto"/>
          <w:szCs w:val="21"/>
          <w:highlight w:val="none"/>
          <w:u w:val="single"/>
          <w:lang w:val="en-US" w:eastAsia="zh-CN"/>
        </w:rPr>
        <w:t>11</w:t>
      </w:r>
      <w:r>
        <w:rPr>
          <w:rFonts w:hint="eastAsia" w:ascii="宋体" w:hAnsi="宋体" w:eastAsia="宋体"/>
          <w:color w:val="auto"/>
          <w:szCs w:val="21"/>
          <w:highlight w:val="none"/>
          <w:u w:val="none"/>
          <w:lang w:val="en-US" w:eastAsia="zh-CN"/>
        </w:rPr>
        <w:t>日</w:t>
      </w:r>
    </w:p>
    <w:p w14:paraId="07EFD281">
      <w:pPr>
        <w:spacing w:line="360" w:lineRule="auto"/>
        <w:ind w:firstLine="420" w:firstLineChars="200"/>
        <w:jc w:val="right"/>
        <w:rPr>
          <w:rFonts w:ascii="宋体" w:hAnsi="宋体" w:eastAsia="宋体"/>
          <w:color w:val="auto"/>
          <w:szCs w:val="21"/>
          <w:highlight w:val="none"/>
        </w:rPr>
        <w:sectPr>
          <w:footerReference r:id="rId5" w:type="default"/>
          <w:pgSz w:w="11906" w:h="16838"/>
          <w:pgMar w:top="1134" w:right="1134" w:bottom="1134" w:left="1134" w:header="851" w:footer="680" w:gutter="0"/>
          <w:pgNumType w:fmt="decimal"/>
          <w:cols w:space="425" w:num="1"/>
          <w:docGrid w:type="lines" w:linePitch="312" w:charSpace="0"/>
        </w:sectPr>
      </w:pPr>
    </w:p>
    <w:p w14:paraId="052E6DFD">
      <w:pPr>
        <w:pStyle w:val="2"/>
        <w:jc w:val="center"/>
        <w:rPr>
          <w:rFonts w:ascii="宋体" w:hAnsi="宋体" w:eastAsia="宋体"/>
          <w:color w:val="auto"/>
          <w:highlight w:val="none"/>
        </w:rPr>
      </w:pPr>
      <w:bookmarkStart w:id="1" w:name="_Toc31850"/>
      <w:r>
        <w:rPr>
          <w:rFonts w:hint="eastAsia" w:ascii="宋体" w:hAnsi="宋体" w:eastAsia="宋体"/>
          <w:color w:val="auto"/>
          <w:highlight w:val="none"/>
        </w:rPr>
        <w:t>第二</w:t>
      </w:r>
      <w:r>
        <w:rPr>
          <w:rFonts w:hint="eastAsia" w:ascii="宋体" w:hAnsi="宋体" w:eastAsia="宋体"/>
          <w:color w:val="auto"/>
          <w:spacing w:val="120"/>
          <w:highlight w:val="none"/>
        </w:rPr>
        <w:t>章</w:t>
      </w:r>
      <w:r>
        <w:rPr>
          <w:rFonts w:hint="eastAsia" w:ascii="宋体" w:hAnsi="宋体" w:eastAsia="宋体"/>
          <w:color w:val="auto"/>
          <w:highlight w:val="none"/>
        </w:rPr>
        <w:t>采购需求</w:t>
      </w:r>
      <w:bookmarkEnd w:id="1"/>
    </w:p>
    <w:p w14:paraId="59EDC0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说明：</w:t>
      </w:r>
    </w:p>
    <w:p w14:paraId="1901AC1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1.为落实政府采购政策需满足的要求（根据项目实际情况填写内容）</w:t>
      </w:r>
    </w:p>
    <w:p w14:paraId="66E8194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（1）本竞争性磋商采购文件所称中小企业必须符合《政府采购促进中小企业发展管理办法》（财库〔2020〕46号）的规定。</w:t>
      </w:r>
    </w:p>
    <w:p w14:paraId="413085E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6E67068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62D1EC8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5A6FD5E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2.“实质性要求”是指采购需求中带“▲”的条款或者不能负偏离的条款或者已经指明不满足按响应文件作无效处理的条款。</w:t>
      </w:r>
    </w:p>
    <w:p w14:paraId="293C661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3.不需要供应商对采购需求响应为具体数值的，此采购需求的数值后将以◆号标注。</w:t>
      </w:r>
    </w:p>
    <w:p w14:paraId="6D7E496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4.如竞标人竞标产品存在侵犯他人的知识产权或者专利成果行为的，应承担相应法律责任。</w:t>
      </w:r>
    </w:p>
    <w:p w14:paraId="585D8DDE">
      <w:pPr>
        <w:spacing w:line="360" w:lineRule="auto"/>
        <w:ind w:firstLine="420" w:firstLineChars="200"/>
        <w:rPr>
          <w:rFonts w:hint="eastAsia" w:ascii="宋体" w:hAnsi="宋体" w:eastAsia="宋体"/>
          <w:color w:val="auto"/>
          <w:szCs w:val="21"/>
          <w:highlight w:val="none"/>
        </w:rPr>
      </w:pPr>
    </w:p>
    <w:p w14:paraId="645E859C">
      <w:pPr>
        <w:spacing w:line="360" w:lineRule="auto"/>
        <w:ind w:firstLine="420" w:firstLineChars="200"/>
        <w:rPr>
          <w:rFonts w:hint="eastAsia" w:ascii="宋体" w:hAnsi="宋体" w:eastAsia="宋体"/>
          <w:color w:val="auto"/>
          <w:szCs w:val="21"/>
          <w:highlight w:val="none"/>
        </w:rPr>
      </w:pPr>
    </w:p>
    <w:p w14:paraId="7EC75223">
      <w:pPr>
        <w:rPr>
          <w:rFonts w:hint="eastAsia" w:ascii="宋体" w:hAnsi="宋体" w:eastAsia="宋体"/>
          <w:color w:val="auto"/>
          <w:szCs w:val="21"/>
          <w:highlight w:val="none"/>
        </w:rPr>
      </w:pPr>
      <w:r>
        <w:rPr>
          <w:rFonts w:hint="eastAsia" w:ascii="宋体" w:hAnsi="宋体" w:eastAsia="宋体"/>
          <w:color w:val="auto"/>
          <w:szCs w:val="21"/>
          <w:highlight w:val="none"/>
        </w:rPr>
        <w:br w:type="page"/>
      </w:r>
    </w:p>
    <w:p w14:paraId="7C6395A0">
      <w:pPr>
        <w:spacing w:line="360" w:lineRule="auto"/>
        <w:ind w:firstLine="420" w:firstLineChars="200"/>
        <w:rPr>
          <w:rFonts w:hint="eastAsia" w:ascii="宋体" w:hAnsi="宋体" w:eastAsia="宋体"/>
          <w:color w:val="auto"/>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55"/>
        <w:gridCol w:w="1019"/>
        <w:gridCol w:w="494"/>
        <w:gridCol w:w="643"/>
        <w:gridCol w:w="4488"/>
        <w:gridCol w:w="698"/>
        <w:gridCol w:w="1367"/>
      </w:tblGrid>
      <w:tr w14:paraId="099C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34" w:type="dxa"/>
            <w:gridSpan w:val="8"/>
            <w:vAlign w:val="center"/>
          </w:tcPr>
          <w:p w14:paraId="3EC85845">
            <w:pPr>
              <w:spacing w:line="30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采购需求一览表</w:t>
            </w:r>
          </w:p>
        </w:tc>
      </w:tr>
      <w:tr w14:paraId="1C8F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restart"/>
            <w:vAlign w:val="center"/>
          </w:tcPr>
          <w:p w14:paraId="445E108D">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采购清单及技术参数</w:t>
            </w:r>
          </w:p>
        </w:tc>
        <w:tc>
          <w:tcPr>
            <w:tcW w:w="555" w:type="dxa"/>
            <w:vAlign w:val="center"/>
          </w:tcPr>
          <w:p w14:paraId="08C27DE9">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019" w:type="dxa"/>
            <w:vAlign w:val="center"/>
          </w:tcPr>
          <w:p w14:paraId="18CC4090">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标的的名称</w:t>
            </w:r>
          </w:p>
        </w:tc>
        <w:tc>
          <w:tcPr>
            <w:tcW w:w="494" w:type="dxa"/>
            <w:vAlign w:val="center"/>
          </w:tcPr>
          <w:p w14:paraId="4CF81A6B">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单位</w:t>
            </w:r>
          </w:p>
        </w:tc>
        <w:tc>
          <w:tcPr>
            <w:tcW w:w="643" w:type="dxa"/>
            <w:vAlign w:val="center"/>
          </w:tcPr>
          <w:p w14:paraId="71F7FCA7">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4488" w:type="dxa"/>
            <w:vAlign w:val="center"/>
          </w:tcPr>
          <w:p w14:paraId="4E2CF429">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技术参数</w:t>
            </w:r>
          </w:p>
        </w:tc>
        <w:tc>
          <w:tcPr>
            <w:tcW w:w="698" w:type="dxa"/>
            <w:vAlign w:val="center"/>
          </w:tcPr>
          <w:p w14:paraId="017B2375">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预算合计（元）</w:t>
            </w:r>
          </w:p>
        </w:tc>
        <w:tc>
          <w:tcPr>
            <w:tcW w:w="1367" w:type="dxa"/>
            <w:vAlign w:val="center"/>
          </w:tcPr>
          <w:p w14:paraId="1F5DB667">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中小企业划分标准所属行业名称（行业名称及划分见本章附件</w:t>
            </w:r>
            <w:r>
              <w:rPr>
                <w:rFonts w:ascii="宋体" w:hAnsi="宋体" w:eastAsia="宋体"/>
                <w:color w:val="auto"/>
                <w:szCs w:val="21"/>
                <w:highlight w:val="none"/>
              </w:rPr>
              <w:t>2</w:t>
            </w:r>
            <w:r>
              <w:rPr>
                <w:rFonts w:hint="eastAsia" w:ascii="宋体" w:hAnsi="宋体" w:eastAsia="宋体"/>
                <w:color w:val="auto"/>
                <w:szCs w:val="21"/>
                <w:highlight w:val="none"/>
              </w:rPr>
              <w:t>）</w:t>
            </w:r>
          </w:p>
        </w:tc>
      </w:tr>
      <w:tr w14:paraId="7026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continue"/>
            <w:vAlign w:val="center"/>
          </w:tcPr>
          <w:p w14:paraId="54198D61">
            <w:pPr>
              <w:spacing w:line="300" w:lineRule="auto"/>
              <w:jc w:val="center"/>
              <w:rPr>
                <w:rFonts w:ascii="宋体" w:hAnsi="宋体" w:eastAsia="宋体"/>
                <w:color w:val="auto"/>
                <w:szCs w:val="21"/>
                <w:highlight w:val="none"/>
              </w:rPr>
            </w:pPr>
          </w:p>
        </w:tc>
        <w:tc>
          <w:tcPr>
            <w:tcW w:w="555" w:type="dxa"/>
            <w:vAlign w:val="center"/>
          </w:tcPr>
          <w:p w14:paraId="7DC3CC11">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019" w:type="dxa"/>
            <w:vAlign w:val="center"/>
          </w:tcPr>
          <w:p w14:paraId="06ADE865">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刘圩镇槐里村智慧高效设施农业大棚建设</w:t>
            </w:r>
          </w:p>
        </w:tc>
        <w:tc>
          <w:tcPr>
            <w:tcW w:w="494" w:type="dxa"/>
            <w:vAlign w:val="center"/>
          </w:tcPr>
          <w:p w14:paraId="6ED44520">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项</w:t>
            </w:r>
          </w:p>
        </w:tc>
        <w:tc>
          <w:tcPr>
            <w:tcW w:w="643" w:type="dxa"/>
            <w:vAlign w:val="center"/>
          </w:tcPr>
          <w:p w14:paraId="63E4A0BE">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4488" w:type="dxa"/>
            <w:vAlign w:val="center"/>
          </w:tcPr>
          <w:p w14:paraId="00C1993A">
            <w:pPr>
              <w:spacing w:line="30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一、项目基本情况：</w:t>
            </w:r>
          </w:p>
          <w:p w14:paraId="3668DBBA">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1.项目名称：</w:t>
            </w:r>
            <w:r>
              <w:rPr>
                <w:rFonts w:hint="eastAsia" w:ascii="宋体" w:hAnsi="宋体" w:eastAsia="宋体"/>
                <w:color w:val="auto"/>
                <w:szCs w:val="21"/>
                <w:highlight w:val="none"/>
                <w:lang w:eastAsia="zh-CN"/>
              </w:rPr>
              <w:t>刘圩镇槐里村智慧高效设施农业大棚建设</w:t>
            </w:r>
            <w:r>
              <w:rPr>
                <w:rFonts w:hint="eastAsia" w:ascii="宋体" w:hAnsi="宋体" w:eastAsia="宋体"/>
                <w:color w:val="auto"/>
                <w:szCs w:val="21"/>
                <w:highlight w:val="none"/>
              </w:rPr>
              <w:t>。</w:t>
            </w:r>
          </w:p>
          <w:p w14:paraId="2510FB2E">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工程概况</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本工程为刘圩镇槐里村智慧高效设施农业大棚建设工程。包含1#棚和2#棚，总建筑面积5920㎡。1#棚建筑面积：3360㎡,地上1层，主要包含士建工程、结构工程、安装工程等。2#棚建筑面积:2560㎡,单层,主要包含土建工程、钢结构工程、安装工程。以及室外围栏工程、室外路灯工程、室外总平土石方工程、室外主水管输水系统工程及泵房工程。具体详见采购文件附件。</w:t>
            </w:r>
          </w:p>
          <w:p w14:paraId="2816C3C9">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3.工程建设地点：南宁市青秀区刘圩镇</w:t>
            </w:r>
            <w:r>
              <w:rPr>
                <w:rFonts w:hint="eastAsia" w:ascii="宋体" w:hAnsi="宋体" w:eastAsia="宋体"/>
                <w:color w:val="auto"/>
                <w:szCs w:val="21"/>
                <w:highlight w:val="none"/>
                <w:lang w:eastAsia="zh-CN"/>
              </w:rPr>
              <w:t>槐里村</w:t>
            </w:r>
            <w:r>
              <w:rPr>
                <w:rFonts w:hint="eastAsia" w:ascii="宋体" w:hAnsi="宋体" w:eastAsia="宋体"/>
                <w:color w:val="auto"/>
                <w:szCs w:val="21"/>
                <w:highlight w:val="none"/>
              </w:rPr>
              <w:t>。</w:t>
            </w:r>
          </w:p>
          <w:p w14:paraId="393D3B73">
            <w:pPr>
              <w:spacing w:line="30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二、发包方式</w:t>
            </w:r>
            <w:r>
              <w:rPr>
                <w:rFonts w:hint="eastAsia" w:ascii="宋体" w:hAnsi="宋体" w:eastAsia="宋体"/>
                <w:color w:val="auto"/>
                <w:szCs w:val="21"/>
                <w:highlight w:val="none"/>
              </w:rPr>
              <w:t>：包工包料（固定单价合同）</w:t>
            </w:r>
          </w:p>
          <w:p w14:paraId="53DDF85F">
            <w:pPr>
              <w:spacing w:line="30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三、质量要求</w:t>
            </w:r>
            <w:r>
              <w:rPr>
                <w:rFonts w:hint="eastAsia" w:ascii="宋体" w:hAnsi="宋体" w:eastAsia="宋体"/>
                <w:color w:val="auto"/>
                <w:szCs w:val="21"/>
                <w:highlight w:val="none"/>
              </w:rPr>
              <w:t>：符合设计图纸及国家、建设部现行有关标准、规范要求，工程质量达到国家及行业现行施工验收规范合格标准。</w:t>
            </w:r>
          </w:p>
          <w:p w14:paraId="0528335D">
            <w:pPr>
              <w:spacing w:line="30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lang w:val="en-US" w:eastAsia="zh-CN"/>
              </w:rPr>
              <w:t>四</w:t>
            </w:r>
            <w:r>
              <w:rPr>
                <w:rFonts w:hint="eastAsia" w:ascii="宋体" w:hAnsi="宋体" w:eastAsia="宋体"/>
                <w:b/>
                <w:color w:val="auto"/>
                <w:szCs w:val="21"/>
                <w:highlight w:val="none"/>
              </w:rPr>
              <w:t>、其他要求</w:t>
            </w:r>
            <w:r>
              <w:rPr>
                <w:rFonts w:hint="eastAsia" w:ascii="宋体" w:hAnsi="宋体" w:eastAsia="宋体"/>
                <w:color w:val="auto"/>
                <w:szCs w:val="21"/>
                <w:highlight w:val="none"/>
              </w:rPr>
              <w:t>：具体详见采购文件附件。</w:t>
            </w:r>
          </w:p>
        </w:tc>
        <w:tc>
          <w:tcPr>
            <w:tcW w:w="698" w:type="dxa"/>
            <w:vAlign w:val="center"/>
          </w:tcPr>
          <w:p w14:paraId="27C8F731">
            <w:pPr>
              <w:spacing w:line="300" w:lineRule="auto"/>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2660149.96</w:t>
            </w:r>
          </w:p>
        </w:tc>
        <w:tc>
          <w:tcPr>
            <w:tcW w:w="1367" w:type="dxa"/>
            <w:vAlign w:val="center"/>
          </w:tcPr>
          <w:p w14:paraId="4FB8F204">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建筑业</w:t>
            </w:r>
          </w:p>
        </w:tc>
      </w:tr>
      <w:tr w14:paraId="5DF2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5" w:type="dxa"/>
            <w:gridSpan w:val="2"/>
            <w:vAlign w:val="center"/>
          </w:tcPr>
          <w:p w14:paraId="2F7BC7CA">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商务条款</w:t>
            </w:r>
          </w:p>
        </w:tc>
        <w:tc>
          <w:tcPr>
            <w:tcW w:w="8709" w:type="dxa"/>
            <w:gridSpan w:val="6"/>
            <w:vAlign w:val="center"/>
          </w:tcPr>
          <w:p w14:paraId="42609884">
            <w:pPr>
              <w:spacing w:line="30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一、合同签订期：自成交通知书发出之日起25日内</w:t>
            </w:r>
            <w:r>
              <w:rPr>
                <w:rFonts w:hint="eastAsia" w:ascii="宋体" w:hAnsi="宋体" w:eastAsia="宋体"/>
                <w:color w:val="auto"/>
                <w:szCs w:val="21"/>
                <w:highlight w:val="none"/>
                <w:lang w:eastAsia="zh-CN"/>
              </w:rPr>
              <w:t>。</w:t>
            </w:r>
          </w:p>
          <w:p w14:paraId="312A9351">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二、工期：</w:t>
            </w:r>
            <w:r>
              <w:rPr>
                <w:rFonts w:hint="eastAsia" w:ascii="宋体" w:hAnsi="宋体" w:eastAsia="宋体"/>
                <w:color w:val="auto"/>
                <w:szCs w:val="21"/>
                <w:highlight w:val="none"/>
                <w:lang w:val="en-US" w:eastAsia="zh-CN"/>
              </w:rPr>
              <w:t>120</w:t>
            </w:r>
            <w:r>
              <w:rPr>
                <w:rFonts w:hint="eastAsia" w:ascii="宋体" w:hAnsi="宋体" w:eastAsia="宋体"/>
                <w:color w:val="auto"/>
                <w:szCs w:val="21"/>
                <w:highlight w:val="none"/>
              </w:rPr>
              <w:t>日历天。</w:t>
            </w:r>
          </w:p>
          <w:p w14:paraId="13ECA00F">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、验收标准、规范：</w:t>
            </w:r>
          </w:p>
          <w:p w14:paraId="51ABBE03">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1、根据采购单位的要求和国家现行的有关的工程建设标准、技术规范及强制性标准条文等有关规范标准。</w:t>
            </w:r>
          </w:p>
          <w:p w14:paraId="585230D0">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2、验收过程中所产生的一切费用均由成交人承担。报价时应考虑相关费用。</w:t>
            </w:r>
          </w:p>
          <w:p w14:paraId="3A5E281F">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、售后服务要求</w:t>
            </w:r>
          </w:p>
          <w:p w14:paraId="19FE8B86">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1、工程质量保修要求：质量保修期从工程实际竣工验收通过之日算起。</w:t>
            </w:r>
          </w:p>
          <w:p w14:paraId="31DC47A3">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（1）双方根据国家有关规定，按法律、行政法规或国家关于工程质量保修的有关规定，对交付发包人使用的工程质量保修期为工程实际竣工验收通过之日起2年，应承担质量保修责任。</w:t>
            </w:r>
          </w:p>
          <w:p w14:paraId="001711AC">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（2）在没有明文规定下，参照建设工程质量保修条例，双方协商为设计文件规定的该工程的合理使用年限内保修。</w:t>
            </w:r>
          </w:p>
          <w:p w14:paraId="5D6770B4">
            <w:pPr>
              <w:spacing w:line="300" w:lineRule="auto"/>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、涉及货物部分成交产品必须是全新、未使用过的产品。产品包装必须是未经使用的全新的合格产品，并按照原厂标准包装规格供货，不接受散装或拆包装件。</w:t>
            </w:r>
          </w:p>
          <w:p w14:paraId="30DDD8D3">
            <w:pPr>
              <w:spacing w:line="300" w:lineRule="auto"/>
              <w:jc w:val="left"/>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、其余部分按合同相关条款执行。</w:t>
            </w:r>
          </w:p>
          <w:p w14:paraId="5CE07F5F">
            <w:pPr>
              <w:spacing w:line="30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五</w:t>
            </w:r>
            <w:r>
              <w:rPr>
                <w:rFonts w:hint="eastAsia" w:ascii="宋体" w:hAnsi="宋体" w:eastAsia="宋体"/>
                <w:color w:val="auto"/>
                <w:szCs w:val="21"/>
                <w:highlight w:val="none"/>
              </w:rPr>
              <w:t>、付款方式</w:t>
            </w:r>
          </w:p>
          <w:p w14:paraId="7B1EE270">
            <w:pPr>
              <w:spacing w:line="30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本项目预付款：合同总价（扣除暂列金额）的30%。</w:t>
            </w:r>
          </w:p>
          <w:p w14:paraId="5E264B32">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工程进度付款的支付比例：（1）合同内工程施工进度款：按照当期计量的80%支付；（</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外（设计变更）工程施工进度款：累计增加的变更金额在合同价的10%以内（含10%），按照当期计量的60%支付；累计增加的变更金额超出合同价的10%部分，不进行施工进度款计量支付，留待工程结算时一并支付；（3）工程竣工验收并经</w:t>
            </w:r>
            <w:r>
              <w:rPr>
                <w:rFonts w:hint="eastAsia" w:ascii="宋体" w:hAnsi="宋体" w:eastAsia="宋体"/>
                <w:color w:val="auto"/>
                <w:szCs w:val="21"/>
                <w:highlight w:val="none"/>
                <w:lang w:val="zh-CN"/>
              </w:rPr>
              <w:t>青秀区</w:t>
            </w:r>
            <w:r>
              <w:rPr>
                <w:rFonts w:hint="eastAsia" w:ascii="宋体" w:hAnsi="宋体" w:eastAsia="宋体"/>
                <w:color w:val="auto"/>
                <w:szCs w:val="21"/>
                <w:highlight w:val="none"/>
                <w:lang w:val="en-US" w:eastAsia="zh-CN"/>
              </w:rPr>
              <w:t>财政</w:t>
            </w:r>
            <w:r>
              <w:rPr>
                <w:rFonts w:hint="eastAsia" w:ascii="宋体" w:hAnsi="宋体" w:eastAsia="宋体"/>
                <w:color w:val="auto"/>
                <w:szCs w:val="21"/>
                <w:highlight w:val="none"/>
                <w:lang w:val="zh-CN"/>
              </w:rPr>
              <w:t>局</w:t>
            </w:r>
            <w:r>
              <w:rPr>
                <w:rFonts w:hint="eastAsia" w:ascii="宋体" w:hAnsi="宋体" w:eastAsia="宋体"/>
                <w:color w:val="auto"/>
                <w:szCs w:val="21"/>
                <w:highlight w:val="none"/>
                <w:lang w:val="en-US" w:eastAsia="zh-CN"/>
              </w:rPr>
              <w:t>或第三方审计部门</w:t>
            </w:r>
            <w:r>
              <w:rPr>
                <w:rFonts w:hint="eastAsia" w:ascii="宋体" w:hAnsi="宋体" w:eastAsia="宋体"/>
                <w:color w:val="auto"/>
                <w:szCs w:val="21"/>
                <w:highlight w:val="none"/>
              </w:rPr>
              <w:t>审定结算后，按结算价的97%进行结算，预留3%的工程质量保证金，待质保期过后，如无质保问题，可支付至审定结算总价的100%。工程建设其他费用根据财政部门有关规定执行，按完成情况支付。（4）成交供应商在采购人支付工程款前3日内提供有效的增值税专用发票给采购人，否则采购人有权拒付该笔工程款，所造成的责任由成交供应商负责承担。</w:t>
            </w:r>
          </w:p>
          <w:p w14:paraId="76C73D11">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注：每次付款前需承包人开具等额增值税发票，申请付款前需提供发票原件方可付款。</w:t>
            </w:r>
          </w:p>
          <w:p w14:paraId="2065A9CE">
            <w:pPr>
              <w:numPr>
                <w:ilvl w:val="0"/>
                <w:numId w:val="0"/>
              </w:numPr>
              <w:spacing w:line="300" w:lineRule="auto"/>
              <w:jc w:val="left"/>
              <w:rPr>
                <w:rFonts w:hint="eastAsia" w:ascii="宋体" w:hAnsi="宋体" w:eastAsia="宋体"/>
                <w:color w:val="auto"/>
                <w:szCs w:val="21"/>
                <w:highlight w:val="none"/>
              </w:rPr>
            </w:pPr>
            <w:r>
              <w:rPr>
                <w:rFonts w:hint="eastAsia" w:ascii="宋体" w:hAnsi="宋体" w:eastAsia="宋体" w:cstheme="minorBidi"/>
                <w:color w:val="auto"/>
                <w:kern w:val="2"/>
                <w:sz w:val="21"/>
                <w:szCs w:val="21"/>
                <w:highlight w:val="none"/>
                <w:lang w:val="en-US" w:eastAsia="zh-CN" w:bidi="ar-SA"/>
              </w:rPr>
              <w:t>六、</w:t>
            </w:r>
            <w:r>
              <w:rPr>
                <w:rFonts w:hint="eastAsia" w:ascii="宋体" w:hAnsi="宋体" w:eastAsia="宋体"/>
                <w:color w:val="auto"/>
                <w:szCs w:val="21"/>
                <w:highlight w:val="none"/>
              </w:rPr>
              <w:t>报价方式</w:t>
            </w:r>
          </w:p>
          <w:p w14:paraId="3C2F7FF2">
            <w:pPr>
              <w:numPr>
                <w:ilvl w:val="0"/>
                <w:numId w:val="0"/>
              </w:numPr>
              <w:spacing w:line="30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竞争性磋商报价采用下浮系数报价（报价范围：0≤下浮系数&lt;100%），供应商应认真阅读经采购人审定的最高限价（招标控制价），参与磋商即表示认可最高限价（招标控制价）及单价，成交后依据合同的固定综合单价【固定综合单价=采购预算价（招标控制价）公布的相应的清单项目的单价×（1-下浮系数）】进行结算，供应商不得对采购人的采购预算价（招标控制价）中的综合单价进行修改，合同总价为暂定合同价【暂定合同价=采购预算价（招标控制价）公布的总金额×（1-下浮系数）】。</w:t>
            </w:r>
          </w:p>
          <w:p w14:paraId="332C54D4">
            <w:pPr>
              <w:spacing w:line="30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竞标报价包括了为实施和完成合同工程所需的劳务、材料、机械、质检（自检）、安装、缺陷修复、管理、保险、税费、利润等费用，以及合同明示或暗示的所有责任、义务和一般风险。</w:t>
            </w:r>
          </w:p>
          <w:p w14:paraId="08EA732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本项目采用固定综合单价合同，工程量按实际结算，供应商工程量清单中项目的工程量无论增减，均按原单价结算。本工程最终结算价以</w:t>
            </w:r>
            <w:r>
              <w:rPr>
                <w:rFonts w:hint="eastAsia" w:ascii="宋体" w:hAnsi="宋体" w:eastAsia="宋体"/>
                <w:color w:val="auto"/>
                <w:szCs w:val="21"/>
                <w:highlight w:val="none"/>
                <w:lang w:val="en-US" w:eastAsia="zh-CN"/>
              </w:rPr>
              <w:t>青秀区财政局或</w:t>
            </w:r>
            <w:r>
              <w:rPr>
                <w:rFonts w:hint="default" w:ascii="宋体" w:hAnsi="宋体" w:eastAsia="宋体"/>
                <w:color w:val="auto"/>
                <w:szCs w:val="21"/>
                <w:highlight w:val="none"/>
                <w:lang w:val="en-US"/>
              </w:rPr>
              <w:t>采购人选定的第三方工程咨询单位</w:t>
            </w:r>
            <w:r>
              <w:rPr>
                <w:rFonts w:hint="eastAsia" w:ascii="宋体" w:hAnsi="宋体" w:eastAsia="宋体"/>
                <w:color w:val="auto"/>
                <w:szCs w:val="21"/>
                <w:highlight w:val="none"/>
              </w:rPr>
              <w:t>审定金额为准。</w:t>
            </w:r>
          </w:p>
        </w:tc>
      </w:tr>
      <w:tr w14:paraId="529E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5" w:type="dxa"/>
            <w:gridSpan w:val="2"/>
            <w:vAlign w:val="center"/>
          </w:tcPr>
          <w:p w14:paraId="40111BF7">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其他说明</w:t>
            </w:r>
          </w:p>
        </w:tc>
        <w:tc>
          <w:tcPr>
            <w:tcW w:w="8709" w:type="dxa"/>
            <w:gridSpan w:val="6"/>
            <w:vAlign w:val="center"/>
          </w:tcPr>
          <w:p w14:paraId="3A8A1EBA">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一、进口产品说明</w:t>
            </w:r>
          </w:p>
          <w:p w14:paraId="62BD2423">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本分标不涉及进口产品。</w:t>
            </w:r>
          </w:p>
          <w:p w14:paraId="391A1EA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二、与本分标有关的图纸、工程量清单及其获取方式</w:t>
            </w:r>
          </w:p>
          <w:p w14:paraId="77FF65A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资料名称：具体详见采购文件附件。</w:t>
            </w:r>
          </w:p>
          <w:p w14:paraId="7DCB7E89">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获取方式：网上下载。供应商可自行在“广西政府采购云平台”（https：//www.gcy.zfcg.gxzf.gov.cn）下载相关资料，方式同采购文件获取方式（操作路径：登录“广西政府采购云平台”-项目采购-获取采购文件-找到本项目-点击“申请获取工程量清单、图纸”）。</w:t>
            </w:r>
          </w:p>
        </w:tc>
      </w:tr>
    </w:tbl>
    <w:p w14:paraId="35EE835F">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123A894D">
      <w:pPr>
        <w:spacing w:line="360" w:lineRule="auto"/>
        <w:ind w:firstLine="640" w:firstLineChars="200"/>
        <w:rPr>
          <w:rFonts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附件1：</w:t>
      </w:r>
    </w:p>
    <w:p w14:paraId="6121D051">
      <w:pPr>
        <w:spacing w:line="360" w:lineRule="auto"/>
        <w:jc w:val="center"/>
        <w:rPr>
          <w:rFonts w:ascii="微软雅黑" w:hAnsi="微软雅黑" w:eastAsia="微软雅黑"/>
          <w:color w:val="auto"/>
          <w:sz w:val="40"/>
          <w:szCs w:val="40"/>
          <w:highlight w:val="none"/>
        </w:rPr>
      </w:pPr>
      <w:r>
        <w:rPr>
          <w:rFonts w:hint="eastAsia" w:ascii="微软雅黑" w:hAnsi="微软雅黑" w:eastAsia="微软雅黑"/>
          <w:color w:val="auto"/>
          <w:sz w:val="40"/>
          <w:szCs w:val="40"/>
          <w:highlight w:val="none"/>
        </w:rPr>
        <w:t>节能产品政府采购品目清单</w:t>
      </w:r>
    </w:p>
    <w:tbl>
      <w:tblPr>
        <w:tblStyle w:val="16"/>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289"/>
        <w:gridCol w:w="1886"/>
        <w:gridCol w:w="1594"/>
        <w:gridCol w:w="5369"/>
      </w:tblGrid>
      <w:tr w14:paraId="0448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619CD39">
            <w:pPr>
              <w:spacing w:line="300" w:lineRule="auto"/>
              <w:jc w:val="center"/>
              <w:rPr>
                <w:rFonts w:ascii="宋体" w:hAnsi="宋体" w:eastAsia="宋体"/>
                <w:b/>
                <w:color w:val="auto"/>
                <w:sz w:val="22"/>
                <w:highlight w:val="none"/>
              </w:rPr>
            </w:pPr>
            <w:r>
              <w:rPr>
                <w:rFonts w:hint="eastAsia" w:ascii="宋体" w:hAnsi="宋体" w:eastAsia="宋体"/>
                <w:b/>
                <w:color w:val="auto"/>
                <w:sz w:val="22"/>
                <w:highlight w:val="none"/>
              </w:rPr>
              <w:t>品目序号</w:t>
            </w:r>
          </w:p>
        </w:tc>
        <w:tc>
          <w:tcPr>
            <w:tcW w:w="2253" w:type="pct"/>
            <w:gridSpan w:val="3"/>
            <w:vAlign w:val="center"/>
          </w:tcPr>
          <w:p w14:paraId="769D2ECD">
            <w:pPr>
              <w:spacing w:line="300" w:lineRule="auto"/>
              <w:jc w:val="center"/>
              <w:rPr>
                <w:rFonts w:ascii="宋体" w:hAnsi="宋体" w:eastAsia="宋体"/>
                <w:b/>
                <w:color w:val="auto"/>
                <w:sz w:val="22"/>
                <w:highlight w:val="none"/>
              </w:rPr>
            </w:pPr>
            <w:r>
              <w:rPr>
                <w:rFonts w:hint="eastAsia" w:ascii="宋体" w:hAnsi="宋体" w:eastAsia="宋体"/>
                <w:b/>
                <w:color w:val="auto"/>
                <w:sz w:val="22"/>
                <w:highlight w:val="none"/>
              </w:rPr>
              <w:t>名称</w:t>
            </w:r>
          </w:p>
        </w:tc>
        <w:tc>
          <w:tcPr>
            <w:tcW w:w="2536" w:type="pct"/>
            <w:vAlign w:val="center"/>
          </w:tcPr>
          <w:p w14:paraId="7EC7429E">
            <w:pPr>
              <w:spacing w:line="300" w:lineRule="auto"/>
              <w:jc w:val="center"/>
              <w:rPr>
                <w:rFonts w:ascii="宋体" w:hAnsi="宋体" w:eastAsia="宋体"/>
                <w:b/>
                <w:color w:val="auto"/>
                <w:sz w:val="22"/>
                <w:highlight w:val="none"/>
              </w:rPr>
            </w:pPr>
            <w:r>
              <w:rPr>
                <w:rFonts w:hint="eastAsia" w:ascii="宋体" w:hAnsi="宋体" w:eastAsia="宋体"/>
                <w:b/>
                <w:color w:val="auto"/>
                <w:sz w:val="22"/>
                <w:highlight w:val="none"/>
              </w:rPr>
              <w:t>依据的标准</w:t>
            </w:r>
          </w:p>
        </w:tc>
      </w:tr>
      <w:tr w14:paraId="7C8E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695BE9B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w:t>
            </w:r>
          </w:p>
        </w:tc>
        <w:tc>
          <w:tcPr>
            <w:tcW w:w="609" w:type="pct"/>
            <w:vMerge w:val="restart"/>
            <w:vAlign w:val="center"/>
          </w:tcPr>
          <w:p w14:paraId="133E51A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A020101计算机设备</w:t>
            </w:r>
          </w:p>
        </w:tc>
        <w:tc>
          <w:tcPr>
            <w:tcW w:w="891" w:type="pct"/>
            <w:vAlign w:val="center"/>
          </w:tcPr>
          <w:p w14:paraId="5801D1B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★A02010104台式计算机</w:t>
            </w:r>
          </w:p>
        </w:tc>
        <w:tc>
          <w:tcPr>
            <w:tcW w:w="753" w:type="pct"/>
            <w:vAlign w:val="center"/>
          </w:tcPr>
          <w:p w14:paraId="324558E3">
            <w:pPr>
              <w:spacing w:line="300" w:lineRule="auto"/>
              <w:jc w:val="center"/>
              <w:rPr>
                <w:rFonts w:ascii="宋体" w:hAnsi="宋体" w:eastAsia="宋体"/>
                <w:color w:val="auto"/>
                <w:sz w:val="20"/>
                <w:szCs w:val="20"/>
                <w:highlight w:val="none"/>
              </w:rPr>
            </w:pPr>
          </w:p>
        </w:tc>
        <w:tc>
          <w:tcPr>
            <w:tcW w:w="2536" w:type="pct"/>
            <w:vAlign w:val="center"/>
          </w:tcPr>
          <w:p w14:paraId="1525D29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《微型计算机能效限定值及能效等级》（GB28380）</w:t>
            </w:r>
          </w:p>
        </w:tc>
      </w:tr>
      <w:tr w14:paraId="62FB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163D2E6">
            <w:pPr>
              <w:spacing w:line="300" w:lineRule="auto"/>
              <w:jc w:val="center"/>
              <w:rPr>
                <w:rFonts w:ascii="宋体" w:hAnsi="宋体" w:eastAsia="宋体"/>
                <w:color w:val="auto"/>
                <w:sz w:val="20"/>
                <w:szCs w:val="20"/>
                <w:highlight w:val="none"/>
              </w:rPr>
            </w:pPr>
          </w:p>
        </w:tc>
        <w:tc>
          <w:tcPr>
            <w:tcW w:w="609" w:type="pct"/>
            <w:vMerge w:val="continue"/>
            <w:vAlign w:val="center"/>
          </w:tcPr>
          <w:p w14:paraId="40B2BA75">
            <w:pPr>
              <w:spacing w:line="300" w:lineRule="auto"/>
              <w:jc w:val="center"/>
              <w:rPr>
                <w:rFonts w:ascii="宋体" w:hAnsi="宋体" w:eastAsia="宋体"/>
                <w:color w:val="auto"/>
                <w:sz w:val="20"/>
                <w:szCs w:val="20"/>
                <w:highlight w:val="none"/>
              </w:rPr>
            </w:pPr>
          </w:p>
        </w:tc>
        <w:tc>
          <w:tcPr>
            <w:tcW w:w="891" w:type="pct"/>
            <w:vAlign w:val="center"/>
          </w:tcPr>
          <w:p w14:paraId="78540B7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★A02010105便携式计算机</w:t>
            </w:r>
          </w:p>
        </w:tc>
        <w:tc>
          <w:tcPr>
            <w:tcW w:w="753" w:type="pct"/>
            <w:vAlign w:val="center"/>
          </w:tcPr>
          <w:p w14:paraId="2DDE9B79">
            <w:pPr>
              <w:spacing w:line="300" w:lineRule="auto"/>
              <w:jc w:val="center"/>
              <w:rPr>
                <w:rFonts w:ascii="宋体" w:hAnsi="宋体" w:eastAsia="宋体"/>
                <w:color w:val="auto"/>
                <w:sz w:val="20"/>
                <w:szCs w:val="20"/>
                <w:highlight w:val="none"/>
              </w:rPr>
            </w:pPr>
          </w:p>
        </w:tc>
        <w:tc>
          <w:tcPr>
            <w:tcW w:w="2536" w:type="pct"/>
            <w:vAlign w:val="center"/>
          </w:tcPr>
          <w:p w14:paraId="37D0E7C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《微型计算机能效限定值及能效等级》（GB28380）</w:t>
            </w:r>
          </w:p>
        </w:tc>
      </w:tr>
      <w:tr w14:paraId="4A37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20B9181A">
            <w:pPr>
              <w:spacing w:line="300" w:lineRule="auto"/>
              <w:jc w:val="center"/>
              <w:rPr>
                <w:rFonts w:ascii="宋体" w:hAnsi="宋体" w:eastAsia="宋体"/>
                <w:color w:val="auto"/>
                <w:sz w:val="20"/>
                <w:szCs w:val="20"/>
                <w:highlight w:val="none"/>
              </w:rPr>
            </w:pPr>
          </w:p>
        </w:tc>
        <w:tc>
          <w:tcPr>
            <w:tcW w:w="609" w:type="pct"/>
            <w:vMerge w:val="continue"/>
            <w:vAlign w:val="center"/>
          </w:tcPr>
          <w:p w14:paraId="3F6E1B45">
            <w:pPr>
              <w:spacing w:line="300" w:lineRule="auto"/>
              <w:jc w:val="center"/>
              <w:rPr>
                <w:rFonts w:ascii="宋体" w:hAnsi="宋体" w:eastAsia="宋体"/>
                <w:color w:val="auto"/>
                <w:sz w:val="20"/>
                <w:szCs w:val="20"/>
                <w:highlight w:val="none"/>
              </w:rPr>
            </w:pPr>
          </w:p>
        </w:tc>
        <w:tc>
          <w:tcPr>
            <w:tcW w:w="891" w:type="pct"/>
            <w:vAlign w:val="center"/>
          </w:tcPr>
          <w:p w14:paraId="2E4B4F9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★A02010107平板式微型计算机</w:t>
            </w:r>
          </w:p>
        </w:tc>
        <w:tc>
          <w:tcPr>
            <w:tcW w:w="753" w:type="pct"/>
            <w:vAlign w:val="center"/>
          </w:tcPr>
          <w:p w14:paraId="4104AA5A">
            <w:pPr>
              <w:spacing w:line="300" w:lineRule="auto"/>
              <w:jc w:val="center"/>
              <w:rPr>
                <w:rFonts w:ascii="宋体" w:hAnsi="宋体" w:eastAsia="宋体"/>
                <w:color w:val="auto"/>
                <w:sz w:val="20"/>
                <w:szCs w:val="20"/>
                <w:highlight w:val="none"/>
              </w:rPr>
            </w:pPr>
          </w:p>
        </w:tc>
        <w:tc>
          <w:tcPr>
            <w:tcW w:w="2536" w:type="pct"/>
            <w:vAlign w:val="center"/>
          </w:tcPr>
          <w:p w14:paraId="148E2AFF">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《微型计算机能效限定值及能效等级》（GB28380）</w:t>
            </w:r>
          </w:p>
        </w:tc>
      </w:tr>
      <w:tr w14:paraId="703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25F36CA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2</w:t>
            </w:r>
          </w:p>
        </w:tc>
        <w:tc>
          <w:tcPr>
            <w:tcW w:w="609" w:type="pct"/>
            <w:vMerge w:val="restart"/>
            <w:vAlign w:val="center"/>
          </w:tcPr>
          <w:p w14:paraId="63329FA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A020106输入输出设备</w:t>
            </w:r>
          </w:p>
        </w:tc>
        <w:tc>
          <w:tcPr>
            <w:tcW w:w="891" w:type="pct"/>
            <w:vMerge w:val="restart"/>
            <w:vAlign w:val="center"/>
          </w:tcPr>
          <w:p w14:paraId="6BC5AD1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A02010601打印设备</w:t>
            </w:r>
          </w:p>
        </w:tc>
        <w:tc>
          <w:tcPr>
            <w:tcW w:w="753" w:type="pct"/>
            <w:vAlign w:val="center"/>
          </w:tcPr>
          <w:p w14:paraId="04A4190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A0201060101喷墨打印机</w:t>
            </w:r>
          </w:p>
        </w:tc>
        <w:tc>
          <w:tcPr>
            <w:tcW w:w="2536" w:type="pct"/>
            <w:vAlign w:val="center"/>
          </w:tcPr>
          <w:p w14:paraId="63AF6C5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3014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3CE7F05">
            <w:pPr>
              <w:spacing w:line="300" w:lineRule="auto"/>
              <w:jc w:val="center"/>
              <w:rPr>
                <w:rFonts w:ascii="宋体" w:hAnsi="宋体" w:eastAsia="宋体"/>
                <w:color w:val="auto"/>
                <w:sz w:val="20"/>
                <w:szCs w:val="20"/>
                <w:highlight w:val="none"/>
              </w:rPr>
            </w:pPr>
          </w:p>
        </w:tc>
        <w:tc>
          <w:tcPr>
            <w:tcW w:w="609" w:type="pct"/>
            <w:vMerge w:val="continue"/>
            <w:vAlign w:val="center"/>
          </w:tcPr>
          <w:p w14:paraId="25D43062">
            <w:pPr>
              <w:spacing w:line="300" w:lineRule="auto"/>
              <w:jc w:val="center"/>
              <w:rPr>
                <w:rFonts w:ascii="宋体" w:hAnsi="宋体" w:eastAsia="宋体"/>
                <w:color w:val="auto"/>
                <w:sz w:val="20"/>
                <w:szCs w:val="20"/>
                <w:highlight w:val="none"/>
              </w:rPr>
            </w:pPr>
          </w:p>
        </w:tc>
        <w:tc>
          <w:tcPr>
            <w:tcW w:w="891" w:type="pct"/>
            <w:vMerge w:val="continue"/>
            <w:vAlign w:val="center"/>
          </w:tcPr>
          <w:p w14:paraId="7AE2E549">
            <w:pPr>
              <w:spacing w:line="300" w:lineRule="auto"/>
              <w:jc w:val="center"/>
              <w:rPr>
                <w:rFonts w:ascii="宋体" w:hAnsi="宋体" w:eastAsia="宋体"/>
                <w:color w:val="auto"/>
                <w:sz w:val="20"/>
                <w:szCs w:val="20"/>
                <w:highlight w:val="none"/>
              </w:rPr>
            </w:pPr>
          </w:p>
        </w:tc>
        <w:tc>
          <w:tcPr>
            <w:tcW w:w="753" w:type="pct"/>
            <w:vAlign w:val="center"/>
          </w:tcPr>
          <w:p w14:paraId="700D255F">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★A0201060102激光打印机</w:t>
            </w:r>
          </w:p>
        </w:tc>
        <w:tc>
          <w:tcPr>
            <w:tcW w:w="2536" w:type="pct"/>
            <w:vAlign w:val="center"/>
          </w:tcPr>
          <w:p w14:paraId="312760A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369B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CC7A8E7">
            <w:pPr>
              <w:spacing w:line="300" w:lineRule="auto"/>
              <w:jc w:val="center"/>
              <w:rPr>
                <w:rFonts w:ascii="宋体" w:hAnsi="宋体" w:eastAsia="宋体"/>
                <w:color w:val="auto"/>
                <w:sz w:val="20"/>
                <w:szCs w:val="20"/>
                <w:highlight w:val="none"/>
              </w:rPr>
            </w:pPr>
          </w:p>
        </w:tc>
        <w:tc>
          <w:tcPr>
            <w:tcW w:w="609" w:type="pct"/>
            <w:vMerge w:val="continue"/>
            <w:vAlign w:val="center"/>
          </w:tcPr>
          <w:p w14:paraId="076A2856">
            <w:pPr>
              <w:spacing w:line="300" w:lineRule="auto"/>
              <w:jc w:val="center"/>
              <w:rPr>
                <w:rFonts w:ascii="宋体" w:hAnsi="宋体" w:eastAsia="宋体"/>
                <w:color w:val="auto"/>
                <w:sz w:val="20"/>
                <w:szCs w:val="20"/>
                <w:highlight w:val="none"/>
              </w:rPr>
            </w:pPr>
          </w:p>
        </w:tc>
        <w:tc>
          <w:tcPr>
            <w:tcW w:w="891" w:type="pct"/>
            <w:vMerge w:val="continue"/>
            <w:vAlign w:val="center"/>
          </w:tcPr>
          <w:p w14:paraId="12F5532D">
            <w:pPr>
              <w:spacing w:line="300" w:lineRule="auto"/>
              <w:jc w:val="center"/>
              <w:rPr>
                <w:rFonts w:ascii="宋体" w:hAnsi="宋体" w:eastAsia="宋体"/>
                <w:color w:val="auto"/>
                <w:sz w:val="20"/>
                <w:szCs w:val="20"/>
                <w:highlight w:val="none"/>
              </w:rPr>
            </w:pPr>
          </w:p>
        </w:tc>
        <w:tc>
          <w:tcPr>
            <w:tcW w:w="753" w:type="pct"/>
            <w:vAlign w:val="center"/>
          </w:tcPr>
          <w:p w14:paraId="742CC4A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★A0201060104针式打印机</w:t>
            </w:r>
          </w:p>
        </w:tc>
        <w:tc>
          <w:tcPr>
            <w:tcW w:w="2536" w:type="pct"/>
            <w:vAlign w:val="center"/>
          </w:tcPr>
          <w:p w14:paraId="4AD850A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0D6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2483954">
            <w:pPr>
              <w:spacing w:line="300" w:lineRule="auto"/>
              <w:jc w:val="center"/>
              <w:rPr>
                <w:rFonts w:ascii="宋体" w:hAnsi="宋体" w:eastAsia="宋体"/>
                <w:color w:val="auto"/>
                <w:sz w:val="20"/>
                <w:szCs w:val="20"/>
                <w:highlight w:val="none"/>
              </w:rPr>
            </w:pPr>
          </w:p>
        </w:tc>
        <w:tc>
          <w:tcPr>
            <w:tcW w:w="609" w:type="pct"/>
            <w:vMerge w:val="continue"/>
            <w:vAlign w:val="center"/>
          </w:tcPr>
          <w:p w14:paraId="73A27783">
            <w:pPr>
              <w:spacing w:line="300" w:lineRule="auto"/>
              <w:jc w:val="center"/>
              <w:rPr>
                <w:rFonts w:ascii="宋体" w:hAnsi="宋体" w:eastAsia="宋体"/>
                <w:color w:val="auto"/>
                <w:sz w:val="20"/>
                <w:szCs w:val="20"/>
                <w:highlight w:val="none"/>
              </w:rPr>
            </w:pPr>
          </w:p>
        </w:tc>
        <w:tc>
          <w:tcPr>
            <w:tcW w:w="891" w:type="pct"/>
            <w:vAlign w:val="center"/>
          </w:tcPr>
          <w:p w14:paraId="0AE34E4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A02010604显示设备</w:t>
            </w:r>
          </w:p>
        </w:tc>
        <w:tc>
          <w:tcPr>
            <w:tcW w:w="753" w:type="pct"/>
            <w:vAlign w:val="center"/>
          </w:tcPr>
          <w:p w14:paraId="692A6D1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★A0201060401液晶显示器</w:t>
            </w:r>
          </w:p>
        </w:tc>
        <w:tc>
          <w:tcPr>
            <w:tcW w:w="2536" w:type="pct"/>
            <w:vAlign w:val="center"/>
          </w:tcPr>
          <w:p w14:paraId="33529F9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《计算机显示器能效限定值及能效等级》（GB21520）</w:t>
            </w:r>
          </w:p>
        </w:tc>
      </w:tr>
      <w:tr w14:paraId="2A95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06D14A0">
            <w:pPr>
              <w:spacing w:line="300" w:lineRule="auto"/>
              <w:jc w:val="center"/>
              <w:rPr>
                <w:rFonts w:ascii="宋体" w:hAnsi="宋体" w:eastAsia="宋体"/>
                <w:color w:val="auto"/>
                <w:sz w:val="20"/>
                <w:szCs w:val="20"/>
                <w:highlight w:val="none"/>
              </w:rPr>
            </w:pPr>
          </w:p>
        </w:tc>
        <w:tc>
          <w:tcPr>
            <w:tcW w:w="609" w:type="pct"/>
            <w:vMerge w:val="continue"/>
            <w:vAlign w:val="center"/>
          </w:tcPr>
          <w:p w14:paraId="6A6BD3E8">
            <w:pPr>
              <w:spacing w:line="300" w:lineRule="auto"/>
              <w:jc w:val="center"/>
              <w:rPr>
                <w:rFonts w:ascii="宋体" w:hAnsi="宋体" w:eastAsia="宋体"/>
                <w:color w:val="auto"/>
                <w:sz w:val="20"/>
                <w:szCs w:val="20"/>
                <w:highlight w:val="none"/>
              </w:rPr>
            </w:pPr>
          </w:p>
        </w:tc>
        <w:tc>
          <w:tcPr>
            <w:tcW w:w="891" w:type="pct"/>
            <w:vAlign w:val="center"/>
          </w:tcPr>
          <w:p w14:paraId="72126E9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A02010609图形图像输入设备</w:t>
            </w:r>
          </w:p>
        </w:tc>
        <w:tc>
          <w:tcPr>
            <w:tcW w:w="753" w:type="pct"/>
            <w:vAlign w:val="center"/>
          </w:tcPr>
          <w:p w14:paraId="377D849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A0201060901扫描仪</w:t>
            </w:r>
          </w:p>
        </w:tc>
        <w:tc>
          <w:tcPr>
            <w:tcW w:w="2536" w:type="pct"/>
            <w:vAlign w:val="center"/>
          </w:tcPr>
          <w:p w14:paraId="10A5A06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参照《复印机、打印机和传真机能效限定值及能效等级》（GB21521中打印速度为15页/分的针式打印机相关要求中打印速度为15页/分的针式打印机相关要求</w:t>
            </w:r>
          </w:p>
        </w:tc>
      </w:tr>
      <w:tr w14:paraId="706F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3909E1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3</w:t>
            </w:r>
          </w:p>
        </w:tc>
        <w:tc>
          <w:tcPr>
            <w:tcW w:w="609" w:type="pct"/>
            <w:vAlign w:val="center"/>
          </w:tcPr>
          <w:p w14:paraId="5FA0498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A020202投影仪</w:t>
            </w:r>
          </w:p>
        </w:tc>
        <w:tc>
          <w:tcPr>
            <w:tcW w:w="891" w:type="pct"/>
            <w:vAlign w:val="center"/>
          </w:tcPr>
          <w:p w14:paraId="1ED775FD">
            <w:pPr>
              <w:spacing w:line="300" w:lineRule="auto"/>
              <w:jc w:val="center"/>
              <w:rPr>
                <w:rFonts w:ascii="宋体" w:hAnsi="宋体" w:eastAsia="宋体"/>
                <w:color w:val="auto"/>
                <w:sz w:val="20"/>
                <w:szCs w:val="20"/>
                <w:highlight w:val="none"/>
              </w:rPr>
            </w:pPr>
          </w:p>
        </w:tc>
        <w:tc>
          <w:tcPr>
            <w:tcW w:w="753" w:type="pct"/>
            <w:vAlign w:val="center"/>
          </w:tcPr>
          <w:p w14:paraId="4E06BA48">
            <w:pPr>
              <w:spacing w:line="300" w:lineRule="auto"/>
              <w:jc w:val="center"/>
              <w:rPr>
                <w:rFonts w:ascii="宋体" w:hAnsi="宋体" w:eastAsia="宋体"/>
                <w:color w:val="auto"/>
                <w:sz w:val="20"/>
                <w:szCs w:val="20"/>
                <w:highlight w:val="none"/>
              </w:rPr>
            </w:pPr>
          </w:p>
        </w:tc>
        <w:tc>
          <w:tcPr>
            <w:tcW w:w="2536" w:type="pct"/>
            <w:vAlign w:val="center"/>
          </w:tcPr>
          <w:p w14:paraId="2E72925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《投影机能效限定值及能效等级》（GB32028）</w:t>
            </w:r>
          </w:p>
        </w:tc>
      </w:tr>
      <w:tr w14:paraId="04A6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B16DA2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4</w:t>
            </w:r>
          </w:p>
        </w:tc>
        <w:tc>
          <w:tcPr>
            <w:tcW w:w="609" w:type="pct"/>
            <w:vAlign w:val="center"/>
          </w:tcPr>
          <w:p w14:paraId="04B3AC8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A020204多功能一体机</w:t>
            </w:r>
          </w:p>
        </w:tc>
        <w:tc>
          <w:tcPr>
            <w:tcW w:w="891" w:type="pct"/>
            <w:vAlign w:val="center"/>
          </w:tcPr>
          <w:p w14:paraId="41301501">
            <w:pPr>
              <w:spacing w:line="300" w:lineRule="auto"/>
              <w:jc w:val="center"/>
              <w:rPr>
                <w:rFonts w:ascii="宋体" w:hAnsi="宋体" w:eastAsia="宋体"/>
                <w:color w:val="auto"/>
                <w:sz w:val="20"/>
                <w:szCs w:val="20"/>
                <w:highlight w:val="none"/>
              </w:rPr>
            </w:pPr>
          </w:p>
        </w:tc>
        <w:tc>
          <w:tcPr>
            <w:tcW w:w="753" w:type="pct"/>
            <w:vAlign w:val="center"/>
          </w:tcPr>
          <w:p w14:paraId="18F7F0EF">
            <w:pPr>
              <w:spacing w:line="300" w:lineRule="auto"/>
              <w:jc w:val="center"/>
              <w:rPr>
                <w:rFonts w:ascii="宋体" w:hAnsi="宋体" w:eastAsia="宋体"/>
                <w:color w:val="auto"/>
                <w:sz w:val="20"/>
                <w:szCs w:val="20"/>
                <w:highlight w:val="none"/>
              </w:rPr>
            </w:pPr>
          </w:p>
        </w:tc>
        <w:tc>
          <w:tcPr>
            <w:tcW w:w="2536" w:type="pct"/>
            <w:vAlign w:val="center"/>
          </w:tcPr>
          <w:p w14:paraId="2618B05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6D44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F0EE23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5</w:t>
            </w:r>
          </w:p>
        </w:tc>
        <w:tc>
          <w:tcPr>
            <w:tcW w:w="609" w:type="pct"/>
            <w:vAlign w:val="center"/>
          </w:tcPr>
          <w:p w14:paraId="199BDFC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A020519泵</w:t>
            </w:r>
          </w:p>
        </w:tc>
        <w:tc>
          <w:tcPr>
            <w:tcW w:w="891" w:type="pct"/>
            <w:vAlign w:val="center"/>
          </w:tcPr>
          <w:p w14:paraId="06B1BDF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A02051901离心泵</w:t>
            </w:r>
          </w:p>
        </w:tc>
        <w:tc>
          <w:tcPr>
            <w:tcW w:w="753" w:type="pct"/>
            <w:vAlign w:val="center"/>
          </w:tcPr>
          <w:p w14:paraId="319BBD41">
            <w:pPr>
              <w:spacing w:line="300" w:lineRule="auto"/>
              <w:jc w:val="center"/>
              <w:rPr>
                <w:rFonts w:ascii="宋体" w:hAnsi="宋体" w:eastAsia="宋体"/>
                <w:color w:val="auto"/>
                <w:sz w:val="20"/>
                <w:szCs w:val="20"/>
                <w:highlight w:val="none"/>
              </w:rPr>
            </w:pPr>
          </w:p>
        </w:tc>
        <w:tc>
          <w:tcPr>
            <w:tcW w:w="2536" w:type="pct"/>
            <w:vAlign w:val="center"/>
          </w:tcPr>
          <w:p w14:paraId="266D374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《清水离心泵能效限定值及节能评价值》（GB19762）</w:t>
            </w:r>
          </w:p>
        </w:tc>
      </w:tr>
      <w:tr w14:paraId="7CA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5147F55F">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6</w:t>
            </w:r>
          </w:p>
        </w:tc>
        <w:tc>
          <w:tcPr>
            <w:tcW w:w="609" w:type="pct"/>
            <w:vMerge w:val="restart"/>
            <w:vAlign w:val="center"/>
          </w:tcPr>
          <w:p w14:paraId="1DAC2C9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A020523制冷空调设备</w:t>
            </w:r>
          </w:p>
        </w:tc>
        <w:tc>
          <w:tcPr>
            <w:tcW w:w="891" w:type="pct"/>
            <w:vMerge w:val="restart"/>
            <w:vAlign w:val="center"/>
          </w:tcPr>
          <w:p w14:paraId="76ABE88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★A02052301制冷压缩机</w:t>
            </w:r>
          </w:p>
        </w:tc>
        <w:tc>
          <w:tcPr>
            <w:tcW w:w="753" w:type="pct"/>
            <w:vAlign w:val="center"/>
          </w:tcPr>
          <w:p w14:paraId="5BFB288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冷水机组</w:t>
            </w:r>
          </w:p>
        </w:tc>
        <w:tc>
          <w:tcPr>
            <w:tcW w:w="2536" w:type="pct"/>
            <w:vAlign w:val="center"/>
          </w:tcPr>
          <w:p w14:paraId="17A4189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《冷水机组能效限定值及能效等级》（GB19577），《低环境温度空气源热泵（冷水）机组能效限定值及能效等级》（GB37480）</w:t>
            </w:r>
          </w:p>
        </w:tc>
      </w:tr>
      <w:tr w14:paraId="25EE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A24EDC3">
            <w:pPr>
              <w:spacing w:line="300" w:lineRule="auto"/>
              <w:jc w:val="center"/>
              <w:rPr>
                <w:rFonts w:ascii="宋体" w:hAnsi="宋体" w:eastAsia="宋体"/>
                <w:color w:val="auto"/>
                <w:sz w:val="20"/>
                <w:szCs w:val="20"/>
                <w:highlight w:val="none"/>
              </w:rPr>
            </w:pPr>
          </w:p>
        </w:tc>
        <w:tc>
          <w:tcPr>
            <w:tcW w:w="609" w:type="pct"/>
            <w:vMerge w:val="continue"/>
            <w:vAlign w:val="center"/>
          </w:tcPr>
          <w:p w14:paraId="006CF824">
            <w:pPr>
              <w:spacing w:line="300" w:lineRule="auto"/>
              <w:jc w:val="center"/>
              <w:rPr>
                <w:rFonts w:ascii="宋体" w:hAnsi="宋体" w:eastAsia="宋体"/>
                <w:color w:val="auto"/>
                <w:sz w:val="20"/>
                <w:szCs w:val="20"/>
                <w:highlight w:val="none"/>
              </w:rPr>
            </w:pPr>
          </w:p>
        </w:tc>
        <w:tc>
          <w:tcPr>
            <w:tcW w:w="891" w:type="pct"/>
            <w:vMerge w:val="continue"/>
            <w:vAlign w:val="center"/>
          </w:tcPr>
          <w:p w14:paraId="3DA17310">
            <w:pPr>
              <w:spacing w:line="300" w:lineRule="auto"/>
              <w:jc w:val="center"/>
              <w:rPr>
                <w:rFonts w:ascii="宋体" w:hAnsi="宋体" w:eastAsia="宋体"/>
                <w:color w:val="auto"/>
                <w:sz w:val="20"/>
                <w:szCs w:val="20"/>
                <w:highlight w:val="none"/>
              </w:rPr>
            </w:pPr>
          </w:p>
        </w:tc>
        <w:tc>
          <w:tcPr>
            <w:tcW w:w="753" w:type="pct"/>
            <w:vAlign w:val="center"/>
          </w:tcPr>
          <w:p w14:paraId="7B93610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水源热泵机组</w:t>
            </w:r>
          </w:p>
        </w:tc>
        <w:tc>
          <w:tcPr>
            <w:tcW w:w="2536" w:type="pct"/>
            <w:vAlign w:val="center"/>
          </w:tcPr>
          <w:p w14:paraId="0FB53E8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《水（地）源热泵机组能效限定值及能效等级》（GB30721）</w:t>
            </w:r>
          </w:p>
        </w:tc>
      </w:tr>
      <w:tr w14:paraId="09D079BD">
        <w:tblPrEx>
          <w:tblCellMar>
            <w:top w:w="0" w:type="dxa"/>
            <w:left w:w="108" w:type="dxa"/>
            <w:bottom w:w="0" w:type="dxa"/>
            <w:right w:w="108" w:type="dxa"/>
          </w:tblCellMar>
        </w:tblPrEx>
        <w:trPr>
          <w:trHeight w:val="454" w:hRule="atLeast"/>
          <w:jc w:val="center"/>
        </w:trPr>
        <w:tc>
          <w:tcPr>
            <w:tcW w:w="211" w:type="pct"/>
            <w:vMerge w:val="continue"/>
            <w:vAlign w:val="center"/>
          </w:tcPr>
          <w:p w14:paraId="484A1AFD">
            <w:pPr>
              <w:spacing w:line="300" w:lineRule="auto"/>
              <w:jc w:val="center"/>
              <w:rPr>
                <w:rFonts w:ascii="宋体" w:hAnsi="宋体" w:eastAsia="宋体"/>
                <w:color w:val="auto"/>
                <w:sz w:val="20"/>
                <w:szCs w:val="20"/>
                <w:highlight w:val="none"/>
              </w:rPr>
            </w:pPr>
          </w:p>
        </w:tc>
        <w:tc>
          <w:tcPr>
            <w:tcW w:w="609" w:type="pct"/>
            <w:vMerge w:val="continue"/>
            <w:vAlign w:val="center"/>
          </w:tcPr>
          <w:p w14:paraId="0FBD5261">
            <w:pPr>
              <w:spacing w:line="300" w:lineRule="auto"/>
              <w:jc w:val="center"/>
              <w:rPr>
                <w:rFonts w:ascii="宋体" w:hAnsi="宋体" w:eastAsia="宋体"/>
                <w:color w:val="auto"/>
                <w:sz w:val="20"/>
                <w:szCs w:val="20"/>
                <w:highlight w:val="none"/>
              </w:rPr>
            </w:pPr>
          </w:p>
        </w:tc>
        <w:tc>
          <w:tcPr>
            <w:tcW w:w="891" w:type="pct"/>
            <w:vMerge w:val="continue"/>
            <w:vAlign w:val="center"/>
          </w:tcPr>
          <w:p w14:paraId="7D98F555">
            <w:pPr>
              <w:spacing w:line="300" w:lineRule="auto"/>
              <w:jc w:val="center"/>
              <w:rPr>
                <w:rFonts w:ascii="宋体" w:hAnsi="宋体" w:eastAsia="宋体"/>
                <w:color w:val="auto"/>
                <w:sz w:val="20"/>
                <w:szCs w:val="20"/>
                <w:highlight w:val="none"/>
              </w:rPr>
            </w:pPr>
          </w:p>
        </w:tc>
        <w:tc>
          <w:tcPr>
            <w:tcW w:w="753" w:type="pct"/>
            <w:vAlign w:val="center"/>
          </w:tcPr>
          <w:p w14:paraId="541003C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溴化锂吸收式冷水机组</w:t>
            </w:r>
          </w:p>
        </w:tc>
        <w:tc>
          <w:tcPr>
            <w:tcW w:w="2536" w:type="pct"/>
            <w:vAlign w:val="center"/>
          </w:tcPr>
          <w:p w14:paraId="7B4A856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《溴化锂吸收式冷水机组能效限定值及能效等级》（GB29540）</w:t>
            </w:r>
          </w:p>
        </w:tc>
      </w:tr>
      <w:tr w14:paraId="78D3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8428E90">
            <w:pPr>
              <w:spacing w:line="300" w:lineRule="auto"/>
              <w:jc w:val="center"/>
              <w:rPr>
                <w:rFonts w:ascii="宋体" w:hAnsi="宋体" w:eastAsia="宋体"/>
                <w:color w:val="auto"/>
                <w:sz w:val="20"/>
                <w:szCs w:val="20"/>
                <w:highlight w:val="none"/>
              </w:rPr>
            </w:pPr>
          </w:p>
        </w:tc>
        <w:tc>
          <w:tcPr>
            <w:tcW w:w="609" w:type="pct"/>
            <w:vMerge w:val="continue"/>
            <w:vAlign w:val="center"/>
          </w:tcPr>
          <w:p w14:paraId="4410D46B">
            <w:pPr>
              <w:spacing w:line="300" w:lineRule="auto"/>
              <w:jc w:val="center"/>
              <w:rPr>
                <w:rFonts w:ascii="宋体" w:hAnsi="宋体" w:eastAsia="宋体"/>
                <w:color w:val="auto"/>
                <w:sz w:val="20"/>
                <w:szCs w:val="20"/>
                <w:highlight w:val="none"/>
              </w:rPr>
            </w:pPr>
          </w:p>
        </w:tc>
        <w:tc>
          <w:tcPr>
            <w:tcW w:w="891" w:type="pct"/>
            <w:vMerge w:val="restart"/>
            <w:vAlign w:val="center"/>
          </w:tcPr>
          <w:p w14:paraId="566021E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★A02052305空调机组</w:t>
            </w:r>
          </w:p>
        </w:tc>
        <w:tc>
          <w:tcPr>
            <w:tcW w:w="753" w:type="pct"/>
            <w:vAlign w:val="center"/>
          </w:tcPr>
          <w:p w14:paraId="556A20B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多联式空调（热泵）机组（制冷量&gt;14000W）</w:t>
            </w:r>
          </w:p>
        </w:tc>
        <w:tc>
          <w:tcPr>
            <w:tcW w:w="2536" w:type="pct"/>
            <w:vAlign w:val="center"/>
          </w:tcPr>
          <w:p w14:paraId="49BBBF6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《多联式空调（热泵）机组能效限定值及能源效率等级》（GB21454）</w:t>
            </w:r>
          </w:p>
        </w:tc>
      </w:tr>
      <w:tr w14:paraId="4A12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83D7D39">
            <w:pPr>
              <w:spacing w:line="300" w:lineRule="auto"/>
              <w:jc w:val="center"/>
              <w:rPr>
                <w:rFonts w:ascii="宋体" w:hAnsi="宋体" w:eastAsia="宋体"/>
                <w:color w:val="auto"/>
                <w:sz w:val="20"/>
                <w:szCs w:val="20"/>
                <w:highlight w:val="none"/>
              </w:rPr>
            </w:pPr>
          </w:p>
        </w:tc>
        <w:tc>
          <w:tcPr>
            <w:tcW w:w="609" w:type="pct"/>
            <w:vMerge w:val="continue"/>
            <w:vAlign w:val="center"/>
          </w:tcPr>
          <w:p w14:paraId="1102651B">
            <w:pPr>
              <w:spacing w:line="300" w:lineRule="auto"/>
              <w:jc w:val="center"/>
              <w:rPr>
                <w:rFonts w:ascii="宋体" w:hAnsi="宋体" w:eastAsia="宋体"/>
                <w:color w:val="auto"/>
                <w:sz w:val="20"/>
                <w:szCs w:val="20"/>
                <w:highlight w:val="none"/>
              </w:rPr>
            </w:pPr>
          </w:p>
        </w:tc>
        <w:tc>
          <w:tcPr>
            <w:tcW w:w="891" w:type="pct"/>
            <w:vMerge w:val="continue"/>
            <w:vAlign w:val="center"/>
          </w:tcPr>
          <w:p w14:paraId="2BBD49B4">
            <w:pPr>
              <w:spacing w:line="300" w:lineRule="auto"/>
              <w:jc w:val="center"/>
              <w:rPr>
                <w:rFonts w:ascii="宋体" w:hAnsi="宋体" w:eastAsia="宋体"/>
                <w:color w:val="auto"/>
                <w:sz w:val="20"/>
                <w:szCs w:val="20"/>
                <w:highlight w:val="none"/>
              </w:rPr>
            </w:pPr>
          </w:p>
        </w:tc>
        <w:tc>
          <w:tcPr>
            <w:tcW w:w="753" w:type="pct"/>
            <w:vAlign w:val="center"/>
          </w:tcPr>
          <w:p w14:paraId="48A9CA6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单元式空气调节机（制冷量&gt;14000W</w:t>
            </w:r>
          </w:p>
        </w:tc>
        <w:tc>
          <w:tcPr>
            <w:tcW w:w="2536" w:type="pct"/>
            <w:vAlign w:val="center"/>
          </w:tcPr>
          <w:p w14:paraId="2916226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《单元式空气调节机能效限定值及能效等级》（GB19576）《风管送风式空调机组能效限定值及能效等级》（GB37479）</w:t>
            </w:r>
          </w:p>
        </w:tc>
      </w:tr>
      <w:tr w14:paraId="4382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2878F35">
            <w:pPr>
              <w:spacing w:line="300" w:lineRule="auto"/>
              <w:jc w:val="center"/>
              <w:rPr>
                <w:rFonts w:ascii="宋体" w:hAnsi="宋体" w:eastAsia="宋体"/>
                <w:color w:val="auto"/>
                <w:sz w:val="20"/>
                <w:szCs w:val="20"/>
                <w:highlight w:val="none"/>
              </w:rPr>
            </w:pPr>
          </w:p>
        </w:tc>
        <w:tc>
          <w:tcPr>
            <w:tcW w:w="609" w:type="pct"/>
            <w:vMerge w:val="continue"/>
            <w:vAlign w:val="center"/>
          </w:tcPr>
          <w:p w14:paraId="3A0E780A">
            <w:pPr>
              <w:spacing w:line="300" w:lineRule="auto"/>
              <w:jc w:val="center"/>
              <w:rPr>
                <w:rFonts w:ascii="宋体" w:hAnsi="宋体" w:eastAsia="宋体"/>
                <w:color w:val="auto"/>
                <w:sz w:val="20"/>
                <w:szCs w:val="20"/>
                <w:highlight w:val="none"/>
              </w:rPr>
            </w:pPr>
          </w:p>
        </w:tc>
        <w:tc>
          <w:tcPr>
            <w:tcW w:w="891" w:type="pct"/>
            <w:vAlign w:val="center"/>
          </w:tcPr>
          <w:p w14:paraId="63EF00E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★A02052309专用制冷、空调设备</w:t>
            </w:r>
          </w:p>
        </w:tc>
        <w:tc>
          <w:tcPr>
            <w:tcW w:w="753" w:type="pct"/>
            <w:vAlign w:val="center"/>
          </w:tcPr>
          <w:p w14:paraId="19248E4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机房空调</w:t>
            </w:r>
          </w:p>
        </w:tc>
        <w:tc>
          <w:tcPr>
            <w:tcW w:w="2536" w:type="pct"/>
            <w:vAlign w:val="center"/>
          </w:tcPr>
          <w:p w14:paraId="68FEE3F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《单元式空气调节机能效限定值及能效等级》（GB19576）</w:t>
            </w:r>
          </w:p>
        </w:tc>
      </w:tr>
      <w:tr w14:paraId="2F98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4A04700">
            <w:pPr>
              <w:spacing w:line="300" w:lineRule="auto"/>
              <w:jc w:val="center"/>
              <w:rPr>
                <w:rFonts w:ascii="宋体" w:hAnsi="宋体" w:eastAsia="宋体"/>
                <w:color w:val="auto"/>
                <w:sz w:val="20"/>
                <w:szCs w:val="20"/>
                <w:highlight w:val="none"/>
              </w:rPr>
            </w:pPr>
          </w:p>
        </w:tc>
        <w:tc>
          <w:tcPr>
            <w:tcW w:w="609" w:type="pct"/>
            <w:vMerge w:val="continue"/>
            <w:vAlign w:val="center"/>
          </w:tcPr>
          <w:p w14:paraId="05856252">
            <w:pPr>
              <w:spacing w:line="300" w:lineRule="auto"/>
              <w:jc w:val="center"/>
              <w:rPr>
                <w:rFonts w:ascii="宋体" w:hAnsi="宋体" w:eastAsia="宋体"/>
                <w:color w:val="auto"/>
                <w:sz w:val="20"/>
                <w:szCs w:val="20"/>
                <w:highlight w:val="none"/>
              </w:rPr>
            </w:pPr>
          </w:p>
        </w:tc>
        <w:tc>
          <w:tcPr>
            <w:tcW w:w="891" w:type="pct"/>
            <w:vAlign w:val="center"/>
          </w:tcPr>
          <w:p w14:paraId="1A84D17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A02052399其他制冷空调设备</w:t>
            </w:r>
          </w:p>
        </w:tc>
        <w:tc>
          <w:tcPr>
            <w:tcW w:w="753" w:type="pct"/>
            <w:vAlign w:val="center"/>
          </w:tcPr>
          <w:p w14:paraId="5E91E14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冷却塔</w:t>
            </w:r>
          </w:p>
        </w:tc>
        <w:tc>
          <w:tcPr>
            <w:tcW w:w="2536" w:type="pct"/>
            <w:vAlign w:val="center"/>
          </w:tcPr>
          <w:p w14:paraId="086E8D9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《机械通风冷却塔第1部分：中小型开式冷却塔》（GB/T7190.1）；《机械通风冷却塔第2部分：大型开式冷却塔》（GB/T7190.2）</w:t>
            </w:r>
          </w:p>
        </w:tc>
      </w:tr>
      <w:tr w14:paraId="53F4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6DA27C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7</w:t>
            </w:r>
          </w:p>
        </w:tc>
        <w:tc>
          <w:tcPr>
            <w:tcW w:w="609" w:type="pct"/>
            <w:vAlign w:val="center"/>
          </w:tcPr>
          <w:p w14:paraId="1FE7705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A020601电机</w:t>
            </w:r>
          </w:p>
        </w:tc>
        <w:tc>
          <w:tcPr>
            <w:tcW w:w="891" w:type="pct"/>
            <w:vAlign w:val="center"/>
          </w:tcPr>
          <w:p w14:paraId="4F22E0D7">
            <w:pPr>
              <w:spacing w:line="300" w:lineRule="auto"/>
              <w:jc w:val="center"/>
              <w:rPr>
                <w:rFonts w:ascii="宋体" w:hAnsi="宋体" w:eastAsia="宋体"/>
                <w:color w:val="auto"/>
                <w:sz w:val="20"/>
                <w:szCs w:val="20"/>
                <w:highlight w:val="none"/>
              </w:rPr>
            </w:pPr>
          </w:p>
        </w:tc>
        <w:tc>
          <w:tcPr>
            <w:tcW w:w="753" w:type="pct"/>
            <w:vAlign w:val="center"/>
          </w:tcPr>
          <w:p w14:paraId="6456F6AB">
            <w:pPr>
              <w:spacing w:line="300" w:lineRule="auto"/>
              <w:jc w:val="center"/>
              <w:rPr>
                <w:rFonts w:ascii="宋体" w:hAnsi="宋体" w:eastAsia="宋体"/>
                <w:color w:val="auto"/>
                <w:sz w:val="20"/>
                <w:szCs w:val="20"/>
                <w:highlight w:val="none"/>
              </w:rPr>
            </w:pPr>
          </w:p>
        </w:tc>
        <w:tc>
          <w:tcPr>
            <w:tcW w:w="2536" w:type="pct"/>
            <w:vAlign w:val="center"/>
          </w:tcPr>
          <w:p w14:paraId="28D9A0D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《中小型三相异步电动机能效限定值及能效等级》（GB18613）</w:t>
            </w:r>
          </w:p>
        </w:tc>
      </w:tr>
      <w:tr w14:paraId="25D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236B02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8</w:t>
            </w:r>
          </w:p>
        </w:tc>
        <w:tc>
          <w:tcPr>
            <w:tcW w:w="609" w:type="pct"/>
            <w:vAlign w:val="center"/>
          </w:tcPr>
          <w:p w14:paraId="2C1D3E3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A020602变压器</w:t>
            </w:r>
          </w:p>
        </w:tc>
        <w:tc>
          <w:tcPr>
            <w:tcW w:w="891" w:type="pct"/>
            <w:vAlign w:val="center"/>
          </w:tcPr>
          <w:p w14:paraId="1C22E37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配电变压器</w:t>
            </w:r>
          </w:p>
        </w:tc>
        <w:tc>
          <w:tcPr>
            <w:tcW w:w="753" w:type="pct"/>
            <w:vAlign w:val="center"/>
          </w:tcPr>
          <w:p w14:paraId="1454B3C3">
            <w:pPr>
              <w:spacing w:line="300" w:lineRule="auto"/>
              <w:jc w:val="center"/>
              <w:rPr>
                <w:rFonts w:ascii="宋体" w:hAnsi="宋体" w:eastAsia="宋体"/>
                <w:color w:val="auto"/>
                <w:sz w:val="20"/>
                <w:szCs w:val="20"/>
                <w:highlight w:val="none"/>
              </w:rPr>
            </w:pPr>
          </w:p>
        </w:tc>
        <w:tc>
          <w:tcPr>
            <w:tcW w:w="2536" w:type="pct"/>
            <w:vAlign w:val="center"/>
          </w:tcPr>
          <w:p w14:paraId="31C31CE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《三相配电变压器能效限定值及能效等级》（GB20052）</w:t>
            </w:r>
          </w:p>
        </w:tc>
      </w:tr>
      <w:tr w14:paraId="271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590E29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9</w:t>
            </w:r>
          </w:p>
        </w:tc>
        <w:tc>
          <w:tcPr>
            <w:tcW w:w="609" w:type="pct"/>
            <w:vAlign w:val="center"/>
          </w:tcPr>
          <w:p w14:paraId="46D52CE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★A020609镇流器</w:t>
            </w:r>
          </w:p>
        </w:tc>
        <w:tc>
          <w:tcPr>
            <w:tcW w:w="891" w:type="pct"/>
            <w:vAlign w:val="center"/>
          </w:tcPr>
          <w:p w14:paraId="3A12EA4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管型荧光灯镇流器</w:t>
            </w:r>
          </w:p>
        </w:tc>
        <w:tc>
          <w:tcPr>
            <w:tcW w:w="753" w:type="pct"/>
            <w:vAlign w:val="center"/>
          </w:tcPr>
          <w:p w14:paraId="64846223">
            <w:pPr>
              <w:spacing w:line="300" w:lineRule="auto"/>
              <w:jc w:val="center"/>
              <w:rPr>
                <w:rFonts w:ascii="宋体" w:hAnsi="宋体" w:eastAsia="宋体"/>
                <w:color w:val="auto"/>
                <w:sz w:val="20"/>
                <w:szCs w:val="20"/>
                <w:highlight w:val="none"/>
              </w:rPr>
            </w:pPr>
          </w:p>
        </w:tc>
        <w:tc>
          <w:tcPr>
            <w:tcW w:w="2536" w:type="pct"/>
            <w:vAlign w:val="center"/>
          </w:tcPr>
          <w:p w14:paraId="5582AA5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《管形荧光灯镇流器能效限定值及能效等级》（GB17896）</w:t>
            </w:r>
          </w:p>
        </w:tc>
      </w:tr>
      <w:tr w14:paraId="7EE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0FF7313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10</w:t>
            </w:r>
          </w:p>
        </w:tc>
        <w:tc>
          <w:tcPr>
            <w:tcW w:w="609" w:type="pct"/>
            <w:vMerge w:val="restart"/>
            <w:vAlign w:val="center"/>
          </w:tcPr>
          <w:p w14:paraId="2344FCA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A020618生活用电器</w:t>
            </w:r>
          </w:p>
        </w:tc>
        <w:tc>
          <w:tcPr>
            <w:tcW w:w="891" w:type="pct"/>
            <w:vAlign w:val="center"/>
          </w:tcPr>
          <w:p w14:paraId="431BFBF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A0206180101电冰箱</w:t>
            </w:r>
          </w:p>
        </w:tc>
        <w:tc>
          <w:tcPr>
            <w:tcW w:w="753" w:type="pct"/>
            <w:vAlign w:val="center"/>
          </w:tcPr>
          <w:p w14:paraId="3FD7AE07">
            <w:pPr>
              <w:spacing w:line="300" w:lineRule="auto"/>
              <w:jc w:val="center"/>
              <w:rPr>
                <w:rFonts w:ascii="宋体" w:hAnsi="宋体" w:eastAsia="宋体"/>
                <w:color w:val="auto"/>
                <w:sz w:val="20"/>
                <w:szCs w:val="20"/>
                <w:highlight w:val="none"/>
              </w:rPr>
            </w:pPr>
          </w:p>
        </w:tc>
        <w:tc>
          <w:tcPr>
            <w:tcW w:w="2536" w:type="pct"/>
            <w:vAlign w:val="center"/>
          </w:tcPr>
          <w:p w14:paraId="422C65F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《家用电冰箱耗电量限定值及能效等级》（GB12021.2）</w:t>
            </w:r>
          </w:p>
        </w:tc>
      </w:tr>
      <w:tr w14:paraId="4696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B6F7550">
            <w:pPr>
              <w:spacing w:line="300" w:lineRule="auto"/>
              <w:jc w:val="center"/>
              <w:rPr>
                <w:rFonts w:ascii="宋体" w:hAnsi="宋体" w:eastAsia="宋体"/>
                <w:color w:val="auto"/>
                <w:sz w:val="20"/>
                <w:szCs w:val="20"/>
                <w:highlight w:val="none"/>
              </w:rPr>
            </w:pPr>
          </w:p>
        </w:tc>
        <w:tc>
          <w:tcPr>
            <w:tcW w:w="609" w:type="pct"/>
            <w:vMerge w:val="continue"/>
            <w:vAlign w:val="center"/>
          </w:tcPr>
          <w:p w14:paraId="7DCAE004">
            <w:pPr>
              <w:spacing w:line="300" w:lineRule="auto"/>
              <w:jc w:val="center"/>
              <w:rPr>
                <w:rFonts w:ascii="宋体" w:hAnsi="宋体" w:eastAsia="宋体"/>
                <w:color w:val="auto"/>
                <w:sz w:val="20"/>
                <w:szCs w:val="20"/>
                <w:highlight w:val="none"/>
              </w:rPr>
            </w:pPr>
          </w:p>
        </w:tc>
        <w:tc>
          <w:tcPr>
            <w:tcW w:w="891" w:type="pct"/>
            <w:vMerge w:val="restart"/>
            <w:vAlign w:val="center"/>
          </w:tcPr>
          <w:p w14:paraId="697E879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★A0206180203空调机</w:t>
            </w:r>
          </w:p>
        </w:tc>
        <w:tc>
          <w:tcPr>
            <w:tcW w:w="753" w:type="pct"/>
            <w:vAlign w:val="center"/>
          </w:tcPr>
          <w:p w14:paraId="6AE91EA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房间空气调节器</w:t>
            </w:r>
          </w:p>
        </w:tc>
        <w:tc>
          <w:tcPr>
            <w:tcW w:w="2536" w:type="pct"/>
            <w:vAlign w:val="center"/>
          </w:tcPr>
          <w:p w14:paraId="685C02D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《转速可控型房间空气调节器能效限定值及能效等级》（GB21455-2013），待2019年修订发布后，按《房间空气调节器能效限定值及能效等级》（GB21455-2019实施。</w:t>
            </w:r>
          </w:p>
        </w:tc>
      </w:tr>
      <w:tr w14:paraId="528B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25D41A9">
            <w:pPr>
              <w:spacing w:line="300" w:lineRule="auto"/>
              <w:jc w:val="center"/>
              <w:rPr>
                <w:rFonts w:ascii="宋体" w:hAnsi="宋体" w:eastAsia="宋体"/>
                <w:color w:val="auto"/>
                <w:sz w:val="20"/>
                <w:szCs w:val="20"/>
                <w:highlight w:val="none"/>
              </w:rPr>
            </w:pPr>
          </w:p>
        </w:tc>
        <w:tc>
          <w:tcPr>
            <w:tcW w:w="609" w:type="pct"/>
            <w:vMerge w:val="continue"/>
            <w:vAlign w:val="center"/>
          </w:tcPr>
          <w:p w14:paraId="48259909">
            <w:pPr>
              <w:spacing w:line="300" w:lineRule="auto"/>
              <w:jc w:val="center"/>
              <w:rPr>
                <w:rFonts w:ascii="宋体" w:hAnsi="宋体" w:eastAsia="宋体"/>
                <w:color w:val="auto"/>
                <w:sz w:val="20"/>
                <w:szCs w:val="20"/>
                <w:highlight w:val="none"/>
              </w:rPr>
            </w:pPr>
          </w:p>
        </w:tc>
        <w:tc>
          <w:tcPr>
            <w:tcW w:w="891" w:type="pct"/>
            <w:vMerge w:val="continue"/>
            <w:vAlign w:val="center"/>
          </w:tcPr>
          <w:p w14:paraId="284691EF">
            <w:pPr>
              <w:spacing w:line="300" w:lineRule="auto"/>
              <w:jc w:val="center"/>
              <w:rPr>
                <w:rFonts w:ascii="宋体" w:hAnsi="宋体" w:eastAsia="宋体"/>
                <w:color w:val="auto"/>
                <w:sz w:val="20"/>
                <w:szCs w:val="20"/>
                <w:highlight w:val="none"/>
              </w:rPr>
            </w:pPr>
          </w:p>
        </w:tc>
        <w:tc>
          <w:tcPr>
            <w:tcW w:w="753" w:type="pct"/>
            <w:vAlign w:val="center"/>
          </w:tcPr>
          <w:p w14:paraId="6C8F845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多联式空调（热泵）机组（制冷量≤14000W）</w:t>
            </w:r>
          </w:p>
        </w:tc>
        <w:tc>
          <w:tcPr>
            <w:tcW w:w="2536" w:type="pct"/>
            <w:vAlign w:val="center"/>
          </w:tcPr>
          <w:p w14:paraId="10890BE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《多联式空调（热泵）机组能效限定值及能源效率等级》（GB21454）</w:t>
            </w:r>
          </w:p>
        </w:tc>
      </w:tr>
      <w:tr w14:paraId="5E9C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A5188AF">
            <w:pPr>
              <w:spacing w:line="300" w:lineRule="auto"/>
              <w:jc w:val="center"/>
              <w:rPr>
                <w:rFonts w:ascii="宋体" w:hAnsi="宋体" w:eastAsia="宋体"/>
                <w:color w:val="auto"/>
                <w:sz w:val="20"/>
                <w:szCs w:val="20"/>
                <w:highlight w:val="none"/>
              </w:rPr>
            </w:pPr>
          </w:p>
        </w:tc>
        <w:tc>
          <w:tcPr>
            <w:tcW w:w="609" w:type="pct"/>
            <w:vMerge w:val="continue"/>
            <w:vAlign w:val="center"/>
          </w:tcPr>
          <w:p w14:paraId="6D8A1804">
            <w:pPr>
              <w:spacing w:line="300" w:lineRule="auto"/>
              <w:jc w:val="center"/>
              <w:rPr>
                <w:rFonts w:ascii="宋体" w:hAnsi="宋体" w:eastAsia="宋体"/>
                <w:color w:val="auto"/>
                <w:sz w:val="20"/>
                <w:szCs w:val="20"/>
                <w:highlight w:val="none"/>
              </w:rPr>
            </w:pPr>
          </w:p>
        </w:tc>
        <w:tc>
          <w:tcPr>
            <w:tcW w:w="891" w:type="pct"/>
            <w:vMerge w:val="continue"/>
            <w:vAlign w:val="center"/>
          </w:tcPr>
          <w:p w14:paraId="49D8E9CC">
            <w:pPr>
              <w:spacing w:line="300" w:lineRule="auto"/>
              <w:jc w:val="center"/>
              <w:rPr>
                <w:rFonts w:ascii="宋体" w:hAnsi="宋体" w:eastAsia="宋体"/>
                <w:color w:val="auto"/>
                <w:sz w:val="20"/>
                <w:szCs w:val="20"/>
                <w:highlight w:val="none"/>
              </w:rPr>
            </w:pPr>
          </w:p>
        </w:tc>
        <w:tc>
          <w:tcPr>
            <w:tcW w:w="753" w:type="pct"/>
            <w:vAlign w:val="center"/>
          </w:tcPr>
          <w:p w14:paraId="1CCFE1F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单元式空气调节机（制冷量≤14000W）</w:t>
            </w:r>
          </w:p>
        </w:tc>
        <w:tc>
          <w:tcPr>
            <w:tcW w:w="2536" w:type="pct"/>
            <w:vAlign w:val="center"/>
          </w:tcPr>
          <w:p w14:paraId="1CC76AB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《单元式空气调节机能效限定值及能源效率等级》（GB19576）《风管送风式空调机组能效限定值及能效等级》（GB37479）</w:t>
            </w:r>
          </w:p>
        </w:tc>
      </w:tr>
      <w:tr w14:paraId="70EF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B399745">
            <w:pPr>
              <w:spacing w:line="300" w:lineRule="auto"/>
              <w:jc w:val="center"/>
              <w:rPr>
                <w:rFonts w:ascii="宋体" w:hAnsi="宋体" w:eastAsia="宋体"/>
                <w:color w:val="auto"/>
                <w:sz w:val="20"/>
                <w:szCs w:val="20"/>
                <w:highlight w:val="none"/>
              </w:rPr>
            </w:pPr>
          </w:p>
        </w:tc>
        <w:tc>
          <w:tcPr>
            <w:tcW w:w="609" w:type="pct"/>
            <w:vMerge w:val="continue"/>
            <w:vAlign w:val="center"/>
          </w:tcPr>
          <w:p w14:paraId="1537C2D2">
            <w:pPr>
              <w:spacing w:line="300" w:lineRule="auto"/>
              <w:jc w:val="center"/>
              <w:rPr>
                <w:rFonts w:ascii="宋体" w:hAnsi="宋体" w:eastAsia="宋体"/>
                <w:color w:val="auto"/>
                <w:sz w:val="20"/>
                <w:szCs w:val="20"/>
                <w:highlight w:val="none"/>
              </w:rPr>
            </w:pPr>
          </w:p>
        </w:tc>
        <w:tc>
          <w:tcPr>
            <w:tcW w:w="891" w:type="pct"/>
            <w:vAlign w:val="center"/>
          </w:tcPr>
          <w:p w14:paraId="1B2B7DF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A0206180301洗衣机</w:t>
            </w:r>
          </w:p>
        </w:tc>
        <w:tc>
          <w:tcPr>
            <w:tcW w:w="753" w:type="pct"/>
            <w:vAlign w:val="center"/>
          </w:tcPr>
          <w:p w14:paraId="31F02089">
            <w:pPr>
              <w:spacing w:line="300" w:lineRule="auto"/>
              <w:jc w:val="center"/>
              <w:rPr>
                <w:rFonts w:ascii="宋体" w:hAnsi="宋体" w:eastAsia="宋体"/>
                <w:color w:val="auto"/>
                <w:sz w:val="20"/>
                <w:szCs w:val="20"/>
                <w:highlight w:val="none"/>
              </w:rPr>
            </w:pPr>
          </w:p>
        </w:tc>
        <w:tc>
          <w:tcPr>
            <w:tcW w:w="2536" w:type="pct"/>
            <w:vAlign w:val="center"/>
          </w:tcPr>
          <w:p w14:paraId="66BD065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《电动洗衣机能效水效限定值及等级》（GB12021.4）</w:t>
            </w:r>
          </w:p>
        </w:tc>
      </w:tr>
      <w:tr w14:paraId="2A42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20C0AD7E">
            <w:pPr>
              <w:spacing w:line="300" w:lineRule="auto"/>
              <w:jc w:val="center"/>
              <w:rPr>
                <w:rFonts w:ascii="宋体" w:hAnsi="宋体" w:eastAsia="宋体"/>
                <w:color w:val="auto"/>
                <w:sz w:val="20"/>
                <w:szCs w:val="20"/>
                <w:highlight w:val="none"/>
              </w:rPr>
            </w:pPr>
          </w:p>
        </w:tc>
        <w:tc>
          <w:tcPr>
            <w:tcW w:w="609" w:type="pct"/>
            <w:vMerge w:val="continue"/>
            <w:vAlign w:val="center"/>
          </w:tcPr>
          <w:p w14:paraId="74A7D062">
            <w:pPr>
              <w:spacing w:line="300" w:lineRule="auto"/>
              <w:jc w:val="center"/>
              <w:rPr>
                <w:rFonts w:ascii="宋体" w:hAnsi="宋体" w:eastAsia="宋体"/>
                <w:color w:val="auto"/>
                <w:sz w:val="20"/>
                <w:szCs w:val="20"/>
                <w:highlight w:val="none"/>
              </w:rPr>
            </w:pPr>
          </w:p>
        </w:tc>
        <w:tc>
          <w:tcPr>
            <w:tcW w:w="891" w:type="pct"/>
            <w:vMerge w:val="restart"/>
            <w:vAlign w:val="center"/>
          </w:tcPr>
          <w:p w14:paraId="4796C28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A02061808热水器</w:t>
            </w:r>
          </w:p>
        </w:tc>
        <w:tc>
          <w:tcPr>
            <w:tcW w:w="753" w:type="pct"/>
            <w:vAlign w:val="center"/>
          </w:tcPr>
          <w:p w14:paraId="43F9473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★电热水器</w:t>
            </w:r>
          </w:p>
        </w:tc>
        <w:tc>
          <w:tcPr>
            <w:tcW w:w="2536" w:type="pct"/>
            <w:vAlign w:val="center"/>
          </w:tcPr>
          <w:p w14:paraId="4F455D3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《储水式电热水器能效限定值及能效等级》（GB21519）</w:t>
            </w:r>
          </w:p>
        </w:tc>
      </w:tr>
      <w:tr w14:paraId="7C71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0BDBA030">
            <w:pPr>
              <w:spacing w:line="300" w:lineRule="auto"/>
              <w:jc w:val="center"/>
              <w:rPr>
                <w:rFonts w:ascii="宋体" w:hAnsi="宋体" w:eastAsia="宋体"/>
                <w:color w:val="auto"/>
                <w:sz w:val="20"/>
                <w:szCs w:val="20"/>
                <w:highlight w:val="none"/>
              </w:rPr>
            </w:pPr>
          </w:p>
        </w:tc>
        <w:tc>
          <w:tcPr>
            <w:tcW w:w="609" w:type="pct"/>
            <w:vMerge w:val="continue"/>
            <w:vAlign w:val="center"/>
          </w:tcPr>
          <w:p w14:paraId="63B49A40">
            <w:pPr>
              <w:spacing w:line="300" w:lineRule="auto"/>
              <w:jc w:val="center"/>
              <w:rPr>
                <w:rFonts w:ascii="宋体" w:hAnsi="宋体" w:eastAsia="宋体"/>
                <w:color w:val="auto"/>
                <w:sz w:val="20"/>
                <w:szCs w:val="20"/>
                <w:highlight w:val="none"/>
              </w:rPr>
            </w:pPr>
          </w:p>
        </w:tc>
        <w:tc>
          <w:tcPr>
            <w:tcW w:w="891" w:type="pct"/>
            <w:vMerge w:val="continue"/>
            <w:vAlign w:val="center"/>
          </w:tcPr>
          <w:p w14:paraId="2D3E9DAB">
            <w:pPr>
              <w:spacing w:line="300" w:lineRule="auto"/>
              <w:jc w:val="center"/>
              <w:rPr>
                <w:rFonts w:ascii="宋体" w:hAnsi="宋体" w:eastAsia="宋体"/>
                <w:color w:val="auto"/>
                <w:sz w:val="20"/>
                <w:szCs w:val="20"/>
                <w:highlight w:val="none"/>
              </w:rPr>
            </w:pPr>
          </w:p>
        </w:tc>
        <w:tc>
          <w:tcPr>
            <w:tcW w:w="753" w:type="pct"/>
            <w:vAlign w:val="center"/>
          </w:tcPr>
          <w:p w14:paraId="6E0E2B2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燃气热水器</w:t>
            </w:r>
          </w:p>
        </w:tc>
        <w:tc>
          <w:tcPr>
            <w:tcW w:w="2536" w:type="pct"/>
            <w:vAlign w:val="center"/>
          </w:tcPr>
          <w:p w14:paraId="5B9EBC6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《家用燃气快速热水器和燃气采暖热水炉能效限定值及能效等级》（GB20665）</w:t>
            </w:r>
          </w:p>
        </w:tc>
      </w:tr>
      <w:tr w14:paraId="6ACE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51026B3">
            <w:pPr>
              <w:spacing w:line="300" w:lineRule="auto"/>
              <w:jc w:val="center"/>
              <w:rPr>
                <w:rFonts w:ascii="宋体" w:hAnsi="宋体" w:eastAsia="宋体"/>
                <w:color w:val="auto"/>
                <w:sz w:val="20"/>
                <w:szCs w:val="20"/>
                <w:highlight w:val="none"/>
              </w:rPr>
            </w:pPr>
          </w:p>
        </w:tc>
        <w:tc>
          <w:tcPr>
            <w:tcW w:w="609" w:type="pct"/>
            <w:vMerge w:val="continue"/>
            <w:vAlign w:val="center"/>
          </w:tcPr>
          <w:p w14:paraId="65BE2501">
            <w:pPr>
              <w:spacing w:line="300" w:lineRule="auto"/>
              <w:jc w:val="center"/>
              <w:rPr>
                <w:rFonts w:ascii="宋体" w:hAnsi="宋体" w:eastAsia="宋体"/>
                <w:color w:val="auto"/>
                <w:sz w:val="20"/>
                <w:szCs w:val="20"/>
                <w:highlight w:val="none"/>
              </w:rPr>
            </w:pPr>
          </w:p>
        </w:tc>
        <w:tc>
          <w:tcPr>
            <w:tcW w:w="891" w:type="pct"/>
            <w:vMerge w:val="continue"/>
            <w:vAlign w:val="center"/>
          </w:tcPr>
          <w:p w14:paraId="7C7C4D64">
            <w:pPr>
              <w:spacing w:line="300" w:lineRule="auto"/>
              <w:jc w:val="center"/>
              <w:rPr>
                <w:rFonts w:ascii="宋体" w:hAnsi="宋体" w:eastAsia="宋体"/>
                <w:color w:val="auto"/>
                <w:sz w:val="20"/>
                <w:szCs w:val="20"/>
                <w:highlight w:val="none"/>
              </w:rPr>
            </w:pPr>
          </w:p>
        </w:tc>
        <w:tc>
          <w:tcPr>
            <w:tcW w:w="753" w:type="pct"/>
            <w:vAlign w:val="center"/>
          </w:tcPr>
          <w:p w14:paraId="47DBDCE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热泵热水器</w:t>
            </w:r>
          </w:p>
        </w:tc>
        <w:tc>
          <w:tcPr>
            <w:tcW w:w="2536" w:type="pct"/>
            <w:vAlign w:val="center"/>
          </w:tcPr>
          <w:p w14:paraId="5AD86E3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《热泵热水机（器）能效限定值及能效等级》（GB29541）</w:t>
            </w:r>
          </w:p>
        </w:tc>
      </w:tr>
      <w:tr w14:paraId="60B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D76B619">
            <w:pPr>
              <w:spacing w:line="300" w:lineRule="auto"/>
              <w:jc w:val="center"/>
              <w:rPr>
                <w:rFonts w:ascii="宋体" w:hAnsi="宋体" w:eastAsia="宋体"/>
                <w:color w:val="auto"/>
                <w:sz w:val="20"/>
                <w:szCs w:val="20"/>
                <w:highlight w:val="none"/>
              </w:rPr>
            </w:pPr>
          </w:p>
        </w:tc>
        <w:tc>
          <w:tcPr>
            <w:tcW w:w="609" w:type="pct"/>
            <w:vMerge w:val="continue"/>
            <w:vAlign w:val="center"/>
          </w:tcPr>
          <w:p w14:paraId="441F2D80">
            <w:pPr>
              <w:spacing w:line="300" w:lineRule="auto"/>
              <w:jc w:val="center"/>
              <w:rPr>
                <w:rFonts w:ascii="宋体" w:hAnsi="宋体" w:eastAsia="宋体"/>
                <w:color w:val="auto"/>
                <w:sz w:val="20"/>
                <w:szCs w:val="20"/>
                <w:highlight w:val="none"/>
              </w:rPr>
            </w:pPr>
          </w:p>
        </w:tc>
        <w:tc>
          <w:tcPr>
            <w:tcW w:w="891" w:type="pct"/>
            <w:vMerge w:val="continue"/>
            <w:vAlign w:val="center"/>
          </w:tcPr>
          <w:p w14:paraId="7CB3B1AD">
            <w:pPr>
              <w:spacing w:line="300" w:lineRule="auto"/>
              <w:jc w:val="center"/>
              <w:rPr>
                <w:rFonts w:ascii="宋体" w:hAnsi="宋体" w:eastAsia="宋体"/>
                <w:color w:val="auto"/>
                <w:sz w:val="20"/>
                <w:szCs w:val="20"/>
                <w:highlight w:val="none"/>
              </w:rPr>
            </w:pPr>
          </w:p>
        </w:tc>
        <w:tc>
          <w:tcPr>
            <w:tcW w:w="753" w:type="pct"/>
            <w:vAlign w:val="center"/>
          </w:tcPr>
          <w:p w14:paraId="77BBAF1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太阳能热水系统</w:t>
            </w:r>
          </w:p>
        </w:tc>
        <w:tc>
          <w:tcPr>
            <w:tcW w:w="2536" w:type="pct"/>
            <w:vAlign w:val="center"/>
          </w:tcPr>
          <w:p w14:paraId="3ADB2F2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《家用太阳能热水系统能效限定值及能效等级》（GB26969）</w:t>
            </w:r>
          </w:p>
        </w:tc>
      </w:tr>
      <w:tr w14:paraId="7061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65633DE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11</w:t>
            </w:r>
          </w:p>
        </w:tc>
        <w:tc>
          <w:tcPr>
            <w:tcW w:w="609" w:type="pct"/>
            <w:vMerge w:val="restart"/>
            <w:vAlign w:val="center"/>
          </w:tcPr>
          <w:p w14:paraId="3119C32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A020619照明设备</w:t>
            </w:r>
          </w:p>
        </w:tc>
        <w:tc>
          <w:tcPr>
            <w:tcW w:w="891" w:type="pct"/>
            <w:vAlign w:val="center"/>
          </w:tcPr>
          <w:p w14:paraId="4C79523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★普通照明用双端荧光灯</w:t>
            </w:r>
          </w:p>
        </w:tc>
        <w:tc>
          <w:tcPr>
            <w:tcW w:w="753" w:type="pct"/>
            <w:vAlign w:val="center"/>
          </w:tcPr>
          <w:p w14:paraId="3D456B56">
            <w:pPr>
              <w:spacing w:line="300" w:lineRule="auto"/>
              <w:jc w:val="center"/>
              <w:rPr>
                <w:rFonts w:ascii="宋体" w:hAnsi="宋体" w:eastAsia="宋体"/>
                <w:color w:val="auto"/>
                <w:sz w:val="20"/>
                <w:szCs w:val="20"/>
                <w:highlight w:val="none"/>
              </w:rPr>
            </w:pPr>
          </w:p>
        </w:tc>
        <w:tc>
          <w:tcPr>
            <w:tcW w:w="2536" w:type="pct"/>
            <w:vAlign w:val="center"/>
          </w:tcPr>
          <w:p w14:paraId="3E5D370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《普通照明用双端荧光灯能效限定值及能效等级》（GB19043）</w:t>
            </w:r>
          </w:p>
        </w:tc>
      </w:tr>
      <w:tr w14:paraId="7346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110D5C7">
            <w:pPr>
              <w:spacing w:line="300" w:lineRule="auto"/>
              <w:jc w:val="center"/>
              <w:rPr>
                <w:rFonts w:ascii="宋体" w:hAnsi="宋体" w:eastAsia="宋体"/>
                <w:color w:val="auto"/>
                <w:sz w:val="20"/>
                <w:szCs w:val="20"/>
                <w:highlight w:val="none"/>
              </w:rPr>
            </w:pPr>
          </w:p>
        </w:tc>
        <w:tc>
          <w:tcPr>
            <w:tcW w:w="609" w:type="pct"/>
            <w:vMerge w:val="continue"/>
            <w:vAlign w:val="center"/>
          </w:tcPr>
          <w:p w14:paraId="12995326">
            <w:pPr>
              <w:spacing w:line="300" w:lineRule="auto"/>
              <w:jc w:val="center"/>
              <w:rPr>
                <w:rFonts w:ascii="宋体" w:hAnsi="宋体" w:eastAsia="宋体"/>
                <w:color w:val="auto"/>
                <w:sz w:val="20"/>
                <w:szCs w:val="20"/>
                <w:highlight w:val="none"/>
              </w:rPr>
            </w:pPr>
          </w:p>
        </w:tc>
        <w:tc>
          <w:tcPr>
            <w:tcW w:w="891" w:type="pct"/>
            <w:vAlign w:val="center"/>
          </w:tcPr>
          <w:p w14:paraId="62B5B9A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LED道路/隧道照明产品</w:t>
            </w:r>
          </w:p>
        </w:tc>
        <w:tc>
          <w:tcPr>
            <w:tcW w:w="753" w:type="pct"/>
            <w:vAlign w:val="center"/>
          </w:tcPr>
          <w:p w14:paraId="33BE777F">
            <w:pPr>
              <w:spacing w:line="300" w:lineRule="auto"/>
              <w:jc w:val="center"/>
              <w:rPr>
                <w:rFonts w:ascii="宋体" w:hAnsi="宋体" w:eastAsia="宋体"/>
                <w:color w:val="auto"/>
                <w:sz w:val="20"/>
                <w:szCs w:val="20"/>
                <w:highlight w:val="none"/>
              </w:rPr>
            </w:pPr>
          </w:p>
        </w:tc>
        <w:tc>
          <w:tcPr>
            <w:tcW w:w="2536" w:type="pct"/>
            <w:vAlign w:val="center"/>
          </w:tcPr>
          <w:p w14:paraId="039A5D3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《道路和隧道照明用LED灯具能效限定值及能效等级》（GB37478）</w:t>
            </w:r>
          </w:p>
        </w:tc>
      </w:tr>
      <w:tr w14:paraId="1EC5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0E90E596">
            <w:pPr>
              <w:spacing w:line="300" w:lineRule="auto"/>
              <w:jc w:val="center"/>
              <w:rPr>
                <w:rFonts w:ascii="宋体" w:hAnsi="宋体" w:eastAsia="宋体"/>
                <w:color w:val="auto"/>
                <w:sz w:val="20"/>
                <w:szCs w:val="20"/>
                <w:highlight w:val="none"/>
              </w:rPr>
            </w:pPr>
          </w:p>
        </w:tc>
        <w:tc>
          <w:tcPr>
            <w:tcW w:w="609" w:type="pct"/>
            <w:vMerge w:val="continue"/>
            <w:vAlign w:val="center"/>
          </w:tcPr>
          <w:p w14:paraId="1418DA64">
            <w:pPr>
              <w:spacing w:line="300" w:lineRule="auto"/>
              <w:jc w:val="center"/>
              <w:rPr>
                <w:rFonts w:ascii="宋体" w:hAnsi="宋体" w:eastAsia="宋体"/>
                <w:color w:val="auto"/>
                <w:sz w:val="20"/>
                <w:szCs w:val="20"/>
                <w:highlight w:val="none"/>
              </w:rPr>
            </w:pPr>
          </w:p>
        </w:tc>
        <w:tc>
          <w:tcPr>
            <w:tcW w:w="891" w:type="pct"/>
            <w:vAlign w:val="center"/>
          </w:tcPr>
          <w:p w14:paraId="3952AE7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LED筒灯</w:t>
            </w:r>
          </w:p>
        </w:tc>
        <w:tc>
          <w:tcPr>
            <w:tcW w:w="753" w:type="pct"/>
            <w:vAlign w:val="center"/>
          </w:tcPr>
          <w:p w14:paraId="0EB722C0">
            <w:pPr>
              <w:spacing w:line="300" w:lineRule="auto"/>
              <w:jc w:val="center"/>
              <w:rPr>
                <w:rFonts w:ascii="宋体" w:hAnsi="宋体" w:eastAsia="宋体"/>
                <w:color w:val="auto"/>
                <w:sz w:val="20"/>
                <w:szCs w:val="20"/>
                <w:highlight w:val="none"/>
              </w:rPr>
            </w:pPr>
          </w:p>
        </w:tc>
        <w:tc>
          <w:tcPr>
            <w:tcW w:w="2536" w:type="pct"/>
            <w:vAlign w:val="center"/>
          </w:tcPr>
          <w:p w14:paraId="6810226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《室内照明用LED产品能效限定值及能效等级》（GB30255）</w:t>
            </w:r>
          </w:p>
        </w:tc>
      </w:tr>
      <w:tr w14:paraId="332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A7EE639">
            <w:pPr>
              <w:spacing w:line="300" w:lineRule="auto"/>
              <w:jc w:val="center"/>
              <w:rPr>
                <w:rFonts w:ascii="宋体" w:hAnsi="宋体" w:eastAsia="宋体"/>
                <w:color w:val="auto"/>
                <w:sz w:val="20"/>
                <w:szCs w:val="20"/>
                <w:highlight w:val="none"/>
              </w:rPr>
            </w:pPr>
          </w:p>
        </w:tc>
        <w:tc>
          <w:tcPr>
            <w:tcW w:w="609" w:type="pct"/>
            <w:vMerge w:val="continue"/>
            <w:vAlign w:val="center"/>
          </w:tcPr>
          <w:p w14:paraId="6468A0CB">
            <w:pPr>
              <w:spacing w:line="300" w:lineRule="auto"/>
              <w:jc w:val="center"/>
              <w:rPr>
                <w:rFonts w:ascii="宋体" w:hAnsi="宋体" w:eastAsia="宋体"/>
                <w:color w:val="auto"/>
                <w:sz w:val="20"/>
                <w:szCs w:val="20"/>
                <w:highlight w:val="none"/>
              </w:rPr>
            </w:pPr>
          </w:p>
        </w:tc>
        <w:tc>
          <w:tcPr>
            <w:tcW w:w="891" w:type="pct"/>
            <w:vAlign w:val="center"/>
          </w:tcPr>
          <w:p w14:paraId="4FACCD2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普通照明用非定向自镇流LED灯</w:t>
            </w:r>
          </w:p>
        </w:tc>
        <w:tc>
          <w:tcPr>
            <w:tcW w:w="753" w:type="pct"/>
            <w:vAlign w:val="center"/>
          </w:tcPr>
          <w:p w14:paraId="69B99232">
            <w:pPr>
              <w:spacing w:line="300" w:lineRule="auto"/>
              <w:jc w:val="center"/>
              <w:rPr>
                <w:rFonts w:ascii="宋体" w:hAnsi="宋体" w:eastAsia="宋体"/>
                <w:color w:val="auto"/>
                <w:sz w:val="20"/>
                <w:szCs w:val="20"/>
                <w:highlight w:val="none"/>
              </w:rPr>
            </w:pPr>
          </w:p>
        </w:tc>
        <w:tc>
          <w:tcPr>
            <w:tcW w:w="2536" w:type="pct"/>
            <w:vAlign w:val="center"/>
          </w:tcPr>
          <w:p w14:paraId="7E3BEC5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《室内照明用LED产品能效限定值及能效等级》（GB30255）</w:t>
            </w:r>
          </w:p>
        </w:tc>
      </w:tr>
      <w:tr w14:paraId="0AB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ACA583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12</w:t>
            </w:r>
          </w:p>
        </w:tc>
        <w:tc>
          <w:tcPr>
            <w:tcW w:w="609" w:type="pct"/>
            <w:vAlign w:val="center"/>
          </w:tcPr>
          <w:p w14:paraId="1EFF43C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★A020910电视设备</w:t>
            </w:r>
          </w:p>
        </w:tc>
        <w:tc>
          <w:tcPr>
            <w:tcW w:w="891" w:type="pct"/>
            <w:vAlign w:val="center"/>
          </w:tcPr>
          <w:p w14:paraId="0952E91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A02091001普通电视设备（电视机）</w:t>
            </w:r>
          </w:p>
        </w:tc>
        <w:tc>
          <w:tcPr>
            <w:tcW w:w="753" w:type="pct"/>
            <w:vAlign w:val="center"/>
          </w:tcPr>
          <w:p w14:paraId="1CEDDA44">
            <w:pPr>
              <w:spacing w:line="300" w:lineRule="auto"/>
              <w:jc w:val="center"/>
              <w:rPr>
                <w:rFonts w:ascii="宋体" w:hAnsi="宋体" w:eastAsia="宋体"/>
                <w:color w:val="auto"/>
                <w:sz w:val="20"/>
                <w:szCs w:val="20"/>
                <w:highlight w:val="none"/>
              </w:rPr>
            </w:pPr>
          </w:p>
        </w:tc>
        <w:tc>
          <w:tcPr>
            <w:tcW w:w="2536" w:type="pct"/>
            <w:vAlign w:val="center"/>
          </w:tcPr>
          <w:p w14:paraId="1C232AA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《平板电视能效限定值及能效等级》（GB24850）</w:t>
            </w:r>
          </w:p>
        </w:tc>
      </w:tr>
      <w:tr w14:paraId="7D3B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34B38DA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13</w:t>
            </w:r>
          </w:p>
        </w:tc>
        <w:tc>
          <w:tcPr>
            <w:tcW w:w="609" w:type="pct"/>
            <w:vAlign w:val="center"/>
          </w:tcPr>
          <w:p w14:paraId="4DA77A8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★A020911视频设备</w:t>
            </w:r>
          </w:p>
        </w:tc>
        <w:tc>
          <w:tcPr>
            <w:tcW w:w="891" w:type="pct"/>
            <w:vAlign w:val="center"/>
          </w:tcPr>
          <w:p w14:paraId="44DC4D6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A02091107视频监控设备</w:t>
            </w:r>
          </w:p>
        </w:tc>
        <w:tc>
          <w:tcPr>
            <w:tcW w:w="753" w:type="pct"/>
            <w:vAlign w:val="center"/>
          </w:tcPr>
          <w:p w14:paraId="0B1B65BF">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监视器</w:t>
            </w:r>
          </w:p>
        </w:tc>
        <w:tc>
          <w:tcPr>
            <w:tcW w:w="2536" w:type="pct"/>
            <w:vAlign w:val="center"/>
          </w:tcPr>
          <w:p w14:paraId="1C9DF94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18D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DDDB6A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14</w:t>
            </w:r>
          </w:p>
        </w:tc>
        <w:tc>
          <w:tcPr>
            <w:tcW w:w="609" w:type="pct"/>
            <w:vAlign w:val="center"/>
          </w:tcPr>
          <w:p w14:paraId="7E6EEDF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A031210饮食炊事机械</w:t>
            </w:r>
          </w:p>
        </w:tc>
        <w:tc>
          <w:tcPr>
            <w:tcW w:w="891" w:type="pct"/>
            <w:vAlign w:val="center"/>
          </w:tcPr>
          <w:p w14:paraId="151348B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商用燃气灶具</w:t>
            </w:r>
          </w:p>
        </w:tc>
        <w:tc>
          <w:tcPr>
            <w:tcW w:w="753" w:type="pct"/>
            <w:vAlign w:val="center"/>
          </w:tcPr>
          <w:p w14:paraId="2923C6B7">
            <w:pPr>
              <w:spacing w:line="300" w:lineRule="auto"/>
              <w:jc w:val="center"/>
              <w:rPr>
                <w:rFonts w:ascii="宋体" w:hAnsi="宋体" w:eastAsia="宋体"/>
                <w:color w:val="auto"/>
                <w:sz w:val="20"/>
                <w:szCs w:val="20"/>
                <w:highlight w:val="none"/>
              </w:rPr>
            </w:pPr>
          </w:p>
        </w:tc>
        <w:tc>
          <w:tcPr>
            <w:tcW w:w="2536" w:type="pct"/>
            <w:vAlign w:val="center"/>
          </w:tcPr>
          <w:p w14:paraId="1D2A2B1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《商用燃气灶具能效限定值及能效等级》（GB30531）</w:t>
            </w:r>
          </w:p>
        </w:tc>
      </w:tr>
      <w:tr w14:paraId="6CFF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62E4974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15</w:t>
            </w:r>
          </w:p>
        </w:tc>
        <w:tc>
          <w:tcPr>
            <w:tcW w:w="609" w:type="pct"/>
            <w:vMerge w:val="restart"/>
            <w:vAlign w:val="center"/>
          </w:tcPr>
          <w:p w14:paraId="0CED6F5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★A060805便器</w:t>
            </w:r>
          </w:p>
        </w:tc>
        <w:tc>
          <w:tcPr>
            <w:tcW w:w="891" w:type="pct"/>
            <w:vAlign w:val="center"/>
          </w:tcPr>
          <w:p w14:paraId="3A54A62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坐便器</w:t>
            </w:r>
          </w:p>
        </w:tc>
        <w:tc>
          <w:tcPr>
            <w:tcW w:w="753" w:type="pct"/>
            <w:vAlign w:val="center"/>
          </w:tcPr>
          <w:p w14:paraId="45195E53">
            <w:pPr>
              <w:spacing w:line="300" w:lineRule="auto"/>
              <w:jc w:val="center"/>
              <w:rPr>
                <w:rFonts w:ascii="宋体" w:hAnsi="宋体" w:eastAsia="宋体"/>
                <w:color w:val="auto"/>
                <w:sz w:val="20"/>
                <w:szCs w:val="20"/>
                <w:highlight w:val="none"/>
              </w:rPr>
            </w:pPr>
          </w:p>
        </w:tc>
        <w:tc>
          <w:tcPr>
            <w:tcW w:w="2536" w:type="pct"/>
            <w:vAlign w:val="center"/>
          </w:tcPr>
          <w:p w14:paraId="6C4954A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《坐便器水效限定值及水效等级》（GB25502）</w:t>
            </w:r>
          </w:p>
        </w:tc>
      </w:tr>
      <w:tr w14:paraId="08AD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DDCC0DE">
            <w:pPr>
              <w:spacing w:line="300" w:lineRule="auto"/>
              <w:jc w:val="center"/>
              <w:rPr>
                <w:rFonts w:ascii="宋体" w:hAnsi="宋体" w:eastAsia="宋体"/>
                <w:color w:val="auto"/>
                <w:sz w:val="20"/>
                <w:szCs w:val="20"/>
                <w:highlight w:val="none"/>
              </w:rPr>
            </w:pPr>
          </w:p>
        </w:tc>
        <w:tc>
          <w:tcPr>
            <w:tcW w:w="609" w:type="pct"/>
            <w:vMerge w:val="continue"/>
            <w:vAlign w:val="center"/>
          </w:tcPr>
          <w:p w14:paraId="239C0D2C">
            <w:pPr>
              <w:spacing w:line="300" w:lineRule="auto"/>
              <w:jc w:val="center"/>
              <w:rPr>
                <w:rFonts w:ascii="宋体" w:hAnsi="宋体" w:eastAsia="宋体"/>
                <w:color w:val="auto"/>
                <w:sz w:val="20"/>
                <w:szCs w:val="20"/>
                <w:highlight w:val="none"/>
              </w:rPr>
            </w:pPr>
          </w:p>
        </w:tc>
        <w:tc>
          <w:tcPr>
            <w:tcW w:w="891" w:type="pct"/>
            <w:vAlign w:val="center"/>
          </w:tcPr>
          <w:p w14:paraId="474027C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蹲便器</w:t>
            </w:r>
          </w:p>
        </w:tc>
        <w:tc>
          <w:tcPr>
            <w:tcW w:w="753" w:type="pct"/>
            <w:vAlign w:val="center"/>
          </w:tcPr>
          <w:p w14:paraId="422009C3">
            <w:pPr>
              <w:spacing w:line="300" w:lineRule="auto"/>
              <w:jc w:val="center"/>
              <w:rPr>
                <w:rFonts w:ascii="宋体" w:hAnsi="宋体" w:eastAsia="宋体"/>
                <w:color w:val="auto"/>
                <w:sz w:val="20"/>
                <w:szCs w:val="20"/>
                <w:highlight w:val="none"/>
              </w:rPr>
            </w:pPr>
          </w:p>
        </w:tc>
        <w:tc>
          <w:tcPr>
            <w:tcW w:w="2536" w:type="pct"/>
            <w:vAlign w:val="center"/>
          </w:tcPr>
          <w:p w14:paraId="7A6210B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《蹲便器用水效率限定值及用水效率等级》（GB30717）</w:t>
            </w:r>
          </w:p>
        </w:tc>
      </w:tr>
      <w:tr w14:paraId="3870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2AFFE85">
            <w:pPr>
              <w:spacing w:line="300" w:lineRule="auto"/>
              <w:jc w:val="center"/>
              <w:rPr>
                <w:rFonts w:ascii="宋体" w:hAnsi="宋体" w:eastAsia="宋体"/>
                <w:color w:val="auto"/>
                <w:sz w:val="20"/>
                <w:szCs w:val="20"/>
                <w:highlight w:val="none"/>
              </w:rPr>
            </w:pPr>
          </w:p>
        </w:tc>
        <w:tc>
          <w:tcPr>
            <w:tcW w:w="609" w:type="pct"/>
            <w:vMerge w:val="continue"/>
            <w:vAlign w:val="center"/>
          </w:tcPr>
          <w:p w14:paraId="7718C997">
            <w:pPr>
              <w:spacing w:line="300" w:lineRule="auto"/>
              <w:jc w:val="center"/>
              <w:rPr>
                <w:rFonts w:ascii="宋体" w:hAnsi="宋体" w:eastAsia="宋体"/>
                <w:color w:val="auto"/>
                <w:sz w:val="20"/>
                <w:szCs w:val="20"/>
                <w:highlight w:val="none"/>
              </w:rPr>
            </w:pPr>
          </w:p>
        </w:tc>
        <w:tc>
          <w:tcPr>
            <w:tcW w:w="891" w:type="pct"/>
            <w:vAlign w:val="center"/>
          </w:tcPr>
          <w:p w14:paraId="32F1E11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小便器</w:t>
            </w:r>
          </w:p>
        </w:tc>
        <w:tc>
          <w:tcPr>
            <w:tcW w:w="753" w:type="pct"/>
            <w:vAlign w:val="center"/>
          </w:tcPr>
          <w:p w14:paraId="3BFDE125">
            <w:pPr>
              <w:spacing w:line="300" w:lineRule="auto"/>
              <w:jc w:val="center"/>
              <w:rPr>
                <w:rFonts w:ascii="宋体" w:hAnsi="宋体" w:eastAsia="宋体"/>
                <w:color w:val="auto"/>
                <w:sz w:val="20"/>
                <w:szCs w:val="20"/>
                <w:highlight w:val="none"/>
              </w:rPr>
            </w:pPr>
          </w:p>
        </w:tc>
        <w:tc>
          <w:tcPr>
            <w:tcW w:w="2536" w:type="pct"/>
            <w:vAlign w:val="center"/>
          </w:tcPr>
          <w:p w14:paraId="5AFDC9A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《小便器用水效率限定值及用水效率等级》（GB28377）</w:t>
            </w:r>
          </w:p>
        </w:tc>
      </w:tr>
      <w:tr w14:paraId="6EFF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A00C89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16</w:t>
            </w:r>
          </w:p>
        </w:tc>
        <w:tc>
          <w:tcPr>
            <w:tcW w:w="609" w:type="pct"/>
            <w:vAlign w:val="center"/>
          </w:tcPr>
          <w:p w14:paraId="1E1B44E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★A060806水嘴</w:t>
            </w:r>
          </w:p>
        </w:tc>
        <w:tc>
          <w:tcPr>
            <w:tcW w:w="891" w:type="pct"/>
            <w:vAlign w:val="center"/>
          </w:tcPr>
          <w:p w14:paraId="55548B82">
            <w:pPr>
              <w:spacing w:line="300" w:lineRule="auto"/>
              <w:jc w:val="center"/>
              <w:rPr>
                <w:rFonts w:ascii="宋体" w:hAnsi="宋体" w:eastAsia="宋体"/>
                <w:color w:val="auto"/>
                <w:sz w:val="20"/>
                <w:szCs w:val="20"/>
                <w:highlight w:val="none"/>
              </w:rPr>
            </w:pPr>
          </w:p>
        </w:tc>
        <w:tc>
          <w:tcPr>
            <w:tcW w:w="753" w:type="pct"/>
            <w:vAlign w:val="center"/>
          </w:tcPr>
          <w:p w14:paraId="3C1BC794">
            <w:pPr>
              <w:spacing w:line="300" w:lineRule="auto"/>
              <w:jc w:val="center"/>
              <w:rPr>
                <w:rFonts w:ascii="宋体" w:hAnsi="宋体" w:eastAsia="宋体"/>
                <w:color w:val="auto"/>
                <w:sz w:val="20"/>
                <w:szCs w:val="20"/>
                <w:highlight w:val="none"/>
              </w:rPr>
            </w:pPr>
          </w:p>
        </w:tc>
        <w:tc>
          <w:tcPr>
            <w:tcW w:w="2536" w:type="pct"/>
            <w:vAlign w:val="center"/>
          </w:tcPr>
          <w:p w14:paraId="51CCE16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《水嘴用水效率限定值及用水效率等级》（GB25501）</w:t>
            </w:r>
          </w:p>
        </w:tc>
      </w:tr>
      <w:tr w14:paraId="13C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6BA244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17</w:t>
            </w:r>
          </w:p>
        </w:tc>
        <w:tc>
          <w:tcPr>
            <w:tcW w:w="609" w:type="pct"/>
            <w:vAlign w:val="center"/>
          </w:tcPr>
          <w:p w14:paraId="5C17545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A060807便器冲洗阀</w:t>
            </w:r>
          </w:p>
        </w:tc>
        <w:tc>
          <w:tcPr>
            <w:tcW w:w="891" w:type="pct"/>
            <w:vAlign w:val="center"/>
          </w:tcPr>
          <w:p w14:paraId="6905DF20">
            <w:pPr>
              <w:spacing w:line="300" w:lineRule="auto"/>
              <w:jc w:val="center"/>
              <w:rPr>
                <w:rFonts w:ascii="宋体" w:hAnsi="宋体" w:eastAsia="宋体"/>
                <w:color w:val="auto"/>
                <w:sz w:val="20"/>
                <w:szCs w:val="20"/>
                <w:highlight w:val="none"/>
              </w:rPr>
            </w:pPr>
          </w:p>
        </w:tc>
        <w:tc>
          <w:tcPr>
            <w:tcW w:w="753" w:type="pct"/>
            <w:vAlign w:val="center"/>
          </w:tcPr>
          <w:p w14:paraId="61AC675E">
            <w:pPr>
              <w:spacing w:line="300" w:lineRule="auto"/>
              <w:jc w:val="center"/>
              <w:rPr>
                <w:rFonts w:ascii="宋体" w:hAnsi="宋体" w:eastAsia="宋体"/>
                <w:color w:val="auto"/>
                <w:sz w:val="20"/>
                <w:szCs w:val="20"/>
                <w:highlight w:val="none"/>
              </w:rPr>
            </w:pPr>
          </w:p>
        </w:tc>
        <w:tc>
          <w:tcPr>
            <w:tcW w:w="2536" w:type="pct"/>
            <w:vAlign w:val="center"/>
          </w:tcPr>
          <w:p w14:paraId="51CE481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《便器冲洗阀用水效率限定值及用水效率等级》（GB28379）</w:t>
            </w:r>
          </w:p>
        </w:tc>
      </w:tr>
      <w:tr w14:paraId="3AB6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7FBBAF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18</w:t>
            </w:r>
          </w:p>
        </w:tc>
        <w:tc>
          <w:tcPr>
            <w:tcW w:w="609" w:type="pct"/>
            <w:vAlign w:val="center"/>
          </w:tcPr>
          <w:p w14:paraId="4E2CE2C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A060810淋浴器</w:t>
            </w:r>
          </w:p>
        </w:tc>
        <w:tc>
          <w:tcPr>
            <w:tcW w:w="891" w:type="pct"/>
            <w:vAlign w:val="center"/>
          </w:tcPr>
          <w:p w14:paraId="310430DB">
            <w:pPr>
              <w:spacing w:line="300" w:lineRule="auto"/>
              <w:jc w:val="center"/>
              <w:rPr>
                <w:rFonts w:ascii="宋体" w:hAnsi="宋体" w:eastAsia="宋体"/>
                <w:color w:val="auto"/>
                <w:sz w:val="20"/>
                <w:szCs w:val="20"/>
                <w:highlight w:val="none"/>
              </w:rPr>
            </w:pPr>
          </w:p>
        </w:tc>
        <w:tc>
          <w:tcPr>
            <w:tcW w:w="753" w:type="pct"/>
            <w:vAlign w:val="center"/>
          </w:tcPr>
          <w:p w14:paraId="2B89A719">
            <w:pPr>
              <w:spacing w:line="300" w:lineRule="auto"/>
              <w:jc w:val="center"/>
              <w:rPr>
                <w:rFonts w:ascii="宋体" w:hAnsi="宋体" w:eastAsia="宋体"/>
                <w:color w:val="auto"/>
                <w:sz w:val="20"/>
                <w:szCs w:val="20"/>
                <w:highlight w:val="none"/>
              </w:rPr>
            </w:pPr>
          </w:p>
        </w:tc>
        <w:tc>
          <w:tcPr>
            <w:tcW w:w="2536" w:type="pct"/>
            <w:vAlign w:val="center"/>
          </w:tcPr>
          <w:p w14:paraId="34510C7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《淋浴器用水效率限定值及用水效率等级》（GB28378）</w:t>
            </w:r>
          </w:p>
        </w:tc>
      </w:tr>
    </w:tbl>
    <w:p w14:paraId="558B30B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注：1.节能产品认证应依据相关国家标准的最新版本，依据国家标准中二级能效（水效）指标。</w:t>
      </w:r>
    </w:p>
    <w:p w14:paraId="2C938BE6">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2.以“★”标注的为政府强制采购产品。</w:t>
      </w:r>
    </w:p>
    <w:p w14:paraId="39E32DC8">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6FE64397">
      <w:pPr>
        <w:spacing w:line="360" w:lineRule="auto"/>
        <w:rPr>
          <w:rFonts w:ascii="宋体" w:hAnsi="宋体" w:eastAsia="宋体"/>
          <w:b/>
          <w:color w:val="auto"/>
          <w:sz w:val="32"/>
          <w:szCs w:val="32"/>
          <w:highlight w:val="none"/>
        </w:rPr>
      </w:pPr>
      <w:r>
        <w:rPr>
          <w:rFonts w:hint="eastAsia" w:ascii="宋体" w:hAnsi="宋体" w:eastAsia="宋体"/>
          <w:b/>
          <w:color w:val="auto"/>
          <w:sz w:val="32"/>
          <w:szCs w:val="32"/>
          <w:highlight w:val="none"/>
        </w:rPr>
        <w:t>附件</w:t>
      </w:r>
      <w:r>
        <w:rPr>
          <w:rFonts w:ascii="宋体" w:hAnsi="宋体" w:eastAsia="宋体"/>
          <w:b/>
          <w:color w:val="auto"/>
          <w:sz w:val="32"/>
          <w:szCs w:val="32"/>
          <w:highlight w:val="none"/>
        </w:rPr>
        <w:t>2</w:t>
      </w:r>
      <w:r>
        <w:rPr>
          <w:rFonts w:hint="eastAsia" w:ascii="宋体" w:hAnsi="宋体" w:eastAsia="宋体"/>
          <w:b/>
          <w:color w:val="auto"/>
          <w:sz w:val="32"/>
          <w:szCs w:val="32"/>
          <w:highlight w:val="none"/>
        </w:rPr>
        <w:t>：</w:t>
      </w:r>
    </w:p>
    <w:p w14:paraId="107C463F">
      <w:pPr>
        <w:spacing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中小微企业划型标准</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39A3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72EE3048">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行业名称</w:t>
            </w:r>
          </w:p>
        </w:tc>
        <w:tc>
          <w:tcPr>
            <w:tcW w:w="785" w:type="pct"/>
            <w:vAlign w:val="center"/>
          </w:tcPr>
          <w:p w14:paraId="369817DD">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指标名称</w:t>
            </w:r>
          </w:p>
        </w:tc>
        <w:tc>
          <w:tcPr>
            <w:tcW w:w="834" w:type="pct"/>
            <w:vAlign w:val="center"/>
          </w:tcPr>
          <w:p w14:paraId="7D0BBEDD">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计量单位</w:t>
            </w:r>
          </w:p>
        </w:tc>
        <w:tc>
          <w:tcPr>
            <w:tcW w:w="834" w:type="pct"/>
            <w:vAlign w:val="center"/>
          </w:tcPr>
          <w:p w14:paraId="022DFEB3">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中型</w:t>
            </w:r>
          </w:p>
        </w:tc>
        <w:tc>
          <w:tcPr>
            <w:tcW w:w="834" w:type="pct"/>
            <w:vAlign w:val="center"/>
          </w:tcPr>
          <w:p w14:paraId="537FEDA0">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小型</w:t>
            </w:r>
          </w:p>
        </w:tc>
        <w:tc>
          <w:tcPr>
            <w:tcW w:w="831" w:type="pct"/>
            <w:vAlign w:val="center"/>
          </w:tcPr>
          <w:p w14:paraId="71A270EE">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微型</w:t>
            </w:r>
          </w:p>
        </w:tc>
      </w:tr>
      <w:tr w14:paraId="462C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46941273">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农、林、牧、渔</w:t>
            </w:r>
          </w:p>
        </w:tc>
        <w:tc>
          <w:tcPr>
            <w:tcW w:w="785" w:type="pct"/>
            <w:vAlign w:val="center"/>
          </w:tcPr>
          <w:p w14:paraId="0E7F421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5706B8C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6CE21FE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500≤Y＜20000</w:t>
            </w:r>
          </w:p>
        </w:tc>
        <w:tc>
          <w:tcPr>
            <w:tcW w:w="834" w:type="pct"/>
            <w:vAlign w:val="center"/>
          </w:tcPr>
          <w:p w14:paraId="28FC774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50≤Y＜500</w:t>
            </w:r>
          </w:p>
        </w:tc>
        <w:tc>
          <w:tcPr>
            <w:tcW w:w="831" w:type="pct"/>
            <w:vAlign w:val="center"/>
          </w:tcPr>
          <w:p w14:paraId="767A479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Y＜50</w:t>
            </w:r>
          </w:p>
        </w:tc>
      </w:tr>
      <w:tr w14:paraId="1B2D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53B6DB3">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工业</w:t>
            </w:r>
          </w:p>
        </w:tc>
        <w:tc>
          <w:tcPr>
            <w:tcW w:w="785" w:type="pct"/>
            <w:vAlign w:val="center"/>
          </w:tcPr>
          <w:p w14:paraId="7A7705E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152AB9A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14226BC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5F44A88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20≤X＜300</w:t>
            </w:r>
          </w:p>
        </w:tc>
        <w:tc>
          <w:tcPr>
            <w:tcW w:w="831" w:type="pct"/>
            <w:vAlign w:val="center"/>
          </w:tcPr>
          <w:p w14:paraId="05FE9EE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4586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48D736A">
            <w:pPr>
              <w:jc w:val="center"/>
              <w:rPr>
                <w:rFonts w:ascii="宋体" w:hAnsi="宋体" w:eastAsia="宋体"/>
                <w:b/>
                <w:color w:val="auto"/>
                <w:sz w:val="18"/>
                <w:szCs w:val="18"/>
                <w:highlight w:val="none"/>
              </w:rPr>
            </w:pPr>
          </w:p>
        </w:tc>
        <w:tc>
          <w:tcPr>
            <w:tcW w:w="785" w:type="pct"/>
            <w:vAlign w:val="center"/>
          </w:tcPr>
          <w:p w14:paraId="43D6F47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605D57F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EE30B9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2000≤Y＜40000</w:t>
            </w:r>
          </w:p>
        </w:tc>
        <w:tc>
          <w:tcPr>
            <w:tcW w:w="834" w:type="pct"/>
            <w:vAlign w:val="center"/>
          </w:tcPr>
          <w:p w14:paraId="6E4992C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300≤Y＜2000</w:t>
            </w:r>
          </w:p>
        </w:tc>
        <w:tc>
          <w:tcPr>
            <w:tcW w:w="831" w:type="pct"/>
            <w:vAlign w:val="center"/>
          </w:tcPr>
          <w:p w14:paraId="403AD1F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Y＜300</w:t>
            </w:r>
          </w:p>
        </w:tc>
      </w:tr>
      <w:tr w14:paraId="2CB5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94DB599">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建筑业</w:t>
            </w:r>
          </w:p>
        </w:tc>
        <w:tc>
          <w:tcPr>
            <w:tcW w:w="785" w:type="pct"/>
            <w:vAlign w:val="center"/>
          </w:tcPr>
          <w:p w14:paraId="595C458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0CD3EF7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2AA64D2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6000≤Y＜80000</w:t>
            </w:r>
          </w:p>
        </w:tc>
        <w:tc>
          <w:tcPr>
            <w:tcW w:w="834" w:type="pct"/>
            <w:vAlign w:val="center"/>
          </w:tcPr>
          <w:p w14:paraId="0BB3C50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300≤Y＜6000</w:t>
            </w:r>
          </w:p>
        </w:tc>
        <w:tc>
          <w:tcPr>
            <w:tcW w:w="831" w:type="pct"/>
            <w:vAlign w:val="center"/>
          </w:tcPr>
          <w:p w14:paraId="36752CF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Y＜300</w:t>
            </w:r>
          </w:p>
        </w:tc>
      </w:tr>
      <w:tr w14:paraId="094C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2CD44BD">
            <w:pPr>
              <w:jc w:val="center"/>
              <w:rPr>
                <w:rFonts w:ascii="宋体" w:hAnsi="宋体" w:eastAsia="宋体"/>
                <w:b/>
                <w:color w:val="auto"/>
                <w:sz w:val="18"/>
                <w:szCs w:val="18"/>
                <w:highlight w:val="none"/>
              </w:rPr>
            </w:pPr>
          </w:p>
        </w:tc>
        <w:tc>
          <w:tcPr>
            <w:tcW w:w="785" w:type="pct"/>
            <w:vAlign w:val="center"/>
          </w:tcPr>
          <w:p w14:paraId="2136CE5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资产总额（Z）</w:t>
            </w:r>
          </w:p>
        </w:tc>
        <w:tc>
          <w:tcPr>
            <w:tcW w:w="834" w:type="pct"/>
            <w:vAlign w:val="center"/>
          </w:tcPr>
          <w:p w14:paraId="258A5DB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258553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5000≤Z＜80000</w:t>
            </w:r>
          </w:p>
        </w:tc>
        <w:tc>
          <w:tcPr>
            <w:tcW w:w="834" w:type="pct"/>
            <w:vAlign w:val="center"/>
          </w:tcPr>
          <w:p w14:paraId="24299E7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300≤Z＜5000</w:t>
            </w:r>
          </w:p>
        </w:tc>
        <w:tc>
          <w:tcPr>
            <w:tcW w:w="831" w:type="pct"/>
            <w:vAlign w:val="center"/>
          </w:tcPr>
          <w:p w14:paraId="3E2C3E7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Z＜300</w:t>
            </w:r>
          </w:p>
        </w:tc>
      </w:tr>
      <w:tr w14:paraId="455C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9DEB17B">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批发业</w:t>
            </w:r>
          </w:p>
        </w:tc>
        <w:tc>
          <w:tcPr>
            <w:tcW w:w="785" w:type="pct"/>
            <w:vAlign w:val="center"/>
          </w:tcPr>
          <w:p w14:paraId="0BA5B61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63EFFAE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2EF89F0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20≤X＜200</w:t>
            </w:r>
          </w:p>
        </w:tc>
        <w:tc>
          <w:tcPr>
            <w:tcW w:w="834" w:type="pct"/>
            <w:vAlign w:val="center"/>
          </w:tcPr>
          <w:p w14:paraId="5074A99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5≤X＜20</w:t>
            </w:r>
          </w:p>
        </w:tc>
        <w:tc>
          <w:tcPr>
            <w:tcW w:w="831" w:type="pct"/>
            <w:vAlign w:val="center"/>
          </w:tcPr>
          <w:p w14:paraId="6734122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X＜5</w:t>
            </w:r>
          </w:p>
        </w:tc>
      </w:tr>
      <w:tr w14:paraId="68D5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F10365F">
            <w:pPr>
              <w:jc w:val="center"/>
              <w:rPr>
                <w:rFonts w:ascii="宋体" w:hAnsi="宋体" w:eastAsia="宋体"/>
                <w:b/>
                <w:color w:val="auto"/>
                <w:sz w:val="18"/>
                <w:szCs w:val="18"/>
                <w:highlight w:val="none"/>
              </w:rPr>
            </w:pPr>
          </w:p>
        </w:tc>
        <w:tc>
          <w:tcPr>
            <w:tcW w:w="785" w:type="pct"/>
            <w:vAlign w:val="center"/>
          </w:tcPr>
          <w:p w14:paraId="1533B90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771AB83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2133D4F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5000≤Y＜40000</w:t>
            </w:r>
          </w:p>
        </w:tc>
        <w:tc>
          <w:tcPr>
            <w:tcW w:w="834" w:type="pct"/>
            <w:vAlign w:val="center"/>
          </w:tcPr>
          <w:p w14:paraId="2D95102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1000≤Y＜5000</w:t>
            </w:r>
          </w:p>
        </w:tc>
        <w:tc>
          <w:tcPr>
            <w:tcW w:w="831" w:type="pct"/>
            <w:vAlign w:val="center"/>
          </w:tcPr>
          <w:p w14:paraId="311626A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Y＜1000</w:t>
            </w:r>
          </w:p>
        </w:tc>
      </w:tr>
      <w:tr w14:paraId="5292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75A8053">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零售业</w:t>
            </w:r>
          </w:p>
        </w:tc>
        <w:tc>
          <w:tcPr>
            <w:tcW w:w="785" w:type="pct"/>
            <w:vAlign w:val="center"/>
          </w:tcPr>
          <w:p w14:paraId="7AA45A7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0217FD9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C2DAC6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50≤X＜300</w:t>
            </w:r>
          </w:p>
        </w:tc>
        <w:tc>
          <w:tcPr>
            <w:tcW w:w="834" w:type="pct"/>
            <w:vAlign w:val="center"/>
          </w:tcPr>
          <w:p w14:paraId="3406F45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10≤X＜50</w:t>
            </w:r>
          </w:p>
        </w:tc>
        <w:tc>
          <w:tcPr>
            <w:tcW w:w="831" w:type="pct"/>
            <w:vAlign w:val="center"/>
          </w:tcPr>
          <w:p w14:paraId="50E0EAB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4B87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39A114D">
            <w:pPr>
              <w:jc w:val="center"/>
              <w:rPr>
                <w:rFonts w:ascii="宋体" w:hAnsi="宋体" w:eastAsia="宋体"/>
                <w:b/>
                <w:color w:val="auto"/>
                <w:sz w:val="18"/>
                <w:szCs w:val="18"/>
                <w:highlight w:val="none"/>
              </w:rPr>
            </w:pPr>
          </w:p>
        </w:tc>
        <w:tc>
          <w:tcPr>
            <w:tcW w:w="785" w:type="pct"/>
            <w:vAlign w:val="center"/>
          </w:tcPr>
          <w:p w14:paraId="5C126F6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16211BA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150792D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500≤Y＜20000</w:t>
            </w:r>
          </w:p>
        </w:tc>
        <w:tc>
          <w:tcPr>
            <w:tcW w:w="834" w:type="pct"/>
            <w:vAlign w:val="center"/>
          </w:tcPr>
          <w:p w14:paraId="51F5328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100≤Y＜500</w:t>
            </w:r>
          </w:p>
        </w:tc>
        <w:tc>
          <w:tcPr>
            <w:tcW w:w="831" w:type="pct"/>
            <w:vAlign w:val="center"/>
          </w:tcPr>
          <w:p w14:paraId="502540D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68BA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FEE2002">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交通运输业</w:t>
            </w:r>
          </w:p>
        </w:tc>
        <w:tc>
          <w:tcPr>
            <w:tcW w:w="785" w:type="pct"/>
            <w:vAlign w:val="center"/>
          </w:tcPr>
          <w:p w14:paraId="37F3C80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0020F96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B9FC27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2590469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20≤X＜300</w:t>
            </w:r>
          </w:p>
        </w:tc>
        <w:tc>
          <w:tcPr>
            <w:tcW w:w="831" w:type="pct"/>
            <w:vAlign w:val="center"/>
          </w:tcPr>
          <w:p w14:paraId="31CE8FF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2797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857DA0">
            <w:pPr>
              <w:jc w:val="center"/>
              <w:rPr>
                <w:rFonts w:ascii="宋体" w:hAnsi="宋体" w:eastAsia="宋体"/>
                <w:b/>
                <w:color w:val="auto"/>
                <w:sz w:val="18"/>
                <w:szCs w:val="18"/>
                <w:highlight w:val="none"/>
              </w:rPr>
            </w:pPr>
          </w:p>
        </w:tc>
        <w:tc>
          <w:tcPr>
            <w:tcW w:w="785" w:type="pct"/>
            <w:vAlign w:val="center"/>
          </w:tcPr>
          <w:p w14:paraId="61481F0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23652FE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5D607DC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3000≤Y＜30000</w:t>
            </w:r>
          </w:p>
        </w:tc>
        <w:tc>
          <w:tcPr>
            <w:tcW w:w="834" w:type="pct"/>
            <w:vAlign w:val="center"/>
          </w:tcPr>
          <w:p w14:paraId="5989B5F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200≤Y＜3000</w:t>
            </w:r>
          </w:p>
        </w:tc>
        <w:tc>
          <w:tcPr>
            <w:tcW w:w="831" w:type="pct"/>
            <w:vAlign w:val="center"/>
          </w:tcPr>
          <w:p w14:paraId="2B5EF9E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Y＜200</w:t>
            </w:r>
          </w:p>
        </w:tc>
      </w:tr>
      <w:tr w14:paraId="0AE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CC9D553">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仓储业</w:t>
            </w:r>
          </w:p>
        </w:tc>
        <w:tc>
          <w:tcPr>
            <w:tcW w:w="785" w:type="pct"/>
            <w:vAlign w:val="center"/>
          </w:tcPr>
          <w:p w14:paraId="55E854F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09B105B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282B53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100≤X＜200</w:t>
            </w:r>
          </w:p>
        </w:tc>
        <w:tc>
          <w:tcPr>
            <w:tcW w:w="834" w:type="pct"/>
            <w:vAlign w:val="center"/>
          </w:tcPr>
          <w:p w14:paraId="3AE5E97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20≤X＜100</w:t>
            </w:r>
          </w:p>
        </w:tc>
        <w:tc>
          <w:tcPr>
            <w:tcW w:w="831" w:type="pct"/>
            <w:vAlign w:val="center"/>
          </w:tcPr>
          <w:p w14:paraId="7F0CEF9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2DD9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AC043BA">
            <w:pPr>
              <w:jc w:val="center"/>
              <w:rPr>
                <w:rFonts w:ascii="宋体" w:hAnsi="宋体" w:eastAsia="宋体"/>
                <w:b/>
                <w:color w:val="auto"/>
                <w:sz w:val="18"/>
                <w:szCs w:val="18"/>
                <w:highlight w:val="none"/>
              </w:rPr>
            </w:pPr>
          </w:p>
        </w:tc>
        <w:tc>
          <w:tcPr>
            <w:tcW w:w="785" w:type="pct"/>
            <w:vAlign w:val="center"/>
          </w:tcPr>
          <w:p w14:paraId="2953267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380FD24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200E53B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1000≤Y＜30000</w:t>
            </w:r>
          </w:p>
        </w:tc>
        <w:tc>
          <w:tcPr>
            <w:tcW w:w="834" w:type="pct"/>
            <w:vAlign w:val="center"/>
          </w:tcPr>
          <w:p w14:paraId="55F057B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100≤Y＜1000</w:t>
            </w:r>
          </w:p>
        </w:tc>
        <w:tc>
          <w:tcPr>
            <w:tcW w:w="831" w:type="pct"/>
            <w:vAlign w:val="center"/>
          </w:tcPr>
          <w:p w14:paraId="7FC1076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0C46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FD33B42">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邮政业</w:t>
            </w:r>
          </w:p>
        </w:tc>
        <w:tc>
          <w:tcPr>
            <w:tcW w:w="785" w:type="pct"/>
            <w:vAlign w:val="center"/>
          </w:tcPr>
          <w:p w14:paraId="2D5F912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08F5520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7D18838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68EE04B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20≤X＜300</w:t>
            </w:r>
          </w:p>
        </w:tc>
        <w:tc>
          <w:tcPr>
            <w:tcW w:w="831" w:type="pct"/>
            <w:vAlign w:val="center"/>
          </w:tcPr>
          <w:p w14:paraId="43A06B2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05A5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499F876">
            <w:pPr>
              <w:jc w:val="center"/>
              <w:rPr>
                <w:rFonts w:ascii="宋体" w:hAnsi="宋体" w:eastAsia="宋体"/>
                <w:b/>
                <w:color w:val="auto"/>
                <w:sz w:val="18"/>
                <w:szCs w:val="18"/>
                <w:highlight w:val="none"/>
              </w:rPr>
            </w:pPr>
          </w:p>
        </w:tc>
        <w:tc>
          <w:tcPr>
            <w:tcW w:w="785" w:type="pct"/>
            <w:vAlign w:val="center"/>
          </w:tcPr>
          <w:p w14:paraId="6FCA885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5CF1BFD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2299279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2000≤Y＜30000</w:t>
            </w:r>
          </w:p>
        </w:tc>
        <w:tc>
          <w:tcPr>
            <w:tcW w:w="834" w:type="pct"/>
            <w:vAlign w:val="center"/>
          </w:tcPr>
          <w:p w14:paraId="40E4D46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100≤Y＜2000</w:t>
            </w:r>
          </w:p>
        </w:tc>
        <w:tc>
          <w:tcPr>
            <w:tcW w:w="831" w:type="pct"/>
            <w:vAlign w:val="center"/>
          </w:tcPr>
          <w:p w14:paraId="2278925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100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BD29F51">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住宿业</w:t>
            </w:r>
          </w:p>
        </w:tc>
        <w:tc>
          <w:tcPr>
            <w:tcW w:w="785" w:type="pct"/>
            <w:vAlign w:val="center"/>
          </w:tcPr>
          <w:p w14:paraId="2D7311F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4CDC349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3999E61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1DF9638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6666C80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28EA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B6A8C2C">
            <w:pPr>
              <w:jc w:val="center"/>
              <w:rPr>
                <w:rFonts w:ascii="宋体" w:hAnsi="宋体" w:eastAsia="宋体"/>
                <w:b/>
                <w:color w:val="auto"/>
                <w:sz w:val="18"/>
                <w:szCs w:val="18"/>
                <w:highlight w:val="none"/>
              </w:rPr>
            </w:pPr>
          </w:p>
        </w:tc>
        <w:tc>
          <w:tcPr>
            <w:tcW w:w="785" w:type="pct"/>
            <w:vAlign w:val="center"/>
          </w:tcPr>
          <w:p w14:paraId="005DEDA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620AEAA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45BF8EE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2000≤Y＜10000</w:t>
            </w:r>
          </w:p>
        </w:tc>
        <w:tc>
          <w:tcPr>
            <w:tcW w:w="834" w:type="pct"/>
            <w:vAlign w:val="center"/>
          </w:tcPr>
          <w:p w14:paraId="4BA64D7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100≤Y＜2000</w:t>
            </w:r>
          </w:p>
        </w:tc>
        <w:tc>
          <w:tcPr>
            <w:tcW w:w="831" w:type="pct"/>
            <w:vAlign w:val="center"/>
          </w:tcPr>
          <w:p w14:paraId="5F029B8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678F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965DDB6">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餐饮业</w:t>
            </w:r>
          </w:p>
        </w:tc>
        <w:tc>
          <w:tcPr>
            <w:tcW w:w="785" w:type="pct"/>
            <w:vAlign w:val="center"/>
          </w:tcPr>
          <w:p w14:paraId="3E84940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66AB592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130102D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451B9A7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5E85C2E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7F64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41D3EAF">
            <w:pPr>
              <w:jc w:val="center"/>
              <w:rPr>
                <w:rFonts w:ascii="宋体" w:hAnsi="宋体" w:eastAsia="宋体"/>
                <w:b/>
                <w:color w:val="auto"/>
                <w:sz w:val="18"/>
                <w:szCs w:val="18"/>
                <w:highlight w:val="none"/>
              </w:rPr>
            </w:pPr>
          </w:p>
        </w:tc>
        <w:tc>
          <w:tcPr>
            <w:tcW w:w="785" w:type="pct"/>
            <w:vAlign w:val="center"/>
          </w:tcPr>
          <w:p w14:paraId="7E3E46A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4EA5F27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03A78D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2000≤Y＜10000</w:t>
            </w:r>
          </w:p>
        </w:tc>
        <w:tc>
          <w:tcPr>
            <w:tcW w:w="834" w:type="pct"/>
            <w:vAlign w:val="center"/>
          </w:tcPr>
          <w:p w14:paraId="1C03D9E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100≤Y＜2000</w:t>
            </w:r>
          </w:p>
        </w:tc>
        <w:tc>
          <w:tcPr>
            <w:tcW w:w="831" w:type="pct"/>
            <w:vAlign w:val="center"/>
          </w:tcPr>
          <w:p w14:paraId="2E3916E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7EAA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9E84AE2">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信息传输业</w:t>
            </w:r>
          </w:p>
        </w:tc>
        <w:tc>
          <w:tcPr>
            <w:tcW w:w="785" w:type="pct"/>
            <w:vAlign w:val="center"/>
          </w:tcPr>
          <w:p w14:paraId="577732B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1880797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41BCD7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100≤X＜2000</w:t>
            </w:r>
          </w:p>
        </w:tc>
        <w:tc>
          <w:tcPr>
            <w:tcW w:w="834" w:type="pct"/>
            <w:vAlign w:val="center"/>
          </w:tcPr>
          <w:p w14:paraId="28D603D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563FE14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01E9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74CA017">
            <w:pPr>
              <w:jc w:val="center"/>
              <w:rPr>
                <w:rFonts w:ascii="宋体" w:hAnsi="宋体" w:eastAsia="宋体"/>
                <w:b/>
                <w:color w:val="auto"/>
                <w:sz w:val="18"/>
                <w:szCs w:val="18"/>
                <w:highlight w:val="none"/>
              </w:rPr>
            </w:pPr>
          </w:p>
        </w:tc>
        <w:tc>
          <w:tcPr>
            <w:tcW w:w="785" w:type="pct"/>
            <w:vAlign w:val="center"/>
          </w:tcPr>
          <w:p w14:paraId="6CA6308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23CD60B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3115ED1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1000≤Y＜100000</w:t>
            </w:r>
          </w:p>
        </w:tc>
        <w:tc>
          <w:tcPr>
            <w:tcW w:w="834" w:type="pct"/>
            <w:vAlign w:val="center"/>
          </w:tcPr>
          <w:p w14:paraId="69003E1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100≤Y＜1000</w:t>
            </w:r>
          </w:p>
        </w:tc>
        <w:tc>
          <w:tcPr>
            <w:tcW w:w="831" w:type="pct"/>
            <w:vAlign w:val="center"/>
          </w:tcPr>
          <w:p w14:paraId="23B607B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59D0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22E6E2E">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软件和信息技术服务业</w:t>
            </w:r>
          </w:p>
        </w:tc>
        <w:tc>
          <w:tcPr>
            <w:tcW w:w="785" w:type="pct"/>
            <w:vAlign w:val="center"/>
          </w:tcPr>
          <w:p w14:paraId="02648B2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630BA05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5CF7952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4E33F10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34501F5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4F6E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EC0BDE0">
            <w:pPr>
              <w:jc w:val="center"/>
              <w:rPr>
                <w:rFonts w:ascii="宋体" w:hAnsi="宋体" w:eastAsia="宋体"/>
                <w:b/>
                <w:color w:val="auto"/>
                <w:sz w:val="18"/>
                <w:szCs w:val="18"/>
                <w:highlight w:val="none"/>
              </w:rPr>
            </w:pPr>
          </w:p>
        </w:tc>
        <w:tc>
          <w:tcPr>
            <w:tcW w:w="785" w:type="pct"/>
            <w:vAlign w:val="center"/>
          </w:tcPr>
          <w:p w14:paraId="1D4A8B6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6F52709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140D079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1000≤Y＜10000</w:t>
            </w:r>
          </w:p>
        </w:tc>
        <w:tc>
          <w:tcPr>
            <w:tcW w:w="834" w:type="pct"/>
            <w:vAlign w:val="center"/>
          </w:tcPr>
          <w:p w14:paraId="2D39479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50≤Y＜1000</w:t>
            </w:r>
          </w:p>
        </w:tc>
        <w:tc>
          <w:tcPr>
            <w:tcW w:w="831" w:type="pct"/>
            <w:vAlign w:val="center"/>
          </w:tcPr>
          <w:p w14:paraId="2E3C5DE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Y＜50</w:t>
            </w:r>
          </w:p>
        </w:tc>
      </w:tr>
      <w:tr w14:paraId="6425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A2DF1EB">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房地产开发经营</w:t>
            </w:r>
          </w:p>
        </w:tc>
        <w:tc>
          <w:tcPr>
            <w:tcW w:w="785" w:type="pct"/>
            <w:vAlign w:val="center"/>
          </w:tcPr>
          <w:p w14:paraId="674CDC9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288C36A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2054280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1000≤Y＜200000</w:t>
            </w:r>
          </w:p>
        </w:tc>
        <w:tc>
          <w:tcPr>
            <w:tcW w:w="834" w:type="pct"/>
            <w:vAlign w:val="center"/>
          </w:tcPr>
          <w:p w14:paraId="725944D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100≤X＜1000</w:t>
            </w:r>
          </w:p>
        </w:tc>
        <w:tc>
          <w:tcPr>
            <w:tcW w:w="831" w:type="pct"/>
            <w:vAlign w:val="center"/>
          </w:tcPr>
          <w:p w14:paraId="22A421A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X＜100</w:t>
            </w:r>
          </w:p>
        </w:tc>
      </w:tr>
      <w:tr w14:paraId="5273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B1D4791">
            <w:pPr>
              <w:jc w:val="center"/>
              <w:rPr>
                <w:rFonts w:ascii="宋体" w:hAnsi="宋体" w:eastAsia="宋体"/>
                <w:b/>
                <w:color w:val="auto"/>
                <w:sz w:val="18"/>
                <w:szCs w:val="18"/>
                <w:highlight w:val="none"/>
              </w:rPr>
            </w:pPr>
          </w:p>
        </w:tc>
        <w:tc>
          <w:tcPr>
            <w:tcW w:w="785" w:type="pct"/>
            <w:vAlign w:val="center"/>
          </w:tcPr>
          <w:p w14:paraId="609BA0A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资产总额（Z）</w:t>
            </w:r>
          </w:p>
        </w:tc>
        <w:tc>
          <w:tcPr>
            <w:tcW w:w="834" w:type="pct"/>
            <w:vAlign w:val="center"/>
          </w:tcPr>
          <w:p w14:paraId="4C7E8DC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07AA93F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5000≤Z＜10000</w:t>
            </w:r>
          </w:p>
        </w:tc>
        <w:tc>
          <w:tcPr>
            <w:tcW w:w="834" w:type="pct"/>
            <w:vAlign w:val="center"/>
          </w:tcPr>
          <w:p w14:paraId="05D405D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2000≤Y＜5000</w:t>
            </w:r>
          </w:p>
        </w:tc>
        <w:tc>
          <w:tcPr>
            <w:tcW w:w="831" w:type="pct"/>
            <w:vAlign w:val="center"/>
          </w:tcPr>
          <w:p w14:paraId="7B90669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Y＜2000</w:t>
            </w:r>
          </w:p>
        </w:tc>
      </w:tr>
      <w:tr w14:paraId="6F13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79F1D3E">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物业管理</w:t>
            </w:r>
          </w:p>
        </w:tc>
        <w:tc>
          <w:tcPr>
            <w:tcW w:w="785" w:type="pct"/>
            <w:vAlign w:val="center"/>
          </w:tcPr>
          <w:p w14:paraId="07FD5EF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447E513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7225AEB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090402C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1" w:type="pct"/>
            <w:vAlign w:val="center"/>
          </w:tcPr>
          <w:p w14:paraId="14AAA07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X＜100</w:t>
            </w:r>
          </w:p>
        </w:tc>
      </w:tr>
      <w:tr w14:paraId="54B3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45F4043">
            <w:pPr>
              <w:jc w:val="center"/>
              <w:rPr>
                <w:rFonts w:ascii="宋体" w:hAnsi="宋体" w:eastAsia="宋体"/>
                <w:b/>
                <w:color w:val="auto"/>
                <w:sz w:val="18"/>
                <w:szCs w:val="18"/>
                <w:highlight w:val="none"/>
              </w:rPr>
            </w:pPr>
          </w:p>
        </w:tc>
        <w:tc>
          <w:tcPr>
            <w:tcW w:w="785" w:type="pct"/>
            <w:vAlign w:val="center"/>
          </w:tcPr>
          <w:p w14:paraId="5984661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3DEE6EA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2F5E6D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1000≤Y＜5000</w:t>
            </w:r>
          </w:p>
        </w:tc>
        <w:tc>
          <w:tcPr>
            <w:tcW w:w="834" w:type="pct"/>
            <w:vAlign w:val="center"/>
          </w:tcPr>
          <w:p w14:paraId="122AFA8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500≤Y＜1000</w:t>
            </w:r>
          </w:p>
        </w:tc>
        <w:tc>
          <w:tcPr>
            <w:tcW w:w="831" w:type="pct"/>
            <w:vAlign w:val="center"/>
          </w:tcPr>
          <w:p w14:paraId="00D5666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Y＜500</w:t>
            </w:r>
          </w:p>
        </w:tc>
      </w:tr>
      <w:tr w14:paraId="672D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D217E34">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租赁和商务服务业</w:t>
            </w:r>
          </w:p>
        </w:tc>
        <w:tc>
          <w:tcPr>
            <w:tcW w:w="785" w:type="pct"/>
            <w:vAlign w:val="center"/>
          </w:tcPr>
          <w:p w14:paraId="5A63187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558A295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5289DFF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3CEB26F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1E95C86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0EE9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877BCF6">
            <w:pPr>
              <w:jc w:val="center"/>
              <w:rPr>
                <w:rFonts w:ascii="宋体" w:hAnsi="宋体" w:eastAsia="宋体"/>
                <w:b/>
                <w:color w:val="auto"/>
                <w:sz w:val="18"/>
                <w:szCs w:val="18"/>
                <w:highlight w:val="none"/>
              </w:rPr>
            </w:pPr>
          </w:p>
        </w:tc>
        <w:tc>
          <w:tcPr>
            <w:tcW w:w="785" w:type="pct"/>
            <w:vAlign w:val="center"/>
          </w:tcPr>
          <w:p w14:paraId="426AB54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资产总额（Z）</w:t>
            </w:r>
          </w:p>
        </w:tc>
        <w:tc>
          <w:tcPr>
            <w:tcW w:w="834" w:type="pct"/>
            <w:vAlign w:val="center"/>
          </w:tcPr>
          <w:p w14:paraId="78A1738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0EFA4AD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8000≤Z＜120000</w:t>
            </w:r>
          </w:p>
        </w:tc>
        <w:tc>
          <w:tcPr>
            <w:tcW w:w="834" w:type="pct"/>
            <w:vAlign w:val="center"/>
          </w:tcPr>
          <w:p w14:paraId="134E177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100≤Z＜8000</w:t>
            </w:r>
          </w:p>
        </w:tc>
        <w:tc>
          <w:tcPr>
            <w:tcW w:w="831" w:type="pct"/>
            <w:vAlign w:val="center"/>
          </w:tcPr>
          <w:p w14:paraId="17F94F5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38F9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72391E95">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其他未列明行业</w:t>
            </w:r>
          </w:p>
        </w:tc>
        <w:tc>
          <w:tcPr>
            <w:tcW w:w="785" w:type="pct"/>
            <w:vAlign w:val="center"/>
          </w:tcPr>
          <w:p w14:paraId="44B905C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5882668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44662F4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36B6891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30D96E2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bl>
    <w:p w14:paraId="4D451F24">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8497449">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06340313">
      <w:pPr>
        <w:pStyle w:val="2"/>
        <w:jc w:val="center"/>
        <w:rPr>
          <w:color w:val="auto"/>
          <w:highlight w:val="none"/>
        </w:rPr>
      </w:pPr>
      <w:bookmarkStart w:id="2" w:name="_Toc10941"/>
      <w:r>
        <w:rPr>
          <w:rFonts w:hint="eastAsia"/>
          <w:color w:val="auto"/>
          <w:highlight w:val="none"/>
        </w:rPr>
        <w:t>第三</w:t>
      </w:r>
      <w:r>
        <w:rPr>
          <w:rFonts w:hint="eastAsia" w:ascii="宋体" w:hAnsi="宋体" w:eastAsia="宋体"/>
          <w:color w:val="auto"/>
          <w:spacing w:val="120"/>
          <w:highlight w:val="none"/>
        </w:rPr>
        <w:t>章</w:t>
      </w:r>
      <w:r>
        <w:rPr>
          <w:rFonts w:hint="eastAsia"/>
          <w:color w:val="auto"/>
          <w:highlight w:val="none"/>
        </w:rPr>
        <w:t>供应商须知</w:t>
      </w:r>
      <w:bookmarkEnd w:id="2"/>
    </w:p>
    <w:p w14:paraId="20F16CF6">
      <w:pPr>
        <w:pStyle w:val="3"/>
        <w:jc w:val="center"/>
        <w:rPr>
          <w:color w:val="auto"/>
          <w:highlight w:val="none"/>
        </w:rPr>
      </w:pPr>
      <w:bookmarkStart w:id="3" w:name="_Toc15875"/>
      <w:r>
        <w:rPr>
          <w:rFonts w:hint="eastAsia"/>
          <w:color w:val="auto"/>
          <w:highlight w:val="none"/>
        </w:rPr>
        <w:t>第一</w:t>
      </w:r>
      <w:r>
        <w:rPr>
          <w:rFonts w:hint="eastAsia"/>
          <w:color w:val="auto"/>
          <w:spacing w:val="120"/>
          <w:highlight w:val="none"/>
        </w:rPr>
        <w:t>节</w:t>
      </w:r>
      <w:r>
        <w:rPr>
          <w:rFonts w:hint="eastAsia"/>
          <w:color w:val="auto"/>
          <w:highlight w:val="none"/>
        </w:rPr>
        <w:t>供应商须知前附表</w:t>
      </w:r>
      <w:bookmarkEnd w:id="3"/>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76"/>
        <w:gridCol w:w="6802"/>
      </w:tblGrid>
      <w:tr w14:paraId="384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A59568D">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条款号</w:t>
            </w:r>
          </w:p>
        </w:tc>
        <w:tc>
          <w:tcPr>
            <w:tcW w:w="1105" w:type="pct"/>
            <w:vAlign w:val="center"/>
          </w:tcPr>
          <w:p w14:paraId="405BD6F8">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条款内容</w:t>
            </w:r>
          </w:p>
        </w:tc>
        <w:tc>
          <w:tcPr>
            <w:tcW w:w="3455" w:type="pct"/>
            <w:vAlign w:val="center"/>
          </w:tcPr>
          <w:p w14:paraId="10310690">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具体要求</w:t>
            </w:r>
          </w:p>
        </w:tc>
      </w:tr>
      <w:tr w14:paraId="572E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E6F54B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1105" w:type="pct"/>
            <w:vAlign w:val="center"/>
          </w:tcPr>
          <w:p w14:paraId="19E6750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供应商资格条件</w:t>
            </w:r>
          </w:p>
        </w:tc>
        <w:tc>
          <w:tcPr>
            <w:tcW w:w="3455" w:type="pct"/>
            <w:vAlign w:val="center"/>
          </w:tcPr>
          <w:p w14:paraId="0699953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供应商资格条件要求详见公告。</w:t>
            </w:r>
          </w:p>
        </w:tc>
      </w:tr>
      <w:tr w14:paraId="12C0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C47B7B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5.1</w:t>
            </w:r>
          </w:p>
        </w:tc>
        <w:tc>
          <w:tcPr>
            <w:tcW w:w="1105" w:type="pct"/>
            <w:vAlign w:val="center"/>
          </w:tcPr>
          <w:p w14:paraId="40A4D6D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是否接受联合体竞标</w:t>
            </w:r>
          </w:p>
        </w:tc>
        <w:tc>
          <w:tcPr>
            <w:tcW w:w="3455" w:type="pct"/>
            <w:vAlign w:val="center"/>
          </w:tcPr>
          <w:p w14:paraId="7D862BA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不接受联合体竞标</w:t>
            </w:r>
          </w:p>
        </w:tc>
      </w:tr>
      <w:tr w14:paraId="5D05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CF3874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5.2</w:t>
            </w:r>
          </w:p>
        </w:tc>
        <w:tc>
          <w:tcPr>
            <w:tcW w:w="1105" w:type="pct"/>
            <w:vAlign w:val="center"/>
          </w:tcPr>
          <w:p w14:paraId="67C7ACF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联合体竞标要求</w:t>
            </w:r>
          </w:p>
        </w:tc>
        <w:tc>
          <w:tcPr>
            <w:tcW w:w="3455" w:type="pct"/>
            <w:vAlign w:val="center"/>
          </w:tcPr>
          <w:p w14:paraId="4BB3A6B9">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1.两个以上竞标人可以组成一个竞标联合体，以一个竞标人的身份共同参加竞标，联合体竞标人的名称应统一按“XXX公司与XXX公司的联合体”的规则填写。</w:t>
            </w:r>
          </w:p>
          <w:p w14:paraId="02C3331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w:t>
            </w:r>
            <w:r>
              <w:rPr>
                <w:rFonts w:hint="eastAsia" w:ascii="宋体" w:hAnsi="宋体" w:eastAsia="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203C52EB">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2F4CCE78">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1C9FD541">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5.联合体中有同类资质的竞标人按照联合体分工承担相同工作的，应当按照资质等级较低的竞标人确定资质等级。</w:t>
            </w:r>
          </w:p>
          <w:p w14:paraId="2D0083C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6.联合体竞标业绩、履约能力按照联合体各方其中较高的一方认定并计算（采购文件另有规定的除外）。</w:t>
            </w:r>
          </w:p>
          <w:p w14:paraId="3A7B6F3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7.联合体各方均应按照采购文件的规定提交资格证明文件。</w:t>
            </w:r>
          </w:p>
        </w:tc>
      </w:tr>
      <w:tr w14:paraId="4435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7834899">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6.1</w:t>
            </w:r>
          </w:p>
        </w:tc>
        <w:tc>
          <w:tcPr>
            <w:tcW w:w="1105" w:type="pct"/>
            <w:vAlign w:val="center"/>
          </w:tcPr>
          <w:p w14:paraId="02CEDFC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是否允许分包</w:t>
            </w:r>
          </w:p>
        </w:tc>
        <w:tc>
          <w:tcPr>
            <w:tcW w:w="3455" w:type="pct"/>
            <w:vAlign w:val="center"/>
          </w:tcPr>
          <w:p w14:paraId="2C2EEB6E">
            <w:pPr>
              <w:spacing w:line="360" w:lineRule="auto"/>
              <w:jc w:val="left"/>
              <w:rPr>
                <w:rFonts w:ascii="宋体" w:hAnsi="宋体" w:eastAsia="宋体"/>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不允许分包</w:t>
            </w:r>
          </w:p>
          <w:p w14:paraId="2A68AAAA">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□允许分包</w:t>
            </w:r>
          </w:p>
          <w:p w14:paraId="5A5BD01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分包内容：</w:t>
            </w:r>
            <w:r>
              <w:rPr>
                <w:rFonts w:ascii="Times New Roman" w:hAnsi="Times New Roman" w:eastAsia="宋体" w:cs="Times New Roman"/>
                <w:color w:val="auto"/>
                <w:szCs w:val="21"/>
                <w:highlight w:val="none"/>
              </w:rPr>
              <w:t>___________________________________________________</w:t>
            </w:r>
          </w:p>
          <w:p w14:paraId="60ECC182">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分包金额或者比例：</w:t>
            </w:r>
            <w:r>
              <w:rPr>
                <w:rFonts w:ascii="Times New Roman" w:hAnsi="Times New Roman" w:eastAsia="宋体" w:cs="Times New Roman"/>
                <w:color w:val="auto"/>
                <w:szCs w:val="21"/>
                <w:highlight w:val="none"/>
              </w:rPr>
              <w:t>___________________________________________</w:t>
            </w:r>
          </w:p>
        </w:tc>
      </w:tr>
      <w:tr w14:paraId="621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5AF19D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12.1.1</w:t>
            </w:r>
          </w:p>
        </w:tc>
        <w:tc>
          <w:tcPr>
            <w:tcW w:w="1105" w:type="pct"/>
            <w:vAlign w:val="center"/>
          </w:tcPr>
          <w:p w14:paraId="7DCD9055">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资格证明文件组成</w:t>
            </w:r>
          </w:p>
        </w:tc>
        <w:tc>
          <w:tcPr>
            <w:tcW w:w="3455" w:type="pct"/>
            <w:vAlign w:val="center"/>
          </w:tcPr>
          <w:p w14:paraId="4B6E25F2">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b/>
                <w:color w:val="auto"/>
                <w:szCs w:val="21"/>
                <w:highlight w:val="none"/>
              </w:rPr>
              <w:t>（必须提供，否则响应文件按无效响应处理）</w:t>
            </w:r>
          </w:p>
          <w:p w14:paraId="560B01C7">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2.供应商依法缴纳税收的相关材料：[</w:t>
            </w:r>
            <w:r>
              <w:rPr>
                <w:rFonts w:hint="eastAsia" w:ascii="宋体" w:hAnsi="宋体" w:eastAsia="宋体"/>
                <w:color w:val="auto"/>
                <w:szCs w:val="21"/>
                <w:highlight w:val="none"/>
                <w:u w:val="single"/>
              </w:rPr>
              <w:t>202</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月至</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10</w:t>
            </w:r>
            <w:r>
              <w:rPr>
                <w:rFonts w:hint="eastAsia" w:ascii="宋体" w:hAnsi="宋体" w:eastAsia="宋体"/>
                <w:color w:val="auto"/>
                <w:szCs w:val="21"/>
                <w:highlight w:val="none"/>
              </w:rPr>
              <w:t>月]任意</w:t>
            </w:r>
            <w:r>
              <w:rPr>
                <w:rFonts w:ascii="宋体" w:hAnsi="宋体" w:eastAsia="宋体"/>
                <w:color w:val="auto"/>
                <w:szCs w:val="21"/>
                <w:highlight w:val="none"/>
                <w:u w:val="single"/>
              </w:rPr>
              <w:t>1</w:t>
            </w:r>
            <w:r>
              <w:rPr>
                <w:rFonts w:hint="eastAsia" w:ascii="宋体" w:hAnsi="宋体" w:eastAsia="宋体"/>
                <w:color w:val="auto"/>
                <w:szCs w:val="21"/>
                <w:highlight w:val="none"/>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eastAsia" w:ascii="宋体" w:hAnsi="宋体" w:eastAsia="宋体"/>
                <w:b/>
                <w:color w:val="auto"/>
                <w:szCs w:val="21"/>
                <w:highlight w:val="none"/>
              </w:rPr>
              <w:t>（必须提供，否则作无效竞标处理）</w:t>
            </w:r>
          </w:p>
          <w:p w14:paraId="336EA29C">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3.供应商依法缴纳社会保障资金的相关材料：[</w:t>
            </w:r>
            <w:r>
              <w:rPr>
                <w:rFonts w:hint="eastAsia" w:ascii="宋体" w:hAnsi="宋体" w:eastAsia="宋体"/>
                <w:color w:val="auto"/>
                <w:szCs w:val="21"/>
                <w:highlight w:val="none"/>
                <w:u w:val="single"/>
              </w:rPr>
              <w:t>202</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月至</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10</w:t>
            </w:r>
            <w:r>
              <w:rPr>
                <w:rFonts w:hint="eastAsia" w:ascii="宋体" w:hAnsi="宋体" w:eastAsia="宋体"/>
                <w:color w:val="auto"/>
                <w:szCs w:val="21"/>
                <w:highlight w:val="none"/>
              </w:rPr>
              <w:t>月]任意</w:t>
            </w:r>
            <w:r>
              <w:rPr>
                <w:rFonts w:ascii="宋体" w:hAnsi="宋体" w:eastAsia="宋体"/>
                <w:color w:val="auto"/>
                <w:szCs w:val="21"/>
                <w:highlight w:val="none"/>
                <w:u w:val="single"/>
              </w:rPr>
              <w:t>1</w:t>
            </w:r>
            <w:r>
              <w:rPr>
                <w:rFonts w:hint="eastAsia" w:ascii="宋体" w:hAnsi="宋体" w:eastAsia="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b/>
                <w:color w:val="auto"/>
                <w:szCs w:val="21"/>
                <w:highlight w:val="none"/>
              </w:rPr>
              <w:t>（必须提供，否则作无效竞标处理）</w:t>
            </w:r>
          </w:p>
          <w:p w14:paraId="7402ED14">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4.供应商财务状况报告：[</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4</w:t>
            </w:r>
            <w:r>
              <w:rPr>
                <w:rFonts w:hint="eastAsia" w:ascii="宋体" w:hAnsi="宋体" w:eastAsia="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b/>
                <w:color w:val="auto"/>
                <w:szCs w:val="21"/>
                <w:highlight w:val="none"/>
              </w:rPr>
              <w:t>（必须提供，否则作无效竞标处理）</w:t>
            </w:r>
          </w:p>
          <w:p w14:paraId="4B50D3C2">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5.供应商直接控股、管理关系信息表；</w:t>
            </w:r>
            <w:r>
              <w:rPr>
                <w:rFonts w:hint="eastAsia" w:ascii="宋体" w:hAnsi="宋体" w:eastAsia="宋体"/>
                <w:b/>
                <w:color w:val="auto"/>
                <w:szCs w:val="21"/>
                <w:highlight w:val="none"/>
              </w:rPr>
              <w:t>（必须提供，否则响应文件按无效响应处理）</w:t>
            </w:r>
          </w:p>
          <w:p w14:paraId="733EB4C4">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6.资格声明；</w:t>
            </w:r>
            <w:r>
              <w:rPr>
                <w:rFonts w:hint="eastAsia" w:ascii="宋体" w:hAnsi="宋体" w:eastAsia="宋体"/>
                <w:b/>
                <w:color w:val="auto"/>
                <w:szCs w:val="21"/>
                <w:highlight w:val="none"/>
              </w:rPr>
              <w:t>（必须提供，否则响应文件按无效响应处理）</w:t>
            </w:r>
          </w:p>
          <w:p w14:paraId="632DF30A">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7.联合体协议书；</w:t>
            </w:r>
            <w:r>
              <w:rPr>
                <w:rFonts w:hint="eastAsia" w:ascii="宋体" w:hAnsi="宋体" w:eastAsia="宋体"/>
                <w:b/>
                <w:color w:val="auto"/>
                <w:szCs w:val="21"/>
                <w:highlight w:val="none"/>
              </w:rPr>
              <w:t>（联合体竞标时必须提供，否则响应文件按无效响应处理）</w:t>
            </w:r>
          </w:p>
          <w:p w14:paraId="0D1ECE95">
            <w:pPr>
              <w:spacing w:line="360" w:lineRule="auto"/>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中小企业声明函或残疾人福利性单位声明函或属于监狱企业的证明文件；</w:t>
            </w:r>
            <w:r>
              <w:rPr>
                <w:rFonts w:hint="eastAsia" w:ascii="宋体" w:hAnsi="宋体" w:eastAsia="宋体"/>
                <w:b/>
                <w:color w:val="auto"/>
                <w:szCs w:val="21"/>
                <w:highlight w:val="none"/>
              </w:rPr>
              <w:t>（必须提供，否则响应文件按无效响应处理）</w:t>
            </w:r>
          </w:p>
          <w:p w14:paraId="569E91EF">
            <w:pPr>
              <w:spacing w:line="360" w:lineRule="auto"/>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.采购人或采购代理机构根据竞争性磋商公告对应的特定资格要求及特定条件设置供应商提供的资格证明材料：</w:t>
            </w:r>
          </w:p>
          <w:p w14:paraId="727CF3DB">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）供应商具备建筑工程施工总承包三级（含三级）以上资质，同时具备有效的省级及以上建设行政主管部门颁发的安全生产许可证，并在人员、设备、资金等方面具备相应的施工能力；</w:t>
            </w:r>
            <w:r>
              <w:rPr>
                <w:rFonts w:hint="eastAsia" w:ascii="宋体" w:hAnsi="宋体" w:eastAsia="宋体"/>
                <w:b/>
                <w:color w:val="auto"/>
                <w:szCs w:val="21"/>
                <w:highlight w:val="none"/>
              </w:rPr>
              <w:t>（必须提供，否则响应文件按无效响应处理）</w:t>
            </w:r>
          </w:p>
          <w:p w14:paraId="47783CE9">
            <w:pPr>
              <w:spacing w:line="360" w:lineRule="auto"/>
              <w:rPr>
                <w:rFonts w:hint="eastAsia" w:ascii="宋体" w:hAnsi="宋体" w:eastAsia="宋体"/>
                <w:b/>
                <w:color w:val="auto"/>
                <w:szCs w:val="21"/>
                <w:highlight w:val="none"/>
              </w:rPr>
            </w:pPr>
            <w:r>
              <w:rPr>
                <w:rFonts w:hint="eastAsia" w:ascii="宋体" w:hAnsi="宋体" w:eastAsia="宋体"/>
                <w:b w:val="0"/>
                <w:bCs/>
                <w:color w:val="auto"/>
                <w:szCs w:val="21"/>
                <w:highlight w:val="none"/>
              </w:rPr>
              <w:t>（</w:t>
            </w:r>
            <w:r>
              <w:rPr>
                <w:rFonts w:hint="eastAsia" w:ascii="宋体" w:hAnsi="宋体" w:eastAsia="宋体"/>
                <w:b w:val="0"/>
                <w:bCs/>
                <w:color w:val="auto"/>
                <w:szCs w:val="21"/>
                <w:highlight w:val="none"/>
                <w:lang w:val="en-US" w:eastAsia="zh-CN"/>
              </w:rPr>
              <w:t>2</w:t>
            </w:r>
            <w:r>
              <w:rPr>
                <w:rFonts w:hint="eastAsia" w:ascii="宋体" w:hAnsi="宋体" w:eastAsia="宋体"/>
                <w:b w:val="0"/>
                <w:bCs/>
                <w:color w:val="auto"/>
                <w:szCs w:val="21"/>
                <w:highlight w:val="none"/>
              </w:rPr>
              <w:t>）拟投入本项目的项目经理须具备建筑工程专业二级（含二级）以上注册建造师资格，并持有省级或省级以上行政主管部门或其授权部门（机构）颁发的B类安全生产考核合格证书。本项目不接受有在建、已中标未开工或已列为其他项目中标候选人第一名的建造师作为项目经理</w:t>
            </w:r>
            <w:r>
              <w:rPr>
                <w:rFonts w:hint="eastAsia" w:ascii="宋体" w:hAnsi="宋体" w:eastAsia="宋体"/>
                <w:b w:val="0"/>
                <w:bCs/>
                <w:color w:val="auto"/>
                <w:szCs w:val="21"/>
                <w:highlight w:val="none"/>
                <w:lang w:eastAsia="zh-CN"/>
              </w:rPr>
              <w:t>。</w:t>
            </w:r>
            <w:r>
              <w:rPr>
                <w:rFonts w:hint="eastAsia" w:ascii="宋体" w:hAnsi="宋体" w:eastAsia="宋体"/>
                <w:b w:val="0"/>
                <w:bCs/>
                <w:color w:val="auto"/>
                <w:szCs w:val="21"/>
                <w:highlight w:val="none"/>
              </w:rPr>
              <w:t>拟投入本项目的专职安全员具备有效的安全生产考核合格证书（C类）。</w:t>
            </w:r>
            <w:r>
              <w:rPr>
                <w:rFonts w:hint="eastAsia" w:ascii="宋体" w:hAnsi="宋体" w:eastAsia="宋体"/>
                <w:b/>
                <w:color w:val="auto"/>
                <w:szCs w:val="21"/>
                <w:highlight w:val="none"/>
              </w:rPr>
              <w:t>（必须提供，否则响应文件按无效响应处理）</w:t>
            </w:r>
          </w:p>
          <w:p w14:paraId="5507468F">
            <w:pPr>
              <w:spacing w:line="360" w:lineRule="auto"/>
              <w:rPr>
                <w:rFonts w:hint="default" w:ascii="宋体" w:hAnsi="宋体" w:eastAsia="宋体"/>
                <w:b w:val="0"/>
                <w:bCs/>
                <w:color w:val="auto"/>
                <w:szCs w:val="21"/>
                <w:highlight w:val="none"/>
                <w:lang w:val="en-US" w:eastAsia="zh-CN"/>
              </w:rPr>
            </w:pPr>
            <w:r>
              <w:rPr>
                <w:rFonts w:hint="eastAsia" w:ascii="宋体" w:hAnsi="宋体" w:eastAsia="宋体"/>
                <w:b w:val="0"/>
                <w:bCs/>
                <w:color w:val="auto"/>
                <w:szCs w:val="21"/>
                <w:highlight w:val="none"/>
                <w:lang w:val="en-US" w:eastAsia="zh-CN"/>
              </w:rPr>
              <w:t>10.承诺书</w:t>
            </w:r>
            <w:r>
              <w:rPr>
                <w:rFonts w:hint="eastAsia" w:ascii="宋体" w:hAnsi="宋体" w:eastAsia="宋体"/>
                <w:b/>
                <w:color w:val="auto"/>
                <w:szCs w:val="21"/>
                <w:highlight w:val="none"/>
              </w:rPr>
              <w:t>（必须提供，否则响应文件按无效响应处理）</w:t>
            </w:r>
          </w:p>
          <w:p w14:paraId="6E39B335">
            <w:pPr>
              <w:spacing w:line="360" w:lineRule="auto"/>
              <w:rPr>
                <w:rFonts w:ascii="宋体" w:hAnsi="宋体" w:eastAsia="宋体"/>
                <w:color w:val="auto"/>
                <w:szCs w:val="21"/>
                <w:highlight w:val="none"/>
              </w:rPr>
            </w:pPr>
            <w:r>
              <w:rPr>
                <w:rFonts w:hint="eastAsia" w:ascii="宋体" w:hAnsi="宋体" w:eastAsia="宋体"/>
                <w:color w:val="auto"/>
                <w:szCs w:val="21"/>
                <w:highlight w:val="none"/>
                <w:lang w:val="en-US" w:eastAsia="zh-CN"/>
              </w:rPr>
              <w:t>11</w:t>
            </w:r>
            <w:r>
              <w:rPr>
                <w:rFonts w:hint="eastAsia" w:ascii="宋体" w:hAnsi="宋体" w:eastAsia="宋体"/>
                <w:color w:val="auto"/>
                <w:szCs w:val="21"/>
                <w:highlight w:val="none"/>
              </w:rPr>
              <w:t>.除磋商文件规定必须提供以外，供应商认为需要提供的其他证明材料；</w:t>
            </w:r>
          </w:p>
          <w:p w14:paraId="55E0B076">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w:t>
            </w:r>
          </w:p>
          <w:p w14:paraId="34ACEB1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1.以上标明“必须提供”的材料属于复印件的扫描件的，必须加盖供应商电子公章，否则响应文件按无效响应处理。</w:t>
            </w:r>
          </w:p>
          <w:p w14:paraId="6F7BE976">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2.联合体竞标时，第1-5项资格证明文件联合体各方均必须分别提供，联合体各方分别盖章和签字，否则响应文件按无效响应处理。</w:t>
            </w:r>
          </w:p>
        </w:tc>
      </w:tr>
      <w:tr w14:paraId="78EA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7EF3378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12.1.2</w:t>
            </w:r>
          </w:p>
        </w:tc>
        <w:tc>
          <w:tcPr>
            <w:tcW w:w="1105" w:type="pct"/>
            <w:vAlign w:val="center"/>
          </w:tcPr>
          <w:p w14:paraId="71603E36">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商务文件组成</w:t>
            </w:r>
          </w:p>
        </w:tc>
        <w:tc>
          <w:tcPr>
            <w:tcW w:w="3455" w:type="pct"/>
            <w:vAlign w:val="center"/>
          </w:tcPr>
          <w:p w14:paraId="55452CFF">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1.无串通竞标行为的承诺函；</w:t>
            </w:r>
            <w:r>
              <w:rPr>
                <w:rFonts w:hint="eastAsia" w:ascii="宋体" w:hAnsi="宋体" w:eastAsia="宋体"/>
                <w:b/>
                <w:color w:val="auto"/>
                <w:szCs w:val="21"/>
                <w:highlight w:val="none"/>
              </w:rPr>
              <w:t>（必须提供，否则响应文件按无效响应处理）</w:t>
            </w:r>
          </w:p>
          <w:p w14:paraId="5B90E626">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2.法定代表人身份证明书及法定代表人有效身份证正反面复印件；</w:t>
            </w:r>
            <w:r>
              <w:rPr>
                <w:rFonts w:hint="eastAsia" w:ascii="宋体" w:hAnsi="宋体" w:eastAsia="宋体"/>
                <w:b/>
                <w:color w:val="auto"/>
                <w:szCs w:val="21"/>
                <w:highlight w:val="none"/>
              </w:rPr>
              <w:t>（除自然人竞标外必须提供，否则响应文件按无效响应处理）</w:t>
            </w:r>
          </w:p>
          <w:p w14:paraId="23E362C7">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3.法定代表人授权委托书及委托代理人有效身份证正反面复印件；</w:t>
            </w:r>
            <w:r>
              <w:rPr>
                <w:rFonts w:hint="eastAsia" w:ascii="宋体" w:hAnsi="宋体" w:eastAsia="宋体"/>
                <w:b/>
                <w:color w:val="auto"/>
                <w:szCs w:val="21"/>
                <w:highlight w:val="none"/>
              </w:rPr>
              <w:t>（委托时必须提供，否则响应文件按无效响应处理）</w:t>
            </w:r>
          </w:p>
          <w:p w14:paraId="6C80C0DD">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4.商务条款偏离表；</w:t>
            </w:r>
            <w:r>
              <w:rPr>
                <w:rFonts w:hint="eastAsia" w:ascii="宋体" w:hAnsi="宋体" w:eastAsia="宋体"/>
                <w:b/>
                <w:color w:val="auto"/>
                <w:szCs w:val="21"/>
                <w:highlight w:val="none"/>
              </w:rPr>
              <w:t>（必须提供，否则响应文件按无效响应处理）</w:t>
            </w:r>
          </w:p>
          <w:p w14:paraId="2CDC69F7">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5.竞标人情况介绍；</w:t>
            </w:r>
          </w:p>
          <w:p w14:paraId="04E1E1E4">
            <w:pPr>
              <w:spacing w:line="360" w:lineRule="auto"/>
              <w:rPr>
                <w:rFonts w:ascii="宋体" w:hAnsi="宋体" w:eastAsia="宋体"/>
                <w:color w:val="auto"/>
                <w:szCs w:val="21"/>
                <w:highlight w:val="none"/>
              </w:rPr>
            </w:pPr>
            <w:r>
              <w:rPr>
                <w:rFonts w:ascii="宋体" w:hAnsi="宋体" w:eastAsia="宋体"/>
                <w:color w:val="auto"/>
                <w:szCs w:val="21"/>
                <w:highlight w:val="none"/>
              </w:rPr>
              <w:t>6</w:t>
            </w:r>
            <w:r>
              <w:rPr>
                <w:rFonts w:hint="eastAsia" w:ascii="宋体" w:hAnsi="宋体" w:eastAsia="宋体"/>
                <w:color w:val="auto"/>
                <w:szCs w:val="21"/>
                <w:highlight w:val="none"/>
              </w:rPr>
              <w:t>.供应商认为需要提供的其他有关资料。</w:t>
            </w:r>
          </w:p>
          <w:p w14:paraId="0D285C53">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w:t>
            </w:r>
          </w:p>
          <w:p w14:paraId="075B62C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1.法定代表人授权委托书必须由法定代表人签字或盖章及委托代理人签字，并加盖供应商公章，否则响应文件按无效响应处理。</w:t>
            </w:r>
          </w:p>
          <w:p w14:paraId="4542EA49">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2.以上标明“必须提供”的材料属于复印件的扫描件的，必须加盖供应商电子公章，否则响应文件按无效响应处理。</w:t>
            </w:r>
          </w:p>
        </w:tc>
      </w:tr>
      <w:tr w14:paraId="0B5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594979C1">
            <w:pPr>
              <w:spacing w:line="360" w:lineRule="auto"/>
              <w:jc w:val="center"/>
              <w:rPr>
                <w:rFonts w:ascii="宋体" w:hAnsi="宋体" w:eastAsia="宋体"/>
                <w:color w:val="auto"/>
                <w:szCs w:val="21"/>
                <w:highlight w:val="none"/>
              </w:rPr>
            </w:pPr>
          </w:p>
        </w:tc>
        <w:tc>
          <w:tcPr>
            <w:tcW w:w="1105" w:type="pct"/>
            <w:vAlign w:val="center"/>
          </w:tcPr>
          <w:p w14:paraId="7B291A20">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技术文件组成</w:t>
            </w:r>
          </w:p>
        </w:tc>
        <w:tc>
          <w:tcPr>
            <w:tcW w:w="3455" w:type="pct"/>
            <w:vAlign w:val="center"/>
          </w:tcPr>
          <w:p w14:paraId="5D156CD6">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1.技术需求偏离表；</w:t>
            </w:r>
            <w:r>
              <w:rPr>
                <w:rFonts w:hint="eastAsia" w:ascii="宋体" w:hAnsi="宋体" w:eastAsia="宋体"/>
                <w:b/>
                <w:color w:val="auto"/>
                <w:szCs w:val="21"/>
                <w:highlight w:val="none"/>
              </w:rPr>
              <w:t>（必须提供，否则响应文件按无效响应处理）</w:t>
            </w:r>
          </w:p>
          <w:p w14:paraId="7517F3D6">
            <w:pPr>
              <w:spacing w:line="360" w:lineRule="auto"/>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.企业概况表；</w:t>
            </w:r>
            <w:r>
              <w:rPr>
                <w:rFonts w:hint="eastAsia" w:ascii="宋体" w:hAnsi="宋体" w:eastAsia="宋体"/>
                <w:b/>
                <w:color w:val="auto"/>
                <w:szCs w:val="21"/>
                <w:highlight w:val="none"/>
              </w:rPr>
              <w:t>（必须提供，否则响应文件按无效响应处理）</w:t>
            </w:r>
          </w:p>
          <w:p w14:paraId="4B86ED61">
            <w:pPr>
              <w:spacing w:line="360" w:lineRule="auto"/>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.施工组织设计（格式自拟）；</w:t>
            </w:r>
            <w:r>
              <w:rPr>
                <w:rFonts w:hint="eastAsia" w:ascii="宋体" w:hAnsi="宋体" w:eastAsia="宋体"/>
                <w:b/>
                <w:color w:val="auto"/>
                <w:szCs w:val="21"/>
                <w:highlight w:val="none"/>
              </w:rPr>
              <w:t>（必须提供，否则响应文件按无效响应处理）</w:t>
            </w:r>
          </w:p>
          <w:p w14:paraId="4DD8835C">
            <w:pPr>
              <w:spacing w:line="360" w:lineRule="auto"/>
              <w:rPr>
                <w:rFonts w:ascii="宋体" w:hAnsi="宋体" w:eastAsia="宋体"/>
                <w:b/>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.项目管理机构（格式自拟）；</w:t>
            </w:r>
            <w:r>
              <w:rPr>
                <w:rFonts w:hint="eastAsia" w:ascii="宋体" w:hAnsi="宋体" w:eastAsia="宋体"/>
                <w:b/>
                <w:color w:val="auto"/>
                <w:szCs w:val="21"/>
                <w:highlight w:val="none"/>
              </w:rPr>
              <w:t>（必须提供，否则响应文件按无效响应处理）</w:t>
            </w:r>
          </w:p>
          <w:p w14:paraId="0AC7B820">
            <w:pPr>
              <w:spacing w:line="360" w:lineRule="auto"/>
              <w:rPr>
                <w:rFonts w:ascii="宋体" w:hAnsi="宋体" w:eastAsia="宋体"/>
                <w:b/>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rPr>
              <w:t>.建设工程项目管理承诺书</w:t>
            </w:r>
            <w:r>
              <w:rPr>
                <w:rFonts w:hint="eastAsia" w:ascii="宋体" w:hAnsi="宋体" w:eastAsia="宋体"/>
                <w:b/>
                <w:color w:val="auto"/>
                <w:szCs w:val="21"/>
                <w:highlight w:val="none"/>
              </w:rPr>
              <w:t>（必须提供，否则响应文件按无效响应处理）</w:t>
            </w:r>
          </w:p>
          <w:p w14:paraId="35DAF81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6.供应商认为需要提供的其他有关资料。</w:t>
            </w:r>
          </w:p>
          <w:p w14:paraId="63E0CD8D">
            <w:pPr>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注：1.以上标明“必须提供”的材料属于复印件的扫描件的，必须加盖供应商电子公章，否则响应文件按无效响应处理。</w:t>
            </w:r>
          </w:p>
        </w:tc>
      </w:tr>
      <w:tr w14:paraId="3E0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421AF6C2">
            <w:pPr>
              <w:spacing w:line="36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12.1.</w:t>
            </w:r>
            <w:r>
              <w:rPr>
                <w:rFonts w:hint="eastAsia" w:ascii="宋体" w:hAnsi="宋体" w:eastAsia="宋体"/>
                <w:color w:val="auto"/>
                <w:szCs w:val="21"/>
                <w:highlight w:val="none"/>
                <w:lang w:val="en-US" w:eastAsia="zh-CN"/>
              </w:rPr>
              <w:t>3</w:t>
            </w:r>
          </w:p>
        </w:tc>
        <w:tc>
          <w:tcPr>
            <w:tcW w:w="1105" w:type="pct"/>
            <w:vAlign w:val="center"/>
          </w:tcPr>
          <w:p w14:paraId="013C3C35">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报价文件组成</w:t>
            </w:r>
          </w:p>
        </w:tc>
        <w:tc>
          <w:tcPr>
            <w:tcW w:w="3455" w:type="pct"/>
            <w:vAlign w:val="center"/>
          </w:tcPr>
          <w:p w14:paraId="48F3B463">
            <w:pPr>
              <w:spacing w:line="360" w:lineRule="auto"/>
              <w:jc w:val="left"/>
              <w:rPr>
                <w:rFonts w:ascii="宋体" w:hAnsi="宋体" w:eastAsia="宋体"/>
                <w:b/>
                <w:color w:val="auto"/>
                <w:szCs w:val="21"/>
                <w:highlight w:val="none"/>
              </w:rPr>
            </w:pPr>
            <w:r>
              <w:rPr>
                <w:rFonts w:hint="eastAsia" w:ascii="宋体" w:hAnsi="宋体" w:eastAsia="宋体"/>
                <w:color w:val="auto"/>
                <w:szCs w:val="21"/>
                <w:highlight w:val="none"/>
              </w:rPr>
              <w:t>1.响应函；</w:t>
            </w:r>
            <w:r>
              <w:rPr>
                <w:rFonts w:hint="eastAsia" w:ascii="宋体" w:hAnsi="宋体" w:eastAsia="宋体"/>
                <w:b/>
                <w:color w:val="auto"/>
                <w:szCs w:val="21"/>
                <w:highlight w:val="none"/>
              </w:rPr>
              <w:t>（必须提供，否则作无效响应处理）</w:t>
            </w:r>
          </w:p>
          <w:p w14:paraId="7A7232C5">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2.响应报价表；</w:t>
            </w:r>
            <w:r>
              <w:rPr>
                <w:rFonts w:hint="eastAsia" w:ascii="宋体" w:hAnsi="宋体" w:eastAsia="宋体"/>
                <w:b/>
                <w:color w:val="auto"/>
                <w:szCs w:val="21"/>
                <w:highlight w:val="none"/>
              </w:rPr>
              <w:t>（必须提供，否则响应文件按无效响应处理）</w:t>
            </w:r>
          </w:p>
        </w:tc>
      </w:tr>
      <w:tr w14:paraId="79FC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426EEC8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12.2</w:t>
            </w:r>
          </w:p>
        </w:tc>
        <w:tc>
          <w:tcPr>
            <w:tcW w:w="1105" w:type="pct"/>
            <w:vAlign w:val="center"/>
          </w:tcPr>
          <w:p w14:paraId="5B113F3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响应文件电子版要求</w:t>
            </w:r>
          </w:p>
        </w:tc>
        <w:tc>
          <w:tcPr>
            <w:tcW w:w="3455" w:type="pct"/>
            <w:vAlign w:val="center"/>
          </w:tcPr>
          <w:p w14:paraId="69C5C78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1.响应文件电子版要求：按照本采购文件“第五章响应文件格式”编写（第五章未附格式的，由供应商自行拟定），不可涂改并在规定加盖公章处加盖电子公章，</w:t>
            </w:r>
            <w:r>
              <w:rPr>
                <w:rFonts w:hint="eastAsia" w:ascii="宋体" w:hAnsi="宋体" w:eastAsia="宋体"/>
                <w:b/>
                <w:color w:val="auto"/>
                <w:szCs w:val="21"/>
                <w:highlight w:val="none"/>
              </w:rPr>
              <w:t>否则响应文件按无效响应处理</w:t>
            </w:r>
            <w:r>
              <w:rPr>
                <w:rFonts w:hint="eastAsia" w:ascii="宋体" w:hAnsi="宋体" w:eastAsia="宋体"/>
                <w:color w:val="auto"/>
                <w:szCs w:val="21"/>
                <w:highlight w:val="none"/>
              </w:rPr>
              <w:t>。</w:t>
            </w:r>
          </w:p>
          <w:p w14:paraId="6FC200E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2.响应文件电子版密封方式：电子响应文件通过平台有效CA加密后在“广西政府采购云平台”投送。（操作方式见公告附件“电子响应文件制作与投送教程”）</w:t>
            </w:r>
          </w:p>
        </w:tc>
      </w:tr>
      <w:tr w14:paraId="3EB9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7A86F3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15.2</w:t>
            </w:r>
          </w:p>
        </w:tc>
        <w:tc>
          <w:tcPr>
            <w:tcW w:w="1105" w:type="pct"/>
            <w:vAlign w:val="center"/>
          </w:tcPr>
          <w:p w14:paraId="733B185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响应报价要求</w:t>
            </w:r>
          </w:p>
        </w:tc>
        <w:tc>
          <w:tcPr>
            <w:tcW w:w="3455" w:type="pct"/>
            <w:vAlign w:val="center"/>
          </w:tcPr>
          <w:p w14:paraId="0433A49A">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竞争性磋商报价采用下浮系数报价（报价范围：0≤下浮系数＜100%），供应商应认真阅读经采购人审定的最高限价，参与磋商即表示认可最高限价，成交后依据采购预算价（招标控制价）公布的相应的清单项目的单价乘以（1-下浮系数）进行结算，竞标人不得对采购人的采购预算价（招标控制价）中的综合单价进行修改。</w:t>
            </w:r>
          </w:p>
          <w:p w14:paraId="48EDEB34">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响应报价必须包含满足本次竞标全部采购需求所应提供的内容，以及伴随的货物和工程（如有）的价格；包含竞标服务、货物、工程的成本、运输（含保险）、安装（如有）、调试、检验、技术服务、培训、税费等所有费用。</w:t>
            </w:r>
            <w:r>
              <w:rPr>
                <w:rFonts w:hint="eastAsia" w:ascii="宋体" w:hAnsi="宋体" w:eastAsia="宋体"/>
                <w:b/>
                <w:color w:val="auto"/>
                <w:szCs w:val="21"/>
                <w:highlight w:val="none"/>
              </w:rPr>
              <w:t>（采购需求另有约定的，从其约定。）</w:t>
            </w:r>
          </w:p>
        </w:tc>
      </w:tr>
      <w:tr w14:paraId="3030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994ED5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16.2</w:t>
            </w:r>
          </w:p>
        </w:tc>
        <w:tc>
          <w:tcPr>
            <w:tcW w:w="1105" w:type="pct"/>
            <w:vAlign w:val="center"/>
          </w:tcPr>
          <w:p w14:paraId="0FB5C92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竞标有效期</w:t>
            </w:r>
          </w:p>
        </w:tc>
        <w:tc>
          <w:tcPr>
            <w:tcW w:w="3455" w:type="pct"/>
            <w:vAlign w:val="center"/>
          </w:tcPr>
          <w:p w14:paraId="1523A52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自首次响应文件提交截止之日起</w:t>
            </w:r>
            <w:r>
              <w:rPr>
                <w:rFonts w:ascii="宋体" w:hAnsi="宋体" w:eastAsia="宋体"/>
                <w:color w:val="auto"/>
                <w:szCs w:val="21"/>
                <w:highlight w:val="none"/>
                <w:u w:val="single"/>
              </w:rPr>
              <w:t>6</w:t>
            </w:r>
            <w:r>
              <w:rPr>
                <w:rFonts w:hint="eastAsia" w:ascii="宋体" w:hAnsi="宋体" w:eastAsia="宋体"/>
                <w:color w:val="auto"/>
                <w:szCs w:val="21"/>
                <w:highlight w:val="none"/>
                <w:u w:val="single"/>
              </w:rPr>
              <w:t>0</w:t>
            </w:r>
            <w:r>
              <w:rPr>
                <w:rFonts w:hint="eastAsia" w:ascii="宋体" w:hAnsi="宋体" w:eastAsia="宋体"/>
                <w:color w:val="auto"/>
                <w:szCs w:val="21"/>
                <w:highlight w:val="none"/>
              </w:rPr>
              <w:t>日。</w:t>
            </w:r>
          </w:p>
        </w:tc>
      </w:tr>
      <w:tr w14:paraId="6A38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4A46B2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17</w:t>
            </w:r>
          </w:p>
        </w:tc>
        <w:tc>
          <w:tcPr>
            <w:tcW w:w="1105" w:type="pct"/>
            <w:vAlign w:val="center"/>
          </w:tcPr>
          <w:p w14:paraId="5F3CDC0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磋商保证金</w:t>
            </w:r>
          </w:p>
        </w:tc>
        <w:tc>
          <w:tcPr>
            <w:tcW w:w="3455" w:type="pct"/>
            <w:vAlign w:val="center"/>
          </w:tcPr>
          <w:p w14:paraId="5D4F513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本项目不收取磋商保证金。</w:t>
            </w:r>
          </w:p>
        </w:tc>
      </w:tr>
      <w:tr w14:paraId="7068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09DCA5DF">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20.1</w:t>
            </w:r>
          </w:p>
        </w:tc>
        <w:tc>
          <w:tcPr>
            <w:tcW w:w="1105" w:type="pct"/>
            <w:vAlign w:val="center"/>
          </w:tcPr>
          <w:p w14:paraId="5CEFB2D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首次响应文件提交起止时间</w:t>
            </w:r>
          </w:p>
        </w:tc>
        <w:tc>
          <w:tcPr>
            <w:tcW w:w="3455" w:type="pct"/>
            <w:vAlign w:val="center"/>
          </w:tcPr>
          <w:p w14:paraId="2BA3C1F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详见竞争性磋商公告。</w:t>
            </w:r>
          </w:p>
        </w:tc>
      </w:tr>
      <w:tr w14:paraId="6AEA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51E3DAA5">
            <w:pPr>
              <w:spacing w:line="360" w:lineRule="auto"/>
              <w:jc w:val="center"/>
              <w:rPr>
                <w:rFonts w:ascii="宋体" w:hAnsi="宋体" w:eastAsia="宋体"/>
                <w:color w:val="auto"/>
                <w:szCs w:val="21"/>
                <w:highlight w:val="none"/>
              </w:rPr>
            </w:pPr>
          </w:p>
        </w:tc>
        <w:tc>
          <w:tcPr>
            <w:tcW w:w="1105" w:type="pct"/>
            <w:vAlign w:val="center"/>
          </w:tcPr>
          <w:p w14:paraId="413AC5E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首次响应文件提交地点</w:t>
            </w:r>
          </w:p>
        </w:tc>
        <w:tc>
          <w:tcPr>
            <w:tcW w:w="3455" w:type="pct"/>
            <w:vAlign w:val="center"/>
          </w:tcPr>
          <w:p w14:paraId="2DE99D8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详见竞争性磋商公告。</w:t>
            </w:r>
          </w:p>
        </w:tc>
      </w:tr>
      <w:tr w14:paraId="33F8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FC8DBB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20.6</w:t>
            </w:r>
          </w:p>
        </w:tc>
        <w:tc>
          <w:tcPr>
            <w:tcW w:w="1105" w:type="pct"/>
            <w:vAlign w:val="center"/>
          </w:tcPr>
          <w:p w14:paraId="2280E3C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备份响应文件</w:t>
            </w:r>
          </w:p>
        </w:tc>
        <w:tc>
          <w:tcPr>
            <w:tcW w:w="3455" w:type="pct"/>
            <w:vAlign w:val="center"/>
          </w:tcPr>
          <w:p w14:paraId="23DD631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本项目不接受备份响应文件。</w:t>
            </w:r>
          </w:p>
        </w:tc>
      </w:tr>
      <w:tr w14:paraId="5D71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8571A3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21</w:t>
            </w:r>
          </w:p>
        </w:tc>
        <w:tc>
          <w:tcPr>
            <w:tcW w:w="1105" w:type="pct"/>
            <w:vAlign w:val="center"/>
          </w:tcPr>
          <w:p w14:paraId="50E3497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首次响应文件的退回</w:t>
            </w:r>
          </w:p>
        </w:tc>
        <w:tc>
          <w:tcPr>
            <w:tcW w:w="3455" w:type="pct"/>
            <w:vAlign w:val="center"/>
          </w:tcPr>
          <w:p w14:paraId="53F8AAC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详见竞争性磋商公告。</w:t>
            </w:r>
          </w:p>
        </w:tc>
      </w:tr>
      <w:tr w14:paraId="7512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081B3956">
            <w:pPr>
              <w:spacing w:line="36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26.</w:t>
            </w:r>
            <w:r>
              <w:rPr>
                <w:rFonts w:hint="eastAsia" w:ascii="宋体" w:hAnsi="宋体" w:eastAsia="宋体"/>
                <w:color w:val="auto"/>
                <w:szCs w:val="21"/>
                <w:highlight w:val="none"/>
                <w:lang w:val="en-US" w:eastAsia="zh-CN"/>
              </w:rPr>
              <w:t>3</w:t>
            </w:r>
          </w:p>
        </w:tc>
        <w:tc>
          <w:tcPr>
            <w:tcW w:w="1105" w:type="pct"/>
            <w:vAlign w:val="center"/>
          </w:tcPr>
          <w:p w14:paraId="1A5652D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负偏离要求</w:t>
            </w:r>
          </w:p>
        </w:tc>
        <w:tc>
          <w:tcPr>
            <w:tcW w:w="3455" w:type="pct"/>
            <w:vAlign w:val="center"/>
          </w:tcPr>
          <w:p w14:paraId="5A8EDD1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商务条款评审中允许负偏离的条款数为</w:t>
            </w:r>
            <w:r>
              <w:rPr>
                <w:rFonts w:hint="eastAsia" w:ascii="宋体" w:hAnsi="宋体" w:eastAsia="宋体"/>
                <w:color w:val="auto"/>
                <w:szCs w:val="21"/>
                <w:highlight w:val="none"/>
                <w:u w:val="single"/>
              </w:rPr>
              <w:t>0</w:t>
            </w:r>
            <w:r>
              <w:rPr>
                <w:rFonts w:hint="eastAsia" w:ascii="宋体" w:hAnsi="宋体" w:eastAsia="宋体"/>
                <w:color w:val="auto"/>
                <w:szCs w:val="21"/>
                <w:highlight w:val="none"/>
              </w:rPr>
              <w:t>项。</w:t>
            </w:r>
          </w:p>
          <w:p w14:paraId="0E14B71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技术需求评审中允许负偏离的条款数为</w:t>
            </w:r>
            <w:r>
              <w:rPr>
                <w:rFonts w:hint="eastAsia" w:ascii="宋体" w:hAnsi="宋体" w:eastAsia="宋体"/>
                <w:color w:val="auto"/>
                <w:szCs w:val="21"/>
                <w:highlight w:val="none"/>
                <w:u w:val="single"/>
              </w:rPr>
              <w:t>0</w:t>
            </w:r>
            <w:r>
              <w:rPr>
                <w:rFonts w:hint="eastAsia" w:ascii="宋体" w:hAnsi="宋体" w:eastAsia="宋体"/>
                <w:color w:val="auto"/>
                <w:szCs w:val="21"/>
                <w:highlight w:val="none"/>
              </w:rPr>
              <w:t>项。</w:t>
            </w:r>
          </w:p>
        </w:tc>
      </w:tr>
      <w:tr w14:paraId="327C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0AC3BE76">
            <w:pPr>
              <w:spacing w:line="360" w:lineRule="auto"/>
              <w:jc w:val="center"/>
              <w:rPr>
                <w:rFonts w:ascii="宋体" w:hAnsi="宋体" w:eastAsia="宋体"/>
                <w:color w:val="auto"/>
                <w:szCs w:val="21"/>
                <w:highlight w:val="none"/>
              </w:rPr>
            </w:pPr>
          </w:p>
        </w:tc>
        <w:tc>
          <w:tcPr>
            <w:tcW w:w="1105" w:type="pct"/>
            <w:vAlign w:val="center"/>
          </w:tcPr>
          <w:p w14:paraId="33CB469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磋商的顺序</w:t>
            </w:r>
          </w:p>
        </w:tc>
        <w:tc>
          <w:tcPr>
            <w:tcW w:w="3455" w:type="pct"/>
            <w:vAlign w:val="center"/>
          </w:tcPr>
          <w:p w14:paraId="195719C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□按照提交首次响应文件的顺序，通知磋商时，若某供应商不在通知现场时，该供应商排序到最后磋商，按照签到的顺序由其下一位供应商先参与磋商。</w:t>
            </w:r>
          </w:p>
          <w:p w14:paraId="5E2AEC31">
            <w:pPr>
              <w:spacing w:line="360" w:lineRule="auto"/>
              <w:jc w:val="left"/>
              <w:rPr>
                <w:rFonts w:ascii="宋体" w:hAnsi="宋体" w:eastAsia="宋体"/>
                <w:b/>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随机排序。</w:t>
            </w:r>
          </w:p>
        </w:tc>
      </w:tr>
      <w:tr w14:paraId="03A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B76BB2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28</w:t>
            </w:r>
          </w:p>
        </w:tc>
        <w:tc>
          <w:tcPr>
            <w:tcW w:w="1105" w:type="pct"/>
            <w:vAlign w:val="center"/>
          </w:tcPr>
          <w:p w14:paraId="3B26B68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履约保证金</w:t>
            </w:r>
          </w:p>
        </w:tc>
        <w:tc>
          <w:tcPr>
            <w:tcW w:w="3455" w:type="pct"/>
            <w:vAlign w:val="center"/>
          </w:tcPr>
          <w:p w14:paraId="588F6CEA">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本项目不收取履约保证金。</w:t>
            </w:r>
          </w:p>
        </w:tc>
      </w:tr>
      <w:tr w14:paraId="0394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320198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29.5</w:t>
            </w:r>
          </w:p>
        </w:tc>
        <w:tc>
          <w:tcPr>
            <w:tcW w:w="1105" w:type="pct"/>
            <w:vAlign w:val="center"/>
          </w:tcPr>
          <w:p w14:paraId="1E33F62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签订合同携带的材料</w:t>
            </w:r>
          </w:p>
        </w:tc>
        <w:tc>
          <w:tcPr>
            <w:tcW w:w="3455" w:type="pct"/>
            <w:vAlign w:val="center"/>
          </w:tcPr>
          <w:p w14:paraId="04020378">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使用的有效CA证书加盖单位电子公章</w:t>
            </w:r>
          </w:p>
        </w:tc>
      </w:tr>
      <w:tr w14:paraId="6BFF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44CE422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31.2</w:t>
            </w:r>
          </w:p>
        </w:tc>
        <w:tc>
          <w:tcPr>
            <w:tcW w:w="1105" w:type="pct"/>
            <w:vAlign w:val="center"/>
          </w:tcPr>
          <w:p w14:paraId="7AC7E8B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接收质疑函方式</w:t>
            </w:r>
          </w:p>
        </w:tc>
        <w:tc>
          <w:tcPr>
            <w:tcW w:w="3455" w:type="pct"/>
            <w:vAlign w:val="center"/>
          </w:tcPr>
          <w:p w14:paraId="1FF1344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以书面形式</w:t>
            </w:r>
          </w:p>
        </w:tc>
      </w:tr>
      <w:tr w14:paraId="4A5E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250C59B2">
            <w:pPr>
              <w:spacing w:line="360" w:lineRule="auto"/>
              <w:jc w:val="center"/>
              <w:rPr>
                <w:rFonts w:ascii="宋体" w:hAnsi="宋体" w:eastAsia="宋体"/>
                <w:color w:val="auto"/>
                <w:szCs w:val="21"/>
                <w:highlight w:val="none"/>
              </w:rPr>
            </w:pPr>
          </w:p>
        </w:tc>
        <w:tc>
          <w:tcPr>
            <w:tcW w:w="1105" w:type="pct"/>
            <w:vAlign w:val="center"/>
          </w:tcPr>
          <w:p w14:paraId="45C0F86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质疑联系部门及联系方式</w:t>
            </w:r>
          </w:p>
        </w:tc>
        <w:tc>
          <w:tcPr>
            <w:tcW w:w="3455" w:type="pct"/>
            <w:vAlign w:val="center"/>
          </w:tcPr>
          <w:p w14:paraId="397314E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u w:val="single"/>
              </w:rPr>
              <w:t>广西科文招标有限公司</w:t>
            </w:r>
            <w:r>
              <w:rPr>
                <w:rFonts w:hint="eastAsia" w:ascii="宋体" w:hAnsi="宋体" w:eastAsia="宋体"/>
                <w:color w:val="auto"/>
                <w:szCs w:val="21"/>
                <w:highlight w:val="none"/>
              </w:rPr>
              <w:t>部门；</w:t>
            </w:r>
          </w:p>
          <w:p w14:paraId="6772D411">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rPr>
              <w:t>0771-2023</w:t>
            </w:r>
            <w:r>
              <w:rPr>
                <w:rFonts w:ascii="宋体" w:hAnsi="宋体" w:eastAsia="宋体"/>
                <w:color w:val="auto"/>
                <w:szCs w:val="21"/>
                <w:highlight w:val="none"/>
                <w:u w:val="single"/>
              </w:rPr>
              <w:t>972</w:t>
            </w:r>
            <w:r>
              <w:rPr>
                <w:rFonts w:hint="eastAsia" w:ascii="宋体" w:hAnsi="宋体" w:eastAsia="宋体"/>
                <w:color w:val="auto"/>
                <w:szCs w:val="21"/>
                <w:highlight w:val="none"/>
              </w:rPr>
              <w:t>，</w:t>
            </w:r>
          </w:p>
          <w:p w14:paraId="0FCB8589">
            <w:pPr>
              <w:spacing w:line="360" w:lineRule="auto"/>
              <w:jc w:val="left"/>
              <w:rPr>
                <w:rFonts w:ascii="宋体" w:hAnsi="宋体" w:eastAsia="宋体"/>
                <w:color w:val="auto"/>
                <w:szCs w:val="21"/>
                <w:highlight w:val="none"/>
                <w:u w:val="single"/>
              </w:rPr>
            </w:pPr>
            <w:r>
              <w:rPr>
                <w:rFonts w:hint="eastAsia" w:ascii="宋体" w:hAnsi="宋体" w:eastAsia="宋体"/>
                <w:color w:val="auto"/>
                <w:szCs w:val="21"/>
                <w:highlight w:val="none"/>
              </w:rPr>
              <w:t>通讯地址：</w:t>
            </w:r>
            <w:r>
              <w:rPr>
                <w:rFonts w:hint="eastAsia" w:ascii="宋体" w:hAnsi="宋体" w:eastAsia="宋体"/>
                <w:color w:val="auto"/>
                <w:szCs w:val="21"/>
                <w:highlight w:val="none"/>
                <w:u w:val="single"/>
              </w:rPr>
              <w:t>广西壮族自治区南宁市民族大道141号中鼎万象东方D区五层</w:t>
            </w:r>
          </w:p>
          <w:p w14:paraId="7A2430DB">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u w:val="single"/>
              </w:rPr>
              <w:t>南宁市青秀区刘圩镇人民政府</w:t>
            </w:r>
            <w:r>
              <w:rPr>
                <w:rFonts w:hint="eastAsia" w:ascii="宋体" w:hAnsi="宋体" w:eastAsia="宋体"/>
                <w:color w:val="auto"/>
                <w:szCs w:val="21"/>
                <w:highlight w:val="none"/>
              </w:rPr>
              <w:t>部门；</w:t>
            </w:r>
          </w:p>
          <w:p w14:paraId="0E22D41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宋体" w:hAnsi="宋体" w:eastAsia="宋体"/>
                <w:color w:val="auto"/>
                <w:szCs w:val="21"/>
                <w:highlight w:val="none"/>
                <w:u w:val="single"/>
              </w:rPr>
              <w:t>0771-4302016</w:t>
            </w:r>
            <w:r>
              <w:rPr>
                <w:rFonts w:hint="eastAsia" w:ascii="宋体" w:hAnsi="宋体" w:eastAsia="宋体"/>
                <w:color w:val="auto"/>
                <w:szCs w:val="21"/>
                <w:highlight w:val="none"/>
              </w:rPr>
              <w:t>，</w:t>
            </w:r>
          </w:p>
          <w:p w14:paraId="3C2D8079">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通讯地址：</w:t>
            </w:r>
            <w:r>
              <w:rPr>
                <w:rFonts w:hint="eastAsia" w:ascii="宋体" w:hAnsi="宋体" w:eastAsia="宋体"/>
                <w:color w:val="auto"/>
                <w:szCs w:val="21"/>
                <w:highlight w:val="none"/>
                <w:u w:val="single"/>
              </w:rPr>
              <w:t>广西壮族自治区南宁市青秀区刘圩镇新兴街24号</w:t>
            </w:r>
          </w:p>
        </w:tc>
      </w:tr>
      <w:tr w14:paraId="5F2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625616ED">
            <w:pPr>
              <w:spacing w:line="360" w:lineRule="auto"/>
              <w:jc w:val="center"/>
              <w:rPr>
                <w:rFonts w:ascii="宋体" w:hAnsi="宋体" w:eastAsia="宋体"/>
                <w:color w:val="auto"/>
                <w:szCs w:val="21"/>
                <w:highlight w:val="none"/>
              </w:rPr>
            </w:pPr>
          </w:p>
        </w:tc>
        <w:tc>
          <w:tcPr>
            <w:tcW w:w="1105" w:type="pct"/>
            <w:vAlign w:val="center"/>
          </w:tcPr>
          <w:p w14:paraId="1B04722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现场提交质疑办理业务时间</w:t>
            </w:r>
          </w:p>
        </w:tc>
        <w:tc>
          <w:tcPr>
            <w:tcW w:w="3455" w:type="pct"/>
            <w:vAlign w:val="center"/>
          </w:tcPr>
          <w:p w14:paraId="5D89108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质疑期内每个工作日</w:t>
            </w:r>
            <w:r>
              <w:rPr>
                <w:rFonts w:hint="eastAsia" w:ascii="宋体" w:hAnsi="宋体" w:eastAsia="宋体"/>
                <w:color w:val="auto"/>
                <w:szCs w:val="21"/>
                <w:highlight w:val="none"/>
                <w:u w:val="single"/>
              </w:rPr>
              <w:t>8</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分到</w:t>
            </w:r>
            <w:r>
              <w:rPr>
                <w:rFonts w:hint="eastAsia" w:ascii="宋体" w:hAnsi="宋体" w:eastAsia="宋体"/>
                <w:color w:val="auto"/>
                <w:szCs w:val="21"/>
                <w:highlight w:val="none"/>
                <w:u w:val="single"/>
              </w:rPr>
              <w:t>12</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w:t>
            </w:r>
            <w:r>
              <w:rPr>
                <w:rFonts w:hint="eastAsia" w:ascii="宋体" w:hAnsi="宋体" w:eastAsia="宋体"/>
                <w:color w:val="auto"/>
                <w:szCs w:val="21"/>
                <w:highlight w:val="none"/>
                <w:u w:val="single"/>
              </w:rPr>
              <w:t>15</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分到</w:t>
            </w:r>
            <w:r>
              <w:rPr>
                <w:rFonts w:hint="eastAsia" w:ascii="宋体" w:hAnsi="宋体" w:eastAsia="宋体"/>
                <w:color w:val="auto"/>
                <w:szCs w:val="21"/>
                <w:highlight w:val="none"/>
                <w:u w:val="single"/>
              </w:rPr>
              <w:t>18</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w:t>
            </w:r>
          </w:p>
        </w:tc>
      </w:tr>
      <w:tr w14:paraId="037E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BAA670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31.6</w:t>
            </w:r>
          </w:p>
        </w:tc>
        <w:tc>
          <w:tcPr>
            <w:tcW w:w="1105" w:type="pct"/>
            <w:vAlign w:val="center"/>
          </w:tcPr>
          <w:p w14:paraId="51D7595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受理投诉方式</w:t>
            </w:r>
          </w:p>
        </w:tc>
        <w:tc>
          <w:tcPr>
            <w:tcW w:w="3455" w:type="pct"/>
            <w:vAlign w:val="center"/>
          </w:tcPr>
          <w:p w14:paraId="3404229A">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1、受理方式：纸质方式受理，投诉书正、副本（经过质疑的事项才可投诉）。</w:t>
            </w:r>
          </w:p>
          <w:p w14:paraId="718E568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2、邮寄地址：</w:t>
            </w:r>
          </w:p>
          <w:p w14:paraId="4EF5297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名称：南宁市青秀区财政局</w:t>
            </w:r>
          </w:p>
          <w:p w14:paraId="48C1A659">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地址：南宁市青秀区悦宾路1号</w:t>
            </w:r>
          </w:p>
          <w:p w14:paraId="263CA774">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宋体" w:hAnsi="宋体" w:eastAsia="宋体"/>
                <w:color w:val="auto"/>
                <w:szCs w:val="21"/>
                <w:highlight w:val="none"/>
              </w:rPr>
              <w:t>0771-5826232</w:t>
            </w:r>
          </w:p>
        </w:tc>
      </w:tr>
      <w:tr w14:paraId="340A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B6BE34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33</w:t>
            </w:r>
          </w:p>
        </w:tc>
        <w:tc>
          <w:tcPr>
            <w:tcW w:w="1105" w:type="pct"/>
            <w:vAlign w:val="center"/>
          </w:tcPr>
          <w:p w14:paraId="5C37A57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采购代理费</w:t>
            </w:r>
          </w:p>
        </w:tc>
        <w:tc>
          <w:tcPr>
            <w:tcW w:w="3455" w:type="pct"/>
            <w:vAlign w:val="center"/>
          </w:tcPr>
          <w:p w14:paraId="63A1000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1.是否收取采购代理费：</w:t>
            </w:r>
          </w:p>
          <w:p w14:paraId="4C718F01">
            <w:pPr>
              <w:spacing w:line="360" w:lineRule="auto"/>
              <w:jc w:val="left"/>
              <w:rPr>
                <w:rFonts w:ascii="宋体" w:hAnsi="宋体" w:eastAsia="宋体"/>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是，□否</w:t>
            </w:r>
          </w:p>
          <w:p w14:paraId="2070886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2.采购代理费支付方式：</w:t>
            </w:r>
          </w:p>
          <w:p w14:paraId="0EE0C2A2">
            <w:pPr>
              <w:spacing w:line="360" w:lineRule="auto"/>
              <w:jc w:val="left"/>
              <w:rPr>
                <w:rFonts w:ascii="宋体" w:hAnsi="宋体" w:eastAsia="宋体"/>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本项目代理服务费由</w:t>
            </w:r>
            <w:r>
              <w:rPr>
                <w:rFonts w:hint="eastAsia" w:ascii="宋体" w:hAnsi="宋体" w:eastAsia="宋体"/>
                <w:color w:val="auto"/>
                <w:szCs w:val="21"/>
                <w:highlight w:val="none"/>
                <w:u w:val="single"/>
              </w:rPr>
              <w:t>成交供应商</w:t>
            </w:r>
            <w:r>
              <w:rPr>
                <w:rFonts w:hint="eastAsia" w:ascii="宋体" w:hAnsi="宋体" w:eastAsia="宋体"/>
                <w:color w:val="auto"/>
                <w:szCs w:val="21"/>
                <w:highlight w:val="none"/>
              </w:rPr>
              <w:t>领取成交通知书前，一次性向采购代理机构支付。</w:t>
            </w:r>
          </w:p>
          <w:p w14:paraId="293739C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□采购人支付。</w:t>
            </w:r>
          </w:p>
          <w:p w14:paraId="4EE894F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3.采购代理费收取标准：</w:t>
            </w:r>
          </w:p>
          <w:p w14:paraId="3D81431A">
            <w:pPr>
              <w:spacing w:line="360" w:lineRule="auto"/>
              <w:jc w:val="left"/>
              <w:rPr>
                <w:rFonts w:ascii="宋体" w:hAnsi="宋体" w:eastAsia="宋体"/>
                <w:color w:val="auto"/>
                <w:szCs w:val="21"/>
                <w:highlight w:val="none"/>
              </w:rPr>
            </w:pPr>
            <w:r>
              <w:rPr>
                <w:rFonts w:hint="eastAsia" w:ascii="Segoe UI Symbol" w:hAnsi="Segoe UI Symbol" w:eastAsia="宋体" w:cs="Segoe UI Symbol"/>
                <w:color w:val="auto"/>
                <w:szCs w:val="21"/>
                <w:highlight w:val="none"/>
              </w:rPr>
              <w:t>委托代理费参照国家计委《招标代理服务收费管理暂行办法》（计价格〔2002〕1980号）收费标准（工程类）</w:t>
            </w:r>
            <w:r>
              <w:rPr>
                <w:rFonts w:hint="eastAsia" w:ascii="宋体" w:hAnsi="宋体" w:eastAsia="宋体" w:cs="宋体"/>
                <w:color w:val="auto"/>
                <w:szCs w:val="21"/>
                <w:highlight w:val="none"/>
              </w:rPr>
              <w:t>采用差额定率累进法</w:t>
            </w:r>
            <w:r>
              <w:rPr>
                <w:rFonts w:hint="eastAsia" w:ascii="Segoe UI Symbol" w:hAnsi="Segoe UI Symbol" w:eastAsia="宋体" w:cs="Segoe UI Symbol"/>
                <w:color w:val="auto"/>
                <w:szCs w:val="21"/>
                <w:highlight w:val="none"/>
              </w:rPr>
              <w:t>计算。</w:t>
            </w:r>
          </w:p>
          <w:p w14:paraId="6201DA4C">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□固定采购代理收费</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w:t>
            </w:r>
          </w:p>
          <w:p w14:paraId="5B5BACA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4.采购代理费收取银行账户</w:t>
            </w:r>
          </w:p>
          <w:p w14:paraId="70B997C3">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开户名称：广西科文招标有限公司南宁咨询二分公司</w:t>
            </w:r>
          </w:p>
          <w:p w14:paraId="27D39043">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开户银行：广西北部湾银行股份有限公司南宁市云景支行</w:t>
            </w:r>
          </w:p>
          <w:p w14:paraId="3D7D9BE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银行账号：805030158300001</w:t>
            </w:r>
          </w:p>
        </w:tc>
      </w:tr>
      <w:tr w14:paraId="6221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0B2C23B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34.1</w:t>
            </w:r>
          </w:p>
        </w:tc>
        <w:tc>
          <w:tcPr>
            <w:tcW w:w="1105" w:type="pct"/>
            <w:vAlign w:val="center"/>
          </w:tcPr>
          <w:p w14:paraId="2F45E0C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解释</w:t>
            </w:r>
          </w:p>
        </w:tc>
        <w:tc>
          <w:tcPr>
            <w:tcW w:w="3455" w:type="pct"/>
            <w:vAlign w:val="center"/>
          </w:tcPr>
          <w:p w14:paraId="0464356C">
            <w:pPr>
              <w:spacing w:line="360" w:lineRule="auto"/>
              <w:jc w:val="left"/>
              <w:rPr>
                <w:rFonts w:ascii="宋体" w:hAnsi="宋体" w:eastAsia="宋体"/>
                <w:color w:val="auto"/>
                <w:szCs w:val="21"/>
                <w:highlight w:val="none"/>
              </w:rPr>
            </w:pPr>
            <w:r>
              <w:rPr>
                <w:rFonts w:hint="eastAsia" w:ascii="宋体" w:hAnsi="宋体" w:eastAsia="宋体"/>
                <w:b/>
                <w:color w:val="auto"/>
                <w:szCs w:val="21"/>
                <w:highlight w:val="none"/>
              </w:rPr>
              <w:t>解释权</w:t>
            </w:r>
            <w:r>
              <w:rPr>
                <w:rFonts w:hint="eastAsia" w:ascii="宋体" w:hAnsi="宋体" w:eastAsia="宋体"/>
                <w:color w:val="auto"/>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b/>
                <w:color w:val="auto"/>
                <w:szCs w:val="21"/>
                <w:highlight w:val="none"/>
              </w:rPr>
              <w:t>由采购人或者采购代理机构负责解释</w:t>
            </w:r>
            <w:r>
              <w:rPr>
                <w:rFonts w:hint="eastAsia" w:ascii="宋体" w:hAnsi="宋体" w:eastAsia="宋体"/>
                <w:color w:val="auto"/>
                <w:szCs w:val="21"/>
                <w:highlight w:val="none"/>
              </w:rPr>
              <w:t>。</w:t>
            </w:r>
          </w:p>
          <w:p w14:paraId="33959592">
            <w:pPr>
              <w:spacing w:line="360" w:lineRule="auto"/>
              <w:jc w:val="left"/>
              <w:rPr>
                <w:rFonts w:ascii="宋体" w:hAnsi="宋体" w:eastAsia="宋体"/>
                <w:color w:val="auto"/>
                <w:szCs w:val="21"/>
                <w:highlight w:val="none"/>
              </w:rPr>
            </w:pPr>
            <w:r>
              <w:rPr>
                <w:rFonts w:hint="eastAsia" w:ascii="宋体" w:hAnsi="宋体" w:eastAsia="宋体"/>
                <w:b/>
                <w:color w:val="auto"/>
                <w:szCs w:val="21"/>
                <w:highlight w:val="none"/>
              </w:rPr>
              <w:t>法律责任</w:t>
            </w:r>
            <w:r>
              <w:rPr>
                <w:rFonts w:hint="eastAsia" w:ascii="宋体" w:hAnsi="宋体" w:eastAsia="宋体"/>
                <w:color w:val="auto"/>
                <w:szCs w:val="21"/>
                <w:highlight w:val="none"/>
              </w:rPr>
              <w:t>：</w:t>
            </w:r>
          </w:p>
          <w:p w14:paraId="231A3B61">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11A216C6">
            <w:pPr>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FCB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6105544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34.2</w:t>
            </w:r>
          </w:p>
        </w:tc>
        <w:tc>
          <w:tcPr>
            <w:tcW w:w="1105" w:type="pct"/>
            <w:vAlign w:val="center"/>
          </w:tcPr>
          <w:p w14:paraId="4301C3B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其他</w:t>
            </w:r>
          </w:p>
        </w:tc>
        <w:tc>
          <w:tcPr>
            <w:tcW w:w="3455" w:type="pct"/>
            <w:vAlign w:val="center"/>
          </w:tcPr>
          <w:p w14:paraId="1D46BC92">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79669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80D6F4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D9AFD7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4.自然人竞标的，磋商文件规定盖公章处由自然人摁手指指印。</w:t>
            </w:r>
          </w:p>
          <w:p w14:paraId="243A88CA">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5.本磋商文件所称的“以上”“以下”“以内”“届满”，包括本数；所称的“不满”“超过”“以外”，不包括本数。</w:t>
            </w:r>
          </w:p>
        </w:tc>
      </w:tr>
    </w:tbl>
    <w:p w14:paraId="53748762">
      <w:pPr>
        <w:spacing w:line="360" w:lineRule="auto"/>
        <w:jc w:val="center"/>
        <w:rPr>
          <w:rFonts w:ascii="宋体" w:hAnsi="宋体" w:eastAsia="宋体"/>
          <w:color w:val="auto"/>
          <w:szCs w:val="21"/>
          <w:highlight w:val="none"/>
        </w:rPr>
      </w:pPr>
    </w:p>
    <w:p w14:paraId="3BEA29CA">
      <w:pPr>
        <w:spacing w:line="360" w:lineRule="auto"/>
        <w:jc w:val="center"/>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0BA6AE98">
      <w:pPr>
        <w:pStyle w:val="3"/>
        <w:jc w:val="center"/>
        <w:rPr>
          <w:color w:val="auto"/>
          <w:highlight w:val="none"/>
        </w:rPr>
      </w:pPr>
      <w:bookmarkStart w:id="4" w:name="_Toc5923"/>
      <w:r>
        <w:rPr>
          <w:rFonts w:hint="eastAsia"/>
          <w:color w:val="auto"/>
          <w:highlight w:val="none"/>
        </w:rPr>
        <w:t>第二</w:t>
      </w:r>
      <w:r>
        <w:rPr>
          <w:rFonts w:hint="eastAsia"/>
          <w:color w:val="auto"/>
          <w:spacing w:val="120"/>
          <w:highlight w:val="none"/>
        </w:rPr>
        <w:t>节</w:t>
      </w:r>
      <w:r>
        <w:rPr>
          <w:rFonts w:hint="eastAsia"/>
          <w:color w:val="auto"/>
          <w:highlight w:val="none"/>
        </w:rPr>
        <w:t>供应商须知正文</w:t>
      </w:r>
      <w:bookmarkEnd w:id="4"/>
    </w:p>
    <w:p w14:paraId="3D9CF61C">
      <w:pPr>
        <w:pStyle w:val="4"/>
        <w:jc w:val="left"/>
        <w:rPr>
          <w:rFonts w:ascii="宋体" w:hAnsi="宋体" w:eastAsia="宋体"/>
          <w:color w:val="auto"/>
          <w:sz w:val="28"/>
          <w:szCs w:val="28"/>
          <w:highlight w:val="none"/>
        </w:rPr>
      </w:pPr>
      <w:bookmarkStart w:id="5" w:name="_Toc18912"/>
      <w:r>
        <w:rPr>
          <w:rFonts w:hint="eastAsia" w:ascii="宋体" w:hAnsi="宋体" w:eastAsia="宋体"/>
          <w:color w:val="auto"/>
          <w:sz w:val="28"/>
          <w:szCs w:val="28"/>
          <w:highlight w:val="none"/>
        </w:rPr>
        <w:t>一、总则</w:t>
      </w:r>
      <w:bookmarkEnd w:id="5"/>
    </w:p>
    <w:p w14:paraId="31F2615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1.适用范围</w:t>
      </w:r>
    </w:p>
    <w:p w14:paraId="316DE13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25EA1E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1.2本竞争性磋商文件（以下简称磋商文件）适用于本项目的所有采购程序和环节（法律、法规另有规定的，从其规定）。</w:t>
      </w:r>
    </w:p>
    <w:p w14:paraId="48EA851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2.定义</w:t>
      </w:r>
    </w:p>
    <w:p w14:paraId="597881A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2.1“采购人”是指依法进行政府采购的国家机关、事业单位、团体组织。</w:t>
      </w:r>
    </w:p>
    <w:p w14:paraId="163F7BD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2.2“采购代理机构”是指政府采购集中采购机构和集中采购机构以外的采购代理机构。</w:t>
      </w:r>
    </w:p>
    <w:p w14:paraId="55DAAD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2.3“供应商”是指向采购人提供货物、工程或者服务的法人、其他组织或者自然人。</w:t>
      </w:r>
    </w:p>
    <w:p w14:paraId="1E144D1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2.4“工程”是指除货物和服务以外的其他政府采购对象。</w:t>
      </w:r>
    </w:p>
    <w:p w14:paraId="46F9444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2.5“竞标”是指供应商按照本项目竞争性磋商公告或者邀请函规定的方式获取磋商文件、提交响应文件并希望获得标的的行为。</w:t>
      </w:r>
    </w:p>
    <w:p w14:paraId="53FBC9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2.6“响应文件”是指：供应商根据本磋商文件要求，编制包含资格证明、报价商务技术等所有内容的文件。</w:t>
      </w:r>
    </w:p>
    <w:p w14:paraId="611EEBF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2.7“实质性要求”是指磋商文件中已经指明不满足则响应文件按无效响应处理的条款，或者不能负偏离的条款，或者采购需求中带“▲”的条款。</w:t>
      </w:r>
    </w:p>
    <w:p w14:paraId="1CA377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2.8“正偏离”，是指响应文件对磋商文件“采购需求”中有关条款作出的响应优于条款要求并有利于采购人的情形。</w:t>
      </w:r>
    </w:p>
    <w:p w14:paraId="4888476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2.9“负偏离”，是指响应文件对磋商文件“采购需求”中有关条款作出的响应不满足条款要求，导致采购人要求不能得到满足的情形。</w:t>
      </w:r>
    </w:p>
    <w:p w14:paraId="5B09E97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2.10“允许负偏离的条款”是指采购需求中的不属于“实质性要求”的条款。</w:t>
      </w:r>
    </w:p>
    <w:p w14:paraId="3AE10A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2.11“书面形式”是指合同书、信件和数据电文（包括电报、电传、传真、电子数据交换和电子邮件）等可以有形地表现所载内容的形式。</w:t>
      </w:r>
    </w:p>
    <w:p w14:paraId="38101B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2.12“首次报价”是指供应商提交的首次响应文件中的报价。</w:t>
      </w:r>
    </w:p>
    <w:p w14:paraId="7B3E4C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2.13“评审报价”是指供应商提交的最后报价并经修正（如有）和政策功能价格扣除（如有）后的价格。</w:t>
      </w:r>
    </w:p>
    <w:p w14:paraId="53FC6DC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3.供应商的资格条件</w:t>
      </w:r>
    </w:p>
    <w:p w14:paraId="4C305A7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供应商的资格条件详见“供应商须知前附表”。</w:t>
      </w:r>
    </w:p>
    <w:p w14:paraId="1DB02F3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4.磋商费用</w:t>
      </w:r>
    </w:p>
    <w:p w14:paraId="611D2D9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33DC84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5.联合体竞标</w:t>
      </w:r>
    </w:p>
    <w:p w14:paraId="280FC89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5.1本项目是否接受联合体竞标，详见“供应商须知前附表”。</w:t>
      </w:r>
    </w:p>
    <w:p w14:paraId="46E7DAD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5.2如接受联合体竞标，联合体竞标要求详见“供应商须知前附表”。</w:t>
      </w:r>
    </w:p>
    <w:p w14:paraId="06F0D3A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0678164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6.转包与分包</w:t>
      </w:r>
    </w:p>
    <w:p w14:paraId="000E6A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6.1本项目是否允许分包详见“供应商须知前附表”，本项目不允许违法分包。</w:t>
      </w:r>
    </w:p>
    <w:p w14:paraId="178D26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093F86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7.特别说明</w:t>
      </w:r>
    </w:p>
    <w:p w14:paraId="6B0DEA2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7.1如果本磋商文件要求提供供应商或制造商的资格、信誉、荣誉、业绩与企业认证等材料的，资格、信誉、荣誉、业绩与企业认证等必须为供应商或者制造商所拥有或自身获得。</w:t>
      </w:r>
    </w:p>
    <w:p w14:paraId="0718A8C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7.2供应商应仔细阅读磋商文件的所有内容，按照磋商文件的要求提交响应文件，并对所提供的全部资料的真实性承担法律责任。</w:t>
      </w:r>
    </w:p>
    <w:p w14:paraId="3F4F70D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49471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7.4在政府采购活动中，采购人员及相关人员与供应商有下列利害关系之一的，应当回避：</w:t>
      </w:r>
    </w:p>
    <w:p w14:paraId="64B93AE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（1）参加采购活动前3年内与供应商存在劳动关系；</w:t>
      </w:r>
    </w:p>
    <w:p w14:paraId="0495526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（2）参加采购活动前3年内担任供应商的董事、监事；</w:t>
      </w:r>
    </w:p>
    <w:p w14:paraId="630A80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（3）参加采购活动前3年内是供应商的控股股东或者实际控制人；</w:t>
      </w:r>
    </w:p>
    <w:p w14:paraId="67AD219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（4）与供应商的法定代表人或者负责人有夫妻、直系血亲、三代以内旁系血亲或者近姻亲关系；</w:t>
      </w:r>
    </w:p>
    <w:p w14:paraId="15F43AF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（5）与供应商有其他可能影响政府采购活动公平、公正进行的关系。</w:t>
      </w:r>
    </w:p>
    <w:p w14:paraId="246DB4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A40B5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7.5有下列情形之一的视为供应商相互串通竞标，响应文件将被视为无效：</w:t>
      </w:r>
    </w:p>
    <w:p w14:paraId="45F4CB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（1）不同供应商的响应文件由同一单位或者个人编制；或者不同供应商报名的IP地址一致的；或者编制响应文件硬件设备CPU编号、硬盘编号、网卡地址一致的情况。</w:t>
      </w:r>
    </w:p>
    <w:p w14:paraId="581A10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（2）不同供应商委托同一单位或者个人办理竞标事宜；</w:t>
      </w:r>
    </w:p>
    <w:p w14:paraId="514DC74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（3）不同的供应商的响应文件载明的项目管理员为同一个人；</w:t>
      </w:r>
    </w:p>
    <w:p w14:paraId="6088DEC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（4）不同供应商的响应文件异常一致或者报价呈规律性差异；</w:t>
      </w:r>
    </w:p>
    <w:p w14:paraId="1C5B431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（5）不同供应商的响应文件相互混装；</w:t>
      </w:r>
    </w:p>
    <w:p w14:paraId="390E8E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（6）不同供应商的磋商保证金从同一单位或者个人账户转出。</w:t>
      </w:r>
      <w:r>
        <w:rPr>
          <w:rFonts w:hint="eastAsia" w:ascii="宋体" w:hAnsi="宋体" w:eastAsia="宋体"/>
          <w:color w:val="auto"/>
          <w:szCs w:val="21"/>
          <w:highlight w:val="none"/>
        </w:rPr>
        <w:tab/>
      </w:r>
    </w:p>
    <w:p w14:paraId="5B7E8D3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7.6供应商有下列情形之一的，属于恶意串通行为，将报同级监督管理部门：</w:t>
      </w:r>
    </w:p>
    <w:p w14:paraId="05F0E0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（1）供应商直接或者间接从采购人或者采购代理机构处获得其他供应商的相关信息并修改其响应文件；</w:t>
      </w:r>
    </w:p>
    <w:p w14:paraId="681A97F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（2）供应商按照采购人或者采购代理机构的授意撤换、修改响应文件；</w:t>
      </w:r>
    </w:p>
    <w:p w14:paraId="0DDFF7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（3）供应商之间协商报价、技术方案等响应文件或者响应文件的实质性内容；</w:t>
      </w:r>
    </w:p>
    <w:p w14:paraId="33ED33A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（4）属于同一集团、协会、商会等组织成员的供应商按照该组织要求协同参加政府采购活动；</w:t>
      </w:r>
    </w:p>
    <w:p w14:paraId="4AD14D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C337E3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（6）供应商之间商定部分供应商放弃参加政府采购活动或者放弃成交；</w:t>
      </w:r>
    </w:p>
    <w:p w14:paraId="2DB622E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（7）供应商与采购人或者采购代理机构之间、供应商相互之间，为谋求特定供应商成交或者排斥其他供应商的其他串通行为。</w:t>
      </w:r>
    </w:p>
    <w:p w14:paraId="17DD6DA8">
      <w:pPr>
        <w:pStyle w:val="4"/>
        <w:jc w:val="left"/>
        <w:rPr>
          <w:rFonts w:ascii="宋体" w:hAnsi="宋体" w:eastAsia="宋体"/>
          <w:color w:val="auto"/>
          <w:sz w:val="28"/>
          <w:szCs w:val="28"/>
          <w:highlight w:val="none"/>
        </w:rPr>
      </w:pPr>
      <w:bookmarkStart w:id="6" w:name="_Toc21121"/>
      <w:r>
        <w:rPr>
          <w:rFonts w:hint="eastAsia" w:ascii="宋体" w:hAnsi="宋体" w:eastAsia="宋体"/>
          <w:color w:val="auto"/>
          <w:sz w:val="28"/>
          <w:szCs w:val="28"/>
          <w:highlight w:val="none"/>
        </w:rPr>
        <w:t>二、磋商文件</w:t>
      </w:r>
      <w:bookmarkEnd w:id="6"/>
    </w:p>
    <w:p w14:paraId="1740ED5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8.磋商文件的构成</w:t>
      </w:r>
    </w:p>
    <w:p w14:paraId="5D2E543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第一章、竞争性磋商公告；</w:t>
      </w:r>
    </w:p>
    <w:p w14:paraId="2573180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第二章、采购需求；</w:t>
      </w:r>
    </w:p>
    <w:p w14:paraId="0F4EFE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第三章、供应商须知；</w:t>
      </w:r>
    </w:p>
    <w:p w14:paraId="44B87D1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第四章、评审程序、评审方法和评审标准；</w:t>
      </w:r>
    </w:p>
    <w:p w14:paraId="054A9CB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第五章、响应文件格式；</w:t>
      </w:r>
    </w:p>
    <w:p w14:paraId="5B78239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第六章、合同文本；</w:t>
      </w:r>
    </w:p>
    <w:p w14:paraId="7D3FD63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第七章、质疑、投诉材料格式。</w:t>
      </w:r>
    </w:p>
    <w:p w14:paraId="7F8F2B8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9.供应商的询问</w:t>
      </w:r>
    </w:p>
    <w:p w14:paraId="6079364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7BEA6C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10.磋商文件的澄清和修改</w:t>
      </w:r>
    </w:p>
    <w:p w14:paraId="74AC3A4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2E3D24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B4D563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eastAsia="宋体"/>
          <w:color w:val="auto"/>
          <w:szCs w:val="21"/>
          <w:highlight w:val="none"/>
        </w:rPr>
        <w:t>3个工作日</w:t>
      </w:r>
      <w:r>
        <w:rPr>
          <w:rFonts w:hint="eastAsia" w:ascii="宋体" w:hAnsi="宋体" w:eastAsia="宋体"/>
          <w:color w:val="auto"/>
          <w:szCs w:val="21"/>
          <w:highlight w:val="none"/>
        </w:rPr>
        <w:t>前，以书面形式（目前为网上公告和系统短信等形式）通知所有获取磋商文件的供应商，不足</w:t>
      </w:r>
      <w:r>
        <w:rPr>
          <w:rFonts w:ascii="宋体" w:hAnsi="宋体" w:eastAsia="宋体"/>
          <w:color w:val="auto"/>
          <w:szCs w:val="21"/>
          <w:highlight w:val="none"/>
        </w:rPr>
        <w:t>3个工作日</w:t>
      </w:r>
      <w:r>
        <w:rPr>
          <w:rFonts w:hint="eastAsia" w:ascii="宋体" w:hAnsi="宋体" w:eastAsia="宋体"/>
          <w:color w:val="auto"/>
          <w:szCs w:val="21"/>
          <w:highlight w:val="none"/>
        </w:rPr>
        <w:t>的，应当顺延提交首次响应文件截止之日。</w:t>
      </w:r>
    </w:p>
    <w:p w14:paraId="797A435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10.4采购信息更正公告的内容应当包括采购人和采购代理机构名称、地址、联系方式，原公告的采购项目名称及首次公告日期，更正事项、内容及日期，采购项目联系人和电话。</w:t>
      </w:r>
    </w:p>
    <w:p w14:paraId="6BDE2C0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2F06778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▲响应文件未按磋商文件的澄清、修改的内容编制，又不符合实质性要求的，其响应文件作无效处理。</w:t>
      </w:r>
    </w:p>
    <w:p w14:paraId="081B1AD7">
      <w:pPr>
        <w:pStyle w:val="4"/>
        <w:jc w:val="left"/>
        <w:rPr>
          <w:rFonts w:ascii="宋体" w:hAnsi="宋体" w:eastAsia="宋体"/>
          <w:color w:val="auto"/>
          <w:sz w:val="28"/>
          <w:szCs w:val="28"/>
          <w:highlight w:val="none"/>
        </w:rPr>
      </w:pPr>
      <w:bookmarkStart w:id="7" w:name="_Toc1155"/>
      <w:r>
        <w:rPr>
          <w:rFonts w:hint="eastAsia" w:ascii="宋体" w:hAnsi="宋体" w:eastAsia="宋体"/>
          <w:color w:val="auto"/>
          <w:sz w:val="28"/>
          <w:szCs w:val="28"/>
          <w:highlight w:val="none"/>
        </w:rPr>
        <w:t>三、响应文件的编制</w:t>
      </w:r>
      <w:bookmarkEnd w:id="7"/>
    </w:p>
    <w:p w14:paraId="0DD3A18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11.响应文件的编制原则</w:t>
      </w:r>
    </w:p>
    <w:p w14:paraId="51BC92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供应商必须按照磋商文件的要求编制响应文件，并对其提交的响应文件的真实性、合法性承担法律责任。响应文件必须对磋商文件作出实质性响应。</w:t>
      </w:r>
    </w:p>
    <w:p w14:paraId="2E08F6F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12.响应文件的组成</w:t>
      </w:r>
    </w:p>
    <w:p w14:paraId="6AB1070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12.1响应文件由资格证明文件、报价文件、商务和技术文件三部分组成。</w:t>
      </w:r>
    </w:p>
    <w:p w14:paraId="4C627BB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12.1.1资格证明文件：详见须知前附表</w:t>
      </w:r>
    </w:p>
    <w:p w14:paraId="6D1452A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12.1.2商务技术文件：详见须知前附表</w:t>
      </w:r>
    </w:p>
    <w:p w14:paraId="50D5470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12.1.3报价文件：详见须知前附表</w:t>
      </w:r>
    </w:p>
    <w:p w14:paraId="229CDE4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12.2响应文件电子版：详见须知前附表</w:t>
      </w:r>
    </w:p>
    <w:p w14:paraId="293A048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13.计量单位</w:t>
      </w:r>
    </w:p>
    <w:p w14:paraId="6A2E00B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磋商文件已有明确规定的，使用磋商文件规定的计量单位；磋商文件没有规定的，应采用中华人民共和国法定计量单位，货币种类为人民币，否则视同未响应。</w:t>
      </w:r>
    </w:p>
    <w:p w14:paraId="2087CB5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14.竞标的风险</w:t>
      </w:r>
    </w:p>
    <w:p w14:paraId="616136C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供应商没有按照磋商文件要求提供全部资料，或者供应商没有对磋商文件在各方面作出实质性响应可能导致其响应无效，是供应商应当考虑的风险。</w:t>
      </w:r>
    </w:p>
    <w:p w14:paraId="091B0A3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15.响应报价要求和构成</w:t>
      </w:r>
    </w:p>
    <w:p w14:paraId="179921B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15.1响应报价应按“第五章响应文件格式”中“响应报价表”格式填写。</w:t>
      </w:r>
    </w:p>
    <w:p w14:paraId="52351E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15.2响应报价的价格构成见“供应商须知前附表”。</w:t>
      </w:r>
    </w:p>
    <w:p w14:paraId="63B4708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15.3响应报价要求</w:t>
      </w:r>
    </w:p>
    <w:p w14:paraId="1E78405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15.3.1供应商的响应报价应符合以下要求，否则响应文件按无效响应处理：</w:t>
      </w:r>
    </w:p>
    <w:p w14:paraId="66B2DB5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（1）供应商必须就“采购需求”中所竞标的每个分标的全部内容分别作完整唯一总价报价，不得存在漏项报价；</w:t>
      </w:r>
    </w:p>
    <w:p w14:paraId="10BB66C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（2）供应商必须就所竞标的分标的单项内容作唯一报价。</w:t>
      </w:r>
    </w:p>
    <w:p w14:paraId="2BE6656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15.3.2响应报价（包含首次报价、最后报价）超过所竞标分标规定的采购预算金额或者最高限价的，其响应文件将作无效处理。</w:t>
      </w:r>
    </w:p>
    <w:p w14:paraId="2B2C1BB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15.3.3响应报价（包含首次报价、最后报价）超过分项采购预算金额或者最高限价的，其响应文件将作无效处理。</w:t>
      </w:r>
    </w:p>
    <w:p w14:paraId="02596A1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16.竞标有效期</w:t>
      </w:r>
    </w:p>
    <w:p w14:paraId="15F0D0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648F4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16.2竞标有效期应由供应商按“供应商须知前附表”规定的期限作出响应。</w:t>
      </w:r>
    </w:p>
    <w:p w14:paraId="29ACA76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16.3供应商的响应文件在竞标有效期内均保持有效。</w:t>
      </w:r>
    </w:p>
    <w:p w14:paraId="3959CA9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17.磋商保证金</w:t>
      </w:r>
    </w:p>
    <w:p w14:paraId="5F57B6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详见“供应商须知前附表”。</w:t>
      </w:r>
    </w:p>
    <w:p w14:paraId="35E9DA5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18.响应文件编制的要求</w:t>
      </w:r>
    </w:p>
    <w:p w14:paraId="56E5CA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6E3D12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18.2响应文件应按资格证明、报价分别编制，商务技术文件合并编制，本磋商只接受电子版响应文件，要求见本章“12.2响应文件电子版要求”。</w:t>
      </w:r>
    </w:p>
    <w:p w14:paraId="557C55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18.3响应文件须由供应商在“第五章响应文件格式”规定位置进行签署、盖章，否则其响应文件按无效响应处理。骑缝盖公章不视为在规定位置盖章。</w:t>
      </w:r>
    </w:p>
    <w:p w14:paraId="363747A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18.4响应文件中标注的供应商名称应与营业执照（事业单位法人证书、执业许可证、自然人身份证）及电子公章一致，否则其响应文件按无效响应处理。</w:t>
      </w:r>
    </w:p>
    <w:p w14:paraId="094C794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18.5响应文件应避免涂改、行间插字或者删除，否则其响应文件按无效响应处理。</w:t>
      </w:r>
    </w:p>
    <w:p w14:paraId="72C0540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19.响应文件的密封和标记</w:t>
      </w:r>
    </w:p>
    <w:p w14:paraId="4AC63AE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3E62AF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19.2使用“广西政府采购云平台电子交易客户端”需要提前申领CA数字证书，申领流程见该项目采购公告附件。</w:t>
      </w:r>
    </w:p>
    <w:p w14:paraId="6867B91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0FF154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20.响应文件的提交</w:t>
      </w:r>
    </w:p>
    <w:p w14:paraId="1FC8D6E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20.1供应商必须在“供应商须知前附表”规定的时间和地点提交响应文件。</w:t>
      </w:r>
    </w:p>
    <w:p w14:paraId="5EBD2B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20.2在响应文件提交截止时间以后，不能补充、修改响应文件。</w:t>
      </w:r>
    </w:p>
    <w:p w14:paraId="3CDF8AB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20.3在提交“最后报价”后，供应商不能退出磋商。</w:t>
      </w:r>
    </w:p>
    <w:p w14:paraId="37007A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51583D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20.5采购机构不可视情况延长提交响应文件的截止时间。</w:t>
      </w:r>
    </w:p>
    <w:p w14:paraId="5602D6D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20.6备份响应文件。详见在“供应商须知前附表”。</w:t>
      </w:r>
    </w:p>
    <w:p w14:paraId="6624001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21.首次响应文件的补充、修改与撤回</w:t>
      </w:r>
    </w:p>
    <w:p w14:paraId="7CFE423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详见“供应商须知前附表”。</w:t>
      </w:r>
    </w:p>
    <w:p w14:paraId="246A10F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22.首次响应文件的退回</w:t>
      </w:r>
    </w:p>
    <w:p w14:paraId="1275CCA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AEFDEA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23.截止时间后的撤回</w:t>
      </w:r>
    </w:p>
    <w:p w14:paraId="255C1E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本项目不收取磋商保证金，供应商在首次响应文件提交截止时间后可向采购人、采购代理机构书面申请撤回电子响应文件。</w:t>
      </w:r>
    </w:p>
    <w:p w14:paraId="7549EC45">
      <w:pPr>
        <w:pStyle w:val="4"/>
        <w:jc w:val="left"/>
        <w:rPr>
          <w:rFonts w:ascii="宋体" w:hAnsi="宋体" w:eastAsia="宋体"/>
          <w:color w:val="auto"/>
          <w:sz w:val="28"/>
          <w:szCs w:val="28"/>
          <w:highlight w:val="none"/>
        </w:rPr>
      </w:pPr>
      <w:bookmarkStart w:id="8" w:name="_Toc16252"/>
      <w:r>
        <w:rPr>
          <w:rFonts w:hint="eastAsia" w:ascii="宋体" w:hAnsi="宋体" w:eastAsia="宋体"/>
          <w:color w:val="auto"/>
          <w:sz w:val="28"/>
          <w:szCs w:val="28"/>
          <w:highlight w:val="none"/>
        </w:rPr>
        <w:t>四、评审及磋商</w:t>
      </w:r>
      <w:bookmarkEnd w:id="8"/>
    </w:p>
    <w:p w14:paraId="1B87237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24.磋商小组成立</w:t>
      </w:r>
    </w:p>
    <w:p w14:paraId="1D24B30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A82E7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756719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25.首次响应文件的开启</w:t>
      </w:r>
    </w:p>
    <w:p w14:paraId="1DC603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25.1首次响应文件由磋商小组或者采购代理机构在“供应商须知前附表”规定的时间开启。</w:t>
      </w:r>
    </w:p>
    <w:p w14:paraId="1C6DAE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25.2响应文件解密</w:t>
      </w:r>
    </w:p>
    <w:p w14:paraId="7B24444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eastAsia="宋体"/>
          <w:b/>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olor w:val="auto"/>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b/>
          <w:color w:val="auto"/>
          <w:szCs w:val="21"/>
          <w:highlight w:val="none"/>
        </w:rPr>
        <w:t>视为响应文件无效</w:t>
      </w:r>
      <w:r>
        <w:rPr>
          <w:rFonts w:hint="eastAsia" w:ascii="宋体" w:hAnsi="宋体" w:eastAsia="宋体"/>
          <w:color w:val="auto"/>
          <w:szCs w:val="21"/>
          <w:highlight w:val="none"/>
        </w:rPr>
        <w:t>。（解密异常情况处理：详见本章26.3电子交易活动的中止。）</w:t>
      </w:r>
    </w:p>
    <w:p w14:paraId="74F1234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如供应商成功解密响应文件，但未在“广西政府采购云平台”电子开标大厅参加磋商的，视同认可磋商过程和结果，由此产生的后果由供应商自行负责。参与磋商的供应商不足3家的，不得磋商。</w:t>
      </w:r>
    </w:p>
    <w:p w14:paraId="14FAC4C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26.评审程序、评审方法和评审标准</w:t>
      </w:r>
    </w:p>
    <w:p w14:paraId="45F213B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26.1磋商小组按照“第四章评审程序、评审方法和评审标准”规定的方法、评审因素、标准和程序对响应文件进行评审。</w:t>
      </w:r>
    </w:p>
    <w:p w14:paraId="53E9097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26.2磋商文件内容违反国家有关强制性规定的，磋商小组应当停止评审并向采购人或者采购代理机构说明情况，并在评审报告中书面体现。</w:t>
      </w:r>
    </w:p>
    <w:p w14:paraId="78D52FB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26.3采购需求负偏离要求及磋商顺序详见“供应商须知前附表”。</w:t>
      </w:r>
    </w:p>
    <w:p w14:paraId="60FF5C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26.4电子交易活动的中止。采购过程中出现以下情形，导致电子交易平台无法正常运行，或者无法保证电子交易的公平、公正和安全时，采购机构可中止电子交易活动：</w:t>
      </w:r>
    </w:p>
    <w:p w14:paraId="25B9C4B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（1）电子交易平台发生故障而无法登录访问的；</w:t>
      </w:r>
    </w:p>
    <w:p w14:paraId="49A9972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（2）电子交易平台应用或数据库出现错误，不能进行正常操作的；</w:t>
      </w:r>
    </w:p>
    <w:p w14:paraId="5E05BA8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（3）电子交易平台发现严重安全漏洞，有潜在泄密危险的；</w:t>
      </w:r>
    </w:p>
    <w:p w14:paraId="461EA39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（4）病毒发作导致不能进行正常操作的；</w:t>
      </w:r>
    </w:p>
    <w:p w14:paraId="73A3D41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（5）其他无法保证电子交易的公平、公正和安全的情况。</w:t>
      </w:r>
    </w:p>
    <w:p w14:paraId="6CE2C6F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0949C15">
      <w:pPr>
        <w:pStyle w:val="4"/>
        <w:jc w:val="left"/>
        <w:rPr>
          <w:rFonts w:ascii="宋体" w:hAnsi="宋体" w:eastAsia="宋体"/>
          <w:color w:val="auto"/>
          <w:sz w:val="28"/>
          <w:szCs w:val="28"/>
          <w:highlight w:val="none"/>
        </w:rPr>
      </w:pPr>
      <w:bookmarkStart w:id="9" w:name="_Toc15747"/>
      <w:r>
        <w:rPr>
          <w:rFonts w:hint="eastAsia" w:ascii="宋体" w:hAnsi="宋体" w:eastAsia="宋体"/>
          <w:color w:val="auto"/>
          <w:sz w:val="28"/>
          <w:szCs w:val="28"/>
          <w:highlight w:val="none"/>
        </w:rPr>
        <w:t>五、成交及合同</w:t>
      </w:r>
      <w:bookmarkEnd w:id="9"/>
    </w:p>
    <w:p w14:paraId="6026E2F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27.确定成交供应商及结果公告</w:t>
      </w:r>
    </w:p>
    <w:p w14:paraId="58E5BC5F">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27.1确定成交供应商。</w:t>
      </w:r>
      <w:r>
        <w:rPr>
          <w:rFonts w:hint="eastAsia" w:ascii="宋体" w:hAnsi="宋体" w:eastAsia="宋体"/>
          <w:color w:val="auto"/>
          <w:szCs w:val="21"/>
          <w:highlight w:val="none"/>
          <w:u w:val="single"/>
        </w:rPr>
        <w:t>由采购人直接委托评审专家确定，评审报告提出的排序第一的供应商为成交供应商。</w:t>
      </w:r>
    </w:p>
    <w:p w14:paraId="7CD6DBE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5DDD4DE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8FB2BD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7E4571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84E2FE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28.履约保证金</w:t>
      </w:r>
    </w:p>
    <w:p w14:paraId="584810A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详见“供应商须知前附表”</w:t>
      </w:r>
    </w:p>
    <w:p w14:paraId="487D563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29.签订合同</w:t>
      </w:r>
    </w:p>
    <w:p w14:paraId="2DE2E8A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71CE2E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3DF49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B9973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29.4如签订合同并生效后，供应商无故拒绝或延期，除按照合同条款处理外，列入不良行为记录，并给予通报。</w:t>
      </w:r>
    </w:p>
    <w:p w14:paraId="5FDEE2A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29.5采购合同由采购人与成交供应商根据磋商文件、响应文件等内容通过政府采购电子交易平台在线签订，自动备案，在线签订须携带的材料见“供应商须知前附表”。</w:t>
      </w:r>
    </w:p>
    <w:p w14:paraId="1EC24FE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30.政府采购合同公告</w:t>
      </w:r>
    </w:p>
    <w:p w14:paraId="0D7FC00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1F6A83D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31.询问、质疑和投诉</w:t>
      </w:r>
    </w:p>
    <w:p w14:paraId="30C6883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788269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Pr>
          <w:rFonts w:hint="eastAsia" w:ascii="宋体" w:hAnsi="宋体" w:eastAsia="宋体"/>
          <w:b/>
          <w:color w:val="auto"/>
          <w:szCs w:val="21"/>
          <w:highlight w:val="none"/>
        </w:rPr>
        <w:t>具体质疑起算时间及处理方式如下</w:t>
      </w:r>
      <w:r>
        <w:rPr>
          <w:rFonts w:hint="eastAsia" w:ascii="宋体" w:hAnsi="宋体" w:eastAsia="宋体"/>
          <w:color w:val="auto"/>
          <w:szCs w:val="21"/>
          <w:highlight w:val="none"/>
        </w:rPr>
        <w:t>：</w:t>
      </w:r>
    </w:p>
    <w:p w14:paraId="59A92BA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2B0E338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036283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（3）供应商认为成交结果使自己的权益受到损害的，应当在成交结果公告期限届满之日起7个工作日内提出质疑，由采购人受理并负责答复。</w:t>
      </w:r>
    </w:p>
    <w:p w14:paraId="72542B7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F2DCDA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31.4供应商提出质疑应当提交质疑函和必要的证明材料，针对同一采购程序环节的质疑必须在法定质疑期内一次性提出。质疑函应当包括下列内容（质疑函格式后附）：</w:t>
      </w:r>
    </w:p>
    <w:p w14:paraId="22FADDF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（1）供应商的姓名或者名称、地址、邮编、联系人及联系电话；</w:t>
      </w:r>
    </w:p>
    <w:p w14:paraId="3FA4307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（2）质疑项目的名称、编号；</w:t>
      </w:r>
    </w:p>
    <w:p w14:paraId="3977FF1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（3）具体、明确的质疑事项和与质疑事项相关的请求；</w:t>
      </w:r>
    </w:p>
    <w:p w14:paraId="5B09A6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（4）事实依据；</w:t>
      </w:r>
    </w:p>
    <w:p w14:paraId="79A51C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（5）必要的法律依据；</w:t>
      </w:r>
    </w:p>
    <w:p w14:paraId="59A05F4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（6）提出质疑的日期。</w:t>
      </w:r>
    </w:p>
    <w:p w14:paraId="212FF8A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供应商为自然人的，应当由本人签字；供应商为法人或者其他组织的，应当由法定代表人、主要负责人，或者其委托代理人签字或者盖章，并加盖公章。</w:t>
      </w:r>
    </w:p>
    <w:p w14:paraId="6811FC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114FDCB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6AAF1D5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338FC86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质疑答复导致成交结果改变的，采购人或者采购代理机构应当将有关情况书面报告本级财政部门。</w:t>
      </w:r>
    </w:p>
    <w:p w14:paraId="41EE2DA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807AD0A">
      <w:pPr>
        <w:pStyle w:val="4"/>
        <w:jc w:val="left"/>
        <w:rPr>
          <w:rFonts w:ascii="宋体" w:hAnsi="宋体" w:eastAsia="宋体"/>
          <w:color w:val="auto"/>
          <w:sz w:val="28"/>
          <w:szCs w:val="28"/>
          <w:highlight w:val="none"/>
        </w:rPr>
      </w:pPr>
      <w:bookmarkStart w:id="10" w:name="_Toc4299"/>
      <w:r>
        <w:rPr>
          <w:rFonts w:hint="eastAsia" w:ascii="宋体" w:hAnsi="宋体" w:eastAsia="宋体"/>
          <w:color w:val="auto"/>
          <w:sz w:val="28"/>
          <w:szCs w:val="28"/>
          <w:highlight w:val="none"/>
        </w:rPr>
        <w:t>六、验收</w:t>
      </w:r>
      <w:bookmarkEnd w:id="10"/>
    </w:p>
    <w:p w14:paraId="22AD6B1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32.验收</w:t>
      </w:r>
    </w:p>
    <w:p w14:paraId="56EFFD2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8E40C2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32.2采购人可以邀请参加本项目的其他供应商或者第三方机构参与验收。参与验收的供应商或者第三方机构的意见作为验收书的参考资料一并存档。</w:t>
      </w:r>
    </w:p>
    <w:p w14:paraId="221182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10E9A0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57A03B">
      <w:pPr>
        <w:pStyle w:val="4"/>
        <w:jc w:val="left"/>
        <w:rPr>
          <w:rFonts w:ascii="宋体" w:hAnsi="宋体" w:eastAsia="宋体"/>
          <w:color w:val="auto"/>
          <w:sz w:val="28"/>
          <w:szCs w:val="28"/>
          <w:highlight w:val="none"/>
        </w:rPr>
      </w:pPr>
      <w:bookmarkStart w:id="11" w:name="_Toc24650"/>
      <w:r>
        <w:rPr>
          <w:rFonts w:hint="eastAsia" w:ascii="宋体" w:hAnsi="宋体" w:eastAsia="宋体"/>
          <w:color w:val="auto"/>
          <w:sz w:val="28"/>
          <w:szCs w:val="28"/>
          <w:highlight w:val="none"/>
        </w:rPr>
        <w:t>七、其他事项</w:t>
      </w:r>
      <w:bookmarkEnd w:id="11"/>
    </w:p>
    <w:p w14:paraId="185CA15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33.代理服务费</w:t>
      </w:r>
    </w:p>
    <w:p w14:paraId="445E257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代理服务收费标准及缴费账户详见“供应商须知前附表”，供应商为联合体的，可以由联合体中的一方或者多方共同交纳代理服务费。</w:t>
      </w:r>
    </w:p>
    <w:p w14:paraId="6A77944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34.需要补充的其他内容</w:t>
      </w:r>
    </w:p>
    <w:p w14:paraId="675370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34.1本磋商文件解释规则详见“供应商须知前附表”。</w:t>
      </w:r>
    </w:p>
    <w:p w14:paraId="30E3AB7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34.2其他事项详见“供应商须知前附表”。</w:t>
      </w:r>
    </w:p>
    <w:p w14:paraId="5CF58E7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541DA05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以联合体形式参加政府采购活动，联合体各方均为中小企业的，联合体视同中小企业。其中，联合体各方均为小微企业的，联合体视同小微企业。</w:t>
      </w:r>
    </w:p>
    <w:p w14:paraId="23E1AA2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依据本文件规定享受扶持政策获得政府采购合同的，小微企业不得将合同分包给大中型企业，中型企业不得将合同分包给大型企业。</w:t>
      </w:r>
    </w:p>
    <w:p w14:paraId="09C922C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35.政采贷相关说明</w:t>
      </w:r>
    </w:p>
    <w:p w14:paraId="39EA374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3055BF5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（1）线下渠道：在“南宁市公共资源交易中心”官网（网址：</w:t>
      </w:r>
      <w:r>
        <w:rPr>
          <w:rFonts w:hint="eastAsia" w:ascii="宋体" w:hAnsi="宋体" w:eastAsia="宋体"/>
          <w:color w:val="auto"/>
          <w:szCs w:val="21"/>
          <w:highlight w:val="none"/>
          <w:u w:val="single"/>
        </w:rPr>
        <w:t>http：//www.nnggzy.org.cn）“交易信息-政府采购-政府采购信用融资”中融资银行和南宁市企业融资服务中心专栏信息申请政府采购信用融资。</w:t>
      </w:r>
    </w:p>
    <w:p w14:paraId="7062FFD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w:t>
      </w:r>
      <w:r>
        <w:rPr>
          <w:rFonts w:ascii="宋体" w:hAnsi="宋体" w:eastAsia="宋体"/>
          <w:b/>
          <w:color w:val="auto"/>
          <w:szCs w:val="21"/>
          <w:highlight w:val="none"/>
        </w:rPr>
        <w:t>830442.html</w:t>
      </w:r>
      <w:r>
        <w:rPr>
          <w:rFonts w:hint="eastAsia" w:ascii="宋体" w:hAnsi="宋体" w:eastAsia="宋体"/>
          <w:b/>
          <w:color w:val="auto"/>
          <w:szCs w:val="21"/>
          <w:highlight w:val="none"/>
        </w:rPr>
        <w:t>）</w:t>
      </w:r>
    </w:p>
    <w:p w14:paraId="7FDF9349">
      <w:pPr>
        <w:pStyle w:val="2"/>
        <w:jc w:val="center"/>
        <w:rPr>
          <w:color w:val="auto"/>
          <w:highlight w:val="none"/>
        </w:rPr>
        <w:sectPr>
          <w:pgSz w:w="11906" w:h="16838"/>
          <w:pgMar w:top="1134" w:right="1134" w:bottom="1134" w:left="1134" w:header="851" w:footer="992" w:gutter="0"/>
          <w:pgNumType w:fmt="decimal"/>
          <w:cols w:space="425" w:num="1"/>
          <w:docGrid w:type="lines" w:linePitch="312" w:charSpace="0"/>
        </w:sectPr>
      </w:pPr>
    </w:p>
    <w:p w14:paraId="3FE846AD">
      <w:pPr>
        <w:pStyle w:val="2"/>
        <w:jc w:val="center"/>
        <w:rPr>
          <w:color w:val="auto"/>
          <w:highlight w:val="none"/>
        </w:rPr>
      </w:pPr>
      <w:bookmarkStart w:id="12" w:name="_Toc16761"/>
      <w:r>
        <w:rPr>
          <w:rFonts w:hint="eastAsia"/>
          <w:color w:val="auto"/>
          <w:highlight w:val="none"/>
        </w:rPr>
        <w:t>第四</w:t>
      </w:r>
      <w:r>
        <w:rPr>
          <w:rFonts w:hint="eastAsia" w:ascii="宋体" w:hAnsi="宋体" w:eastAsia="宋体"/>
          <w:color w:val="auto"/>
          <w:spacing w:val="120"/>
          <w:highlight w:val="none"/>
        </w:rPr>
        <w:t>章</w:t>
      </w:r>
      <w:r>
        <w:rPr>
          <w:rFonts w:hint="eastAsia"/>
          <w:color w:val="auto"/>
          <w:highlight w:val="none"/>
        </w:rPr>
        <w:t>评审程序、评审方法和评审标准</w:t>
      </w:r>
      <w:bookmarkEnd w:id="12"/>
    </w:p>
    <w:p w14:paraId="6311C37C">
      <w:pPr>
        <w:pStyle w:val="3"/>
        <w:jc w:val="center"/>
        <w:rPr>
          <w:color w:val="auto"/>
          <w:highlight w:val="none"/>
        </w:rPr>
      </w:pPr>
      <w:bookmarkStart w:id="13" w:name="_Toc27613"/>
      <w:r>
        <w:rPr>
          <w:rFonts w:hint="eastAsia"/>
          <w:color w:val="auto"/>
          <w:highlight w:val="none"/>
        </w:rPr>
        <w:t>第一</w:t>
      </w:r>
      <w:r>
        <w:rPr>
          <w:rFonts w:hint="eastAsia"/>
          <w:color w:val="auto"/>
          <w:spacing w:val="120"/>
          <w:highlight w:val="none"/>
        </w:rPr>
        <w:t>节</w:t>
      </w:r>
      <w:r>
        <w:rPr>
          <w:rFonts w:hint="eastAsia"/>
          <w:color w:val="auto"/>
          <w:highlight w:val="none"/>
        </w:rPr>
        <w:t>评审程序和评审方法</w:t>
      </w:r>
      <w:bookmarkEnd w:id="13"/>
    </w:p>
    <w:p w14:paraId="5EF307B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1.确认磋商文件</w:t>
      </w:r>
    </w:p>
    <w:p w14:paraId="2897FB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由磋商小组确认磋商文件。</w:t>
      </w:r>
    </w:p>
    <w:p w14:paraId="1A1F3F7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2.资格审查</w:t>
      </w:r>
    </w:p>
    <w:p w14:paraId="5F3CA18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2.1响应文件开启后，磋商小组依法对供应商的资格证明文件进行审查。</w:t>
      </w:r>
    </w:p>
    <w:p w14:paraId="30D8213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注：采购人代表或者采购代理机构在资格审查结束前，对供应商进行信用查询。</w:t>
      </w:r>
    </w:p>
    <w:p w14:paraId="2A04F74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（1）查询渠道：“广西政府采购云平台”“信用中国”网站（</w:t>
      </w:r>
      <w:r>
        <w:rPr>
          <w:rFonts w:hint="eastAsia" w:ascii="宋体" w:hAnsi="宋体" w:eastAsia="宋体"/>
          <w:color w:val="auto"/>
          <w:szCs w:val="21"/>
          <w:highlight w:val="none"/>
          <w:u w:val="single"/>
        </w:rPr>
        <w:t>www.creditchina.gov.cn</w:t>
      </w:r>
      <w:r>
        <w:rPr>
          <w:rFonts w:hint="eastAsia" w:ascii="宋体" w:hAnsi="宋体" w:eastAsia="宋体"/>
          <w:color w:val="auto"/>
          <w:szCs w:val="21"/>
          <w:highlight w:val="none"/>
        </w:rPr>
        <w:t>）、中国政府采购网（</w:t>
      </w:r>
      <w:r>
        <w:rPr>
          <w:rFonts w:hint="eastAsia" w:ascii="宋体" w:hAnsi="宋体" w:eastAsia="宋体"/>
          <w:color w:val="auto"/>
          <w:szCs w:val="21"/>
          <w:highlight w:val="none"/>
          <w:u w:val="single"/>
        </w:rPr>
        <w:t>www.ccgp.gov.cn</w:t>
      </w:r>
      <w:r>
        <w:rPr>
          <w:rFonts w:hint="eastAsia" w:ascii="宋体" w:hAnsi="宋体" w:eastAsia="宋体"/>
          <w:color w:val="auto"/>
          <w:szCs w:val="21"/>
          <w:highlight w:val="none"/>
        </w:rPr>
        <w:t>）链接入口。</w:t>
      </w:r>
    </w:p>
    <w:p w14:paraId="4234EBD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（2）信用查询截止时点：资格审查结束前。</w:t>
      </w:r>
    </w:p>
    <w:p w14:paraId="4653876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查询记录和证据留存方式：在查询网站中直接打印查询记录，截图另存为电子文档作为评审资料保存。</w:t>
      </w:r>
    </w:p>
    <w:p w14:paraId="3807673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4B948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2.2资格审查标准为本磋商文件中载明对供应商资格要求的条件。资格审查采用合格制，凡符合磋商文件规定的供应商资格要求的响应文件均通过资格审查。</w:t>
      </w:r>
    </w:p>
    <w:p w14:paraId="54B6160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2.3供应商有下列情形之一的，资格审查不通过，其响应文件按无效响应处理：</w:t>
      </w:r>
    </w:p>
    <w:p w14:paraId="27DB93B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（1）不具备磋商文件中规定的资格要求的；</w:t>
      </w:r>
    </w:p>
    <w:p w14:paraId="0791C34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（2）响应文件未提供任一项“供应商须知前附表”资格证明文件规定的“必须提供”的文件资料的；</w:t>
      </w:r>
    </w:p>
    <w:p w14:paraId="46B3D87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（3）响应文件提供的资格证明文件出现任一项不符合“供应商须知前附表”资格证明文件规定的“必须提供”的文件资料要求或者无效的。</w:t>
      </w:r>
    </w:p>
    <w:p w14:paraId="6B2AD38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（4）同一合同项下的不同供应商，单位负责人为同一人或者存在直接控股、管理关系的；为本项目提供过整体设计、规范编制或者项目管理、监理、检测等服务的。</w:t>
      </w:r>
    </w:p>
    <w:p w14:paraId="0DB2C48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2.4通过资格审查的合格供应商不足3家的，不得进入符合性审查环节，采购人或者采购代理机构应当重新开展采购活动。</w:t>
      </w:r>
    </w:p>
    <w:p w14:paraId="110F9B3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3.符合性审查</w:t>
      </w:r>
    </w:p>
    <w:p w14:paraId="0C57AF3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3.1由磋商小组对通过资格审查的合格供应商的响应文件的响应报价、商务、技术等实质性要求进行符合性审查，以确定其是否满足磋商文件的实质性要求。</w:t>
      </w:r>
    </w:p>
    <w:p w14:paraId="25F588C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9BBDF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CB282C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3.4首次响应文件报价出现前后不一致的，按照下列规定修正：</w:t>
      </w:r>
    </w:p>
    <w:p w14:paraId="7E9CB1D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（1）响应文件中报价表内容与响应文件中相应内容不一致的，以报价表为准；</w:t>
      </w:r>
    </w:p>
    <w:p w14:paraId="121CD1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（2）大写金额和小写金额不一致的，以大写金额为准；</w:t>
      </w:r>
    </w:p>
    <w:p w14:paraId="63E2DCE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（3）单价金额小数点或者百分比有明显错位的，以报价表的总价为准，并修改单价；</w:t>
      </w:r>
    </w:p>
    <w:p w14:paraId="7BC8272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（4）总价金额与按单价汇总金额不一致的，以单价金额计算结果为准。</w:t>
      </w:r>
    </w:p>
    <w:p w14:paraId="58E87A4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同时出现两种以上不一致的，按照以上（1）-（4）规定的顺序逐条进行修正。修正后的报价经供应商确认后产生约束力，供应商不确认的，其响应文件按无效响应处理。</w:t>
      </w:r>
    </w:p>
    <w:p w14:paraId="217C453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3.5商务技术、报价评审</w:t>
      </w:r>
    </w:p>
    <w:p w14:paraId="5FCA8CE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在评审时，如发现下列情形之一的，将被视为响应文件无效处理：</w:t>
      </w:r>
    </w:p>
    <w:p w14:paraId="33FB04B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（1）商务技术评审</w:t>
      </w:r>
    </w:p>
    <w:p w14:paraId="398E3EB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1）响应文件未按磋商文件要求签署、盖章；</w:t>
      </w:r>
    </w:p>
    <w:p w14:paraId="6A117D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2）委托代理人未能出具有效身份证明或者出具的身份证明与授权委托书中的信息不符；</w:t>
      </w:r>
    </w:p>
    <w:p w14:paraId="533B7C2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4283C8C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4）商务条款中标“▲”的条款发生负偏离的或者允许负偏离的条款数超过“供应商须知前附表”规定项数的或者标明实质性的要求发生负偏离；</w:t>
      </w:r>
    </w:p>
    <w:p w14:paraId="6545036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5）未对竞标有效期作出响应或者响应文件承诺的竞标有效期不满足磋商文件要求；</w:t>
      </w:r>
    </w:p>
    <w:p w14:paraId="778B25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6）响应文件的实质性内容未使用中文表述、使用计量单位不符合磋商文件要求；</w:t>
      </w:r>
    </w:p>
    <w:p w14:paraId="6F699C6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7）响应文件中的文件资料因填写不齐全或者内容虚假或者出现其他情形而导致被磋商小组认定无效；</w:t>
      </w:r>
    </w:p>
    <w:p w14:paraId="5979D3B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8）响应文件含有采购人不能接受的附加条件；</w:t>
      </w:r>
    </w:p>
    <w:p w14:paraId="4EE4C0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9）属于“供应商须知正文”第7.5条情形；</w:t>
      </w:r>
    </w:p>
    <w:p w14:paraId="4F99C38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10）技术需求允许负偏离的条款数超过“供应商须知前附表”规定项数；</w:t>
      </w:r>
    </w:p>
    <w:p w14:paraId="11A4CDB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11）虚假竞标，或者出现其他情形而导致被磋商小组认定无效；</w:t>
      </w:r>
    </w:p>
    <w:p w14:paraId="0BAF299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12）竞标技术方案不明确，磋商文件未允许但响应文件中存在一个或者一个以上备选（替代）竞标方案；</w:t>
      </w:r>
    </w:p>
    <w:p w14:paraId="5619EB2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13）响应文件标注的项目名称或者项目编号与竞争性磋商文件标注的项目名称或者项目编号不一致的；</w:t>
      </w:r>
    </w:p>
    <w:p w14:paraId="41FA36B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14）未响应磋商文件实质性要求；</w:t>
      </w:r>
    </w:p>
    <w:p w14:paraId="04590FD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15）法律、法规和磋商文件规定的其他无效情形。</w:t>
      </w:r>
    </w:p>
    <w:p w14:paraId="0654815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（2）报价评审</w:t>
      </w:r>
    </w:p>
    <w:p w14:paraId="7A7EA7E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1）响应文件未提供“供应商须知前附表”报价文件中规定的“响应报价表”；</w:t>
      </w:r>
    </w:p>
    <w:p w14:paraId="670B9F1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2）未采用人民币报价或者未按照磋商文件标明的币种报价；</w:t>
      </w:r>
    </w:p>
    <w:p w14:paraId="6DE5EB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2F677E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CD50F8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6CC837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）安全文明施工费和规费、增值税不按广西区费用定额及造价管理相关文件规定报价的（园林绿化及仿古建筑工程除外）；（注：适用于房屋建筑和市政工程项目，其他类型项目时请删除该条款并调整序号）</w:t>
      </w:r>
    </w:p>
    <w:p w14:paraId="1C15018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）供应商已标价工程量清单的项目编码（12位）、计量单位、工程量任何一处与工程量清单不一致的；</w:t>
      </w:r>
    </w:p>
    <w:p w14:paraId="2337FF1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）供应商已标价工程量清单的项目名称或项目特征与工程量清单不一致，磋商小组要求澄清、说明或补正，但供应商拒绝澄清、说明或补正的；</w:t>
      </w:r>
    </w:p>
    <w:p w14:paraId="004CA8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）设有暂估价、暂列金额的，竞标时未按工程量清单给出的暂估价总价、暂列金额总价计入竞标总报价中的；</w:t>
      </w:r>
    </w:p>
    <w:p w14:paraId="636F894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10</w:t>
      </w:r>
      <w:r>
        <w:rPr>
          <w:rFonts w:hint="eastAsia" w:ascii="宋体" w:hAnsi="宋体" w:eastAsia="宋体"/>
          <w:color w:val="auto"/>
          <w:szCs w:val="21"/>
          <w:highlight w:val="none"/>
        </w:rPr>
        <w:t>）供应商对工程量清单内容进行增减或对竞标范围进行调整的；</w:t>
      </w:r>
    </w:p>
    <w:p w14:paraId="0C67004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11</w:t>
      </w:r>
      <w:r>
        <w:rPr>
          <w:rFonts w:hint="eastAsia" w:ascii="宋体" w:hAnsi="宋体" w:eastAsia="宋体"/>
          <w:color w:val="auto"/>
          <w:szCs w:val="21"/>
          <w:highlight w:val="none"/>
        </w:rPr>
        <w:t>）响应文件响应的标的数量及单位与竞争性磋商采购文件要求实质性不一致的。</w:t>
      </w:r>
    </w:p>
    <w:p w14:paraId="5FF4755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E3139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606DAE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4.磋商程序</w:t>
      </w:r>
    </w:p>
    <w:p w14:paraId="382E75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C3EA1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1E2B48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4.3对磋商文件作出的实质性变动是磋商文件的有效组成部分，由磋商小组及时以电子澄清函形式同时通知所有参加磋商的供应商。</w:t>
      </w:r>
    </w:p>
    <w:p w14:paraId="1A79F13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71C02D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4.5磋商中，磋商的任何一方不得透露与磋商有关的其他供应商的技术资料、价格和其他信息。</w:t>
      </w:r>
    </w:p>
    <w:p w14:paraId="36D7142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4.6磋商小组应对磋商过程和重要磋商内容进行记录，作为评标报告一部分，磋商小组在记录上签字确认。</w:t>
      </w:r>
      <w:r>
        <w:rPr>
          <w:rFonts w:hint="eastAsia" w:ascii="宋体" w:hAnsi="宋体" w:eastAsia="宋体"/>
          <w:b/>
          <w:color w:val="auto"/>
          <w:szCs w:val="21"/>
          <w:highlight w:val="none"/>
        </w:rPr>
        <w:t>主要内容包括</w:t>
      </w:r>
      <w:r>
        <w:rPr>
          <w:rFonts w:hint="eastAsia" w:ascii="宋体" w:hAnsi="宋体" w:eastAsia="宋体"/>
          <w:color w:val="auto"/>
          <w:szCs w:val="21"/>
          <w:highlight w:val="none"/>
        </w:rPr>
        <w:t>：</w:t>
      </w:r>
    </w:p>
    <w:p w14:paraId="097A18C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（1）按照相关规定进行公示的，公示情况说明；</w:t>
      </w:r>
    </w:p>
    <w:p w14:paraId="63C79C9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（2）磋商日期和地点，磋商人员名单；</w:t>
      </w:r>
    </w:p>
    <w:p w14:paraId="67F903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（3）合同主要条款及价格商定情况。</w:t>
      </w:r>
    </w:p>
    <w:p w14:paraId="4178E1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4.7磋商过程中重新提交的响应文件，供应商可以在开启前补充、修改。</w:t>
      </w:r>
    </w:p>
    <w:p w14:paraId="3B2043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4.8对磋商过程提交的响应文件进行有效性、完整性和响应程度审查，通过审查的合格供应商不足3家的，采购人或者采购代理机构应当重新开展采购活动。</w:t>
      </w:r>
    </w:p>
    <w:p w14:paraId="721D230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5.最后报价</w:t>
      </w:r>
    </w:p>
    <w:p w14:paraId="1E74C4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6D4E386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0A617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204A5F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5.4已经提交响应文件的供应商，在提交最后报价之前，可以根据磋商情况退出磋商，退出磋商的供应商的响应文件按无效响应处理。</w:t>
      </w:r>
    </w:p>
    <w:p w14:paraId="39ACE8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5.5供应商未在规定时间内提交最后报价的，视同退出磋商。</w:t>
      </w:r>
    </w:p>
    <w:p w14:paraId="73345B0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5.6磋商小组收齐某一分标最后报价后统一开启，磋商小组对最后报价进行有效性、完整性和响应程度的审查。</w:t>
      </w:r>
    </w:p>
    <w:p w14:paraId="19388EA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5.7最终响应文件的报价出现前后不一致的，按照本章第3.4条的规定修正。</w:t>
      </w:r>
    </w:p>
    <w:p w14:paraId="458AD1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5.8修正后的最终报价出现下列情形的，按无效响应处理：</w:t>
      </w:r>
    </w:p>
    <w:p w14:paraId="6052BEE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（1）供应商不确认的（全流程电子化评标采取在线确认）；</w:t>
      </w:r>
    </w:p>
    <w:p w14:paraId="4EFF0BA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（2）经供应商确认修正后的响应报价（包含首次报价、最后报价）超过所竞标分标规定的采购预算金额或者最高限价的（如本项目公布了最高限价）；</w:t>
      </w:r>
    </w:p>
    <w:p w14:paraId="0A4136D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（3）经供应商确认修正后的响应报价（包含首次报价、最后报价）超过分项采购预算金额或者最高限价的（如本项目公布了最高限价）。</w:t>
      </w:r>
    </w:p>
    <w:p w14:paraId="327BCD2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5.9经供应商确认修正后的最后报价作为评审及签订合同的依据。</w:t>
      </w:r>
    </w:p>
    <w:p w14:paraId="7F8208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5.10供应商出现最后报价按无效响应处理或者响应文件按无效处理时，磋商小组应当告知有关供应商。</w:t>
      </w:r>
    </w:p>
    <w:p w14:paraId="25ED23F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5.11最后报价结束后，磋商小组不得再与供应商进行任何形式的商谈。</w:t>
      </w:r>
    </w:p>
    <w:p w14:paraId="26A7CF2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6.比较与评价</w:t>
      </w:r>
    </w:p>
    <w:p w14:paraId="03D3E4D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6.1评审方法：综合评分法。</w:t>
      </w:r>
    </w:p>
    <w:p w14:paraId="2EB0840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6.2经磋商确定最终采购需求和提交最后报价的供应商后，由磋商小组采用综合评分法对提交最后报价的供应商的响应文件和最后报价进行综合评分。</w:t>
      </w:r>
    </w:p>
    <w:p w14:paraId="6C2FD7E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6.3评审时，磋商小组各成员应当独立对每个有效响应的文件进行评价、打分，然后汇总每个供应商每项评分因素的得分。</w:t>
      </w:r>
    </w:p>
    <w:p w14:paraId="3F9C5BF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2D29C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（2）磋商小组按照磋商文件中规定的评审标准计算各供应商的报价得分。项目评审过程中，不得去掉最后报价中的最高报价和最低报价。</w:t>
      </w:r>
    </w:p>
    <w:p w14:paraId="7143CC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（3）各供应商的得分为磋商小组所有成员的有效评分的算术平均数。</w:t>
      </w:r>
    </w:p>
    <w:p w14:paraId="5EE744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CA8BF3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1F55066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CABA1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7.评审复核</w:t>
      </w:r>
    </w:p>
    <w:p w14:paraId="54C0990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7.1评审报告签署前，评审委员会要对评审结果进行复核，复核意见要体现在评审报告中。</w:t>
      </w:r>
    </w:p>
    <w:p w14:paraId="07B2F6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D0DE51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8.评审标准</w:t>
      </w:r>
    </w:p>
    <w:p w14:paraId="46421A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8.1评审依据：磋商小组将以磋商响应文件为评审依据，对供应商的报价、技术、商务等方面内容按百分制打分。（计分方法按四舍五入取至百分位）</w:t>
      </w:r>
    </w:p>
    <w:p w14:paraId="45F3335C">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总得分=</w:t>
      </w:r>
      <w:r>
        <w:rPr>
          <w:rFonts w:hint="eastAsia" w:ascii="宋体" w:hAnsi="宋体" w:eastAsia="宋体"/>
          <w:color w:val="auto"/>
          <w:szCs w:val="21"/>
          <w:highlight w:val="none"/>
          <w:u w:val="single"/>
        </w:rPr>
        <w:t>1+2+3</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70"/>
        <w:gridCol w:w="7542"/>
        <w:gridCol w:w="707"/>
      </w:tblGrid>
      <w:tr w14:paraId="0628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10C02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442" w:type="pct"/>
            <w:vAlign w:val="center"/>
          </w:tcPr>
          <w:p w14:paraId="61EBEF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评审因素</w:t>
            </w:r>
          </w:p>
        </w:tc>
        <w:tc>
          <w:tcPr>
            <w:tcW w:w="3831" w:type="pct"/>
            <w:vAlign w:val="center"/>
          </w:tcPr>
          <w:p w14:paraId="46EB82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评审因素具体内容</w:t>
            </w:r>
          </w:p>
        </w:tc>
        <w:tc>
          <w:tcPr>
            <w:tcW w:w="359" w:type="pct"/>
            <w:vAlign w:val="center"/>
          </w:tcPr>
          <w:p w14:paraId="0B4DBC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分值</w:t>
            </w:r>
          </w:p>
        </w:tc>
      </w:tr>
      <w:tr w14:paraId="0A5D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063A25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1</w:t>
            </w:r>
          </w:p>
        </w:tc>
        <w:tc>
          <w:tcPr>
            <w:tcW w:w="442" w:type="pct"/>
            <w:vAlign w:val="center"/>
          </w:tcPr>
          <w:p w14:paraId="017207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价格分（服务项目的价格分值占总分值的比重（即权值）为10%至30%。政务信息系统采购服务的，价格分值占总分值比重应当为10%）</w:t>
            </w:r>
          </w:p>
        </w:tc>
        <w:tc>
          <w:tcPr>
            <w:tcW w:w="7542" w:type="dxa"/>
            <w:vAlign w:val="center"/>
          </w:tcPr>
          <w:p w14:paraId="17D12A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报价范围：0≤下浮系数＜100%。</w:t>
            </w:r>
          </w:p>
          <w:p w14:paraId="0E0729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）本项目为专门面向</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企业采购项目（供应商应为</w:t>
            </w:r>
            <w:r>
              <w:rPr>
                <w:rFonts w:hint="eastAsia" w:ascii="宋体" w:hAnsi="宋体" w:eastAsia="宋体" w:cs="宋体"/>
                <w:color w:val="auto"/>
                <w:szCs w:val="21"/>
                <w:highlight w:val="none"/>
                <w:lang w:val="en-US" w:eastAsia="zh-CN"/>
              </w:rPr>
              <w:t>中小微</w:t>
            </w:r>
            <w:r>
              <w:rPr>
                <w:rFonts w:hint="eastAsia" w:ascii="宋体" w:hAnsi="宋体" w:eastAsia="宋体" w:cs="宋体"/>
                <w:color w:val="auto"/>
                <w:szCs w:val="21"/>
                <w:highlight w:val="none"/>
              </w:rPr>
              <w:t>企业或监狱企业或残疾人福利性单位），不执行价格扣除优惠政策，评审报价＝最终报价；</w:t>
            </w:r>
          </w:p>
          <w:p w14:paraId="6A44E2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5C7BD8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2C3529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文件要求的最大下浮系数得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6FD912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）价格分计算公式：</w:t>
            </w:r>
          </w:p>
          <w:p w14:paraId="6AC586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报价得分=（1-最大下浮系数）÷（1-某</w:t>
            </w:r>
            <w:r>
              <w:rPr>
                <w:rFonts w:hint="eastAsia" w:ascii="宋体" w:hAnsi="宋体" w:eastAsia="宋体" w:cs="宋体"/>
                <w:color w:val="auto"/>
                <w:szCs w:val="21"/>
                <w:highlight w:val="none"/>
                <w:lang w:val="en-US" w:eastAsia="zh-CN"/>
              </w:rPr>
              <w:t>有效供应商</w:t>
            </w:r>
            <w:r>
              <w:rPr>
                <w:rFonts w:hint="eastAsia" w:ascii="宋体" w:hAnsi="宋体" w:eastAsia="宋体" w:cs="宋体"/>
                <w:color w:val="auto"/>
                <w:szCs w:val="21"/>
                <w:highlight w:val="none"/>
              </w:rPr>
              <w:t>的下浮系数）×</w:t>
            </w:r>
            <w:r>
              <w:rPr>
                <w:rFonts w:hint="eastAsia" w:ascii="宋体" w:hAnsi="宋体" w:eastAsia="宋体" w:cs="宋体"/>
                <w:color w:val="auto"/>
                <w:szCs w:val="21"/>
                <w:highlight w:val="none"/>
                <w:lang w:val="en-US" w:eastAsia="zh-CN"/>
              </w:rPr>
              <w:t>10</w:t>
            </w:r>
          </w:p>
        </w:tc>
        <w:tc>
          <w:tcPr>
            <w:tcW w:w="359" w:type="pct"/>
            <w:vAlign w:val="center"/>
          </w:tcPr>
          <w:p w14:paraId="0C82AC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10分</w:t>
            </w:r>
          </w:p>
        </w:tc>
      </w:tr>
      <w:tr w14:paraId="4012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728337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w:t>
            </w:r>
          </w:p>
        </w:tc>
        <w:tc>
          <w:tcPr>
            <w:tcW w:w="442" w:type="pct"/>
            <w:vAlign w:val="center"/>
          </w:tcPr>
          <w:p w14:paraId="087D88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技术分</w:t>
            </w:r>
          </w:p>
        </w:tc>
        <w:tc>
          <w:tcPr>
            <w:tcW w:w="3831" w:type="pct"/>
            <w:vAlign w:val="center"/>
          </w:tcPr>
          <w:p w14:paraId="23618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评审因素</w:t>
            </w:r>
          </w:p>
        </w:tc>
        <w:tc>
          <w:tcPr>
            <w:tcW w:w="359" w:type="pct"/>
            <w:vAlign w:val="center"/>
          </w:tcPr>
          <w:p w14:paraId="437458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lang w:val="en-US" w:eastAsia="zh-CN"/>
              </w:rPr>
              <w:t>85</w:t>
            </w:r>
            <w:r>
              <w:rPr>
                <w:rFonts w:hint="eastAsia" w:ascii="宋体" w:hAnsi="宋体" w:eastAsia="宋体"/>
                <w:color w:val="auto"/>
                <w:szCs w:val="21"/>
                <w:highlight w:val="none"/>
              </w:rPr>
              <w:t>分</w:t>
            </w:r>
          </w:p>
        </w:tc>
      </w:tr>
      <w:tr w14:paraId="63F0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3EBCB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2.1</w:t>
            </w:r>
          </w:p>
        </w:tc>
        <w:tc>
          <w:tcPr>
            <w:tcW w:w="442" w:type="pct"/>
            <w:vAlign w:val="center"/>
          </w:tcPr>
          <w:p w14:paraId="79FE7C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项目管理机构</w:t>
            </w:r>
          </w:p>
        </w:tc>
        <w:tc>
          <w:tcPr>
            <w:tcW w:w="3831" w:type="pct"/>
            <w:vAlign w:val="center"/>
          </w:tcPr>
          <w:p w14:paraId="2CCE92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1、项目经理：具有中级及以上工程师职称得</w:t>
            </w:r>
            <w:r>
              <w:rPr>
                <w:rFonts w:ascii="宋体" w:hAnsi="宋体" w:eastAsia="宋体"/>
                <w:color w:val="auto"/>
                <w:szCs w:val="21"/>
                <w:highlight w:val="none"/>
              </w:rPr>
              <w:t>5</w:t>
            </w:r>
            <w:r>
              <w:rPr>
                <w:rFonts w:hint="eastAsia" w:ascii="宋体" w:hAnsi="宋体" w:eastAsia="宋体"/>
                <w:color w:val="auto"/>
                <w:szCs w:val="21"/>
                <w:highlight w:val="none"/>
              </w:rPr>
              <w:t>分，具有助理工程师职称得3分，此项满分</w:t>
            </w:r>
            <w:r>
              <w:rPr>
                <w:rFonts w:ascii="宋体" w:hAnsi="宋体" w:eastAsia="宋体"/>
                <w:color w:val="auto"/>
                <w:szCs w:val="21"/>
                <w:highlight w:val="none"/>
              </w:rPr>
              <w:t>5</w:t>
            </w:r>
            <w:r>
              <w:rPr>
                <w:rFonts w:hint="eastAsia" w:ascii="宋体" w:hAnsi="宋体" w:eastAsia="宋体"/>
                <w:color w:val="auto"/>
                <w:szCs w:val="21"/>
                <w:highlight w:val="none"/>
              </w:rPr>
              <w:t>分。</w:t>
            </w:r>
          </w:p>
          <w:p w14:paraId="4290A1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2、拟投入的本项目的安全员、施工员、质量员、材料员、预算员（或造价师）等岗位人员齐备，具有相应岗位资格证书，且拟投入的项目管理人员符合国家及广西壮族自治区的规定，每配备一个岗位人员得1分，满分5分。</w:t>
            </w:r>
          </w:p>
          <w:p w14:paraId="11F231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注：提供相关证明材料（项目经理提供职称证扫描件，其他人员提供岗位资格证书扫描件）。</w:t>
            </w:r>
          </w:p>
        </w:tc>
        <w:tc>
          <w:tcPr>
            <w:tcW w:w="359" w:type="pct"/>
            <w:vAlign w:val="center"/>
          </w:tcPr>
          <w:p w14:paraId="154A65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10</w:t>
            </w:r>
            <w:r>
              <w:rPr>
                <w:rFonts w:hint="eastAsia" w:ascii="宋体" w:hAnsi="宋体" w:eastAsia="宋体"/>
                <w:color w:val="auto"/>
                <w:szCs w:val="21"/>
                <w:highlight w:val="none"/>
              </w:rPr>
              <w:t>分</w:t>
            </w:r>
          </w:p>
        </w:tc>
      </w:tr>
      <w:tr w14:paraId="40A5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7B1DCD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2.2</w:t>
            </w:r>
          </w:p>
        </w:tc>
        <w:tc>
          <w:tcPr>
            <w:tcW w:w="442" w:type="pct"/>
            <w:vAlign w:val="center"/>
          </w:tcPr>
          <w:p w14:paraId="6A412B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主要施工方法</w:t>
            </w:r>
          </w:p>
        </w:tc>
        <w:tc>
          <w:tcPr>
            <w:tcW w:w="3831" w:type="pct"/>
            <w:vAlign w:val="center"/>
          </w:tcPr>
          <w:p w14:paraId="161E80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一档（12分）：各主要分部施工方法符合项目实际，有详尽的施工技术方案，工艺先进、方法科学合理、可行，完全能指导具体施工并确保安全。</w:t>
            </w:r>
          </w:p>
          <w:p w14:paraId="588C6D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二档（9分）：各主要分部施工方法符合项目实际，施工技术方案基本详细，工艺较先进、方法较科学合理、可行，能较好地指导具体施工并确保安全。</w:t>
            </w:r>
          </w:p>
          <w:p w14:paraId="2D384D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三档（6分）：各主要分部施工方法基本符合项目实际，施工技术方案基本详细，工艺较先进、方法合理，基本能指导具体施工并确保安全。</w:t>
            </w:r>
          </w:p>
          <w:p w14:paraId="7FF83D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四档（3分）：各主要分部施工方法不符合项目实际，没有详尽的施工技术方案，工艺不先进、方法不科学合理、可行，不能指导具体施工并确保安全。</w:t>
            </w:r>
          </w:p>
          <w:p w14:paraId="24A3BB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注：不提供主要施工方法的不得分。</w:t>
            </w:r>
          </w:p>
        </w:tc>
        <w:tc>
          <w:tcPr>
            <w:tcW w:w="359" w:type="pct"/>
            <w:vAlign w:val="center"/>
          </w:tcPr>
          <w:p w14:paraId="176688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2</w:t>
            </w:r>
            <w:r>
              <w:rPr>
                <w:rFonts w:hint="eastAsia" w:ascii="宋体" w:hAnsi="宋体" w:eastAsia="宋体"/>
                <w:color w:val="auto"/>
                <w:szCs w:val="21"/>
                <w:highlight w:val="none"/>
              </w:rPr>
              <w:t>分</w:t>
            </w:r>
          </w:p>
        </w:tc>
      </w:tr>
      <w:tr w14:paraId="5728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3873D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2.3</w:t>
            </w:r>
          </w:p>
        </w:tc>
        <w:tc>
          <w:tcPr>
            <w:tcW w:w="442" w:type="pct"/>
            <w:vAlign w:val="center"/>
          </w:tcPr>
          <w:p w14:paraId="2D2664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拟投入的主要物资计划</w:t>
            </w:r>
          </w:p>
        </w:tc>
        <w:tc>
          <w:tcPr>
            <w:tcW w:w="3831" w:type="pct"/>
            <w:vAlign w:val="center"/>
          </w:tcPr>
          <w:p w14:paraId="19E06E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一档（8分）：投入的施工材料有详细的组织计划且计划周密，数量、选型配置、进场时间安排合理，完全满足施工需要。</w:t>
            </w:r>
          </w:p>
          <w:p w14:paraId="7BA6CC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二档（6分）：投入的施工材料有较详细的组织计划且计划周密，数量、选型配置、进场时间安排较为合理，能较好满足施工需要。</w:t>
            </w:r>
          </w:p>
          <w:p w14:paraId="30A2A2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三档（4分）：投入的施工材料有组织计划，数量、选型配置、进场时间基本安排合理，基本能满足施工需要。</w:t>
            </w:r>
          </w:p>
          <w:p w14:paraId="0FE361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四档（2分）：投入的施工材料没有详细的组织计划且计划不周密，数量、选型配置、进场时间安排不清晰合理，不能满足施工需要。</w:t>
            </w:r>
          </w:p>
          <w:p w14:paraId="4EBEF8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注：无拟投入的主要物资计划的不得分。</w:t>
            </w:r>
          </w:p>
        </w:tc>
        <w:tc>
          <w:tcPr>
            <w:tcW w:w="359" w:type="pct"/>
            <w:vAlign w:val="center"/>
          </w:tcPr>
          <w:p w14:paraId="7EAE8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分</w:t>
            </w:r>
          </w:p>
        </w:tc>
      </w:tr>
      <w:tr w14:paraId="4DA6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71F7D3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2.4</w:t>
            </w:r>
          </w:p>
        </w:tc>
        <w:tc>
          <w:tcPr>
            <w:tcW w:w="442" w:type="pct"/>
            <w:vAlign w:val="center"/>
          </w:tcPr>
          <w:p w14:paraId="4C11E5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拟投入的主要施工机械、设备计划</w:t>
            </w:r>
          </w:p>
        </w:tc>
        <w:tc>
          <w:tcPr>
            <w:tcW w:w="3831" w:type="pct"/>
            <w:vAlign w:val="center"/>
          </w:tcPr>
          <w:p w14:paraId="7ABA8B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一档（8分）：拟投入的主要机械设备、辅助施工设备、器具齐全且配备科学合理，设备型号、数量完全满足施工需要且配置科学合理，采用目前国际、国内先进的机械设备。</w:t>
            </w:r>
          </w:p>
          <w:p w14:paraId="1418ED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二档（6分）：拟投入的主要机械设备、辅助施工设备、器具齐全且配备较合理，设备型号、数量满足施工需要且配置科学合理，部分设备采用目前国际、国内</w:t>
            </w:r>
            <w:r>
              <w:rPr>
                <w:rFonts w:hint="eastAsia" w:ascii="宋体" w:hAnsi="宋体" w:eastAsia="宋体"/>
                <w:color w:val="auto"/>
                <w:szCs w:val="21"/>
                <w:highlight w:val="none"/>
                <w:lang w:val="en-US" w:eastAsia="zh-CN"/>
              </w:rPr>
              <w:t>较</w:t>
            </w:r>
            <w:r>
              <w:rPr>
                <w:rFonts w:hint="eastAsia" w:ascii="宋体" w:hAnsi="宋体" w:eastAsia="宋体"/>
                <w:color w:val="auto"/>
                <w:szCs w:val="21"/>
                <w:highlight w:val="none"/>
              </w:rPr>
              <w:t>先进的机械设备。</w:t>
            </w:r>
          </w:p>
          <w:p w14:paraId="6F6985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三档（4分）：拟投入的主要机械设备、辅助施工设备、器具基本齐全，无重大缺漏，设备型号、数量基本满足施工需要且配置合理，采用</w:t>
            </w:r>
            <w:r>
              <w:rPr>
                <w:rFonts w:hint="eastAsia" w:ascii="宋体" w:hAnsi="宋体" w:eastAsia="宋体"/>
                <w:color w:val="auto"/>
                <w:szCs w:val="21"/>
                <w:highlight w:val="none"/>
                <w:lang w:val="en-US" w:eastAsia="zh-CN"/>
              </w:rPr>
              <w:t>的</w:t>
            </w:r>
            <w:r>
              <w:rPr>
                <w:rFonts w:hint="eastAsia" w:ascii="宋体" w:hAnsi="宋体" w:eastAsia="宋体"/>
                <w:color w:val="auto"/>
                <w:szCs w:val="21"/>
                <w:highlight w:val="none"/>
              </w:rPr>
              <w:t>机械设备</w:t>
            </w:r>
            <w:r>
              <w:rPr>
                <w:rFonts w:hint="eastAsia" w:ascii="宋体" w:hAnsi="宋体" w:eastAsia="宋体"/>
                <w:color w:val="auto"/>
                <w:szCs w:val="21"/>
                <w:highlight w:val="none"/>
                <w:lang w:val="en-US" w:eastAsia="zh-CN"/>
              </w:rPr>
              <w:t>一般</w:t>
            </w:r>
            <w:r>
              <w:rPr>
                <w:rFonts w:hint="eastAsia" w:ascii="宋体" w:hAnsi="宋体" w:eastAsia="宋体"/>
                <w:color w:val="auto"/>
                <w:szCs w:val="21"/>
                <w:highlight w:val="none"/>
              </w:rPr>
              <w:t>。</w:t>
            </w:r>
          </w:p>
          <w:p w14:paraId="408A40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四档（2分）：拟投入的主要机械设备、辅助施工设备、器具不齐全，存在重大缺漏，设备型号、数量不能满足施工需要。</w:t>
            </w:r>
          </w:p>
          <w:p w14:paraId="45400E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注：无拟投入的主要施工机械、设备计划的不得分。</w:t>
            </w:r>
          </w:p>
        </w:tc>
        <w:tc>
          <w:tcPr>
            <w:tcW w:w="359" w:type="pct"/>
            <w:vAlign w:val="center"/>
          </w:tcPr>
          <w:p w14:paraId="63E9D6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分</w:t>
            </w:r>
          </w:p>
        </w:tc>
      </w:tr>
      <w:tr w14:paraId="6D18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37296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2.5</w:t>
            </w:r>
          </w:p>
        </w:tc>
        <w:tc>
          <w:tcPr>
            <w:tcW w:w="442" w:type="pct"/>
            <w:vAlign w:val="center"/>
          </w:tcPr>
          <w:p w14:paraId="65609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劳动力安排计划</w:t>
            </w:r>
          </w:p>
        </w:tc>
        <w:tc>
          <w:tcPr>
            <w:tcW w:w="3831" w:type="pct"/>
            <w:vAlign w:val="center"/>
          </w:tcPr>
          <w:p w14:paraId="109B47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一档（12分）：各主要施工工序有详细周密的劳动力安排计划，有各工种劳动力安排计划，劳动力投入合理，完全满足施工需要。</w:t>
            </w:r>
          </w:p>
          <w:p w14:paraId="0000E1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二档（9分）：各主要施工工序有劳动力安排计划，有各工种劳动力安排计划，劳动力投入合理，较好满足施工需要。</w:t>
            </w:r>
          </w:p>
          <w:p w14:paraId="0A1F29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三档（6分）：各主要施工工序有劳动力安排计划，有各工种劳动力安排计划，劳动力投入基本合理，基本满足施工需要。</w:t>
            </w:r>
          </w:p>
          <w:p w14:paraId="17D984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四档（3分）：各主要施工工序无劳动力安排计划，无各工种劳动力安排计划，劳动力投入不合理，不能满足施工需要。</w:t>
            </w:r>
          </w:p>
          <w:p w14:paraId="0F0118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注：无劳动力安排计划的不得分。</w:t>
            </w:r>
          </w:p>
        </w:tc>
        <w:tc>
          <w:tcPr>
            <w:tcW w:w="359" w:type="pct"/>
            <w:vAlign w:val="center"/>
          </w:tcPr>
          <w:p w14:paraId="0325C9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2</w:t>
            </w:r>
            <w:r>
              <w:rPr>
                <w:rFonts w:hint="eastAsia" w:ascii="宋体" w:hAnsi="宋体" w:eastAsia="宋体"/>
                <w:color w:val="auto"/>
                <w:szCs w:val="21"/>
                <w:highlight w:val="none"/>
              </w:rPr>
              <w:t>分</w:t>
            </w:r>
          </w:p>
        </w:tc>
      </w:tr>
      <w:tr w14:paraId="1C87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08F05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2.6</w:t>
            </w:r>
          </w:p>
        </w:tc>
        <w:tc>
          <w:tcPr>
            <w:tcW w:w="442" w:type="pct"/>
            <w:vAlign w:val="center"/>
          </w:tcPr>
          <w:p w14:paraId="4CC496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确保工程质量的技术组织措施</w:t>
            </w:r>
          </w:p>
        </w:tc>
        <w:tc>
          <w:tcPr>
            <w:tcW w:w="3831" w:type="pct"/>
            <w:vAlign w:val="center"/>
          </w:tcPr>
          <w:p w14:paraId="33BF94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w:t>
            </w:r>
            <w:r>
              <w:rPr>
                <w:rFonts w:ascii="宋体" w:hAnsi="宋体" w:eastAsia="宋体"/>
                <w:color w:val="auto"/>
                <w:szCs w:val="21"/>
                <w:highlight w:val="none"/>
              </w:rPr>
              <w:t>8</w:t>
            </w:r>
            <w:r>
              <w:rPr>
                <w:rFonts w:hint="eastAsia" w:ascii="宋体" w:hAnsi="宋体" w:eastAsia="宋体"/>
                <w:color w:val="auto"/>
                <w:szCs w:val="21"/>
                <w:highlight w:val="none"/>
              </w:rPr>
              <w:t>分）：有专门的质量技术管理班子和制度，且人员配备合理，制度健全。主要工序有质量技术保证措施和手段，自控体系完整，能有效保证技术质量，达到承诺的质量标准。</w:t>
            </w:r>
          </w:p>
          <w:p w14:paraId="157901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w:t>
            </w:r>
            <w:r>
              <w:rPr>
                <w:rFonts w:ascii="宋体" w:hAnsi="宋体" w:eastAsia="宋体"/>
                <w:color w:val="auto"/>
                <w:szCs w:val="21"/>
                <w:highlight w:val="none"/>
              </w:rPr>
              <w:t>6</w:t>
            </w:r>
            <w:r>
              <w:rPr>
                <w:rFonts w:hint="eastAsia" w:ascii="宋体" w:hAnsi="宋体" w:eastAsia="宋体"/>
                <w:color w:val="auto"/>
                <w:szCs w:val="21"/>
                <w:highlight w:val="none"/>
              </w:rPr>
              <w:t>分）：有质量技术管理班子和制度，且人员配备合理，制度健全。主要工序有质量技术保证措施和手段，自控体系完整，能保证技术质量，满足招标文件的质量要求。</w:t>
            </w:r>
          </w:p>
          <w:p w14:paraId="6B256C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w:t>
            </w:r>
            <w:r>
              <w:rPr>
                <w:rFonts w:ascii="宋体" w:hAnsi="宋体" w:eastAsia="宋体"/>
                <w:color w:val="auto"/>
                <w:szCs w:val="21"/>
                <w:highlight w:val="none"/>
              </w:rPr>
              <w:t>4</w:t>
            </w:r>
            <w:r>
              <w:rPr>
                <w:rFonts w:hint="eastAsia" w:ascii="宋体" w:hAnsi="宋体" w:eastAsia="宋体"/>
                <w:color w:val="auto"/>
                <w:szCs w:val="21"/>
                <w:highlight w:val="none"/>
              </w:rPr>
              <w:t>分）：有质量技术管理班子和制度，且人员配备基本合理，制度基本健全。主要工序有质量技术保证措施和手段，自控体系，基本能保证技术质量，基本满足招标文件的质量要求。</w:t>
            </w:r>
          </w:p>
          <w:p w14:paraId="20841F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w:t>
            </w:r>
            <w:r>
              <w:rPr>
                <w:rFonts w:ascii="宋体" w:hAnsi="宋体" w:eastAsia="宋体"/>
                <w:color w:val="auto"/>
                <w:szCs w:val="21"/>
                <w:highlight w:val="none"/>
              </w:rPr>
              <w:t>2</w:t>
            </w:r>
            <w:r>
              <w:rPr>
                <w:rFonts w:hint="eastAsia" w:ascii="宋体" w:hAnsi="宋体" w:eastAsia="宋体"/>
                <w:color w:val="auto"/>
                <w:szCs w:val="21"/>
                <w:highlight w:val="none"/>
              </w:rPr>
              <w:t>分）：工程质量技术组织措施不可行，没能满足招标文件的质量要求。</w:t>
            </w:r>
          </w:p>
          <w:p w14:paraId="50866D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注：无确保工程质量的技术组织措施的不得分。</w:t>
            </w:r>
          </w:p>
        </w:tc>
        <w:tc>
          <w:tcPr>
            <w:tcW w:w="359" w:type="pct"/>
            <w:vAlign w:val="center"/>
          </w:tcPr>
          <w:p w14:paraId="3E4541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分</w:t>
            </w:r>
          </w:p>
        </w:tc>
      </w:tr>
      <w:tr w14:paraId="4729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0678DD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.7</w:t>
            </w:r>
          </w:p>
        </w:tc>
        <w:tc>
          <w:tcPr>
            <w:tcW w:w="442" w:type="pct"/>
            <w:vAlign w:val="center"/>
          </w:tcPr>
          <w:p w14:paraId="7DF355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确保安全生产的技术组织措施</w:t>
            </w:r>
          </w:p>
        </w:tc>
        <w:tc>
          <w:tcPr>
            <w:tcW w:w="3831" w:type="pct"/>
            <w:vAlign w:val="center"/>
          </w:tcPr>
          <w:p w14:paraId="6C8A46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w:t>
            </w:r>
            <w:r>
              <w:rPr>
                <w:rFonts w:ascii="宋体" w:hAnsi="宋体" w:eastAsia="宋体"/>
                <w:color w:val="auto"/>
                <w:szCs w:val="21"/>
                <w:highlight w:val="none"/>
              </w:rPr>
              <w:t>8</w:t>
            </w:r>
            <w:r>
              <w:rPr>
                <w:rFonts w:hint="eastAsia" w:ascii="宋体" w:hAnsi="宋体" w:eastAsia="宋体"/>
                <w:color w:val="auto"/>
                <w:szCs w:val="21"/>
                <w:highlight w:val="none"/>
              </w:rPr>
              <w:t>分）：有专门的安全管理人员和制度，且人员配备合理，制度健全，各道工序安全技术措施针对性强，完全符合实际且能满足有关安全技术标准要求。现场防火、应急救援、社会治安安全措施得力。</w:t>
            </w:r>
          </w:p>
          <w:p w14:paraId="5C6A12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w:t>
            </w:r>
            <w:r>
              <w:rPr>
                <w:rFonts w:ascii="宋体" w:hAnsi="宋体" w:eastAsia="宋体"/>
                <w:color w:val="auto"/>
                <w:szCs w:val="21"/>
                <w:highlight w:val="none"/>
              </w:rPr>
              <w:t>6</w:t>
            </w:r>
            <w:r>
              <w:rPr>
                <w:rFonts w:hint="eastAsia" w:ascii="宋体" w:hAnsi="宋体" w:eastAsia="宋体"/>
                <w:color w:val="auto"/>
                <w:szCs w:val="21"/>
                <w:highlight w:val="none"/>
              </w:rPr>
              <w:t>分）：有专门的安全管理人员和制度，且人员基本配备较为合理，制度较为健全，各道工序安全技术措施针对性比较强，符合实际且能较好满足有关安全技术标准要求。现场防火、应急救援、社会治安安全措施良好。</w:t>
            </w:r>
          </w:p>
          <w:p w14:paraId="1FFD0C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w:t>
            </w:r>
            <w:r>
              <w:rPr>
                <w:rFonts w:ascii="宋体" w:hAnsi="宋体" w:eastAsia="宋体"/>
                <w:color w:val="auto"/>
                <w:szCs w:val="21"/>
                <w:highlight w:val="none"/>
              </w:rPr>
              <w:t>4</w:t>
            </w:r>
            <w:r>
              <w:rPr>
                <w:rFonts w:hint="eastAsia" w:ascii="宋体" w:hAnsi="宋体" w:eastAsia="宋体"/>
                <w:color w:val="auto"/>
                <w:szCs w:val="21"/>
                <w:highlight w:val="none"/>
              </w:rPr>
              <w:t>分）：安全管理人员和制度，且人员基本配备基本合理，制度基本健全，各道工序安全技术措施针对性一般，符合实际，基本满足有关安全技术标准要求。现场防火、应急救援、社会治安安全措施一般。</w:t>
            </w:r>
          </w:p>
          <w:p w14:paraId="4FF634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w:t>
            </w:r>
            <w:r>
              <w:rPr>
                <w:rFonts w:ascii="宋体" w:hAnsi="宋体" w:eastAsia="宋体"/>
                <w:color w:val="auto"/>
                <w:szCs w:val="21"/>
                <w:highlight w:val="none"/>
              </w:rPr>
              <w:t>2</w:t>
            </w:r>
            <w:r>
              <w:rPr>
                <w:rFonts w:hint="eastAsia" w:ascii="宋体" w:hAnsi="宋体" w:eastAsia="宋体"/>
                <w:color w:val="auto"/>
                <w:szCs w:val="21"/>
                <w:highlight w:val="none"/>
              </w:rPr>
              <w:t>分）：没有专门的安全管理人员和制度，且人员配备不合理，制度不健全，各道工序安全技术措施针对性不强，不符合实际且能满足有关安全技术标准要求。现场防火、应急救援、社会治安安全措施较差。</w:t>
            </w:r>
          </w:p>
          <w:p w14:paraId="6139BB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注：不提供确保安全生产的技术组织措施的不得分。</w:t>
            </w:r>
          </w:p>
        </w:tc>
        <w:tc>
          <w:tcPr>
            <w:tcW w:w="359" w:type="pct"/>
            <w:vAlign w:val="center"/>
          </w:tcPr>
          <w:p w14:paraId="7E4E50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分</w:t>
            </w:r>
          </w:p>
        </w:tc>
      </w:tr>
      <w:tr w14:paraId="61DD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1CE345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.8</w:t>
            </w:r>
          </w:p>
        </w:tc>
        <w:tc>
          <w:tcPr>
            <w:tcW w:w="442" w:type="pct"/>
            <w:vAlign w:val="center"/>
          </w:tcPr>
          <w:p w14:paraId="6E78C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确保工期的技术组织措施</w:t>
            </w:r>
          </w:p>
        </w:tc>
        <w:tc>
          <w:tcPr>
            <w:tcW w:w="3831" w:type="pct"/>
            <w:vAlign w:val="center"/>
          </w:tcPr>
          <w:p w14:paraId="00D63E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8分）：在施工工艺、施工方法、材料选用、劳动力安排、技术等方面有保证工期的具体措施。有控制工期的施工进度计划。有施工总进度表或施工网络图，各项计划图表编制完善，安排科学合理，符合本项目施工实际要求。</w:t>
            </w:r>
          </w:p>
          <w:p w14:paraId="24C450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二档（6分）：在施工工艺、施工方法、材料选用、劳动力安排、技术等方面有可行措施。有控制工期的施工进度可行计划。有完整的施工总进度表或施工网络图，安排合理。</w:t>
            </w:r>
          </w:p>
          <w:p w14:paraId="57B8FA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三档（4分）：在施工工艺、施工方法、材料选用、劳动力安排、技术等方面有简单措施。有控制工期的施工进度可行计划。有</w:t>
            </w:r>
            <w:r>
              <w:rPr>
                <w:rFonts w:hint="eastAsia" w:ascii="宋体" w:hAnsi="宋体" w:eastAsia="宋体"/>
                <w:color w:val="auto"/>
                <w:szCs w:val="21"/>
                <w:highlight w:val="none"/>
                <w:lang w:val="en-US" w:eastAsia="zh-CN"/>
              </w:rPr>
              <w:t>基本的</w:t>
            </w:r>
            <w:r>
              <w:rPr>
                <w:rFonts w:hint="eastAsia" w:ascii="宋体" w:hAnsi="宋体" w:eastAsia="宋体"/>
                <w:color w:val="auto"/>
                <w:szCs w:val="21"/>
                <w:highlight w:val="none"/>
              </w:rPr>
              <w:t>施工总进度表或施工网络图，安排基本合理。</w:t>
            </w:r>
          </w:p>
          <w:p w14:paraId="7CD790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四档（2分）：在施工工艺、施工方法、材料选用、劳动力安排、技术等方面没有措施。没有控制工期的施工进度计划。没有施工总进度表或施工网络图。</w:t>
            </w:r>
          </w:p>
          <w:p w14:paraId="7B8772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注：不提供确保工期的技术组织措施的不得分。</w:t>
            </w:r>
          </w:p>
        </w:tc>
        <w:tc>
          <w:tcPr>
            <w:tcW w:w="359" w:type="pct"/>
            <w:vAlign w:val="center"/>
          </w:tcPr>
          <w:p w14:paraId="5A929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分</w:t>
            </w:r>
          </w:p>
        </w:tc>
      </w:tr>
      <w:tr w14:paraId="7573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1DA41C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.9</w:t>
            </w:r>
          </w:p>
        </w:tc>
        <w:tc>
          <w:tcPr>
            <w:tcW w:w="442" w:type="pct"/>
            <w:vAlign w:val="center"/>
          </w:tcPr>
          <w:p w14:paraId="651CC3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工程施工的重点和难点及保证措施</w:t>
            </w:r>
          </w:p>
        </w:tc>
        <w:tc>
          <w:tcPr>
            <w:tcW w:w="3831" w:type="pct"/>
            <w:vAlign w:val="center"/>
          </w:tcPr>
          <w:p w14:paraId="1E71EF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一档（</w:t>
            </w:r>
            <w:r>
              <w:rPr>
                <w:rFonts w:ascii="宋体" w:hAnsi="宋体" w:eastAsia="宋体"/>
                <w:color w:val="auto"/>
                <w:szCs w:val="21"/>
                <w:highlight w:val="none"/>
              </w:rPr>
              <w:t>11</w:t>
            </w:r>
            <w:r>
              <w:rPr>
                <w:rFonts w:hint="eastAsia" w:ascii="宋体" w:hAnsi="宋体" w:eastAsia="宋体"/>
                <w:color w:val="auto"/>
                <w:szCs w:val="21"/>
                <w:highlight w:val="none"/>
              </w:rPr>
              <w:t>分）：针对本工程的特点，阐述工程的重点和难点，有解决重点和难点问题的切实可行方案且措施得力。</w:t>
            </w:r>
          </w:p>
          <w:p w14:paraId="0F7F53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二档（</w:t>
            </w:r>
            <w:r>
              <w:rPr>
                <w:rFonts w:ascii="宋体" w:hAnsi="宋体" w:eastAsia="宋体"/>
                <w:color w:val="auto"/>
                <w:szCs w:val="21"/>
                <w:highlight w:val="none"/>
              </w:rPr>
              <w:t>8</w:t>
            </w:r>
            <w:r>
              <w:rPr>
                <w:rFonts w:hint="eastAsia" w:ascii="宋体" w:hAnsi="宋体" w:eastAsia="宋体"/>
                <w:color w:val="auto"/>
                <w:szCs w:val="21"/>
                <w:highlight w:val="none"/>
              </w:rPr>
              <w:t>分）：针对本工程的特点，阐述工程的重点和难点，有解决重点和难点问题的方案。</w:t>
            </w:r>
          </w:p>
          <w:p w14:paraId="76F000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三档（</w:t>
            </w:r>
            <w:r>
              <w:rPr>
                <w:rFonts w:ascii="宋体" w:hAnsi="宋体" w:eastAsia="宋体"/>
                <w:color w:val="auto"/>
                <w:szCs w:val="21"/>
                <w:highlight w:val="none"/>
              </w:rPr>
              <w:t>5</w:t>
            </w:r>
            <w:r>
              <w:rPr>
                <w:rFonts w:hint="eastAsia" w:ascii="宋体" w:hAnsi="宋体" w:eastAsia="宋体"/>
                <w:color w:val="auto"/>
                <w:szCs w:val="21"/>
                <w:highlight w:val="none"/>
              </w:rPr>
              <w:t>分）：针对本工程的特点，能简单阐述工程的重点和难点，解决重点和难点问题的方案，方案</w:t>
            </w:r>
            <w:r>
              <w:rPr>
                <w:rFonts w:hint="eastAsia" w:ascii="宋体" w:hAnsi="宋体" w:eastAsia="宋体"/>
                <w:color w:val="auto"/>
                <w:szCs w:val="21"/>
                <w:highlight w:val="none"/>
                <w:lang w:val="en-US" w:eastAsia="zh-CN"/>
              </w:rPr>
              <w:t>一般</w:t>
            </w:r>
            <w:r>
              <w:rPr>
                <w:rFonts w:hint="eastAsia" w:ascii="宋体" w:hAnsi="宋体" w:eastAsia="宋体"/>
                <w:color w:val="auto"/>
                <w:szCs w:val="21"/>
                <w:highlight w:val="none"/>
              </w:rPr>
              <w:t>。</w:t>
            </w:r>
          </w:p>
          <w:p w14:paraId="247015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四档（2分）：针对本工程的特点有表述，对重点、难点有建议，但解决方案不可行。</w:t>
            </w:r>
          </w:p>
          <w:p w14:paraId="20C5BC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注：不提供工程施工的重点和难点及保证措施的不得分。</w:t>
            </w:r>
          </w:p>
        </w:tc>
        <w:tc>
          <w:tcPr>
            <w:tcW w:w="359" w:type="pct"/>
            <w:vAlign w:val="center"/>
          </w:tcPr>
          <w:p w14:paraId="0F38AC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11</w:t>
            </w:r>
            <w:r>
              <w:rPr>
                <w:rFonts w:hint="eastAsia" w:ascii="宋体" w:hAnsi="宋体" w:eastAsia="宋体"/>
                <w:color w:val="auto"/>
                <w:szCs w:val="21"/>
                <w:highlight w:val="none"/>
              </w:rPr>
              <w:t>分</w:t>
            </w:r>
          </w:p>
        </w:tc>
      </w:tr>
      <w:tr w14:paraId="20AF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19F2D9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3</w:t>
            </w:r>
          </w:p>
        </w:tc>
        <w:tc>
          <w:tcPr>
            <w:tcW w:w="442" w:type="pct"/>
            <w:vAlign w:val="center"/>
          </w:tcPr>
          <w:p w14:paraId="12D4B8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商务分</w:t>
            </w:r>
          </w:p>
        </w:tc>
        <w:tc>
          <w:tcPr>
            <w:tcW w:w="3831" w:type="pct"/>
            <w:vAlign w:val="center"/>
          </w:tcPr>
          <w:p w14:paraId="68E70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评审因素（客观分）</w:t>
            </w:r>
          </w:p>
        </w:tc>
        <w:tc>
          <w:tcPr>
            <w:tcW w:w="359" w:type="pct"/>
            <w:vAlign w:val="center"/>
          </w:tcPr>
          <w:p w14:paraId="5AE12B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rPr>
              <w:t>分</w:t>
            </w:r>
          </w:p>
        </w:tc>
      </w:tr>
      <w:tr w14:paraId="108F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vAlign w:val="center"/>
          </w:tcPr>
          <w:p w14:paraId="610F3C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3.1</w:t>
            </w:r>
          </w:p>
        </w:tc>
        <w:tc>
          <w:tcPr>
            <w:tcW w:w="442" w:type="pct"/>
            <w:vAlign w:val="center"/>
          </w:tcPr>
          <w:p w14:paraId="0A888D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业绩分</w:t>
            </w:r>
          </w:p>
        </w:tc>
        <w:tc>
          <w:tcPr>
            <w:tcW w:w="3831" w:type="pct"/>
            <w:vAlign w:val="center"/>
          </w:tcPr>
          <w:p w14:paraId="3A6EF6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202</w:t>
            </w:r>
            <w:r>
              <w:rPr>
                <w:rFonts w:ascii="宋体" w:hAnsi="宋体" w:eastAsia="宋体"/>
                <w:color w:val="auto"/>
                <w:szCs w:val="21"/>
                <w:highlight w:val="none"/>
              </w:rPr>
              <w:t>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月1日以来至响应文件递交截止日期止，供应商具有类似项目业绩的，每个得</w:t>
            </w:r>
            <w:r>
              <w:rPr>
                <w:rFonts w:ascii="宋体" w:hAnsi="宋体" w:eastAsia="宋体"/>
                <w:color w:val="auto"/>
                <w:szCs w:val="21"/>
                <w:highlight w:val="none"/>
              </w:rPr>
              <w:t>5</w:t>
            </w:r>
            <w:r>
              <w:rPr>
                <w:rFonts w:hint="eastAsia" w:ascii="宋体" w:hAnsi="宋体" w:eastAsia="宋体"/>
                <w:color w:val="auto"/>
                <w:szCs w:val="21"/>
                <w:highlight w:val="none"/>
              </w:rPr>
              <w:t>分，满分</w:t>
            </w:r>
            <w:r>
              <w:rPr>
                <w:rFonts w:ascii="宋体" w:hAnsi="宋体" w:eastAsia="宋体"/>
                <w:color w:val="auto"/>
                <w:szCs w:val="21"/>
                <w:highlight w:val="none"/>
              </w:rPr>
              <w:t>5</w:t>
            </w:r>
            <w:r>
              <w:rPr>
                <w:rFonts w:hint="eastAsia" w:ascii="宋体" w:hAnsi="宋体" w:eastAsia="宋体"/>
                <w:color w:val="auto"/>
                <w:szCs w:val="21"/>
                <w:highlight w:val="none"/>
              </w:rPr>
              <w:t>分。（以合同或者中标（成交）通知书扫描件为准，并加盖供应商电子公章）</w:t>
            </w:r>
          </w:p>
        </w:tc>
        <w:tc>
          <w:tcPr>
            <w:tcW w:w="359" w:type="pct"/>
            <w:vAlign w:val="center"/>
          </w:tcPr>
          <w:p w14:paraId="64E6AD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rPr>
              <w:t>分</w:t>
            </w:r>
          </w:p>
        </w:tc>
      </w:tr>
      <w:tr w14:paraId="64D8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330B60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总得分＝1＋2＋3</w:t>
            </w:r>
          </w:p>
        </w:tc>
      </w:tr>
    </w:tbl>
    <w:p w14:paraId="4E177C4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8.2商务技术评审因素为客观评分项的，应在评分项目或评分标准中予以标注为“客观分”。对供应商的客观评分项目，各评审专家评分应当一致。</w:t>
      </w:r>
    </w:p>
    <w:p w14:paraId="53B5500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8.3.终止竞争性磋商采购活动</w:t>
      </w:r>
    </w:p>
    <w:p w14:paraId="3DA7C94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3BE6FAD">
      <w:pPr>
        <w:pStyle w:val="3"/>
        <w:jc w:val="center"/>
        <w:rPr>
          <w:color w:val="auto"/>
          <w:highlight w:val="none"/>
        </w:rPr>
      </w:pPr>
      <w:bookmarkStart w:id="14" w:name="_Toc3087"/>
      <w:r>
        <w:rPr>
          <w:rFonts w:hint="eastAsia"/>
          <w:color w:val="auto"/>
          <w:highlight w:val="none"/>
        </w:rPr>
        <w:t>第二</w:t>
      </w:r>
      <w:r>
        <w:rPr>
          <w:rFonts w:hint="eastAsia"/>
          <w:color w:val="auto"/>
          <w:spacing w:val="120"/>
          <w:highlight w:val="none"/>
        </w:rPr>
        <w:t>节</w:t>
      </w:r>
      <w:r>
        <w:rPr>
          <w:rFonts w:hint="eastAsia"/>
          <w:color w:val="auto"/>
          <w:highlight w:val="none"/>
        </w:rPr>
        <w:t>评标报告</w:t>
      </w:r>
      <w:bookmarkEnd w:id="14"/>
    </w:p>
    <w:p w14:paraId="6974121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1.成交标准</w:t>
      </w:r>
    </w:p>
    <w:p w14:paraId="6D9AC8D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7E4DAC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2.评标争议事项处理</w:t>
      </w:r>
    </w:p>
    <w:p w14:paraId="6FDB778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BC97F75">
      <w:pPr>
        <w:pStyle w:val="3"/>
        <w:jc w:val="center"/>
        <w:rPr>
          <w:color w:val="auto"/>
          <w:highlight w:val="none"/>
        </w:rPr>
      </w:pPr>
      <w:bookmarkStart w:id="15" w:name="_Toc29134"/>
      <w:r>
        <w:rPr>
          <w:rFonts w:hint="eastAsia"/>
          <w:color w:val="auto"/>
          <w:highlight w:val="none"/>
        </w:rPr>
        <w:t>第三</w:t>
      </w:r>
      <w:r>
        <w:rPr>
          <w:rFonts w:hint="eastAsia"/>
          <w:color w:val="auto"/>
          <w:spacing w:val="120"/>
          <w:highlight w:val="none"/>
        </w:rPr>
        <w:t>节</w:t>
      </w:r>
      <w:r>
        <w:rPr>
          <w:rFonts w:hint="eastAsia"/>
          <w:color w:val="auto"/>
          <w:highlight w:val="none"/>
        </w:rPr>
        <w:t>评审过程的保密与录像</w:t>
      </w:r>
      <w:bookmarkEnd w:id="15"/>
    </w:p>
    <w:p w14:paraId="5F7BB71C">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1.保密。</w:t>
      </w:r>
    </w:p>
    <w:p w14:paraId="554DEE8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403C86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2.录音录像。</w:t>
      </w:r>
    </w:p>
    <w:p w14:paraId="01CB2CE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采购代理机构对评审工作现场及操作屏幕进行全过程录音录像，录音录像资料作为采购项目文件随其他文件一并存档。</w:t>
      </w:r>
    </w:p>
    <w:p w14:paraId="7F3220FE">
      <w:pPr>
        <w:pStyle w:val="2"/>
        <w:jc w:val="center"/>
        <w:rPr>
          <w:color w:val="auto"/>
          <w:highlight w:val="none"/>
        </w:rPr>
        <w:sectPr>
          <w:pgSz w:w="11906" w:h="16838"/>
          <w:pgMar w:top="1134" w:right="1134" w:bottom="1134" w:left="1134" w:header="851" w:footer="992" w:gutter="0"/>
          <w:pgNumType w:fmt="decimal"/>
          <w:cols w:space="425" w:num="1"/>
          <w:docGrid w:type="lines" w:linePitch="312" w:charSpace="0"/>
        </w:sectPr>
      </w:pPr>
    </w:p>
    <w:p w14:paraId="7BA0A03E">
      <w:pPr>
        <w:spacing w:line="360" w:lineRule="auto"/>
        <w:ind w:firstLine="420" w:firstLineChars="200"/>
        <w:rPr>
          <w:rFonts w:ascii="宋体" w:hAnsi="宋体" w:eastAsia="宋体"/>
          <w:color w:val="auto"/>
          <w:szCs w:val="21"/>
          <w:highlight w:val="none"/>
        </w:rPr>
      </w:pPr>
    </w:p>
    <w:p w14:paraId="6C395832">
      <w:pPr>
        <w:spacing w:line="360" w:lineRule="auto"/>
        <w:ind w:firstLine="420" w:firstLineChars="200"/>
        <w:rPr>
          <w:rFonts w:ascii="宋体" w:hAnsi="宋体" w:eastAsia="宋体"/>
          <w:color w:val="auto"/>
          <w:szCs w:val="21"/>
          <w:highlight w:val="none"/>
        </w:rPr>
      </w:pPr>
    </w:p>
    <w:p w14:paraId="23CC0835">
      <w:pPr>
        <w:spacing w:line="360" w:lineRule="auto"/>
        <w:ind w:firstLine="420" w:firstLineChars="200"/>
        <w:rPr>
          <w:rFonts w:ascii="宋体" w:hAnsi="宋体" w:eastAsia="宋体"/>
          <w:color w:val="auto"/>
          <w:szCs w:val="21"/>
          <w:highlight w:val="none"/>
        </w:rPr>
      </w:pPr>
    </w:p>
    <w:p w14:paraId="44F72C37">
      <w:pPr>
        <w:spacing w:line="360" w:lineRule="auto"/>
        <w:ind w:firstLine="420" w:firstLineChars="200"/>
        <w:rPr>
          <w:rFonts w:ascii="宋体" w:hAnsi="宋体" w:eastAsia="宋体"/>
          <w:color w:val="auto"/>
          <w:szCs w:val="21"/>
          <w:highlight w:val="none"/>
        </w:rPr>
      </w:pPr>
    </w:p>
    <w:p w14:paraId="2030EEC0">
      <w:pPr>
        <w:spacing w:line="360" w:lineRule="auto"/>
        <w:ind w:firstLine="420" w:firstLineChars="200"/>
        <w:rPr>
          <w:rFonts w:ascii="宋体" w:hAnsi="宋体" w:eastAsia="宋体"/>
          <w:color w:val="auto"/>
          <w:szCs w:val="21"/>
          <w:highlight w:val="none"/>
        </w:rPr>
      </w:pPr>
    </w:p>
    <w:p w14:paraId="071C31FC">
      <w:pPr>
        <w:spacing w:line="360" w:lineRule="auto"/>
        <w:ind w:firstLine="420" w:firstLineChars="200"/>
        <w:rPr>
          <w:rFonts w:ascii="宋体" w:hAnsi="宋体" w:eastAsia="宋体"/>
          <w:color w:val="auto"/>
          <w:szCs w:val="21"/>
          <w:highlight w:val="none"/>
        </w:rPr>
      </w:pPr>
    </w:p>
    <w:p w14:paraId="624C7A80">
      <w:pPr>
        <w:spacing w:line="360" w:lineRule="auto"/>
        <w:ind w:firstLine="420" w:firstLineChars="200"/>
        <w:rPr>
          <w:rFonts w:ascii="宋体" w:hAnsi="宋体" w:eastAsia="宋体"/>
          <w:color w:val="auto"/>
          <w:szCs w:val="21"/>
          <w:highlight w:val="none"/>
        </w:rPr>
      </w:pPr>
    </w:p>
    <w:p w14:paraId="6F908441">
      <w:pPr>
        <w:spacing w:line="360" w:lineRule="auto"/>
        <w:ind w:firstLine="420" w:firstLineChars="200"/>
        <w:rPr>
          <w:rFonts w:ascii="宋体" w:hAnsi="宋体" w:eastAsia="宋体"/>
          <w:color w:val="auto"/>
          <w:szCs w:val="21"/>
          <w:highlight w:val="none"/>
        </w:rPr>
      </w:pPr>
    </w:p>
    <w:p w14:paraId="49B9AF29">
      <w:pPr>
        <w:spacing w:line="360" w:lineRule="auto"/>
        <w:ind w:firstLine="420" w:firstLineChars="200"/>
        <w:rPr>
          <w:rFonts w:ascii="宋体" w:hAnsi="宋体" w:eastAsia="宋体"/>
          <w:color w:val="auto"/>
          <w:szCs w:val="21"/>
          <w:highlight w:val="none"/>
        </w:rPr>
      </w:pPr>
    </w:p>
    <w:p w14:paraId="40979150">
      <w:pPr>
        <w:spacing w:line="360" w:lineRule="auto"/>
        <w:ind w:firstLine="420" w:firstLineChars="200"/>
        <w:rPr>
          <w:rFonts w:ascii="宋体" w:hAnsi="宋体" w:eastAsia="宋体"/>
          <w:color w:val="auto"/>
          <w:szCs w:val="21"/>
          <w:highlight w:val="none"/>
        </w:rPr>
      </w:pPr>
    </w:p>
    <w:p w14:paraId="6692EE27">
      <w:pPr>
        <w:pStyle w:val="2"/>
        <w:jc w:val="center"/>
        <w:rPr>
          <w:color w:val="auto"/>
          <w:highlight w:val="none"/>
        </w:rPr>
      </w:pPr>
      <w:bookmarkStart w:id="16" w:name="_Toc16449"/>
      <w:r>
        <w:rPr>
          <w:rFonts w:hint="eastAsia"/>
          <w:color w:val="auto"/>
          <w:highlight w:val="none"/>
        </w:rPr>
        <w:t>第五</w:t>
      </w:r>
      <w:r>
        <w:rPr>
          <w:rFonts w:hint="eastAsia" w:ascii="宋体" w:hAnsi="宋体" w:eastAsia="宋体"/>
          <w:color w:val="auto"/>
          <w:spacing w:val="120"/>
          <w:highlight w:val="none"/>
        </w:rPr>
        <w:t>章</w:t>
      </w:r>
      <w:r>
        <w:rPr>
          <w:rFonts w:hint="eastAsia"/>
          <w:color w:val="auto"/>
          <w:highlight w:val="none"/>
        </w:rPr>
        <w:t>响应文件格式</w:t>
      </w:r>
      <w:bookmarkEnd w:id="16"/>
    </w:p>
    <w:p w14:paraId="6F7C618D">
      <w:pPr>
        <w:spacing w:line="30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54703B65">
      <w:pPr>
        <w:pStyle w:val="3"/>
        <w:jc w:val="center"/>
        <w:rPr>
          <w:color w:val="auto"/>
          <w:highlight w:val="none"/>
        </w:rPr>
      </w:pPr>
      <w:bookmarkStart w:id="17" w:name="_Toc7620"/>
      <w:r>
        <w:rPr>
          <w:rFonts w:hint="eastAsia"/>
          <w:color w:val="auto"/>
          <w:highlight w:val="none"/>
        </w:rPr>
        <w:t>第一</w:t>
      </w:r>
      <w:r>
        <w:rPr>
          <w:rFonts w:hint="eastAsia"/>
          <w:color w:val="auto"/>
          <w:spacing w:val="120"/>
          <w:highlight w:val="none"/>
        </w:rPr>
        <w:t>节</w:t>
      </w:r>
      <w:r>
        <w:rPr>
          <w:rFonts w:hint="eastAsia"/>
          <w:color w:val="auto"/>
          <w:highlight w:val="none"/>
        </w:rPr>
        <w:t>封面格式</w:t>
      </w:r>
      <w:bookmarkEnd w:id="17"/>
    </w:p>
    <w:p w14:paraId="154F3EDD">
      <w:pPr>
        <w:spacing w:line="360" w:lineRule="auto"/>
        <w:ind w:firstLine="420" w:firstLineChars="200"/>
        <w:rPr>
          <w:rFonts w:ascii="宋体" w:hAnsi="宋体" w:eastAsia="宋体"/>
          <w:color w:val="auto"/>
          <w:szCs w:val="21"/>
          <w:highlight w:val="none"/>
        </w:rPr>
      </w:pPr>
    </w:p>
    <w:p w14:paraId="044EBCA6">
      <w:pPr>
        <w:spacing w:line="360" w:lineRule="auto"/>
        <w:ind w:firstLine="420" w:firstLineChars="200"/>
        <w:rPr>
          <w:rFonts w:ascii="宋体" w:hAnsi="宋体" w:eastAsia="宋体"/>
          <w:color w:val="auto"/>
          <w:szCs w:val="21"/>
          <w:highlight w:val="none"/>
        </w:rPr>
      </w:pPr>
    </w:p>
    <w:p w14:paraId="56998802">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响应文件</w:t>
      </w:r>
    </w:p>
    <w:p w14:paraId="2B16CDE7">
      <w:pPr>
        <w:spacing w:line="360" w:lineRule="auto"/>
        <w:ind w:firstLine="420" w:firstLineChars="200"/>
        <w:rPr>
          <w:rFonts w:ascii="宋体" w:hAnsi="宋体" w:eastAsia="宋体"/>
          <w:color w:val="auto"/>
          <w:szCs w:val="21"/>
          <w:highlight w:val="none"/>
        </w:rPr>
      </w:pPr>
    </w:p>
    <w:p w14:paraId="0261F9FB">
      <w:pPr>
        <w:spacing w:line="360" w:lineRule="auto"/>
        <w:ind w:firstLine="420" w:firstLineChars="200"/>
        <w:rPr>
          <w:rFonts w:ascii="宋体" w:hAnsi="宋体" w:eastAsia="宋体"/>
          <w:color w:val="auto"/>
          <w:szCs w:val="21"/>
          <w:highlight w:val="none"/>
        </w:rPr>
      </w:pPr>
    </w:p>
    <w:p w14:paraId="2C4895F1">
      <w:pPr>
        <w:spacing w:line="360" w:lineRule="auto"/>
        <w:ind w:firstLine="420" w:firstLineChars="200"/>
        <w:rPr>
          <w:rFonts w:ascii="宋体" w:hAnsi="宋体" w:eastAsia="宋体"/>
          <w:color w:val="auto"/>
          <w:szCs w:val="21"/>
          <w:highlight w:val="none"/>
        </w:rPr>
      </w:pPr>
    </w:p>
    <w:p w14:paraId="16009C8E">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项目名称：[项目采购-项目名称_2]</w:t>
      </w:r>
    </w:p>
    <w:p w14:paraId="2C7970A4">
      <w:pPr>
        <w:spacing w:line="360" w:lineRule="auto"/>
        <w:ind w:firstLine="640" w:firstLineChars="200"/>
        <w:rPr>
          <w:rFonts w:ascii="宋体" w:hAnsi="宋体" w:eastAsia="宋体"/>
          <w:color w:val="auto"/>
          <w:sz w:val="32"/>
          <w:szCs w:val="32"/>
          <w:highlight w:val="none"/>
        </w:rPr>
      </w:pPr>
    </w:p>
    <w:p w14:paraId="46F7D192">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项目编号：[项目采购-项目编号_4]</w:t>
      </w:r>
    </w:p>
    <w:p w14:paraId="65CD487D">
      <w:pPr>
        <w:spacing w:line="360" w:lineRule="auto"/>
        <w:ind w:firstLine="640" w:firstLineChars="200"/>
        <w:rPr>
          <w:rFonts w:ascii="宋体" w:hAnsi="宋体" w:eastAsia="宋体"/>
          <w:color w:val="auto"/>
          <w:sz w:val="32"/>
          <w:szCs w:val="32"/>
          <w:highlight w:val="none"/>
        </w:rPr>
      </w:pPr>
    </w:p>
    <w:p w14:paraId="1C1A16EB">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4C06A632">
      <w:pPr>
        <w:spacing w:line="360" w:lineRule="auto"/>
        <w:ind w:firstLine="640" w:firstLineChars="200"/>
        <w:rPr>
          <w:rFonts w:ascii="宋体" w:hAnsi="宋体" w:eastAsia="宋体"/>
          <w:color w:val="auto"/>
          <w:sz w:val="32"/>
          <w:szCs w:val="32"/>
          <w:highlight w:val="none"/>
        </w:rPr>
      </w:pPr>
    </w:p>
    <w:p w14:paraId="43BAEB1D">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5CE546AC">
      <w:pPr>
        <w:spacing w:line="360" w:lineRule="auto"/>
        <w:ind w:firstLine="640" w:firstLineChars="200"/>
        <w:rPr>
          <w:rFonts w:ascii="宋体" w:hAnsi="宋体" w:eastAsia="宋体"/>
          <w:color w:val="auto"/>
          <w:sz w:val="32"/>
          <w:szCs w:val="32"/>
          <w:highlight w:val="none"/>
        </w:rPr>
      </w:pPr>
    </w:p>
    <w:p w14:paraId="7C731B26">
      <w:pPr>
        <w:spacing w:line="360" w:lineRule="auto"/>
        <w:jc w:val="center"/>
        <w:rPr>
          <w:rFonts w:ascii="宋体" w:hAnsi="宋体" w:eastAsia="宋体"/>
          <w:color w:val="auto"/>
          <w:sz w:val="32"/>
          <w:szCs w:val="32"/>
          <w:highlight w:val="none"/>
        </w:rPr>
      </w:pPr>
      <w:r>
        <w:rPr>
          <w:rFonts w:hint="eastAsia" w:ascii="宋体" w:hAnsi="宋体" w:eastAsia="宋体"/>
          <w:color w:val="auto"/>
          <w:sz w:val="32"/>
          <w:szCs w:val="32"/>
          <w:highlight w:val="none"/>
        </w:rPr>
        <w:t>首次响应文件提交截止时间前不得解密</w:t>
      </w:r>
    </w:p>
    <w:p w14:paraId="4DD4E713">
      <w:pPr>
        <w:spacing w:line="360" w:lineRule="auto"/>
        <w:ind w:firstLine="640" w:firstLineChars="200"/>
        <w:rPr>
          <w:rFonts w:ascii="宋体" w:hAnsi="宋体" w:eastAsia="宋体"/>
          <w:color w:val="auto"/>
          <w:sz w:val="32"/>
          <w:szCs w:val="32"/>
          <w:highlight w:val="none"/>
        </w:rPr>
      </w:pPr>
    </w:p>
    <w:p w14:paraId="6BC467C9">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日</w:t>
      </w:r>
    </w:p>
    <w:p w14:paraId="372515EC">
      <w:pPr>
        <w:pStyle w:val="3"/>
        <w:jc w:val="center"/>
        <w:rPr>
          <w:color w:val="auto"/>
          <w:highlight w:val="none"/>
        </w:rPr>
        <w:sectPr>
          <w:pgSz w:w="11906" w:h="16838"/>
          <w:pgMar w:top="1134" w:right="1134" w:bottom="1134" w:left="1134" w:header="851" w:footer="992" w:gutter="0"/>
          <w:pgNumType w:fmt="decimal"/>
          <w:cols w:space="425" w:num="1"/>
          <w:docGrid w:type="lines" w:linePitch="312" w:charSpace="0"/>
        </w:sectPr>
      </w:pPr>
    </w:p>
    <w:p w14:paraId="0CA2F9D7">
      <w:pPr>
        <w:pStyle w:val="3"/>
        <w:jc w:val="center"/>
        <w:rPr>
          <w:color w:val="auto"/>
          <w:highlight w:val="none"/>
        </w:rPr>
      </w:pPr>
      <w:bookmarkStart w:id="18" w:name="_Toc4822"/>
      <w:r>
        <w:rPr>
          <w:rFonts w:hint="eastAsia"/>
          <w:color w:val="auto"/>
          <w:highlight w:val="none"/>
        </w:rPr>
        <w:t>第二</w:t>
      </w:r>
      <w:r>
        <w:rPr>
          <w:rFonts w:hint="eastAsia"/>
          <w:color w:val="auto"/>
          <w:spacing w:val="120"/>
          <w:highlight w:val="none"/>
        </w:rPr>
        <w:t>节</w:t>
      </w:r>
      <w:r>
        <w:rPr>
          <w:rFonts w:hint="eastAsia"/>
          <w:color w:val="auto"/>
          <w:highlight w:val="none"/>
        </w:rPr>
        <w:t>资格证明文件格式</w:t>
      </w:r>
      <w:bookmarkEnd w:id="18"/>
    </w:p>
    <w:p w14:paraId="725F0792">
      <w:pPr>
        <w:spacing w:line="360" w:lineRule="auto"/>
        <w:ind w:firstLine="640" w:firstLineChars="200"/>
        <w:jc w:val="right"/>
        <w:rPr>
          <w:rFonts w:ascii="宋体" w:hAnsi="宋体" w:eastAsia="宋体"/>
          <w:color w:val="auto"/>
          <w:sz w:val="32"/>
          <w:szCs w:val="32"/>
          <w:highlight w:val="none"/>
        </w:rPr>
      </w:pPr>
      <w:r>
        <w:rPr>
          <w:rFonts w:hint="eastAsia" w:ascii="宋体" w:hAnsi="宋体" w:eastAsia="宋体"/>
          <w:color w:val="auto"/>
          <w:sz w:val="32"/>
          <w:szCs w:val="32"/>
          <w:highlight w:val="none"/>
        </w:rPr>
        <w:t>全流程电子文件</w:t>
      </w:r>
    </w:p>
    <w:p w14:paraId="12F61A17">
      <w:pPr>
        <w:spacing w:line="360" w:lineRule="auto"/>
        <w:ind w:firstLine="420" w:firstLineChars="200"/>
        <w:rPr>
          <w:rFonts w:ascii="宋体" w:hAnsi="宋体" w:eastAsia="宋体"/>
          <w:color w:val="auto"/>
          <w:szCs w:val="21"/>
          <w:highlight w:val="none"/>
        </w:rPr>
      </w:pPr>
    </w:p>
    <w:p w14:paraId="5754DB8E">
      <w:pPr>
        <w:spacing w:line="360" w:lineRule="auto"/>
        <w:ind w:firstLine="420" w:firstLineChars="200"/>
        <w:rPr>
          <w:rFonts w:ascii="宋体" w:hAnsi="宋体" w:eastAsia="宋体"/>
          <w:color w:val="auto"/>
          <w:szCs w:val="21"/>
          <w:highlight w:val="none"/>
        </w:rPr>
      </w:pPr>
    </w:p>
    <w:p w14:paraId="7D2B517B">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资格证明文件（封面）</w:t>
      </w:r>
    </w:p>
    <w:p w14:paraId="73962E02">
      <w:pPr>
        <w:spacing w:line="360" w:lineRule="auto"/>
        <w:ind w:firstLine="420" w:firstLineChars="200"/>
        <w:rPr>
          <w:rFonts w:ascii="宋体" w:hAnsi="宋体" w:eastAsia="宋体"/>
          <w:color w:val="auto"/>
          <w:szCs w:val="21"/>
          <w:highlight w:val="none"/>
        </w:rPr>
      </w:pPr>
    </w:p>
    <w:p w14:paraId="42C20A4B">
      <w:pPr>
        <w:spacing w:line="360" w:lineRule="auto"/>
        <w:ind w:firstLine="420" w:firstLineChars="200"/>
        <w:rPr>
          <w:rFonts w:ascii="宋体" w:hAnsi="宋体" w:eastAsia="宋体"/>
          <w:color w:val="auto"/>
          <w:szCs w:val="21"/>
          <w:highlight w:val="none"/>
        </w:rPr>
      </w:pPr>
    </w:p>
    <w:p w14:paraId="76CFE69D">
      <w:pPr>
        <w:spacing w:line="360" w:lineRule="auto"/>
        <w:ind w:firstLine="420" w:firstLineChars="200"/>
        <w:rPr>
          <w:rFonts w:ascii="宋体" w:hAnsi="宋体" w:eastAsia="宋体"/>
          <w:color w:val="auto"/>
          <w:szCs w:val="21"/>
          <w:highlight w:val="none"/>
        </w:rPr>
      </w:pPr>
    </w:p>
    <w:p w14:paraId="3F17C28B">
      <w:pPr>
        <w:spacing w:line="360" w:lineRule="auto"/>
        <w:ind w:firstLine="420" w:firstLineChars="200"/>
        <w:rPr>
          <w:rFonts w:ascii="宋体" w:hAnsi="宋体" w:eastAsia="宋体"/>
          <w:color w:val="auto"/>
          <w:szCs w:val="21"/>
          <w:highlight w:val="none"/>
        </w:rPr>
      </w:pPr>
    </w:p>
    <w:p w14:paraId="791F8D94">
      <w:pPr>
        <w:spacing w:line="360" w:lineRule="auto"/>
        <w:ind w:firstLine="420" w:firstLineChars="200"/>
        <w:rPr>
          <w:rFonts w:ascii="宋体" w:hAnsi="宋体" w:eastAsia="宋体"/>
          <w:color w:val="auto"/>
          <w:szCs w:val="21"/>
          <w:highlight w:val="none"/>
        </w:rPr>
      </w:pPr>
    </w:p>
    <w:p w14:paraId="1A8C1A8E">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项目名称：[项目采购-项目名称_3]</w:t>
      </w:r>
    </w:p>
    <w:p w14:paraId="3DD7A6FC">
      <w:pPr>
        <w:spacing w:line="360" w:lineRule="auto"/>
        <w:ind w:firstLine="420" w:firstLineChars="200"/>
        <w:rPr>
          <w:rFonts w:ascii="宋体" w:hAnsi="宋体" w:eastAsia="宋体"/>
          <w:color w:val="auto"/>
          <w:szCs w:val="21"/>
          <w:highlight w:val="none"/>
        </w:rPr>
      </w:pPr>
    </w:p>
    <w:p w14:paraId="7C9BE660">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项目编号：[项目采购-项目编号_5]</w:t>
      </w:r>
    </w:p>
    <w:p w14:paraId="29D6531C">
      <w:pPr>
        <w:spacing w:line="360" w:lineRule="auto"/>
        <w:ind w:firstLine="420" w:firstLineChars="200"/>
        <w:rPr>
          <w:rFonts w:ascii="宋体" w:hAnsi="宋体" w:eastAsia="宋体"/>
          <w:color w:val="auto"/>
          <w:szCs w:val="21"/>
          <w:highlight w:val="none"/>
        </w:rPr>
      </w:pPr>
    </w:p>
    <w:p w14:paraId="41A91C6D">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35F3DEC3">
      <w:pPr>
        <w:spacing w:line="360" w:lineRule="auto"/>
        <w:ind w:firstLine="420" w:firstLineChars="200"/>
        <w:rPr>
          <w:rFonts w:ascii="宋体" w:hAnsi="宋体" w:eastAsia="宋体"/>
          <w:color w:val="auto"/>
          <w:szCs w:val="21"/>
          <w:highlight w:val="none"/>
        </w:rPr>
      </w:pPr>
    </w:p>
    <w:p w14:paraId="6E168CE3">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447C0A1E">
      <w:pPr>
        <w:spacing w:line="360" w:lineRule="auto"/>
        <w:ind w:firstLine="640" w:firstLineChars="200"/>
        <w:rPr>
          <w:rFonts w:ascii="宋体" w:hAnsi="宋体" w:eastAsia="宋体"/>
          <w:color w:val="auto"/>
          <w:sz w:val="32"/>
          <w:szCs w:val="32"/>
          <w:highlight w:val="none"/>
        </w:rPr>
      </w:pPr>
    </w:p>
    <w:p w14:paraId="53840986">
      <w:pPr>
        <w:spacing w:line="360" w:lineRule="auto"/>
        <w:ind w:firstLine="420" w:firstLineChars="200"/>
        <w:rPr>
          <w:rFonts w:ascii="宋体" w:hAnsi="宋体" w:eastAsia="宋体"/>
          <w:color w:val="auto"/>
          <w:szCs w:val="21"/>
          <w:highlight w:val="none"/>
        </w:rPr>
      </w:pPr>
    </w:p>
    <w:p w14:paraId="3C76D323">
      <w:pPr>
        <w:spacing w:line="360" w:lineRule="auto"/>
        <w:ind w:firstLine="420" w:firstLineChars="200"/>
        <w:rPr>
          <w:rFonts w:ascii="宋体" w:hAnsi="宋体" w:eastAsia="宋体"/>
          <w:color w:val="auto"/>
          <w:szCs w:val="21"/>
          <w:highlight w:val="none"/>
        </w:rPr>
      </w:pPr>
    </w:p>
    <w:p w14:paraId="5D43EAE8">
      <w:pPr>
        <w:spacing w:line="360" w:lineRule="auto"/>
        <w:ind w:firstLine="420" w:firstLineChars="200"/>
        <w:rPr>
          <w:rFonts w:ascii="宋体" w:hAnsi="宋体" w:eastAsia="宋体"/>
          <w:color w:val="auto"/>
          <w:szCs w:val="21"/>
          <w:highlight w:val="none"/>
        </w:rPr>
      </w:pPr>
    </w:p>
    <w:p w14:paraId="47FF6875">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日</w:t>
      </w:r>
    </w:p>
    <w:p w14:paraId="57A2DC53">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4E1AF174">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资格证明文件目录</w:t>
      </w:r>
    </w:p>
    <w:p w14:paraId="79403A1B">
      <w:pPr>
        <w:spacing w:line="360" w:lineRule="auto"/>
        <w:ind w:firstLine="420" w:firstLineChars="200"/>
        <w:rPr>
          <w:rFonts w:ascii="宋体" w:hAnsi="宋体" w:eastAsia="宋体"/>
          <w:color w:val="auto"/>
          <w:szCs w:val="21"/>
          <w:highlight w:val="none"/>
        </w:rPr>
      </w:pPr>
    </w:p>
    <w:p w14:paraId="11DAAD3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一、营业执照（或事业法人登记证或其他工商等登记证明材料）复印件（供应商为自然人的，须提供自然人的身份证明）………………………………………………………………………………………………（页码）</w:t>
      </w:r>
    </w:p>
    <w:p w14:paraId="5ACBB94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二、符合参与政府采购活动的资格条件依法缴纳税收、社会保障资金等方面的材料………………………………………………………………………………………………………………（页码）</w:t>
      </w:r>
    </w:p>
    <w:p w14:paraId="3C30E537">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三、财务状况报告方面的材料………………………………………………………………………………（页码）</w:t>
      </w:r>
    </w:p>
    <w:p w14:paraId="6C47B1C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四、供应商直接控股股东信息………………………………………………………………………………（页码）</w:t>
      </w:r>
    </w:p>
    <w:p w14:paraId="388B5197">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五、供应商直接管理关系信息表……………………………………………………………………………（页码）</w:t>
      </w:r>
    </w:p>
    <w:p w14:paraId="33DF84A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六、资格声明函………………………………………………………………………………………………（页码）</w:t>
      </w:r>
    </w:p>
    <w:p w14:paraId="5DF74E3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七、联合体协议书（以联合体形式响应的，提供联合体协议；本项目不接受联合体响应或者供应商不以联合体形式响应的，则不需要提供）…………………………………………………………………………（页码）</w:t>
      </w:r>
    </w:p>
    <w:p w14:paraId="4BA14197">
      <w:pPr>
        <w:spacing w:line="360" w:lineRule="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八、中小企业声明函</w:t>
      </w:r>
      <w:r>
        <w:rPr>
          <w:rFonts w:hint="eastAsia" w:ascii="宋体" w:hAnsi="宋体" w:eastAsia="宋体"/>
          <w:color w:val="auto"/>
          <w:szCs w:val="21"/>
          <w:highlight w:val="none"/>
        </w:rPr>
        <w:t>…………………………………………………………………………………………（页码）</w:t>
      </w:r>
    </w:p>
    <w:p w14:paraId="619BC857">
      <w:pPr>
        <w:spacing w:line="360" w:lineRule="auto"/>
        <w:rPr>
          <w:rFonts w:ascii="宋体" w:hAnsi="宋体" w:eastAsia="宋体"/>
          <w:color w:val="auto"/>
          <w:szCs w:val="21"/>
          <w:highlight w:val="none"/>
        </w:rPr>
      </w:pPr>
      <w:r>
        <w:rPr>
          <w:rFonts w:hint="eastAsia" w:ascii="宋体" w:hAnsi="宋体" w:eastAsia="宋体"/>
          <w:color w:val="auto"/>
          <w:szCs w:val="21"/>
          <w:highlight w:val="none"/>
          <w:lang w:val="en-US" w:eastAsia="zh-CN"/>
        </w:rPr>
        <w:t>九</w:t>
      </w:r>
      <w:r>
        <w:rPr>
          <w:rFonts w:hint="eastAsia" w:ascii="宋体" w:hAnsi="宋体" w:eastAsia="宋体"/>
          <w:color w:val="auto"/>
          <w:szCs w:val="21"/>
          <w:highlight w:val="none"/>
        </w:rPr>
        <w:t>、符合特定资格条件（如有）的有关证明材料（复印件）……………………………………………（页码）</w:t>
      </w:r>
    </w:p>
    <w:p w14:paraId="59AE56FA">
      <w:pPr>
        <w:spacing w:line="360" w:lineRule="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十、承诺书</w:t>
      </w:r>
      <w:r>
        <w:rPr>
          <w:rFonts w:hint="eastAsia" w:ascii="宋体" w:hAnsi="宋体" w:eastAsia="宋体"/>
          <w:color w:val="auto"/>
          <w:szCs w:val="21"/>
          <w:highlight w:val="none"/>
        </w:rPr>
        <w:t>…………………………………………………………………………………………………（页码）</w:t>
      </w:r>
    </w:p>
    <w:p w14:paraId="512E0F0C">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注：以上目录是编制供应商响应文件的基本格式要求，各供应商可根据自身情况进一步细化。</w:t>
      </w:r>
    </w:p>
    <w:p w14:paraId="554CEA92">
      <w:pPr>
        <w:spacing w:line="360" w:lineRule="auto"/>
        <w:rPr>
          <w:rFonts w:ascii="宋体" w:hAnsi="宋体" w:eastAsia="宋体"/>
          <w:b/>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5FDE71E3">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一、营业执照（或事业法人登记证或其他工商等登记证明材料）复印件（供应商为自然人的，提供自然人的身份证明）</w:t>
      </w:r>
    </w:p>
    <w:p w14:paraId="41085DB4">
      <w:pPr>
        <w:spacing w:line="360" w:lineRule="auto"/>
        <w:ind w:firstLine="420" w:firstLineChars="200"/>
        <w:rPr>
          <w:rFonts w:ascii="宋体" w:hAnsi="宋体" w:eastAsia="宋体"/>
          <w:color w:val="auto"/>
          <w:szCs w:val="21"/>
          <w:highlight w:val="none"/>
        </w:rPr>
      </w:pPr>
    </w:p>
    <w:p w14:paraId="1836EF89">
      <w:pPr>
        <w:spacing w:line="360" w:lineRule="auto"/>
        <w:ind w:firstLine="420" w:firstLineChars="200"/>
        <w:jc w:val="right"/>
        <w:rPr>
          <w:rFonts w:ascii="宋体" w:hAnsi="宋体" w:eastAsia="宋体"/>
          <w:color w:val="auto"/>
          <w:szCs w:val="21"/>
          <w:highlight w:val="none"/>
        </w:rPr>
      </w:pPr>
    </w:p>
    <w:p w14:paraId="445400C1">
      <w:pPr>
        <w:spacing w:line="360" w:lineRule="auto"/>
        <w:ind w:firstLine="420" w:firstLineChars="200"/>
        <w:rPr>
          <w:rFonts w:ascii="宋体" w:hAnsi="宋体" w:eastAsia="宋体"/>
          <w:color w:val="auto"/>
          <w:szCs w:val="21"/>
          <w:highlight w:val="none"/>
        </w:rPr>
      </w:pPr>
    </w:p>
    <w:p w14:paraId="621F0784">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二、符合参与政府采购活动的资格条件依法缴纳税收、社会保障资金等方面的材料</w:t>
      </w:r>
    </w:p>
    <w:p w14:paraId="5F0BFCE0">
      <w:pPr>
        <w:spacing w:line="360" w:lineRule="auto"/>
        <w:ind w:firstLine="420" w:firstLineChars="200"/>
        <w:rPr>
          <w:rFonts w:ascii="宋体" w:hAnsi="宋体" w:eastAsia="宋体"/>
          <w:color w:val="auto"/>
          <w:szCs w:val="21"/>
          <w:highlight w:val="none"/>
        </w:rPr>
      </w:pPr>
    </w:p>
    <w:p w14:paraId="17B5B6A6">
      <w:pPr>
        <w:spacing w:line="360" w:lineRule="auto"/>
        <w:ind w:firstLine="560" w:firstLineChars="200"/>
        <w:jc w:val="right"/>
        <w:rPr>
          <w:rFonts w:ascii="宋体" w:hAnsi="宋体" w:eastAsia="宋体"/>
          <w:color w:val="auto"/>
          <w:sz w:val="28"/>
          <w:szCs w:val="28"/>
          <w:highlight w:val="none"/>
        </w:rPr>
      </w:pPr>
    </w:p>
    <w:p w14:paraId="2EF5210F">
      <w:pPr>
        <w:spacing w:line="360" w:lineRule="auto"/>
        <w:ind w:firstLine="420" w:firstLineChars="200"/>
        <w:rPr>
          <w:rFonts w:ascii="宋体" w:hAnsi="宋体" w:eastAsia="宋体"/>
          <w:color w:val="auto"/>
          <w:szCs w:val="21"/>
          <w:highlight w:val="none"/>
        </w:rPr>
      </w:pPr>
    </w:p>
    <w:p w14:paraId="61A992C4">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三、财务状况报告方面的材料</w:t>
      </w:r>
    </w:p>
    <w:p w14:paraId="2D75A3F5">
      <w:pPr>
        <w:spacing w:line="360" w:lineRule="auto"/>
        <w:ind w:firstLine="420" w:firstLineChars="200"/>
        <w:rPr>
          <w:rFonts w:ascii="宋体" w:hAnsi="宋体" w:eastAsia="宋体"/>
          <w:color w:val="auto"/>
          <w:szCs w:val="21"/>
          <w:highlight w:val="none"/>
        </w:rPr>
      </w:pPr>
    </w:p>
    <w:p w14:paraId="36D53679">
      <w:pPr>
        <w:spacing w:line="360" w:lineRule="auto"/>
        <w:ind w:firstLine="560" w:firstLineChars="200"/>
        <w:jc w:val="right"/>
        <w:rPr>
          <w:rFonts w:ascii="宋体" w:hAnsi="宋体" w:eastAsia="宋体"/>
          <w:color w:val="auto"/>
          <w:sz w:val="28"/>
          <w:szCs w:val="28"/>
          <w:highlight w:val="none"/>
        </w:rPr>
      </w:pPr>
    </w:p>
    <w:p w14:paraId="2C3B4D51">
      <w:pPr>
        <w:spacing w:line="360" w:lineRule="auto"/>
        <w:ind w:firstLine="420" w:firstLineChars="200"/>
        <w:rPr>
          <w:rFonts w:ascii="宋体" w:hAnsi="宋体" w:eastAsia="宋体"/>
          <w:color w:val="auto"/>
          <w:szCs w:val="21"/>
          <w:highlight w:val="none"/>
        </w:rPr>
      </w:pPr>
    </w:p>
    <w:p w14:paraId="25F59612">
      <w:pPr>
        <w:rPr>
          <w:rFonts w:ascii="宋体" w:hAnsi="宋体" w:eastAsia="宋体"/>
          <w:color w:val="auto"/>
          <w:szCs w:val="21"/>
          <w:highlight w:val="none"/>
        </w:rPr>
      </w:pPr>
      <w:r>
        <w:rPr>
          <w:rFonts w:ascii="宋体" w:hAnsi="宋体" w:eastAsia="宋体"/>
          <w:color w:val="auto"/>
          <w:szCs w:val="21"/>
          <w:highlight w:val="none"/>
        </w:rPr>
        <w:br w:type="page"/>
      </w:r>
    </w:p>
    <w:p w14:paraId="257E4803">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四、供应商直接控股股东信息</w:t>
      </w:r>
    </w:p>
    <w:p w14:paraId="44380C66">
      <w:pPr>
        <w:spacing w:line="360" w:lineRule="auto"/>
        <w:ind w:firstLine="420" w:firstLineChars="200"/>
        <w:rPr>
          <w:rFonts w:ascii="宋体" w:hAnsi="宋体" w:eastAsia="宋体"/>
          <w:color w:val="auto"/>
          <w:szCs w:val="21"/>
          <w:highlight w:val="none"/>
        </w:rPr>
      </w:pPr>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6052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4A3B80DB">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1361" w:type="pct"/>
          </w:tcPr>
          <w:p w14:paraId="68443CC9">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直接控股股东名称</w:t>
            </w:r>
          </w:p>
        </w:tc>
        <w:tc>
          <w:tcPr>
            <w:tcW w:w="736" w:type="pct"/>
          </w:tcPr>
          <w:p w14:paraId="6100E316">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出资比例</w:t>
            </w:r>
          </w:p>
        </w:tc>
        <w:tc>
          <w:tcPr>
            <w:tcW w:w="1989" w:type="pct"/>
          </w:tcPr>
          <w:p w14:paraId="27678BBE">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身份证号码或者统一社会信用代码</w:t>
            </w:r>
          </w:p>
        </w:tc>
        <w:tc>
          <w:tcPr>
            <w:tcW w:w="581" w:type="pct"/>
          </w:tcPr>
          <w:p w14:paraId="13D5450E">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备注</w:t>
            </w:r>
          </w:p>
        </w:tc>
      </w:tr>
      <w:tr w14:paraId="7FF8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75BE29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361" w:type="pct"/>
          </w:tcPr>
          <w:p w14:paraId="024278E4">
            <w:pPr>
              <w:spacing w:line="360" w:lineRule="auto"/>
              <w:jc w:val="center"/>
              <w:rPr>
                <w:rFonts w:ascii="宋体" w:hAnsi="宋体" w:eastAsia="宋体"/>
                <w:color w:val="auto"/>
                <w:szCs w:val="21"/>
                <w:highlight w:val="none"/>
              </w:rPr>
            </w:pPr>
          </w:p>
        </w:tc>
        <w:tc>
          <w:tcPr>
            <w:tcW w:w="736" w:type="pct"/>
          </w:tcPr>
          <w:p w14:paraId="3BEEA52E">
            <w:pPr>
              <w:spacing w:line="360" w:lineRule="auto"/>
              <w:jc w:val="center"/>
              <w:rPr>
                <w:rFonts w:ascii="宋体" w:hAnsi="宋体" w:eastAsia="宋体"/>
                <w:color w:val="auto"/>
                <w:szCs w:val="21"/>
                <w:highlight w:val="none"/>
              </w:rPr>
            </w:pPr>
          </w:p>
        </w:tc>
        <w:tc>
          <w:tcPr>
            <w:tcW w:w="1989" w:type="pct"/>
          </w:tcPr>
          <w:p w14:paraId="1CF9E264">
            <w:pPr>
              <w:spacing w:line="360" w:lineRule="auto"/>
              <w:jc w:val="center"/>
              <w:rPr>
                <w:rFonts w:ascii="宋体" w:hAnsi="宋体" w:eastAsia="宋体"/>
                <w:color w:val="auto"/>
                <w:szCs w:val="21"/>
                <w:highlight w:val="none"/>
              </w:rPr>
            </w:pPr>
          </w:p>
        </w:tc>
        <w:tc>
          <w:tcPr>
            <w:tcW w:w="581" w:type="pct"/>
          </w:tcPr>
          <w:p w14:paraId="460F2F1B">
            <w:pPr>
              <w:spacing w:line="360" w:lineRule="auto"/>
              <w:jc w:val="center"/>
              <w:rPr>
                <w:rFonts w:ascii="宋体" w:hAnsi="宋体" w:eastAsia="宋体"/>
                <w:color w:val="auto"/>
                <w:szCs w:val="21"/>
                <w:highlight w:val="none"/>
              </w:rPr>
            </w:pPr>
          </w:p>
        </w:tc>
      </w:tr>
      <w:tr w14:paraId="040C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5029EED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1361" w:type="pct"/>
          </w:tcPr>
          <w:p w14:paraId="1E4A4BE8">
            <w:pPr>
              <w:spacing w:line="360" w:lineRule="auto"/>
              <w:jc w:val="center"/>
              <w:rPr>
                <w:rFonts w:ascii="宋体" w:hAnsi="宋体" w:eastAsia="宋体"/>
                <w:color w:val="auto"/>
                <w:szCs w:val="21"/>
                <w:highlight w:val="none"/>
              </w:rPr>
            </w:pPr>
          </w:p>
        </w:tc>
        <w:tc>
          <w:tcPr>
            <w:tcW w:w="736" w:type="pct"/>
          </w:tcPr>
          <w:p w14:paraId="40742A12">
            <w:pPr>
              <w:spacing w:line="360" w:lineRule="auto"/>
              <w:jc w:val="center"/>
              <w:rPr>
                <w:rFonts w:ascii="宋体" w:hAnsi="宋体" w:eastAsia="宋体"/>
                <w:color w:val="auto"/>
                <w:szCs w:val="21"/>
                <w:highlight w:val="none"/>
              </w:rPr>
            </w:pPr>
          </w:p>
        </w:tc>
        <w:tc>
          <w:tcPr>
            <w:tcW w:w="1989" w:type="pct"/>
          </w:tcPr>
          <w:p w14:paraId="52023616">
            <w:pPr>
              <w:spacing w:line="360" w:lineRule="auto"/>
              <w:jc w:val="center"/>
              <w:rPr>
                <w:rFonts w:ascii="宋体" w:hAnsi="宋体" w:eastAsia="宋体"/>
                <w:color w:val="auto"/>
                <w:szCs w:val="21"/>
                <w:highlight w:val="none"/>
              </w:rPr>
            </w:pPr>
          </w:p>
        </w:tc>
        <w:tc>
          <w:tcPr>
            <w:tcW w:w="581" w:type="pct"/>
          </w:tcPr>
          <w:p w14:paraId="6ADF9170">
            <w:pPr>
              <w:spacing w:line="360" w:lineRule="auto"/>
              <w:jc w:val="center"/>
              <w:rPr>
                <w:rFonts w:ascii="宋体" w:hAnsi="宋体" w:eastAsia="宋体"/>
                <w:color w:val="auto"/>
                <w:szCs w:val="21"/>
                <w:highlight w:val="none"/>
              </w:rPr>
            </w:pPr>
          </w:p>
        </w:tc>
      </w:tr>
      <w:tr w14:paraId="7BE2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3FA390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1361" w:type="pct"/>
          </w:tcPr>
          <w:p w14:paraId="1CE2D804">
            <w:pPr>
              <w:spacing w:line="360" w:lineRule="auto"/>
              <w:jc w:val="center"/>
              <w:rPr>
                <w:rFonts w:ascii="宋体" w:hAnsi="宋体" w:eastAsia="宋体"/>
                <w:color w:val="auto"/>
                <w:szCs w:val="21"/>
                <w:highlight w:val="none"/>
              </w:rPr>
            </w:pPr>
          </w:p>
        </w:tc>
        <w:tc>
          <w:tcPr>
            <w:tcW w:w="736" w:type="pct"/>
          </w:tcPr>
          <w:p w14:paraId="72BE5175">
            <w:pPr>
              <w:spacing w:line="360" w:lineRule="auto"/>
              <w:jc w:val="center"/>
              <w:rPr>
                <w:rFonts w:ascii="宋体" w:hAnsi="宋体" w:eastAsia="宋体"/>
                <w:color w:val="auto"/>
                <w:szCs w:val="21"/>
                <w:highlight w:val="none"/>
              </w:rPr>
            </w:pPr>
          </w:p>
        </w:tc>
        <w:tc>
          <w:tcPr>
            <w:tcW w:w="1989" w:type="pct"/>
          </w:tcPr>
          <w:p w14:paraId="7A8847E3">
            <w:pPr>
              <w:spacing w:line="360" w:lineRule="auto"/>
              <w:jc w:val="center"/>
              <w:rPr>
                <w:rFonts w:ascii="宋体" w:hAnsi="宋体" w:eastAsia="宋体"/>
                <w:color w:val="auto"/>
                <w:szCs w:val="21"/>
                <w:highlight w:val="none"/>
              </w:rPr>
            </w:pPr>
          </w:p>
        </w:tc>
        <w:tc>
          <w:tcPr>
            <w:tcW w:w="581" w:type="pct"/>
          </w:tcPr>
          <w:p w14:paraId="0689EFA0">
            <w:pPr>
              <w:spacing w:line="360" w:lineRule="auto"/>
              <w:jc w:val="center"/>
              <w:rPr>
                <w:rFonts w:ascii="宋体" w:hAnsi="宋体" w:eastAsia="宋体"/>
                <w:color w:val="auto"/>
                <w:szCs w:val="21"/>
                <w:highlight w:val="none"/>
              </w:rPr>
            </w:pPr>
          </w:p>
        </w:tc>
      </w:tr>
      <w:tr w14:paraId="38B9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3CFB2CB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361" w:type="pct"/>
          </w:tcPr>
          <w:p w14:paraId="57E444CB">
            <w:pPr>
              <w:spacing w:line="360" w:lineRule="auto"/>
              <w:jc w:val="center"/>
              <w:rPr>
                <w:rFonts w:ascii="宋体" w:hAnsi="宋体" w:eastAsia="宋体"/>
                <w:color w:val="auto"/>
                <w:szCs w:val="21"/>
                <w:highlight w:val="none"/>
              </w:rPr>
            </w:pPr>
          </w:p>
        </w:tc>
        <w:tc>
          <w:tcPr>
            <w:tcW w:w="736" w:type="pct"/>
          </w:tcPr>
          <w:p w14:paraId="131AB059">
            <w:pPr>
              <w:spacing w:line="360" w:lineRule="auto"/>
              <w:jc w:val="center"/>
              <w:rPr>
                <w:rFonts w:ascii="宋体" w:hAnsi="宋体" w:eastAsia="宋体"/>
                <w:color w:val="auto"/>
                <w:szCs w:val="21"/>
                <w:highlight w:val="none"/>
              </w:rPr>
            </w:pPr>
          </w:p>
        </w:tc>
        <w:tc>
          <w:tcPr>
            <w:tcW w:w="1989" w:type="pct"/>
          </w:tcPr>
          <w:p w14:paraId="41D851FF">
            <w:pPr>
              <w:spacing w:line="360" w:lineRule="auto"/>
              <w:jc w:val="center"/>
              <w:rPr>
                <w:rFonts w:ascii="宋体" w:hAnsi="宋体" w:eastAsia="宋体"/>
                <w:color w:val="auto"/>
                <w:szCs w:val="21"/>
                <w:highlight w:val="none"/>
              </w:rPr>
            </w:pPr>
          </w:p>
        </w:tc>
        <w:tc>
          <w:tcPr>
            <w:tcW w:w="581" w:type="pct"/>
          </w:tcPr>
          <w:p w14:paraId="7DEC9E16">
            <w:pPr>
              <w:spacing w:line="360" w:lineRule="auto"/>
              <w:jc w:val="center"/>
              <w:rPr>
                <w:rFonts w:ascii="宋体" w:hAnsi="宋体" w:eastAsia="宋体"/>
                <w:color w:val="auto"/>
                <w:szCs w:val="21"/>
                <w:highlight w:val="none"/>
              </w:rPr>
            </w:pPr>
          </w:p>
        </w:tc>
      </w:tr>
    </w:tbl>
    <w:p w14:paraId="2777A6D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504239A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A9D34C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2.本表所指的控股关系仅限于直接控股关系，不包括间接的控股关系。公司实际控制人与公司之间的关系不属于本表所指的直接控股关系。</w:t>
      </w:r>
    </w:p>
    <w:p w14:paraId="6C239FA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3.供应商不存在直接控股股东的，则填“无”。</w:t>
      </w:r>
    </w:p>
    <w:p w14:paraId="10A5C308">
      <w:pPr>
        <w:spacing w:line="360" w:lineRule="auto"/>
        <w:ind w:firstLine="420" w:firstLineChars="200"/>
        <w:rPr>
          <w:rFonts w:ascii="宋体" w:hAnsi="宋体" w:eastAsia="宋体"/>
          <w:color w:val="auto"/>
          <w:szCs w:val="21"/>
          <w:highlight w:val="none"/>
        </w:rPr>
      </w:pPr>
    </w:p>
    <w:p w14:paraId="137D98A6">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6BB5BD41">
      <w:pPr>
        <w:spacing w:line="360" w:lineRule="auto"/>
        <w:ind w:firstLine="420" w:firstLineChars="200"/>
        <w:jc w:val="right"/>
        <w:rPr>
          <w:rFonts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5845259B">
      <w:pPr>
        <w:spacing w:line="360" w:lineRule="auto"/>
        <w:ind w:firstLine="643" w:firstLineChars="200"/>
        <w:rPr>
          <w:rFonts w:hint="eastAsia" w:ascii="宋体" w:hAnsi="宋体" w:eastAsia="宋体"/>
          <w:b/>
          <w:color w:val="auto"/>
          <w:sz w:val="32"/>
          <w:szCs w:val="32"/>
          <w:highlight w:val="none"/>
        </w:rPr>
      </w:pPr>
    </w:p>
    <w:p w14:paraId="68D15827">
      <w:pPr>
        <w:spacing w:line="360" w:lineRule="auto"/>
        <w:ind w:firstLine="643" w:firstLineChars="200"/>
        <w:rPr>
          <w:rFonts w:hint="eastAsia" w:ascii="宋体" w:hAnsi="宋体" w:eastAsia="宋体"/>
          <w:b/>
          <w:color w:val="auto"/>
          <w:sz w:val="32"/>
          <w:szCs w:val="32"/>
          <w:highlight w:val="none"/>
        </w:rPr>
      </w:pPr>
    </w:p>
    <w:p w14:paraId="49AB9BF7">
      <w:pPr>
        <w:spacing w:line="360" w:lineRule="auto"/>
        <w:ind w:firstLine="643" w:firstLineChars="200"/>
        <w:rPr>
          <w:rFonts w:hint="eastAsia" w:ascii="宋体" w:hAnsi="宋体" w:eastAsia="宋体"/>
          <w:b/>
          <w:color w:val="auto"/>
          <w:sz w:val="32"/>
          <w:szCs w:val="32"/>
          <w:highlight w:val="none"/>
        </w:rPr>
      </w:pPr>
    </w:p>
    <w:p w14:paraId="36C1E489">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五、供应商直接管理关系信息表</w:t>
      </w:r>
    </w:p>
    <w:p w14:paraId="3361B78B">
      <w:pPr>
        <w:spacing w:line="360" w:lineRule="auto"/>
        <w:ind w:firstLine="420" w:firstLineChars="200"/>
        <w:rPr>
          <w:rFonts w:ascii="宋体" w:hAnsi="宋体" w:eastAsia="宋体"/>
          <w:color w:val="auto"/>
          <w:szCs w:val="21"/>
          <w:highlight w:val="none"/>
        </w:rPr>
      </w:pPr>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2E27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2C04203">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1250" w:type="pct"/>
          </w:tcPr>
          <w:p w14:paraId="5C70D8B9">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直接管理关系单位名称</w:t>
            </w:r>
          </w:p>
        </w:tc>
        <w:tc>
          <w:tcPr>
            <w:tcW w:w="1250" w:type="pct"/>
          </w:tcPr>
          <w:p w14:paraId="1DEA724A">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统一社会信用代码</w:t>
            </w:r>
          </w:p>
        </w:tc>
        <w:tc>
          <w:tcPr>
            <w:tcW w:w="1250" w:type="pct"/>
          </w:tcPr>
          <w:p w14:paraId="325FD057">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备注</w:t>
            </w:r>
          </w:p>
        </w:tc>
      </w:tr>
      <w:tr w14:paraId="4638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F0D21B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250" w:type="pct"/>
          </w:tcPr>
          <w:p w14:paraId="64156913">
            <w:pPr>
              <w:spacing w:line="360" w:lineRule="auto"/>
              <w:jc w:val="center"/>
              <w:rPr>
                <w:rFonts w:ascii="宋体" w:hAnsi="宋体" w:eastAsia="宋体"/>
                <w:color w:val="auto"/>
                <w:szCs w:val="21"/>
                <w:highlight w:val="none"/>
              </w:rPr>
            </w:pPr>
          </w:p>
        </w:tc>
        <w:tc>
          <w:tcPr>
            <w:tcW w:w="1250" w:type="pct"/>
          </w:tcPr>
          <w:p w14:paraId="0256D3F3">
            <w:pPr>
              <w:spacing w:line="360" w:lineRule="auto"/>
              <w:jc w:val="center"/>
              <w:rPr>
                <w:rFonts w:ascii="宋体" w:hAnsi="宋体" w:eastAsia="宋体"/>
                <w:color w:val="auto"/>
                <w:szCs w:val="21"/>
                <w:highlight w:val="none"/>
              </w:rPr>
            </w:pPr>
          </w:p>
        </w:tc>
        <w:tc>
          <w:tcPr>
            <w:tcW w:w="1250" w:type="pct"/>
          </w:tcPr>
          <w:p w14:paraId="70CD9A60">
            <w:pPr>
              <w:spacing w:line="360" w:lineRule="auto"/>
              <w:jc w:val="center"/>
              <w:rPr>
                <w:rFonts w:ascii="宋体" w:hAnsi="宋体" w:eastAsia="宋体"/>
                <w:color w:val="auto"/>
                <w:szCs w:val="21"/>
                <w:highlight w:val="none"/>
              </w:rPr>
            </w:pPr>
          </w:p>
        </w:tc>
      </w:tr>
      <w:tr w14:paraId="6FB5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13043A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1250" w:type="pct"/>
          </w:tcPr>
          <w:p w14:paraId="64949BE9">
            <w:pPr>
              <w:spacing w:line="360" w:lineRule="auto"/>
              <w:jc w:val="center"/>
              <w:rPr>
                <w:rFonts w:ascii="宋体" w:hAnsi="宋体" w:eastAsia="宋体"/>
                <w:color w:val="auto"/>
                <w:szCs w:val="21"/>
                <w:highlight w:val="none"/>
              </w:rPr>
            </w:pPr>
          </w:p>
        </w:tc>
        <w:tc>
          <w:tcPr>
            <w:tcW w:w="1250" w:type="pct"/>
          </w:tcPr>
          <w:p w14:paraId="3631EDED">
            <w:pPr>
              <w:spacing w:line="360" w:lineRule="auto"/>
              <w:jc w:val="center"/>
              <w:rPr>
                <w:rFonts w:ascii="宋体" w:hAnsi="宋体" w:eastAsia="宋体"/>
                <w:color w:val="auto"/>
                <w:szCs w:val="21"/>
                <w:highlight w:val="none"/>
              </w:rPr>
            </w:pPr>
          </w:p>
        </w:tc>
        <w:tc>
          <w:tcPr>
            <w:tcW w:w="1250" w:type="pct"/>
          </w:tcPr>
          <w:p w14:paraId="0B65BCF1">
            <w:pPr>
              <w:spacing w:line="360" w:lineRule="auto"/>
              <w:jc w:val="center"/>
              <w:rPr>
                <w:rFonts w:ascii="宋体" w:hAnsi="宋体" w:eastAsia="宋体"/>
                <w:color w:val="auto"/>
                <w:szCs w:val="21"/>
                <w:highlight w:val="none"/>
              </w:rPr>
            </w:pPr>
          </w:p>
        </w:tc>
      </w:tr>
      <w:tr w14:paraId="7D78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92EEAC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1250" w:type="pct"/>
          </w:tcPr>
          <w:p w14:paraId="13933F31">
            <w:pPr>
              <w:spacing w:line="360" w:lineRule="auto"/>
              <w:jc w:val="center"/>
              <w:rPr>
                <w:rFonts w:ascii="宋体" w:hAnsi="宋体" w:eastAsia="宋体"/>
                <w:color w:val="auto"/>
                <w:szCs w:val="21"/>
                <w:highlight w:val="none"/>
              </w:rPr>
            </w:pPr>
          </w:p>
        </w:tc>
        <w:tc>
          <w:tcPr>
            <w:tcW w:w="1250" w:type="pct"/>
          </w:tcPr>
          <w:p w14:paraId="779D9F5C">
            <w:pPr>
              <w:spacing w:line="360" w:lineRule="auto"/>
              <w:jc w:val="center"/>
              <w:rPr>
                <w:rFonts w:ascii="宋体" w:hAnsi="宋体" w:eastAsia="宋体"/>
                <w:color w:val="auto"/>
                <w:szCs w:val="21"/>
                <w:highlight w:val="none"/>
              </w:rPr>
            </w:pPr>
          </w:p>
        </w:tc>
        <w:tc>
          <w:tcPr>
            <w:tcW w:w="1250" w:type="pct"/>
          </w:tcPr>
          <w:p w14:paraId="0DD095A5">
            <w:pPr>
              <w:spacing w:line="360" w:lineRule="auto"/>
              <w:jc w:val="center"/>
              <w:rPr>
                <w:rFonts w:ascii="宋体" w:hAnsi="宋体" w:eastAsia="宋体"/>
                <w:color w:val="auto"/>
                <w:szCs w:val="21"/>
                <w:highlight w:val="none"/>
              </w:rPr>
            </w:pPr>
          </w:p>
        </w:tc>
      </w:tr>
      <w:tr w14:paraId="05A6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1E50C5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250" w:type="pct"/>
          </w:tcPr>
          <w:p w14:paraId="4A0E34DB">
            <w:pPr>
              <w:spacing w:line="360" w:lineRule="auto"/>
              <w:jc w:val="center"/>
              <w:rPr>
                <w:rFonts w:ascii="宋体" w:hAnsi="宋体" w:eastAsia="宋体"/>
                <w:color w:val="auto"/>
                <w:szCs w:val="21"/>
                <w:highlight w:val="none"/>
              </w:rPr>
            </w:pPr>
          </w:p>
        </w:tc>
        <w:tc>
          <w:tcPr>
            <w:tcW w:w="1250" w:type="pct"/>
          </w:tcPr>
          <w:p w14:paraId="7027E0C5">
            <w:pPr>
              <w:spacing w:line="360" w:lineRule="auto"/>
              <w:jc w:val="center"/>
              <w:rPr>
                <w:rFonts w:ascii="宋体" w:hAnsi="宋体" w:eastAsia="宋体"/>
                <w:color w:val="auto"/>
                <w:szCs w:val="21"/>
                <w:highlight w:val="none"/>
              </w:rPr>
            </w:pPr>
          </w:p>
        </w:tc>
        <w:tc>
          <w:tcPr>
            <w:tcW w:w="1250" w:type="pct"/>
          </w:tcPr>
          <w:p w14:paraId="05E11528">
            <w:pPr>
              <w:spacing w:line="360" w:lineRule="auto"/>
              <w:jc w:val="center"/>
              <w:rPr>
                <w:rFonts w:ascii="宋体" w:hAnsi="宋体" w:eastAsia="宋体"/>
                <w:color w:val="auto"/>
                <w:szCs w:val="21"/>
                <w:highlight w:val="none"/>
              </w:rPr>
            </w:pPr>
          </w:p>
        </w:tc>
      </w:tr>
    </w:tbl>
    <w:p w14:paraId="2857B08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37C7FB6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1.管理关系：是指不具有出资持股关系的其他单位之间存在的管理与被管理关系，如一些上下级关系的事业单位和团体组织。</w:t>
      </w:r>
    </w:p>
    <w:p w14:paraId="7496F5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2.本表所指的管理关系仅限于直接管理关系，不包括间接的管理关系。</w:t>
      </w:r>
    </w:p>
    <w:p w14:paraId="0203CA1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3.供应商不存在直接管理关系的，则填“无”。</w:t>
      </w:r>
    </w:p>
    <w:p w14:paraId="41150540">
      <w:pPr>
        <w:spacing w:line="360" w:lineRule="auto"/>
        <w:ind w:firstLine="420" w:firstLineChars="200"/>
        <w:rPr>
          <w:rFonts w:ascii="宋体" w:hAnsi="宋体" w:eastAsia="宋体"/>
          <w:color w:val="auto"/>
          <w:szCs w:val="21"/>
          <w:highlight w:val="none"/>
        </w:rPr>
      </w:pPr>
    </w:p>
    <w:p w14:paraId="06E914EA">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EBBD100">
      <w:pPr>
        <w:spacing w:line="360" w:lineRule="auto"/>
        <w:ind w:firstLine="420" w:firstLineChars="200"/>
        <w:jc w:val="right"/>
        <w:rPr>
          <w:rFonts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30CB439B">
      <w:pPr>
        <w:spacing w:line="360" w:lineRule="auto"/>
        <w:ind w:firstLine="560" w:firstLineChars="200"/>
        <w:jc w:val="right"/>
        <w:rPr>
          <w:rFonts w:ascii="宋体" w:hAnsi="宋体" w:eastAsia="宋体"/>
          <w:color w:val="auto"/>
          <w:sz w:val="28"/>
          <w:szCs w:val="28"/>
          <w:highlight w:val="none"/>
        </w:rPr>
        <w:sectPr>
          <w:pgSz w:w="11906" w:h="16838"/>
          <w:pgMar w:top="1134" w:right="1134" w:bottom="1134" w:left="1134" w:header="851" w:footer="992" w:gutter="0"/>
          <w:pgNumType w:fmt="decimal"/>
          <w:cols w:space="425" w:num="1"/>
          <w:docGrid w:type="lines" w:linePitch="312" w:charSpace="0"/>
        </w:sectPr>
      </w:pPr>
    </w:p>
    <w:p w14:paraId="5D52FAAC">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六、资格声明函</w:t>
      </w:r>
    </w:p>
    <w:p w14:paraId="3C97F0CB">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资格声明函</w:t>
      </w:r>
    </w:p>
    <w:p w14:paraId="7CD7F824">
      <w:pPr>
        <w:spacing w:line="360" w:lineRule="auto"/>
        <w:ind w:firstLine="420" w:firstLineChars="200"/>
        <w:rPr>
          <w:rFonts w:ascii="宋体" w:hAnsi="宋体" w:eastAsia="宋体"/>
          <w:color w:val="auto"/>
          <w:szCs w:val="21"/>
          <w:highlight w:val="none"/>
        </w:rPr>
      </w:pPr>
    </w:p>
    <w:p w14:paraId="02E65A1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[项目采购-采购组织机构_6]</w:t>
      </w:r>
      <w:r>
        <w:rPr>
          <w:rFonts w:hint="eastAsia" w:ascii="宋体" w:hAnsi="宋体" w:eastAsia="宋体"/>
          <w:color w:val="auto"/>
          <w:szCs w:val="21"/>
          <w:highlight w:val="none"/>
        </w:rPr>
        <w:t>：</w:t>
      </w:r>
    </w:p>
    <w:p w14:paraId="020B2E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系中华人民共和国合法供应商，经营地址</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w:t>
      </w:r>
    </w:p>
    <w:p w14:paraId="35EE557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我方愿意参加贵方组织的</w:t>
      </w:r>
      <w:r>
        <w:rPr>
          <w:rFonts w:hint="eastAsia" w:ascii="宋体" w:hAnsi="宋体" w:eastAsia="宋体"/>
          <w:color w:val="auto"/>
          <w:szCs w:val="21"/>
          <w:highlight w:val="none"/>
          <w:u w:val="single"/>
        </w:rPr>
        <w:t>[项目采购-项目名称_4]）</w:t>
      </w:r>
      <w:r>
        <w:rPr>
          <w:rFonts w:hint="eastAsia" w:ascii="宋体" w:hAnsi="宋体" w:eastAsia="宋体"/>
          <w:color w:val="auto"/>
          <w:szCs w:val="21"/>
          <w:highlight w:val="none"/>
        </w:rPr>
        <w:t>项目的竞标，为便于贵方公正、择优地确定成交供应商及其竞标产品和服务，我方就本次竞标有关事项郑重声明如下：</w:t>
      </w:r>
    </w:p>
    <w:p w14:paraId="720248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1.我方向贵方提交的所有响应文件、资料都是准确的和真实的。</w:t>
      </w:r>
    </w:p>
    <w:p w14:paraId="3F4BEE4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7B9E6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3.在此，我方宣布同意如下：</w:t>
      </w:r>
    </w:p>
    <w:p w14:paraId="6055ED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（1）将按磋商文件的约定履行合同责任和义务；</w:t>
      </w:r>
    </w:p>
    <w:p w14:paraId="19DA66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（2）已详细审查全部磋商文件，包括澄清或者更正公告（如有）；</w:t>
      </w:r>
    </w:p>
    <w:p w14:paraId="738B5A6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（3）同意提供按照贵方可能要求的与磋商有关的一切数据或者资料；</w:t>
      </w:r>
    </w:p>
    <w:p w14:paraId="650CA2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（4）响应磋商文件规定的竞标有效期。</w:t>
      </w:r>
    </w:p>
    <w:p w14:paraId="3AD6FAD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C2DEB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54AAA2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9D513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□我方本次响应文件内容中未涉及商业秘密；</w:t>
      </w:r>
    </w:p>
    <w:p w14:paraId="2E56C5C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□我方本次响应文件涉及商业秘密的内容有：</w:t>
      </w:r>
      <w:r>
        <w:rPr>
          <w:rFonts w:ascii="Times New Roman" w:hAnsi="Times New Roman" w:eastAsia="宋体" w:cs="Times New Roman"/>
          <w:color w:val="auto"/>
          <w:szCs w:val="21"/>
          <w:highlight w:val="none"/>
        </w:rPr>
        <w:t>________________________________________________</w:t>
      </w:r>
      <w:r>
        <w:rPr>
          <w:rFonts w:hint="eastAsia" w:ascii="宋体" w:hAnsi="宋体" w:eastAsia="宋体"/>
          <w:color w:val="auto"/>
          <w:szCs w:val="21"/>
          <w:highlight w:val="none"/>
        </w:rPr>
        <w:t>；</w:t>
      </w:r>
    </w:p>
    <w:p w14:paraId="130B790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7.与本磋商有关的一切正式往来信函请寄：</w:t>
      </w: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邮政编号：</w:t>
      </w:r>
      <w:r>
        <w:rPr>
          <w:rFonts w:ascii="Times New Roman" w:hAnsi="Times New Roman" w:eastAsia="宋体" w:cs="Times New Roman"/>
          <w:color w:val="auto"/>
          <w:szCs w:val="21"/>
          <w:highlight w:val="none"/>
        </w:rPr>
        <w:t>_____________________</w:t>
      </w:r>
    </w:p>
    <w:p w14:paraId="759F1E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电话/传真：</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电子函件：</w:t>
      </w:r>
      <w:r>
        <w:rPr>
          <w:rFonts w:ascii="Times New Roman" w:hAnsi="Times New Roman" w:eastAsia="宋体" w:cs="Times New Roman"/>
          <w:color w:val="auto"/>
          <w:szCs w:val="21"/>
          <w:highlight w:val="none"/>
        </w:rPr>
        <w:t>__________________________________</w:t>
      </w:r>
    </w:p>
    <w:p w14:paraId="38CBD64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开户银行：</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帐号：</w:t>
      </w:r>
      <w:r>
        <w:rPr>
          <w:rFonts w:ascii="Times New Roman" w:hAnsi="Times New Roman" w:eastAsia="宋体" w:cs="Times New Roman"/>
          <w:color w:val="auto"/>
          <w:szCs w:val="21"/>
          <w:highlight w:val="none"/>
        </w:rPr>
        <w:t>______________________________________</w:t>
      </w:r>
    </w:p>
    <w:p w14:paraId="656D2C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8.以上事项如有虚假或者隐瞒，我方愿意承担一切后果，并不再寻求任何旨在减轻或者免除法律责任的辩解。</w:t>
      </w:r>
    </w:p>
    <w:p w14:paraId="51B7D1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特此承诺。</w:t>
      </w:r>
    </w:p>
    <w:p w14:paraId="37BACF9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注：如为联合体竞标，盖章处须加盖联合体各方公章并由联合体各方法定代表人签署，否则其响应文件按无效响应处理。</w:t>
      </w:r>
    </w:p>
    <w:p w14:paraId="0152A248">
      <w:pPr>
        <w:spacing w:line="360" w:lineRule="auto"/>
        <w:ind w:firstLine="420" w:firstLineChars="200"/>
        <w:rPr>
          <w:rFonts w:ascii="宋体" w:hAnsi="宋体" w:eastAsia="宋体"/>
          <w:color w:val="auto"/>
          <w:szCs w:val="21"/>
          <w:highlight w:val="none"/>
        </w:rPr>
      </w:pPr>
    </w:p>
    <w:p w14:paraId="7CDCB41A">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27AE8F5A">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2F67FB33">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992" w:gutter="0"/>
          <w:pgNumType w:fmt="decimal"/>
          <w:cols w:space="425" w:num="1"/>
          <w:docGrid w:type="lines" w:linePitch="312" w:charSpace="0"/>
        </w:sectPr>
      </w:pPr>
    </w:p>
    <w:p w14:paraId="13F3B7E4">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七、联合体协议书（如有）</w:t>
      </w:r>
    </w:p>
    <w:p w14:paraId="667C76CC">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联合体竞标协议书（格式）</w:t>
      </w:r>
    </w:p>
    <w:p w14:paraId="1B0FF997">
      <w:pPr>
        <w:spacing w:line="360" w:lineRule="auto"/>
        <w:ind w:firstLine="420" w:firstLineChars="200"/>
        <w:rPr>
          <w:rFonts w:ascii="宋体" w:hAnsi="宋体" w:eastAsia="宋体"/>
          <w:color w:val="auto"/>
          <w:szCs w:val="21"/>
          <w:highlight w:val="none"/>
        </w:rPr>
      </w:pPr>
    </w:p>
    <w:p w14:paraId="6F85C98A">
      <w:pPr>
        <w:spacing w:line="360" w:lineRule="auto"/>
        <w:ind w:firstLine="420" w:firstLineChars="200"/>
        <w:rPr>
          <w:rFonts w:ascii="宋体" w:hAnsi="宋体" w:eastAsia="宋体"/>
          <w:color w:val="auto"/>
          <w:szCs w:val="21"/>
          <w:highlight w:val="none"/>
        </w:rPr>
      </w:pP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（所有成员单位名称）自愿组成联合体，共同参加</w:t>
      </w:r>
      <w:r>
        <w:rPr>
          <w:rFonts w:hint="eastAsia" w:ascii="宋体" w:hAnsi="宋体" w:eastAsia="宋体"/>
          <w:color w:val="auto"/>
          <w:szCs w:val="21"/>
          <w:highlight w:val="none"/>
          <w:u w:val="single"/>
        </w:rPr>
        <w:t>[项目采购-采购组织机构]</w:t>
      </w:r>
      <w:r>
        <w:rPr>
          <w:rFonts w:hint="eastAsia" w:ascii="宋体" w:hAnsi="宋体" w:eastAsia="宋体"/>
          <w:color w:val="auto"/>
          <w:szCs w:val="21"/>
          <w:highlight w:val="none"/>
        </w:rPr>
        <w:t>组织的</w:t>
      </w:r>
      <w:r>
        <w:rPr>
          <w:rFonts w:hint="eastAsia" w:ascii="宋体" w:hAnsi="宋体" w:eastAsia="宋体"/>
          <w:color w:val="auto"/>
          <w:szCs w:val="21"/>
          <w:highlight w:val="none"/>
          <w:u w:val="single"/>
        </w:rPr>
        <w:t>[项目采购-项目名称_5]</w:t>
      </w:r>
      <w:r>
        <w:rPr>
          <w:rFonts w:hint="eastAsia" w:ascii="宋体" w:hAnsi="宋体" w:eastAsia="宋体"/>
          <w:color w:val="auto"/>
          <w:szCs w:val="21"/>
          <w:highlight w:val="none"/>
        </w:rPr>
        <w:t>（项目编号：</w:t>
      </w:r>
      <w:r>
        <w:rPr>
          <w:rFonts w:hint="eastAsia" w:ascii="宋体" w:hAnsi="宋体" w:eastAsia="宋体"/>
          <w:color w:val="auto"/>
          <w:szCs w:val="21"/>
          <w:highlight w:val="none"/>
          <w:u w:val="single"/>
        </w:rPr>
        <w:t>[项目采购-项目编号_6]</w:t>
      </w:r>
      <w:r>
        <w:rPr>
          <w:rFonts w:hint="eastAsia" w:ascii="宋体" w:hAnsi="宋体" w:eastAsia="宋体"/>
          <w:color w:val="auto"/>
          <w:szCs w:val="21"/>
          <w:highlight w:val="none"/>
        </w:rPr>
        <w:t>）竞争性磋商采购。现就联合体竞标事宜订立如下协议：</w:t>
      </w:r>
    </w:p>
    <w:p w14:paraId="623D906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（某成员单位名称）为联合体名称牵头人。</w:t>
      </w:r>
    </w:p>
    <w:p w14:paraId="4772EB6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77626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A0B640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4、联合体各成员单位内部的职责分工如下：</w:t>
      </w:r>
      <w:r>
        <w:rPr>
          <w:rFonts w:ascii="Times New Roman" w:hAnsi="Times New Roman" w:eastAsia="宋体" w:cs="Times New Roman"/>
          <w:color w:val="auto"/>
          <w:szCs w:val="21"/>
          <w:highlight w:val="none"/>
        </w:rPr>
        <w:t>__________________________________________________</w:t>
      </w:r>
      <w:r>
        <w:rPr>
          <w:rFonts w:hint="eastAsia" w:ascii="宋体" w:hAnsi="宋体" w:eastAsia="宋体"/>
          <w:color w:val="auto"/>
          <w:szCs w:val="21"/>
          <w:highlight w:val="none"/>
        </w:rPr>
        <w:t>。</w:t>
      </w:r>
    </w:p>
    <w:p w14:paraId="23DFA07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5、本联合体中，</w:t>
      </w: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0C824E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6、本协议书自签署之日起生效，合同履行完毕后自动失效。</w:t>
      </w:r>
    </w:p>
    <w:p w14:paraId="087BF54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7、本协议书一式______份，联合体成员和采购代理机构各执一份。</w:t>
      </w:r>
    </w:p>
    <w:p w14:paraId="6A3BBE5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注：本协议书由法定代表人签字的，应附法定代表人身份证明；本协议书由委托代理人签字的，应附法定代表人授权委托书。</w:t>
      </w:r>
    </w:p>
    <w:p w14:paraId="3E41444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牵头人名称：</w:t>
      </w:r>
      <w:r>
        <w:rPr>
          <w:rFonts w:ascii="Times New Roman" w:hAnsi="Times New Roman" w:eastAsia="宋体" w:cs="Times New Roman"/>
          <w:color w:val="auto"/>
          <w:szCs w:val="21"/>
          <w:highlight w:val="none"/>
        </w:rPr>
        <w:t>_________________________________________________________________</w:t>
      </w:r>
      <w:r>
        <w:rPr>
          <w:rFonts w:hint="eastAsia" w:ascii="宋体" w:hAnsi="宋体" w:eastAsia="宋体"/>
          <w:color w:val="auto"/>
          <w:szCs w:val="21"/>
          <w:highlight w:val="none"/>
        </w:rPr>
        <w:t>（盖单位公章）</w:t>
      </w:r>
    </w:p>
    <w:p w14:paraId="2B27483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rPr>
        <w:t>___________________________________________________</w:t>
      </w:r>
      <w:r>
        <w:rPr>
          <w:rFonts w:hint="eastAsia" w:ascii="宋体" w:hAnsi="宋体" w:eastAsia="宋体"/>
          <w:color w:val="auto"/>
          <w:szCs w:val="21"/>
          <w:highlight w:val="none"/>
        </w:rPr>
        <w:t>（签字或盖章）</w:t>
      </w:r>
    </w:p>
    <w:p w14:paraId="07C011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成员一名称：</w:t>
      </w:r>
      <w:r>
        <w:rPr>
          <w:rFonts w:ascii="Times New Roman" w:hAnsi="Times New Roman" w:eastAsia="宋体" w:cs="Times New Roman"/>
          <w:color w:val="auto"/>
          <w:szCs w:val="21"/>
          <w:highlight w:val="none"/>
        </w:rPr>
        <w:t>_________________________________________________________________</w:t>
      </w:r>
      <w:r>
        <w:rPr>
          <w:rFonts w:hint="eastAsia" w:ascii="宋体" w:hAnsi="宋体" w:eastAsia="宋体"/>
          <w:color w:val="auto"/>
          <w:szCs w:val="21"/>
          <w:highlight w:val="none"/>
        </w:rPr>
        <w:t>（盖单位公章）</w:t>
      </w:r>
    </w:p>
    <w:p w14:paraId="7673AB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rPr>
        <w:t>___________________________________________________</w:t>
      </w:r>
      <w:r>
        <w:rPr>
          <w:rFonts w:hint="eastAsia" w:ascii="宋体" w:hAnsi="宋体" w:eastAsia="宋体"/>
          <w:color w:val="auto"/>
          <w:szCs w:val="21"/>
          <w:highlight w:val="none"/>
        </w:rPr>
        <w:t>（签字或盖章）</w:t>
      </w:r>
    </w:p>
    <w:p w14:paraId="2371EBE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成员二名称：</w:t>
      </w:r>
      <w:r>
        <w:rPr>
          <w:rFonts w:ascii="Times New Roman" w:hAnsi="Times New Roman" w:eastAsia="宋体" w:cs="Times New Roman"/>
          <w:color w:val="auto"/>
          <w:szCs w:val="21"/>
          <w:highlight w:val="none"/>
        </w:rPr>
        <w:t>_________________________________________________________________</w:t>
      </w:r>
      <w:r>
        <w:rPr>
          <w:rFonts w:hint="eastAsia" w:ascii="宋体" w:hAnsi="宋体" w:eastAsia="宋体"/>
          <w:color w:val="auto"/>
          <w:szCs w:val="21"/>
          <w:highlight w:val="none"/>
        </w:rPr>
        <w:t>（盖单位公章）</w:t>
      </w:r>
    </w:p>
    <w:p w14:paraId="3BC22B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rPr>
        <w:t>___________________________________________________</w:t>
      </w:r>
      <w:r>
        <w:rPr>
          <w:rFonts w:hint="eastAsia" w:ascii="宋体" w:hAnsi="宋体" w:eastAsia="宋体"/>
          <w:color w:val="auto"/>
          <w:szCs w:val="21"/>
          <w:highlight w:val="none"/>
        </w:rPr>
        <w:t>（签字或盖章）</w:t>
      </w:r>
    </w:p>
    <w:p w14:paraId="1A9BFBD1">
      <w:pPr>
        <w:spacing w:line="360" w:lineRule="auto"/>
        <w:ind w:firstLine="420" w:firstLineChars="200"/>
        <w:rPr>
          <w:rFonts w:ascii="宋体" w:hAnsi="宋体" w:eastAsia="宋体"/>
          <w:color w:val="auto"/>
          <w:szCs w:val="21"/>
          <w:highlight w:val="none"/>
        </w:rPr>
      </w:pPr>
    </w:p>
    <w:p w14:paraId="388A421E">
      <w:pPr>
        <w:spacing w:line="360" w:lineRule="auto"/>
        <w:ind w:firstLine="420" w:firstLineChars="200"/>
        <w:rPr>
          <w:rFonts w:ascii="宋体" w:hAnsi="宋体" w:eastAsia="宋体"/>
          <w:color w:val="auto"/>
          <w:szCs w:val="21"/>
          <w:highlight w:val="none"/>
        </w:rPr>
      </w:pPr>
    </w:p>
    <w:p w14:paraId="67CB4681">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9AE3350">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416CC86B">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1ED3A666">
      <w:pPr>
        <w:spacing w:line="360" w:lineRule="auto"/>
        <w:jc w:val="left"/>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八、中小企业声明函</w:t>
      </w:r>
    </w:p>
    <w:p w14:paraId="20A1EB16">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中小企业声明函（工程类）</w:t>
      </w:r>
    </w:p>
    <w:p w14:paraId="1489DFD1">
      <w:pPr>
        <w:spacing w:line="360" w:lineRule="auto"/>
        <w:ind w:firstLine="420" w:firstLineChars="200"/>
        <w:rPr>
          <w:rFonts w:ascii="宋体" w:hAnsi="宋体" w:eastAsia="宋体"/>
          <w:color w:val="auto"/>
          <w:szCs w:val="21"/>
          <w:highlight w:val="none"/>
        </w:rPr>
      </w:pPr>
    </w:p>
    <w:p w14:paraId="5B748F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本公司（联合体）郑重声明，根据《政府采购促进中小企业发展管理办法》（财库﹝2020﹞46号）的规定，本公司（联合体）参加</w:t>
      </w:r>
      <w:r>
        <w:rPr>
          <w:rFonts w:hint="eastAsia" w:ascii="宋体" w:hAnsi="宋体" w:eastAsia="宋体"/>
          <w:color w:val="auto"/>
          <w:szCs w:val="21"/>
          <w:highlight w:val="none"/>
          <w:u w:val="single"/>
        </w:rPr>
        <w:t>[项目采购-采购人_9]</w:t>
      </w:r>
      <w:r>
        <w:rPr>
          <w:rFonts w:hint="eastAsia" w:ascii="宋体" w:hAnsi="宋体" w:eastAsia="宋体"/>
          <w:color w:val="auto"/>
          <w:szCs w:val="21"/>
          <w:highlight w:val="none"/>
        </w:rPr>
        <w:t>的</w:t>
      </w:r>
      <w:r>
        <w:rPr>
          <w:rFonts w:hint="eastAsia" w:ascii="宋体" w:hAnsi="宋体" w:eastAsia="宋体"/>
          <w:color w:val="auto"/>
          <w:szCs w:val="21"/>
          <w:highlight w:val="none"/>
          <w:u w:val="single"/>
        </w:rPr>
        <w:t>[项目采购-项目名称_12]</w:t>
      </w:r>
      <w:r>
        <w:rPr>
          <w:rFonts w:hint="eastAsia" w:ascii="宋体" w:hAnsi="宋体" w:eastAsia="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3300C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u w:val="single"/>
        </w:rPr>
        <w:t>（标的名称）</w:t>
      </w:r>
      <w:r>
        <w:rPr>
          <w:rFonts w:hint="eastAsia" w:ascii="宋体" w:hAnsi="宋体" w:eastAsia="宋体"/>
          <w:color w:val="auto"/>
          <w:szCs w:val="21"/>
          <w:highlight w:val="none"/>
        </w:rPr>
        <w:t>，属于</w:t>
      </w:r>
      <w:r>
        <w:rPr>
          <w:rFonts w:hint="eastAsia" w:ascii="宋体" w:hAnsi="宋体" w:eastAsia="宋体"/>
          <w:color w:val="auto"/>
          <w:szCs w:val="21"/>
          <w:highlight w:val="none"/>
          <w:u w:val="single"/>
        </w:rPr>
        <w:t>（采购文件中明确的所属行业：见采购需求一览表）</w:t>
      </w:r>
      <w:r>
        <w:rPr>
          <w:rFonts w:hint="eastAsia" w:ascii="宋体" w:hAnsi="宋体" w:eastAsia="宋体"/>
          <w:color w:val="auto"/>
          <w:szCs w:val="21"/>
          <w:highlight w:val="none"/>
        </w:rPr>
        <w:t>行业；承建（承接）企业为</w:t>
      </w:r>
      <w:r>
        <w:rPr>
          <w:rFonts w:hint="eastAsia" w:ascii="宋体" w:hAnsi="宋体" w:eastAsia="宋体"/>
          <w:color w:val="auto"/>
          <w:szCs w:val="21"/>
          <w:highlight w:val="none"/>
          <w:u w:val="single"/>
        </w:rPr>
        <w:t>（企业名称）</w:t>
      </w:r>
      <w:r>
        <w:rPr>
          <w:rFonts w:hint="eastAsia" w:ascii="宋体" w:hAnsi="宋体" w:eastAsia="宋体"/>
          <w:color w:val="auto"/>
          <w:szCs w:val="21"/>
          <w:highlight w:val="none"/>
        </w:rPr>
        <w:t>，从业人员</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人，营业收入为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万元，资产总额为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万元，属于</w:t>
      </w:r>
      <w:r>
        <w:rPr>
          <w:rFonts w:hint="eastAsia" w:ascii="宋体" w:hAnsi="宋体" w:eastAsia="宋体"/>
          <w:color w:val="auto"/>
          <w:szCs w:val="21"/>
          <w:highlight w:val="none"/>
          <w:u w:val="single"/>
        </w:rPr>
        <w:t>（中型企业、小型企业、微型企业）</w:t>
      </w:r>
      <w:r>
        <w:rPr>
          <w:rFonts w:hint="eastAsia" w:ascii="宋体" w:hAnsi="宋体" w:eastAsia="宋体"/>
          <w:color w:val="auto"/>
          <w:szCs w:val="21"/>
          <w:highlight w:val="none"/>
        </w:rPr>
        <w:t>；</w:t>
      </w:r>
    </w:p>
    <w:p w14:paraId="6B91D2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u w:val="single"/>
        </w:rPr>
        <w:t>（标的名称）</w:t>
      </w:r>
      <w:r>
        <w:rPr>
          <w:rFonts w:hint="eastAsia" w:ascii="宋体" w:hAnsi="宋体" w:eastAsia="宋体"/>
          <w:color w:val="auto"/>
          <w:szCs w:val="21"/>
          <w:highlight w:val="none"/>
        </w:rPr>
        <w:t>，属于</w:t>
      </w:r>
      <w:r>
        <w:rPr>
          <w:rFonts w:hint="eastAsia" w:ascii="宋体" w:hAnsi="宋体" w:eastAsia="宋体"/>
          <w:color w:val="auto"/>
          <w:szCs w:val="21"/>
          <w:highlight w:val="none"/>
          <w:u w:val="single"/>
        </w:rPr>
        <w:t>（采购文件中明确的所属行业：见采购需求一览表）</w:t>
      </w:r>
      <w:r>
        <w:rPr>
          <w:rFonts w:hint="eastAsia" w:ascii="宋体" w:hAnsi="宋体" w:eastAsia="宋体"/>
          <w:color w:val="auto"/>
          <w:szCs w:val="21"/>
          <w:highlight w:val="none"/>
        </w:rPr>
        <w:t>行业；承建（承接）企业为</w:t>
      </w:r>
      <w:r>
        <w:rPr>
          <w:rFonts w:hint="eastAsia" w:ascii="宋体" w:hAnsi="宋体" w:eastAsia="宋体"/>
          <w:color w:val="auto"/>
          <w:szCs w:val="21"/>
          <w:highlight w:val="none"/>
          <w:u w:val="single"/>
        </w:rPr>
        <w:t>（企业名称）</w:t>
      </w:r>
      <w:r>
        <w:rPr>
          <w:rFonts w:hint="eastAsia" w:ascii="宋体" w:hAnsi="宋体" w:eastAsia="宋体"/>
          <w:color w:val="auto"/>
          <w:szCs w:val="21"/>
          <w:highlight w:val="none"/>
        </w:rPr>
        <w:t>，从业人员</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人，营业收入为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万元，资产总额为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万元，属于</w:t>
      </w:r>
      <w:r>
        <w:rPr>
          <w:rFonts w:hint="eastAsia" w:ascii="宋体" w:hAnsi="宋体" w:eastAsia="宋体"/>
          <w:color w:val="auto"/>
          <w:szCs w:val="21"/>
          <w:highlight w:val="none"/>
          <w:u w:val="single"/>
        </w:rPr>
        <w:t>（中型企业、小型企业、微型企业）</w:t>
      </w:r>
      <w:r>
        <w:rPr>
          <w:rFonts w:hint="eastAsia" w:ascii="宋体" w:hAnsi="宋体" w:eastAsia="宋体"/>
          <w:color w:val="auto"/>
          <w:szCs w:val="21"/>
          <w:highlight w:val="none"/>
        </w:rPr>
        <w:t>；</w:t>
      </w:r>
    </w:p>
    <w:p w14:paraId="378CD9BF">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w:t>
      </w:r>
    </w:p>
    <w:p w14:paraId="054433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以上企业，不属于大企业的分支机构，不存在控股股东为大企业的情形，也不存在与大企业的负责人为同一人的情形。</w:t>
      </w:r>
    </w:p>
    <w:p w14:paraId="1F40126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本企业对上述声明内容的真实性负责。如有虚假，将依法承担相应责任。</w:t>
      </w:r>
    </w:p>
    <w:p w14:paraId="12A1D91D">
      <w:pPr>
        <w:spacing w:line="360" w:lineRule="auto"/>
        <w:ind w:firstLine="420" w:firstLineChars="200"/>
        <w:rPr>
          <w:rFonts w:ascii="宋体" w:hAnsi="宋体" w:eastAsia="宋体"/>
          <w:color w:val="auto"/>
          <w:szCs w:val="21"/>
          <w:highlight w:val="none"/>
        </w:rPr>
      </w:pPr>
    </w:p>
    <w:p w14:paraId="5624651D">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5B110B3">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0B54A5DC">
      <w:pPr>
        <w:spacing w:line="360" w:lineRule="auto"/>
        <w:ind w:firstLine="420" w:firstLineChars="200"/>
        <w:rPr>
          <w:rFonts w:ascii="宋体" w:hAnsi="宋体" w:eastAsia="宋体"/>
          <w:color w:val="auto"/>
          <w:szCs w:val="21"/>
          <w:highlight w:val="none"/>
        </w:rPr>
      </w:pPr>
    </w:p>
    <w:p w14:paraId="340C0B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093E091">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75C98F19">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残疾人福利性单位声明函</w:t>
      </w:r>
    </w:p>
    <w:p w14:paraId="2439A5BD">
      <w:pPr>
        <w:spacing w:line="360" w:lineRule="auto"/>
        <w:ind w:firstLine="420" w:firstLineChars="200"/>
        <w:rPr>
          <w:rFonts w:ascii="宋体" w:hAnsi="宋体" w:eastAsia="宋体"/>
          <w:color w:val="auto"/>
          <w:szCs w:val="21"/>
          <w:highlight w:val="none"/>
        </w:rPr>
      </w:pPr>
    </w:p>
    <w:p w14:paraId="07D7826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olor w:val="auto"/>
          <w:szCs w:val="21"/>
          <w:highlight w:val="none"/>
          <w:u w:val="single"/>
        </w:rPr>
        <w:t>[项目采购-采购人-3]</w:t>
      </w:r>
      <w:r>
        <w:rPr>
          <w:rFonts w:hint="eastAsia" w:ascii="宋体" w:hAnsi="宋体" w:eastAsia="宋体"/>
          <w:color w:val="auto"/>
          <w:szCs w:val="21"/>
          <w:highlight w:val="none"/>
        </w:rPr>
        <w:t>单位的</w:t>
      </w:r>
      <w:r>
        <w:rPr>
          <w:rFonts w:hint="eastAsia" w:ascii="宋体" w:hAnsi="宋体" w:eastAsia="宋体"/>
          <w:color w:val="auto"/>
          <w:szCs w:val="21"/>
          <w:highlight w:val="none"/>
          <w:u w:val="single"/>
        </w:rPr>
        <w:t>[项目采购-项目名称-13]</w:t>
      </w:r>
      <w:r>
        <w:rPr>
          <w:rFonts w:hint="eastAsia" w:ascii="宋体" w:hAnsi="宋体" w:eastAsia="宋体"/>
          <w:color w:val="auto"/>
          <w:szCs w:val="21"/>
          <w:highlight w:val="none"/>
        </w:rPr>
        <w:t>项目采购活动由本单位提供服务。</w:t>
      </w:r>
    </w:p>
    <w:p w14:paraId="28AB8C5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本单位对上述声明的真实性负责。如有虚假，将依法承担相应责任。</w:t>
      </w:r>
    </w:p>
    <w:p w14:paraId="1D8940AE">
      <w:pPr>
        <w:spacing w:line="360" w:lineRule="auto"/>
        <w:ind w:firstLine="420" w:firstLineChars="200"/>
        <w:rPr>
          <w:rFonts w:ascii="宋体" w:hAnsi="宋体" w:eastAsia="宋体"/>
          <w:color w:val="auto"/>
          <w:szCs w:val="21"/>
          <w:highlight w:val="none"/>
        </w:rPr>
      </w:pPr>
    </w:p>
    <w:p w14:paraId="5F1145AD">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4E387BEC">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6E727710">
      <w:pPr>
        <w:spacing w:line="360" w:lineRule="auto"/>
        <w:ind w:firstLine="420" w:firstLineChars="200"/>
        <w:rPr>
          <w:rFonts w:ascii="宋体" w:hAnsi="宋体" w:eastAsia="宋体"/>
          <w:color w:val="auto"/>
          <w:szCs w:val="21"/>
          <w:highlight w:val="none"/>
        </w:rPr>
      </w:pPr>
    </w:p>
    <w:p w14:paraId="50F9DF0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1B239BF1">
      <w:pPr>
        <w:spacing w:line="360" w:lineRule="auto"/>
        <w:ind w:firstLine="420" w:firstLineChars="200"/>
        <w:rPr>
          <w:rFonts w:ascii="宋体" w:hAnsi="宋体" w:eastAsia="宋体"/>
          <w:color w:val="auto"/>
          <w:szCs w:val="21"/>
          <w:highlight w:val="none"/>
        </w:rPr>
      </w:pPr>
    </w:p>
    <w:p w14:paraId="0633D98D">
      <w:pPr>
        <w:rPr>
          <w:rFonts w:ascii="宋体" w:hAnsi="宋体" w:eastAsia="宋体"/>
          <w:color w:val="auto"/>
          <w:szCs w:val="21"/>
          <w:highlight w:val="none"/>
        </w:rPr>
      </w:pPr>
      <w:r>
        <w:rPr>
          <w:rFonts w:ascii="宋体" w:hAnsi="宋体" w:eastAsia="宋体"/>
          <w:color w:val="auto"/>
          <w:szCs w:val="21"/>
          <w:highlight w:val="none"/>
        </w:rPr>
        <w:br w:type="page"/>
      </w:r>
    </w:p>
    <w:p w14:paraId="316DFFA5">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九</w:t>
      </w:r>
      <w:r>
        <w:rPr>
          <w:rFonts w:hint="eastAsia" w:ascii="宋体" w:hAnsi="宋体" w:eastAsia="宋体"/>
          <w:b/>
          <w:color w:val="auto"/>
          <w:sz w:val="32"/>
          <w:szCs w:val="32"/>
          <w:highlight w:val="none"/>
        </w:rPr>
        <w:t>、符合特定资格条件（如果项目要求）的有关证明材料（复印件）</w:t>
      </w:r>
    </w:p>
    <w:p w14:paraId="7DA704EC">
      <w:pPr>
        <w:spacing w:line="360" w:lineRule="auto"/>
        <w:ind w:firstLine="420" w:firstLineChars="200"/>
        <w:rPr>
          <w:rFonts w:ascii="宋体" w:hAnsi="宋体" w:eastAsia="宋体"/>
          <w:color w:val="auto"/>
          <w:szCs w:val="21"/>
          <w:highlight w:val="none"/>
        </w:rPr>
      </w:pPr>
    </w:p>
    <w:p w14:paraId="4BCEE33B">
      <w:pPr>
        <w:rPr>
          <w:rFonts w:ascii="宋体" w:hAnsi="宋体" w:eastAsia="宋体"/>
          <w:color w:val="auto"/>
          <w:szCs w:val="21"/>
          <w:highlight w:val="none"/>
        </w:rPr>
      </w:pPr>
      <w:r>
        <w:rPr>
          <w:rFonts w:ascii="宋体" w:hAnsi="宋体" w:eastAsia="宋体"/>
          <w:color w:val="auto"/>
          <w:szCs w:val="21"/>
          <w:highlight w:val="none"/>
        </w:rPr>
        <w:br w:type="page"/>
      </w:r>
    </w:p>
    <w:p w14:paraId="06B9B5A2">
      <w:pPr>
        <w:spacing w:line="360" w:lineRule="auto"/>
        <w:ind w:firstLine="562" w:firstLineChars="200"/>
        <w:jc w:val="center"/>
        <w:rPr>
          <w:rFonts w:hint="default"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十、承诺书</w:t>
      </w:r>
    </w:p>
    <w:p w14:paraId="395A03D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现承诺我单位投入本工程的项目经理是本单位的在岗人员，且不在任何在建、已中标未开工或已列为其他项目中标候选人第一名的建造师作为项目经理。如我单位有不符合上述要求的，采购人有权依法依规取消我单位成交资格。</w:t>
      </w:r>
    </w:p>
    <w:p w14:paraId="7A42CDB7">
      <w:pPr>
        <w:spacing w:line="360" w:lineRule="auto"/>
        <w:ind w:firstLine="420" w:firstLineChars="200"/>
        <w:jc w:val="right"/>
        <w:rPr>
          <w:rFonts w:hint="eastAsia" w:ascii="宋体" w:hAnsi="宋体" w:eastAsia="宋体"/>
          <w:color w:val="auto"/>
          <w:szCs w:val="21"/>
          <w:highlight w:val="none"/>
        </w:rPr>
      </w:pPr>
    </w:p>
    <w:p w14:paraId="53357760">
      <w:pPr>
        <w:spacing w:line="360" w:lineRule="auto"/>
        <w:ind w:firstLine="420" w:firstLineChars="200"/>
        <w:jc w:val="right"/>
        <w:rPr>
          <w:rFonts w:hint="eastAsia" w:ascii="宋体" w:hAnsi="宋体" w:eastAsia="宋体"/>
          <w:color w:val="auto"/>
          <w:szCs w:val="21"/>
          <w:highlight w:val="none"/>
        </w:rPr>
      </w:pPr>
    </w:p>
    <w:p w14:paraId="35B48BE6">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供应商：</w:t>
      </w:r>
      <w:r>
        <w:rPr>
          <w:rFonts w:ascii="宋体" w:hAnsi="宋体" w:eastAsia="宋体"/>
          <w:color w:val="auto"/>
          <w:szCs w:val="21"/>
          <w:highlight w:val="none"/>
        </w:rPr>
        <w:t>______</w:t>
      </w:r>
      <w:r>
        <w:rPr>
          <w:rFonts w:hint="eastAsia" w:ascii="宋体" w:hAnsi="宋体" w:eastAsia="宋体"/>
          <w:color w:val="auto"/>
          <w:szCs w:val="21"/>
          <w:highlight w:val="none"/>
        </w:rPr>
        <w:t>（盖单位电子公章）</w:t>
      </w:r>
    </w:p>
    <w:p w14:paraId="08E36FC5">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法定代表人或授权委托代理人：</w:t>
      </w:r>
      <w:r>
        <w:rPr>
          <w:rFonts w:ascii="宋体" w:hAnsi="宋体" w:eastAsia="宋体"/>
          <w:color w:val="auto"/>
          <w:szCs w:val="21"/>
          <w:highlight w:val="none"/>
        </w:rPr>
        <w:t>______</w:t>
      </w:r>
      <w:r>
        <w:rPr>
          <w:rFonts w:hint="eastAsia" w:ascii="宋体" w:hAnsi="宋体" w:eastAsia="宋体"/>
          <w:color w:val="auto"/>
          <w:szCs w:val="21"/>
          <w:highlight w:val="none"/>
        </w:rPr>
        <w:t>（签字或电子签名）</w:t>
      </w:r>
    </w:p>
    <w:p w14:paraId="59CB5CA0">
      <w:pPr>
        <w:spacing w:line="360" w:lineRule="auto"/>
        <w:ind w:firstLine="420" w:firstLineChars="200"/>
        <w:jc w:val="right"/>
        <w:rPr>
          <w:rFonts w:ascii="宋体" w:hAnsi="宋体" w:eastAsia="宋体"/>
          <w:color w:val="auto"/>
          <w:szCs w:val="21"/>
          <w:highlight w:val="none"/>
        </w:rPr>
      </w:pPr>
      <w:r>
        <w:rPr>
          <w:rFonts w:ascii="宋体" w:hAnsi="宋体" w:eastAsia="宋体"/>
          <w:color w:val="auto"/>
          <w:szCs w:val="21"/>
          <w:highlight w:val="none"/>
        </w:rPr>
        <w:t>______</w:t>
      </w:r>
      <w:r>
        <w:rPr>
          <w:rFonts w:hint="eastAsia" w:ascii="宋体" w:hAnsi="宋体" w:eastAsia="宋体"/>
          <w:color w:val="auto"/>
          <w:szCs w:val="21"/>
          <w:highlight w:val="none"/>
        </w:rPr>
        <w:t>年</w:t>
      </w:r>
      <w:r>
        <w:rPr>
          <w:rFonts w:ascii="宋体" w:hAnsi="宋体" w:eastAsia="宋体"/>
          <w:color w:val="auto"/>
          <w:szCs w:val="21"/>
          <w:highlight w:val="none"/>
        </w:rPr>
        <w:t>______</w:t>
      </w:r>
      <w:r>
        <w:rPr>
          <w:rFonts w:hint="eastAsia" w:ascii="宋体" w:hAnsi="宋体" w:eastAsia="宋体"/>
          <w:color w:val="auto"/>
          <w:szCs w:val="21"/>
          <w:highlight w:val="none"/>
        </w:rPr>
        <w:t>月</w:t>
      </w:r>
      <w:r>
        <w:rPr>
          <w:rFonts w:ascii="宋体" w:hAnsi="宋体" w:eastAsia="宋体"/>
          <w:color w:val="auto"/>
          <w:szCs w:val="21"/>
          <w:highlight w:val="none"/>
        </w:rPr>
        <w:t>______</w:t>
      </w:r>
      <w:r>
        <w:rPr>
          <w:rFonts w:hint="eastAsia" w:ascii="宋体" w:hAnsi="宋体" w:eastAsia="宋体"/>
          <w:color w:val="auto"/>
          <w:szCs w:val="21"/>
          <w:highlight w:val="none"/>
        </w:rPr>
        <w:t>日</w:t>
      </w:r>
    </w:p>
    <w:p w14:paraId="0903BD1D">
      <w:pPr>
        <w:spacing w:line="360" w:lineRule="auto"/>
        <w:ind w:firstLine="420" w:firstLineChars="200"/>
        <w:rPr>
          <w:rFonts w:ascii="宋体" w:hAnsi="宋体" w:eastAsia="宋体"/>
          <w:color w:val="auto"/>
          <w:szCs w:val="21"/>
          <w:highlight w:val="none"/>
        </w:rPr>
      </w:pPr>
    </w:p>
    <w:p w14:paraId="7932CDC5">
      <w:pPr>
        <w:spacing w:line="360" w:lineRule="auto"/>
        <w:ind w:firstLine="420" w:firstLineChars="200"/>
        <w:rPr>
          <w:rFonts w:ascii="宋体" w:hAnsi="宋体" w:eastAsia="宋体"/>
          <w:color w:val="auto"/>
          <w:szCs w:val="21"/>
          <w:highlight w:val="none"/>
        </w:rPr>
      </w:pPr>
    </w:p>
    <w:p w14:paraId="00F02FF1">
      <w:pPr>
        <w:spacing w:line="360" w:lineRule="auto"/>
        <w:ind w:firstLine="420" w:firstLineChars="200"/>
        <w:rPr>
          <w:rFonts w:ascii="宋体" w:hAnsi="宋体" w:eastAsia="宋体"/>
          <w:color w:val="auto"/>
          <w:szCs w:val="21"/>
          <w:highlight w:val="none"/>
        </w:rPr>
      </w:pPr>
    </w:p>
    <w:p w14:paraId="787B9B8F">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1EEB5709">
      <w:pPr>
        <w:pStyle w:val="3"/>
        <w:jc w:val="center"/>
        <w:rPr>
          <w:color w:val="auto"/>
          <w:highlight w:val="none"/>
        </w:rPr>
      </w:pPr>
      <w:bookmarkStart w:id="19" w:name="_Toc4671"/>
      <w:r>
        <w:rPr>
          <w:rFonts w:hint="eastAsia"/>
          <w:color w:val="auto"/>
          <w:highlight w:val="none"/>
        </w:rPr>
        <w:t>第三</w:t>
      </w:r>
      <w:r>
        <w:rPr>
          <w:rFonts w:hint="eastAsia"/>
          <w:color w:val="auto"/>
          <w:spacing w:val="120"/>
          <w:highlight w:val="none"/>
        </w:rPr>
        <w:t>节</w:t>
      </w:r>
      <w:r>
        <w:rPr>
          <w:rFonts w:hint="eastAsia"/>
          <w:color w:val="auto"/>
          <w:highlight w:val="none"/>
        </w:rPr>
        <w:t>商务技术文件格式</w:t>
      </w:r>
      <w:bookmarkEnd w:id="19"/>
    </w:p>
    <w:p w14:paraId="4FDF639C">
      <w:pPr>
        <w:spacing w:line="360" w:lineRule="auto"/>
        <w:ind w:firstLine="640" w:firstLineChars="200"/>
        <w:jc w:val="right"/>
        <w:rPr>
          <w:rFonts w:ascii="宋体" w:hAnsi="宋体" w:eastAsia="宋体"/>
          <w:color w:val="auto"/>
          <w:sz w:val="32"/>
          <w:szCs w:val="32"/>
          <w:highlight w:val="none"/>
        </w:rPr>
      </w:pPr>
      <w:r>
        <w:rPr>
          <w:rFonts w:hint="eastAsia" w:ascii="宋体" w:hAnsi="宋体" w:eastAsia="宋体"/>
          <w:color w:val="auto"/>
          <w:sz w:val="32"/>
          <w:szCs w:val="32"/>
          <w:highlight w:val="none"/>
        </w:rPr>
        <w:t>全流程电子文件</w:t>
      </w:r>
    </w:p>
    <w:p w14:paraId="4001F857">
      <w:pPr>
        <w:spacing w:line="360" w:lineRule="auto"/>
        <w:ind w:firstLine="420" w:firstLineChars="200"/>
        <w:rPr>
          <w:rFonts w:ascii="宋体" w:hAnsi="宋体" w:eastAsia="宋体"/>
          <w:color w:val="auto"/>
          <w:szCs w:val="21"/>
          <w:highlight w:val="none"/>
        </w:rPr>
      </w:pPr>
    </w:p>
    <w:p w14:paraId="6168AEFB">
      <w:pPr>
        <w:spacing w:line="360" w:lineRule="auto"/>
        <w:ind w:firstLine="420" w:firstLineChars="200"/>
        <w:rPr>
          <w:rFonts w:ascii="宋体" w:hAnsi="宋体" w:eastAsia="宋体"/>
          <w:color w:val="auto"/>
          <w:szCs w:val="21"/>
          <w:highlight w:val="none"/>
        </w:rPr>
      </w:pPr>
    </w:p>
    <w:p w14:paraId="4A34660E">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商务技术文件（封面）</w:t>
      </w:r>
    </w:p>
    <w:p w14:paraId="05EC0D84">
      <w:pPr>
        <w:spacing w:line="360" w:lineRule="auto"/>
        <w:ind w:firstLine="420" w:firstLineChars="200"/>
        <w:rPr>
          <w:rFonts w:ascii="宋体" w:hAnsi="宋体" w:eastAsia="宋体"/>
          <w:color w:val="auto"/>
          <w:szCs w:val="21"/>
          <w:highlight w:val="none"/>
        </w:rPr>
      </w:pPr>
    </w:p>
    <w:p w14:paraId="2C69E963">
      <w:pPr>
        <w:spacing w:line="360" w:lineRule="auto"/>
        <w:ind w:firstLine="420" w:firstLineChars="200"/>
        <w:rPr>
          <w:rFonts w:ascii="宋体" w:hAnsi="宋体" w:eastAsia="宋体"/>
          <w:color w:val="auto"/>
          <w:szCs w:val="21"/>
          <w:highlight w:val="none"/>
        </w:rPr>
      </w:pPr>
    </w:p>
    <w:p w14:paraId="6A688177">
      <w:pPr>
        <w:spacing w:line="360" w:lineRule="auto"/>
        <w:ind w:firstLine="420" w:firstLineChars="200"/>
        <w:rPr>
          <w:rFonts w:ascii="宋体" w:hAnsi="宋体" w:eastAsia="宋体"/>
          <w:color w:val="auto"/>
          <w:szCs w:val="21"/>
          <w:highlight w:val="none"/>
        </w:rPr>
      </w:pPr>
    </w:p>
    <w:p w14:paraId="34AA9CFE">
      <w:pPr>
        <w:spacing w:line="360" w:lineRule="auto"/>
        <w:ind w:firstLine="420" w:firstLineChars="200"/>
        <w:rPr>
          <w:rFonts w:ascii="宋体" w:hAnsi="宋体" w:eastAsia="宋体"/>
          <w:color w:val="auto"/>
          <w:szCs w:val="21"/>
          <w:highlight w:val="none"/>
        </w:rPr>
      </w:pPr>
    </w:p>
    <w:p w14:paraId="1FD6B722">
      <w:pPr>
        <w:spacing w:line="360" w:lineRule="auto"/>
        <w:ind w:firstLine="420" w:firstLineChars="200"/>
        <w:rPr>
          <w:rFonts w:ascii="宋体" w:hAnsi="宋体" w:eastAsia="宋体"/>
          <w:color w:val="auto"/>
          <w:szCs w:val="21"/>
          <w:highlight w:val="none"/>
        </w:rPr>
      </w:pPr>
    </w:p>
    <w:p w14:paraId="229C05FD">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项目名称：[项目采购-项目名称_6]</w:t>
      </w:r>
    </w:p>
    <w:p w14:paraId="03D276F9">
      <w:pPr>
        <w:spacing w:line="360" w:lineRule="auto"/>
        <w:ind w:firstLine="420" w:firstLineChars="200"/>
        <w:rPr>
          <w:rFonts w:ascii="宋体" w:hAnsi="宋体" w:eastAsia="宋体"/>
          <w:color w:val="auto"/>
          <w:szCs w:val="21"/>
          <w:highlight w:val="none"/>
        </w:rPr>
      </w:pPr>
    </w:p>
    <w:p w14:paraId="79F14998">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项目编号：[项目采购-项目编号_7]</w:t>
      </w:r>
    </w:p>
    <w:p w14:paraId="3616EB57">
      <w:pPr>
        <w:spacing w:line="360" w:lineRule="auto"/>
        <w:ind w:firstLine="420" w:firstLineChars="200"/>
        <w:rPr>
          <w:rFonts w:ascii="宋体" w:hAnsi="宋体" w:eastAsia="宋体"/>
          <w:color w:val="auto"/>
          <w:szCs w:val="21"/>
          <w:highlight w:val="none"/>
        </w:rPr>
      </w:pPr>
    </w:p>
    <w:p w14:paraId="25BE0941">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4C02C98A">
      <w:pPr>
        <w:spacing w:line="360" w:lineRule="auto"/>
        <w:ind w:firstLine="420" w:firstLineChars="200"/>
        <w:rPr>
          <w:rFonts w:ascii="宋体" w:hAnsi="宋体" w:eastAsia="宋体"/>
          <w:color w:val="auto"/>
          <w:szCs w:val="21"/>
          <w:highlight w:val="none"/>
        </w:rPr>
      </w:pPr>
    </w:p>
    <w:p w14:paraId="09555A04">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1D6C7898">
      <w:pPr>
        <w:spacing w:line="360" w:lineRule="auto"/>
        <w:ind w:firstLine="420" w:firstLineChars="200"/>
        <w:rPr>
          <w:rFonts w:ascii="宋体" w:hAnsi="宋体" w:eastAsia="宋体"/>
          <w:color w:val="auto"/>
          <w:szCs w:val="21"/>
          <w:highlight w:val="none"/>
        </w:rPr>
      </w:pPr>
    </w:p>
    <w:p w14:paraId="3F1CE825">
      <w:pPr>
        <w:spacing w:line="360" w:lineRule="auto"/>
        <w:ind w:firstLine="420" w:firstLineChars="200"/>
        <w:rPr>
          <w:rFonts w:ascii="宋体" w:hAnsi="宋体" w:eastAsia="宋体"/>
          <w:color w:val="auto"/>
          <w:szCs w:val="21"/>
          <w:highlight w:val="none"/>
        </w:rPr>
      </w:pPr>
    </w:p>
    <w:p w14:paraId="75B10A21">
      <w:pPr>
        <w:spacing w:line="360" w:lineRule="auto"/>
        <w:ind w:firstLine="420" w:firstLineChars="200"/>
        <w:rPr>
          <w:rFonts w:ascii="宋体" w:hAnsi="宋体" w:eastAsia="宋体"/>
          <w:color w:val="auto"/>
          <w:szCs w:val="21"/>
          <w:highlight w:val="none"/>
        </w:rPr>
      </w:pPr>
    </w:p>
    <w:p w14:paraId="778C46FC">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日</w:t>
      </w:r>
    </w:p>
    <w:p w14:paraId="77FDECC4">
      <w:pPr>
        <w:spacing w:line="360" w:lineRule="auto"/>
        <w:jc w:val="center"/>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7663A659">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商务技术文件目录</w:t>
      </w:r>
    </w:p>
    <w:p w14:paraId="42384BB2">
      <w:pPr>
        <w:spacing w:line="360" w:lineRule="auto"/>
        <w:ind w:firstLine="420" w:firstLineChars="200"/>
        <w:rPr>
          <w:rFonts w:ascii="宋体" w:hAnsi="宋体" w:eastAsia="宋体"/>
          <w:color w:val="auto"/>
          <w:szCs w:val="21"/>
          <w:highlight w:val="none"/>
        </w:rPr>
      </w:pPr>
    </w:p>
    <w:p w14:paraId="3D7C6125">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一、无串标行为承诺函……………………………………………………………………………………（页码）</w:t>
      </w:r>
    </w:p>
    <w:p w14:paraId="636B88EB">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二、法定代表人身份证明书及法定代表人有效身份证正反面复印件…………………………………（页码）</w:t>
      </w:r>
    </w:p>
    <w:p w14:paraId="3A8CA008">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三、法定代表人授权委托书（如有委托时）及委托代理人有效身份证正反面复印件…………………（页码）</w:t>
      </w:r>
    </w:p>
    <w:p w14:paraId="06C4D986">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四、商务条款偏离表………………………………………………………………………………………（页码）</w:t>
      </w:r>
    </w:p>
    <w:p w14:paraId="6212B65F">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五、竞标人情况介绍………………………………………………………………………………………（页码）</w:t>
      </w:r>
    </w:p>
    <w:p w14:paraId="6316411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六、供应商类似业绩的证明文件（如有要求）…………………………………………………………（页码）</w:t>
      </w:r>
    </w:p>
    <w:p w14:paraId="7CF6AFD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七、技术需求偏离表………………………………………………………………………………………（页码）</w:t>
      </w:r>
    </w:p>
    <w:p w14:paraId="7AA19F20">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八、企业概况表……………………………………………………………………………………………（页码）</w:t>
      </w:r>
    </w:p>
    <w:p w14:paraId="0594C11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九、施工组织设计…………………………………………………………………………………………（页码）</w:t>
      </w:r>
    </w:p>
    <w:p w14:paraId="2996AB20">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十、项目管理机构…………………………………………………………………………………………（页码）</w:t>
      </w:r>
    </w:p>
    <w:p w14:paraId="78E183C1">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十一、建设工程项目管理承诺书…………………………………………………………………………（页码）</w:t>
      </w:r>
    </w:p>
    <w:p w14:paraId="124893E1">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十二、供应商认为需要提供的其他有关资料……………………………………………………………（页码）</w:t>
      </w:r>
    </w:p>
    <w:p w14:paraId="55F641F8">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注：以上目录是基本格式要求，各供应商可根据自身情况进一步向下增加内容或细化。</w:t>
      </w:r>
    </w:p>
    <w:p w14:paraId="38597902">
      <w:pPr>
        <w:spacing w:line="360" w:lineRule="auto"/>
        <w:rPr>
          <w:rFonts w:ascii="宋体" w:hAnsi="宋体" w:eastAsia="宋体"/>
          <w:b/>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0977A1FF">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一、无串标行为承诺函</w:t>
      </w:r>
    </w:p>
    <w:p w14:paraId="5258119B">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无串通竞标行为的承诺函</w:t>
      </w:r>
    </w:p>
    <w:p w14:paraId="18A77FCF">
      <w:pPr>
        <w:spacing w:line="360" w:lineRule="auto"/>
        <w:ind w:firstLine="420" w:firstLineChars="200"/>
        <w:rPr>
          <w:rFonts w:ascii="宋体" w:hAnsi="宋体" w:eastAsia="宋体"/>
          <w:color w:val="auto"/>
          <w:szCs w:val="21"/>
          <w:highlight w:val="none"/>
        </w:rPr>
      </w:pPr>
    </w:p>
    <w:p w14:paraId="10F6EA8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一、我方承诺无下列相互串通竞标的情形：</w:t>
      </w:r>
    </w:p>
    <w:p w14:paraId="666A400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1.不同供应商的响应文件由同一单位或者个人编制；或者不同供应商报名的IP地址一致的；或者编制响应文件硬件设备CPU编号、硬盘编号、网卡地址一致的情况。</w:t>
      </w:r>
    </w:p>
    <w:p w14:paraId="2BFBEC5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2.不同供应商委托同一单位或者个人办理竞标事宜；</w:t>
      </w:r>
    </w:p>
    <w:p w14:paraId="54D00A2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3.不同供应商的响应文件载明的项目管理员为同一个人；</w:t>
      </w:r>
    </w:p>
    <w:p w14:paraId="6C83546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4.不同供应商的响应文件异常一致或者响应报价呈规律性差异；</w:t>
      </w:r>
    </w:p>
    <w:p w14:paraId="0A85674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5.不同供应商的响应文件相互混装；</w:t>
      </w:r>
    </w:p>
    <w:p w14:paraId="6CAB089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6.不同供应商的磋商保证金从同一单位或者个人账户转出。</w:t>
      </w:r>
    </w:p>
    <w:p w14:paraId="1022D5F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二、我方承诺无下列恶意串通的情形：</w:t>
      </w:r>
    </w:p>
    <w:p w14:paraId="4E3691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1.供应商直接或者间接从采购人或者采购代理机构处获得其他供应商的相关信息并修改其响应文件；</w:t>
      </w:r>
    </w:p>
    <w:p w14:paraId="0800AC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2.供应商按照采购人或者采购代理机构的授意撤换、修改响应文件；</w:t>
      </w:r>
    </w:p>
    <w:p w14:paraId="199832D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3.供应商之间协商报价、技术方案等响应文件的实质性内容；</w:t>
      </w:r>
    </w:p>
    <w:p w14:paraId="065792B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4.属于同一集团、协会、商会等组织成员的供应商按照该组织要求协同参加政府采购活动；</w:t>
      </w:r>
    </w:p>
    <w:p w14:paraId="25423E8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69C3742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6.供应商之间商定部分供应商放弃参加政府采购活动或者放弃成交；</w:t>
      </w:r>
    </w:p>
    <w:p w14:paraId="1BA3BE7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7.供应商与采购人或者采购代理机构之间、供应商相互之间，为谋求特定供应商成交或者排斥其他供应商的其他串通行为。</w:t>
      </w:r>
    </w:p>
    <w:p w14:paraId="1909049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12584671">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3FEA84D">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07EAF4CC">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657A00ED">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二、法定代表人身份证明书及法定代表人有效身份证正反面复印件</w:t>
      </w:r>
    </w:p>
    <w:p w14:paraId="5B37AFCD">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法定代表人证明书</w:t>
      </w:r>
    </w:p>
    <w:p w14:paraId="1CD5083E">
      <w:pPr>
        <w:spacing w:line="360" w:lineRule="auto"/>
        <w:ind w:firstLine="420" w:firstLineChars="200"/>
        <w:rPr>
          <w:rFonts w:ascii="宋体" w:hAnsi="宋体" w:eastAsia="宋体"/>
          <w:color w:val="auto"/>
          <w:szCs w:val="21"/>
          <w:highlight w:val="none"/>
        </w:rPr>
      </w:pPr>
    </w:p>
    <w:p w14:paraId="5DC73BE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供应商名称：</w:t>
      </w:r>
      <w:r>
        <w:rPr>
          <w:rFonts w:ascii="Times New Roman" w:hAnsi="Times New Roman" w:eastAsia="宋体" w:cs="Times New Roman"/>
          <w:color w:val="auto"/>
          <w:szCs w:val="21"/>
          <w:highlight w:val="none"/>
        </w:rPr>
        <w:t>____________________________________________________________________________</w:t>
      </w:r>
    </w:p>
    <w:p w14:paraId="7B13AC3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2386B8B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姓名：</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性别：</w:t>
      </w:r>
      <w:r>
        <w:rPr>
          <w:rFonts w:ascii="Times New Roman" w:hAnsi="Times New Roman" w:eastAsia="宋体" w:cs="Times New Roman"/>
          <w:color w:val="auto"/>
          <w:szCs w:val="21"/>
          <w:highlight w:val="none"/>
        </w:rPr>
        <w:t>______________________________________</w:t>
      </w:r>
    </w:p>
    <w:p w14:paraId="647A9DC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年龄：</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职务：</w:t>
      </w:r>
      <w:r>
        <w:rPr>
          <w:rFonts w:ascii="Times New Roman" w:hAnsi="Times New Roman" w:eastAsia="宋体" w:cs="Times New Roman"/>
          <w:color w:val="auto"/>
          <w:szCs w:val="21"/>
          <w:highlight w:val="none"/>
        </w:rPr>
        <w:t>______________________________________</w:t>
      </w:r>
    </w:p>
    <w:p w14:paraId="703D143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身份证号码：</w:t>
      </w:r>
      <w:r>
        <w:rPr>
          <w:rFonts w:ascii="Times New Roman" w:hAnsi="Times New Roman" w:eastAsia="宋体" w:cs="Times New Roman"/>
          <w:color w:val="auto"/>
          <w:szCs w:val="21"/>
          <w:highlight w:val="none"/>
        </w:rPr>
        <w:t>____________________________________________________________________________</w:t>
      </w:r>
    </w:p>
    <w:p w14:paraId="5B7EB59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系</w:t>
      </w: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的法定代表人。</w:t>
      </w:r>
    </w:p>
    <w:p w14:paraId="7B4B55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特此证明。</w:t>
      </w:r>
    </w:p>
    <w:p w14:paraId="1F3C3BBE">
      <w:pPr>
        <w:spacing w:line="360" w:lineRule="auto"/>
        <w:ind w:firstLine="420" w:firstLineChars="200"/>
        <w:rPr>
          <w:rFonts w:ascii="宋体" w:hAnsi="宋体" w:eastAsia="宋体"/>
          <w:color w:val="auto"/>
          <w:szCs w:val="21"/>
          <w:highlight w:val="none"/>
        </w:rPr>
      </w:pPr>
    </w:p>
    <w:p w14:paraId="4CC98070">
      <w:pPr>
        <w:spacing w:line="360" w:lineRule="auto"/>
        <w:ind w:firstLine="420" w:firstLineChars="200"/>
        <w:rPr>
          <w:rFonts w:ascii="宋体" w:hAnsi="宋体" w:eastAsia="宋体"/>
          <w:color w:val="auto"/>
          <w:szCs w:val="21"/>
          <w:highlight w:val="none"/>
        </w:rPr>
      </w:pPr>
    </w:p>
    <w:p w14:paraId="72963153">
      <w:pPr>
        <w:spacing w:line="360" w:lineRule="auto"/>
        <w:ind w:firstLine="420" w:firstLineChars="200"/>
        <w:rPr>
          <w:rFonts w:ascii="宋体" w:hAnsi="宋体" w:eastAsia="宋体"/>
          <w:color w:val="auto"/>
          <w:szCs w:val="21"/>
          <w:highlight w:val="none"/>
        </w:rPr>
      </w:pPr>
    </w:p>
    <w:p w14:paraId="225C383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附件：法定代表人有效身份证正反面复印件</w:t>
      </w:r>
    </w:p>
    <w:p w14:paraId="455BEE5F">
      <w:pPr>
        <w:spacing w:line="360" w:lineRule="auto"/>
        <w:ind w:firstLine="420" w:firstLineChars="200"/>
        <w:rPr>
          <w:rFonts w:ascii="宋体" w:hAnsi="宋体" w:eastAsia="宋体"/>
          <w:color w:val="auto"/>
          <w:szCs w:val="21"/>
          <w:highlight w:val="none"/>
        </w:rPr>
      </w:pPr>
    </w:p>
    <w:p w14:paraId="0FA473C4">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083FA363">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34E687EA">
      <w:pPr>
        <w:spacing w:line="360" w:lineRule="auto"/>
        <w:ind w:firstLine="420" w:firstLineChars="200"/>
        <w:rPr>
          <w:rFonts w:ascii="宋体" w:hAnsi="宋体" w:eastAsia="宋体"/>
          <w:color w:val="auto"/>
          <w:szCs w:val="21"/>
          <w:highlight w:val="none"/>
        </w:rPr>
      </w:pPr>
    </w:p>
    <w:p w14:paraId="73EAE02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注：1.自然人竞标的无需提供，联合体竞标的只需牵头人出具。</w:t>
      </w:r>
    </w:p>
    <w:p w14:paraId="013AA66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D8E06C">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21FCA6E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附件：</w:t>
      </w:r>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45BF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0E5B8E94">
            <w:pPr>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法定代表身份证复印件粘帖处（正、反面）</w:t>
            </w:r>
          </w:p>
        </w:tc>
      </w:tr>
    </w:tbl>
    <w:p w14:paraId="088A31B4">
      <w:pPr>
        <w:spacing w:line="360" w:lineRule="auto"/>
        <w:jc w:val="center"/>
        <w:rPr>
          <w:rFonts w:ascii="宋体" w:hAnsi="宋体" w:eastAsia="宋体"/>
          <w:color w:val="auto"/>
          <w:szCs w:val="21"/>
          <w:highlight w:val="none"/>
        </w:rPr>
      </w:pPr>
    </w:p>
    <w:p w14:paraId="19E4B914">
      <w:pPr>
        <w:spacing w:line="360" w:lineRule="auto"/>
        <w:jc w:val="center"/>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5AFB073D">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三、法定代表人授权委托书</w:t>
      </w:r>
    </w:p>
    <w:p w14:paraId="6907D8A3">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授权委托书（非联合体竞标格式）</w:t>
      </w:r>
    </w:p>
    <w:p w14:paraId="197AB46D">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6C95611B">
      <w:pPr>
        <w:spacing w:line="360" w:lineRule="auto"/>
        <w:ind w:firstLine="420" w:firstLineChars="200"/>
        <w:rPr>
          <w:rFonts w:ascii="宋体" w:hAnsi="宋体" w:eastAsia="宋体"/>
          <w:color w:val="auto"/>
          <w:szCs w:val="21"/>
          <w:highlight w:val="none"/>
        </w:rPr>
      </w:pPr>
    </w:p>
    <w:p w14:paraId="5D4BE0E4">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[项目采购-采购组织机构_7]</w:t>
      </w:r>
      <w:r>
        <w:rPr>
          <w:rFonts w:hint="eastAsia" w:ascii="宋体" w:hAnsi="宋体" w:eastAsia="宋体"/>
          <w:color w:val="auto"/>
          <w:szCs w:val="21"/>
          <w:highlight w:val="none"/>
        </w:rPr>
        <w:t>：</w:t>
      </w:r>
    </w:p>
    <w:p w14:paraId="0ED3ED3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w:t>
      </w:r>
      <w:r>
        <w:rPr>
          <w:rFonts w:hint="eastAsia" w:ascii="宋体" w:hAnsi="宋体" w:eastAsia="宋体"/>
          <w:color w:val="auto"/>
          <w:szCs w:val="21"/>
          <w:highlight w:val="none"/>
          <w:u w:val="single"/>
        </w:rPr>
        <w:t>（姓名）</w:t>
      </w:r>
      <w:r>
        <w:rPr>
          <w:rFonts w:hint="eastAsia" w:ascii="宋体" w:hAnsi="宋体" w:eastAsia="宋体"/>
          <w:color w:val="auto"/>
          <w:szCs w:val="21"/>
          <w:highlight w:val="none"/>
        </w:rPr>
        <w:t>系</w:t>
      </w: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的（</w:t>
      </w:r>
      <w:r>
        <w:rPr>
          <w:rFonts w:hint="eastAsia" w:ascii="宋体" w:hAnsi="宋体" w:eastAsia="宋体"/>
          <w:color w:val="auto"/>
          <w:szCs w:val="21"/>
          <w:highlight w:val="none"/>
          <w:u w:val="single"/>
        </w:rPr>
        <w:t>□法定代表人/□负责人/□自然人本人</w:t>
      </w:r>
      <w:r>
        <w:rPr>
          <w:rFonts w:hint="eastAsia" w:ascii="宋体" w:hAnsi="宋体" w:eastAsia="宋体"/>
          <w:color w:val="auto"/>
          <w:szCs w:val="21"/>
          <w:highlight w:val="none"/>
        </w:rPr>
        <w:t>），现授权</w:t>
      </w:r>
      <w:r>
        <w:rPr>
          <w:rFonts w:hint="eastAsia" w:ascii="宋体" w:hAnsi="宋体" w:eastAsia="宋体"/>
          <w:color w:val="auto"/>
          <w:szCs w:val="21"/>
          <w:highlight w:val="none"/>
          <w:u w:val="single"/>
        </w:rPr>
        <w:t>（姓名）</w:t>
      </w:r>
      <w:r>
        <w:rPr>
          <w:rFonts w:hint="eastAsia" w:ascii="宋体" w:hAnsi="宋体" w:eastAsia="宋体"/>
          <w:color w:val="auto"/>
          <w:szCs w:val="21"/>
          <w:highlight w:val="none"/>
        </w:rPr>
        <w:t>以我方的名义参加</w:t>
      </w:r>
      <w:r>
        <w:rPr>
          <w:rFonts w:hint="eastAsia" w:ascii="宋体" w:hAnsi="宋体" w:eastAsia="宋体"/>
          <w:color w:val="auto"/>
          <w:szCs w:val="21"/>
          <w:highlight w:val="none"/>
          <w:u w:val="single"/>
        </w:rPr>
        <w:t>[项目采购-项目名称_7]</w:t>
      </w:r>
      <w:r>
        <w:rPr>
          <w:rFonts w:hint="eastAsia" w:ascii="宋体" w:hAnsi="宋体" w:eastAsia="宋体"/>
          <w:color w:val="auto"/>
          <w:szCs w:val="21"/>
          <w:highlight w:val="none"/>
        </w:rPr>
        <w:t>项目的竞标活动，并代表我方全权办理针对上述项目的所有采购程序和环节的具体事务和签署相关文件。</w:t>
      </w:r>
    </w:p>
    <w:p w14:paraId="4144925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我方对委托代理人的签字事项负全部责任。</w:t>
      </w:r>
    </w:p>
    <w:p w14:paraId="15F2BC7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本授权书自签署之日起生效，在撤销授权的书面通知以前，本授权书一直有效。委托代理人在授权书有效期内签署的所有文件不因授权的撤销而失效。</w:t>
      </w:r>
    </w:p>
    <w:p w14:paraId="49B80D8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委托代理人无转委托权，特此委托。</w:t>
      </w:r>
    </w:p>
    <w:p w14:paraId="0C27019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附：法定代表人身份证明书及委托代理人有效身份证正反面复印件</w:t>
      </w:r>
    </w:p>
    <w:p w14:paraId="21EAA1CE">
      <w:pPr>
        <w:spacing w:line="360" w:lineRule="auto"/>
        <w:ind w:firstLine="420" w:firstLineChars="200"/>
        <w:rPr>
          <w:rFonts w:ascii="宋体" w:hAnsi="宋体" w:eastAsia="宋体"/>
          <w:color w:val="auto"/>
          <w:szCs w:val="21"/>
          <w:highlight w:val="none"/>
        </w:rPr>
      </w:pPr>
    </w:p>
    <w:p w14:paraId="6559ADB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委托代理人（签字）：</w:t>
      </w:r>
      <w:r>
        <w:rPr>
          <w:rFonts w:ascii="Times New Roman" w:hAnsi="Times New Roman" w:eastAsia="宋体" w:cs="Times New Roman"/>
          <w:color w:val="auto"/>
          <w:szCs w:val="21"/>
          <w:highlight w:val="none"/>
        </w:rPr>
        <w:t>___________________</w:t>
      </w:r>
      <w:r>
        <w:rPr>
          <w:rFonts w:hint="eastAsia" w:ascii="宋体" w:hAnsi="宋体" w:eastAsia="宋体"/>
          <w:color w:val="auto"/>
          <w:szCs w:val="21"/>
          <w:highlight w:val="none"/>
        </w:rPr>
        <w:t>法定代表人（签字或盖章）：</w:t>
      </w:r>
      <w:r>
        <w:rPr>
          <w:rFonts w:ascii="Times New Roman" w:hAnsi="Times New Roman" w:eastAsia="宋体" w:cs="Times New Roman"/>
          <w:color w:val="auto"/>
          <w:szCs w:val="21"/>
          <w:highlight w:val="none"/>
        </w:rPr>
        <w:t>___________________</w:t>
      </w:r>
    </w:p>
    <w:p w14:paraId="4090030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委托代理人身份证号码：</w:t>
      </w:r>
    </w:p>
    <w:p w14:paraId="699E1C68">
      <w:pPr>
        <w:spacing w:line="360" w:lineRule="auto"/>
        <w:ind w:firstLine="420" w:firstLineChars="200"/>
        <w:rPr>
          <w:rFonts w:ascii="宋体" w:hAnsi="宋体" w:eastAsia="宋体"/>
          <w:color w:val="auto"/>
          <w:szCs w:val="21"/>
          <w:highlight w:val="none"/>
        </w:rPr>
      </w:pPr>
    </w:p>
    <w:p w14:paraId="79E80282">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722F487F">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0DF33FF3">
      <w:pPr>
        <w:spacing w:line="360" w:lineRule="auto"/>
        <w:ind w:firstLine="420" w:firstLineChars="200"/>
        <w:rPr>
          <w:rFonts w:ascii="宋体" w:hAnsi="宋体" w:eastAsia="宋体"/>
          <w:color w:val="auto"/>
          <w:szCs w:val="21"/>
          <w:highlight w:val="none"/>
        </w:rPr>
      </w:pPr>
    </w:p>
    <w:p w14:paraId="59579C5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注：1.法定代表人必须在授权委托书上亲笔签字或盖章，委托代理人必须在授权委托书上亲笔签字，</w:t>
      </w:r>
      <w:r>
        <w:rPr>
          <w:rFonts w:hint="eastAsia" w:ascii="宋体" w:hAnsi="宋体" w:eastAsia="宋体"/>
          <w:b/>
          <w:color w:val="auto"/>
          <w:szCs w:val="21"/>
          <w:highlight w:val="none"/>
        </w:rPr>
        <w:t>否则其响应文件按无效响应处理</w:t>
      </w:r>
      <w:r>
        <w:rPr>
          <w:rFonts w:hint="eastAsia" w:ascii="宋体" w:hAnsi="宋体" w:eastAsia="宋体"/>
          <w:color w:val="auto"/>
          <w:szCs w:val="21"/>
          <w:highlight w:val="none"/>
        </w:rPr>
        <w:t>。</w:t>
      </w:r>
    </w:p>
    <w:p w14:paraId="6FD7A78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40356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3.法人、其他组织竞标时“我方”是指“我单位”，自然人竞标时“我方”是指“本人”。</w:t>
      </w:r>
    </w:p>
    <w:p w14:paraId="5FFB6DD7">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186F90B0">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授权委托书（联合体竞标格式）</w:t>
      </w:r>
    </w:p>
    <w:p w14:paraId="408054CF">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21D15402">
      <w:pPr>
        <w:spacing w:line="360" w:lineRule="auto"/>
        <w:ind w:firstLine="420" w:firstLineChars="200"/>
        <w:rPr>
          <w:rFonts w:ascii="宋体" w:hAnsi="宋体" w:eastAsia="宋体"/>
          <w:color w:val="auto"/>
          <w:szCs w:val="21"/>
          <w:highlight w:val="none"/>
        </w:rPr>
      </w:pPr>
    </w:p>
    <w:p w14:paraId="47DFC5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本授权委托书声明：根据</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（牵头人名称）与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（联合体其他成员名称）签订的《联合体竞标协议书》的内容，</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（牵头人名称）的法定代表人</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（姓名）现授权</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（姓名）为联合委托代理人，并代表我方全权办理针对上述项目的所有采购程序和环节的具体事务和签署相关文件。</w:t>
      </w:r>
    </w:p>
    <w:p w14:paraId="23DED70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我方对委托代理人的签字事项负全部责任。</w:t>
      </w:r>
    </w:p>
    <w:p w14:paraId="5C1BB21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本授权书自签署之日起生效，在撤销授权的书面通知以前，本授权书一直有效。委托代理人在授权书有效期内签署的所有文件不因授权的撤销而失效。</w:t>
      </w:r>
    </w:p>
    <w:p w14:paraId="32A7AB4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委托代理人无转委托权，特此委托。</w:t>
      </w:r>
    </w:p>
    <w:p w14:paraId="65088AFC">
      <w:pPr>
        <w:spacing w:line="360" w:lineRule="auto"/>
        <w:ind w:firstLine="420" w:firstLineChars="200"/>
        <w:rPr>
          <w:rFonts w:ascii="宋体" w:hAnsi="宋体" w:eastAsia="宋体"/>
          <w:color w:val="auto"/>
          <w:szCs w:val="21"/>
          <w:highlight w:val="none"/>
        </w:rPr>
      </w:pPr>
    </w:p>
    <w:p w14:paraId="2EF3B61A">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牵头人法定代表人（签字或盖章）：</w:t>
      </w:r>
    </w:p>
    <w:p w14:paraId="589ABC35">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牵头人（电子签章）：</w:t>
      </w:r>
    </w:p>
    <w:p w14:paraId="3FD1C108">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718786EF">
      <w:pPr>
        <w:spacing w:line="360" w:lineRule="auto"/>
        <w:ind w:firstLine="420" w:firstLineChars="200"/>
        <w:rPr>
          <w:rFonts w:ascii="宋体" w:hAnsi="宋体" w:eastAsia="宋体"/>
          <w:color w:val="auto"/>
          <w:szCs w:val="21"/>
          <w:highlight w:val="none"/>
        </w:rPr>
      </w:pPr>
    </w:p>
    <w:p w14:paraId="6823CE83">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被授权人（签字）：</w:t>
      </w:r>
    </w:p>
    <w:p w14:paraId="3B45AFB2">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4150C13C">
      <w:pPr>
        <w:spacing w:line="360" w:lineRule="auto"/>
        <w:ind w:firstLine="420" w:firstLineChars="200"/>
        <w:rPr>
          <w:rFonts w:ascii="宋体" w:hAnsi="宋体" w:eastAsia="宋体"/>
          <w:color w:val="auto"/>
          <w:szCs w:val="21"/>
          <w:highlight w:val="none"/>
        </w:rPr>
      </w:pPr>
    </w:p>
    <w:p w14:paraId="6C44074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注：1.法定代表人必须在授权委托书上亲笔签字或盖章，委托代理人必须在授权委托书上亲笔签字，</w:t>
      </w:r>
      <w:r>
        <w:rPr>
          <w:rFonts w:hint="eastAsia" w:ascii="宋体" w:hAnsi="宋体" w:eastAsia="宋体"/>
          <w:b/>
          <w:color w:val="auto"/>
          <w:szCs w:val="21"/>
          <w:highlight w:val="none"/>
        </w:rPr>
        <w:t>否则其响应文件按无效响应处理</w:t>
      </w:r>
      <w:r>
        <w:rPr>
          <w:rFonts w:hint="eastAsia" w:ascii="宋体" w:hAnsi="宋体" w:eastAsia="宋体"/>
          <w:color w:val="auto"/>
          <w:szCs w:val="21"/>
          <w:highlight w:val="none"/>
        </w:rPr>
        <w:t>。</w:t>
      </w:r>
    </w:p>
    <w:p w14:paraId="573B30E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2.本授权委托书应由联合体牵头人的法定代表人按上述规定签署。</w:t>
      </w:r>
    </w:p>
    <w:p w14:paraId="1076F66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9BCAF2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4.法人、其他组织竞标时“我方”是指“我单位”，自然人竞标时“我方”是指“本人”。</w:t>
      </w:r>
    </w:p>
    <w:p w14:paraId="7497444F">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65C944C5">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四、商务条款偏离表</w:t>
      </w:r>
    </w:p>
    <w:p w14:paraId="652D6434">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商务条款偏离表</w:t>
      </w:r>
    </w:p>
    <w:p w14:paraId="0A39B928">
      <w:pPr>
        <w:spacing w:line="360" w:lineRule="auto"/>
        <w:ind w:firstLine="420" w:firstLineChars="200"/>
        <w:rPr>
          <w:rFonts w:ascii="宋体" w:hAnsi="宋体" w:eastAsia="宋体"/>
          <w:color w:val="auto"/>
          <w:szCs w:val="21"/>
          <w:highlight w:val="none"/>
        </w:rPr>
      </w:pPr>
    </w:p>
    <w:p w14:paraId="72BD97E6">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采购项目编号：</w:t>
      </w:r>
      <w:r>
        <w:rPr>
          <w:rFonts w:hint="eastAsia" w:ascii="宋体" w:hAnsi="宋体" w:eastAsia="宋体"/>
          <w:color w:val="auto"/>
          <w:szCs w:val="21"/>
          <w:highlight w:val="none"/>
          <w:u w:val="single"/>
        </w:rPr>
        <w:t>[项目采购-项目编号_8]</w:t>
      </w:r>
    </w:p>
    <w:p w14:paraId="41926785">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采购项目名称：</w:t>
      </w:r>
      <w:r>
        <w:rPr>
          <w:rFonts w:hint="eastAsia" w:ascii="宋体" w:hAnsi="宋体" w:eastAsia="宋体"/>
          <w:color w:val="auto"/>
          <w:szCs w:val="21"/>
          <w:highlight w:val="none"/>
          <w:u w:val="single"/>
        </w:rPr>
        <w:t>[项目采购-项目名称_8]</w:t>
      </w:r>
    </w:p>
    <w:p w14:paraId="01FFE3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分标号（此处有分标时填写具体分标号，无分标时填写“无”）：</w:t>
      </w:r>
      <w:r>
        <w:rPr>
          <w:rFonts w:ascii="Times New Roman" w:hAnsi="Times New Roman" w:eastAsia="宋体" w:cs="Times New Roman"/>
          <w:color w:val="auto"/>
          <w:szCs w:val="21"/>
          <w:highlight w:val="none"/>
        </w:rPr>
        <w:t>________________________________</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18C3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3FD24F18">
            <w:pPr>
              <w:jc w:val="center"/>
              <w:rPr>
                <w:rFonts w:ascii="宋体" w:hAnsi="宋体" w:eastAsia="宋体"/>
                <w:color w:val="auto"/>
                <w:szCs w:val="21"/>
                <w:highlight w:val="none"/>
              </w:rPr>
            </w:pPr>
            <w:r>
              <w:rPr>
                <w:rFonts w:hint="eastAsia" w:ascii="宋体" w:hAnsi="宋体" w:eastAsia="宋体"/>
                <w:color w:val="auto"/>
                <w:szCs w:val="21"/>
                <w:highlight w:val="none"/>
              </w:rPr>
              <w:t>项号</w:t>
            </w:r>
          </w:p>
        </w:tc>
        <w:tc>
          <w:tcPr>
            <w:tcW w:w="1768" w:type="pct"/>
            <w:vAlign w:val="center"/>
          </w:tcPr>
          <w:p w14:paraId="059087B6">
            <w:pPr>
              <w:jc w:val="center"/>
              <w:rPr>
                <w:rFonts w:ascii="宋体" w:hAnsi="宋体" w:eastAsia="宋体"/>
                <w:color w:val="auto"/>
                <w:szCs w:val="21"/>
                <w:highlight w:val="none"/>
              </w:rPr>
            </w:pPr>
            <w:r>
              <w:rPr>
                <w:rFonts w:hint="eastAsia" w:ascii="宋体" w:hAnsi="宋体" w:eastAsia="宋体"/>
                <w:color w:val="auto"/>
                <w:szCs w:val="21"/>
                <w:highlight w:val="none"/>
              </w:rPr>
              <w:t>竞争性磋商采购文件的商务需求</w:t>
            </w:r>
          </w:p>
        </w:tc>
        <w:tc>
          <w:tcPr>
            <w:tcW w:w="1400" w:type="pct"/>
            <w:vAlign w:val="center"/>
          </w:tcPr>
          <w:p w14:paraId="4A8EC5D3">
            <w:pPr>
              <w:jc w:val="center"/>
              <w:rPr>
                <w:rFonts w:ascii="宋体" w:hAnsi="宋体" w:eastAsia="宋体"/>
                <w:color w:val="auto"/>
                <w:szCs w:val="21"/>
                <w:highlight w:val="none"/>
              </w:rPr>
            </w:pPr>
            <w:r>
              <w:rPr>
                <w:rFonts w:hint="eastAsia" w:ascii="宋体" w:hAnsi="宋体" w:eastAsia="宋体"/>
                <w:color w:val="auto"/>
                <w:szCs w:val="21"/>
                <w:highlight w:val="none"/>
              </w:rPr>
              <w:t>响应文件承诺的商务条款</w:t>
            </w:r>
          </w:p>
        </w:tc>
        <w:tc>
          <w:tcPr>
            <w:tcW w:w="1465" w:type="pct"/>
            <w:vAlign w:val="center"/>
          </w:tcPr>
          <w:p w14:paraId="251DD4C1">
            <w:pPr>
              <w:jc w:val="center"/>
              <w:rPr>
                <w:rFonts w:ascii="宋体" w:hAnsi="宋体" w:eastAsia="宋体"/>
                <w:color w:val="auto"/>
                <w:szCs w:val="21"/>
                <w:highlight w:val="none"/>
              </w:rPr>
            </w:pPr>
            <w:r>
              <w:rPr>
                <w:rFonts w:hint="eastAsia" w:ascii="宋体" w:hAnsi="宋体" w:eastAsia="宋体"/>
                <w:color w:val="auto"/>
                <w:szCs w:val="21"/>
                <w:highlight w:val="none"/>
              </w:rPr>
              <w:t>偏离说明</w:t>
            </w:r>
          </w:p>
        </w:tc>
      </w:tr>
      <w:tr w14:paraId="23D7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453C3A3E">
            <w:pPr>
              <w:jc w:val="center"/>
              <w:rPr>
                <w:rFonts w:ascii="宋体" w:hAnsi="宋体" w:eastAsia="宋体"/>
                <w:color w:val="auto"/>
                <w:szCs w:val="21"/>
                <w:highlight w:val="none"/>
              </w:rPr>
            </w:pPr>
            <w:r>
              <w:rPr>
                <w:rFonts w:hint="eastAsia" w:ascii="宋体" w:hAnsi="宋体" w:eastAsia="宋体"/>
                <w:color w:val="auto"/>
                <w:szCs w:val="21"/>
                <w:highlight w:val="none"/>
              </w:rPr>
              <w:t>一</w:t>
            </w:r>
          </w:p>
        </w:tc>
        <w:tc>
          <w:tcPr>
            <w:tcW w:w="1768" w:type="pct"/>
            <w:vAlign w:val="center"/>
          </w:tcPr>
          <w:p w14:paraId="67698D39">
            <w:pPr>
              <w:jc w:val="left"/>
              <w:rPr>
                <w:rFonts w:ascii="宋体" w:hAnsi="宋体" w:eastAsia="宋体"/>
                <w:color w:val="auto"/>
                <w:szCs w:val="21"/>
                <w:highlight w:val="none"/>
              </w:rPr>
            </w:pPr>
          </w:p>
        </w:tc>
        <w:tc>
          <w:tcPr>
            <w:tcW w:w="1400" w:type="pct"/>
            <w:vAlign w:val="center"/>
          </w:tcPr>
          <w:p w14:paraId="5C7F054A">
            <w:pPr>
              <w:jc w:val="left"/>
              <w:rPr>
                <w:rFonts w:ascii="宋体" w:hAnsi="宋体" w:eastAsia="宋体"/>
                <w:color w:val="auto"/>
                <w:szCs w:val="21"/>
                <w:highlight w:val="none"/>
              </w:rPr>
            </w:pPr>
          </w:p>
        </w:tc>
        <w:tc>
          <w:tcPr>
            <w:tcW w:w="1465" w:type="pct"/>
            <w:vAlign w:val="center"/>
          </w:tcPr>
          <w:p w14:paraId="7A9E3BD8">
            <w:pPr>
              <w:jc w:val="center"/>
              <w:rPr>
                <w:rFonts w:ascii="宋体" w:hAnsi="宋体" w:eastAsia="宋体"/>
                <w:color w:val="auto"/>
                <w:szCs w:val="21"/>
                <w:highlight w:val="none"/>
              </w:rPr>
            </w:pPr>
          </w:p>
        </w:tc>
      </w:tr>
      <w:tr w14:paraId="4F06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0F2D828F">
            <w:pPr>
              <w:jc w:val="center"/>
              <w:rPr>
                <w:rFonts w:ascii="宋体" w:hAnsi="宋体" w:eastAsia="宋体"/>
                <w:color w:val="auto"/>
                <w:szCs w:val="21"/>
                <w:highlight w:val="none"/>
              </w:rPr>
            </w:pPr>
            <w:r>
              <w:rPr>
                <w:rFonts w:hint="eastAsia" w:ascii="宋体" w:hAnsi="宋体" w:eastAsia="宋体"/>
                <w:color w:val="auto"/>
                <w:szCs w:val="21"/>
                <w:highlight w:val="none"/>
              </w:rPr>
              <w:t>二</w:t>
            </w:r>
          </w:p>
        </w:tc>
        <w:tc>
          <w:tcPr>
            <w:tcW w:w="1768" w:type="pct"/>
            <w:vAlign w:val="center"/>
          </w:tcPr>
          <w:p w14:paraId="519669CE">
            <w:pPr>
              <w:jc w:val="left"/>
              <w:rPr>
                <w:rFonts w:ascii="宋体" w:hAnsi="宋体" w:eastAsia="宋体"/>
                <w:color w:val="auto"/>
                <w:szCs w:val="21"/>
                <w:highlight w:val="none"/>
              </w:rPr>
            </w:pPr>
          </w:p>
        </w:tc>
        <w:tc>
          <w:tcPr>
            <w:tcW w:w="1400" w:type="pct"/>
            <w:vAlign w:val="center"/>
          </w:tcPr>
          <w:p w14:paraId="71480539">
            <w:pPr>
              <w:jc w:val="left"/>
              <w:rPr>
                <w:rFonts w:ascii="宋体" w:hAnsi="宋体" w:eastAsia="宋体"/>
                <w:color w:val="auto"/>
                <w:szCs w:val="21"/>
                <w:highlight w:val="none"/>
              </w:rPr>
            </w:pPr>
          </w:p>
        </w:tc>
        <w:tc>
          <w:tcPr>
            <w:tcW w:w="1465" w:type="pct"/>
            <w:vAlign w:val="center"/>
          </w:tcPr>
          <w:p w14:paraId="544398A6">
            <w:pPr>
              <w:jc w:val="center"/>
              <w:rPr>
                <w:rFonts w:ascii="宋体" w:hAnsi="宋体" w:eastAsia="宋体"/>
                <w:color w:val="auto"/>
                <w:szCs w:val="21"/>
                <w:highlight w:val="none"/>
              </w:rPr>
            </w:pPr>
          </w:p>
        </w:tc>
      </w:tr>
      <w:tr w14:paraId="6E2F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199B4822">
            <w:pPr>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768" w:type="pct"/>
            <w:vAlign w:val="center"/>
          </w:tcPr>
          <w:p w14:paraId="124C03B4">
            <w:pPr>
              <w:jc w:val="left"/>
              <w:rPr>
                <w:rFonts w:ascii="宋体" w:hAnsi="宋体" w:eastAsia="宋体"/>
                <w:color w:val="auto"/>
                <w:szCs w:val="21"/>
                <w:highlight w:val="none"/>
              </w:rPr>
            </w:pPr>
          </w:p>
        </w:tc>
        <w:tc>
          <w:tcPr>
            <w:tcW w:w="1400" w:type="pct"/>
            <w:vAlign w:val="center"/>
          </w:tcPr>
          <w:p w14:paraId="1127EC92">
            <w:pPr>
              <w:jc w:val="left"/>
              <w:rPr>
                <w:rFonts w:ascii="宋体" w:hAnsi="宋体" w:eastAsia="宋体"/>
                <w:color w:val="auto"/>
                <w:szCs w:val="21"/>
                <w:highlight w:val="none"/>
              </w:rPr>
            </w:pPr>
          </w:p>
        </w:tc>
        <w:tc>
          <w:tcPr>
            <w:tcW w:w="1465" w:type="pct"/>
            <w:vAlign w:val="center"/>
          </w:tcPr>
          <w:p w14:paraId="24F0248D">
            <w:pPr>
              <w:jc w:val="center"/>
              <w:rPr>
                <w:rFonts w:ascii="宋体" w:hAnsi="宋体" w:eastAsia="宋体"/>
                <w:color w:val="auto"/>
                <w:szCs w:val="21"/>
                <w:highlight w:val="none"/>
              </w:rPr>
            </w:pPr>
          </w:p>
        </w:tc>
      </w:tr>
    </w:tbl>
    <w:p w14:paraId="78D54C2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29C2B90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1.说明：应对照磋商文件“第二章采购需求”中的商务条款逐条作出明确响应，并作出偏离说明。</w:t>
      </w:r>
    </w:p>
    <w:p w14:paraId="44722B1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761899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3.表格内容均需按要求填写，不得留空。</w:t>
      </w:r>
    </w:p>
    <w:p w14:paraId="45F41BA7">
      <w:pPr>
        <w:spacing w:line="360" w:lineRule="auto"/>
        <w:ind w:firstLine="420" w:firstLineChars="200"/>
        <w:rPr>
          <w:rFonts w:ascii="宋体" w:hAnsi="宋体" w:eastAsia="宋体"/>
          <w:color w:val="auto"/>
          <w:szCs w:val="21"/>
          <w:highlight w:val="none"/>
        </w:rPr>
      </w:pPr>
    </w:p>
    <w:p w14:paraId="18D81C26">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DBD30B2">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287AF594">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992" w:gutter="0"/>
          <w:pgNumType w:fmt="decimal"/>
          <w:cols w:space="425" w:num="1"/>
          <w:docGrid w:type="lines" w:linePitch="312" w:charSpace="0"/>
        </w:sectPr>
      </w:pPr>
    </w:p>
    <w:p w14:paraId="6766256E">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五、竞标人情况介绍</w:t>
      </w:r>
    </w:p>
    <w:p w14:paraId="256F2895">
      <w:pPr>
        <w:spacing w:line="360" w:lineRule="auto"/>
        <w:ind w:firstLine="420" w:firstLineChars="200"/>
        <w:rPr>
          <w:rFonts w:ascii="宋体" w:hAnsi="宋体" w:eastAsia="宋体"/>
          <w:color w:val="auto"/>
          <w:szCs w:val="21"/>
          <w:highlight w:val="none"/>
        </w:rPr>
      </w:pPr>
    </w:p>
    <w:p w14:paraId="322233A4">
      <w:pPr>
        <w:spacing w:line="360" w:lineRule="auto"/>
        <w:ind w:firstLine="420" w:firstLineChars="200"/>
        <w:jc w:val="right"/>
        <w:rPr>
          <w:rFonts w:ascii="宋体" w:hAnsi="宋体" w:eastAsia="宋体"/>
          <w:color w:val="auto"/>
          <w:szCs w:val="21"/>
          <w:highlight w:val="none"/>
        </w:rPr>
      </w:pPr>
    </w:p>
    <w:p w14:paraId="36341F0E">
      <w:pPr>
        <w:spacing w:line="360" w:lineRule="auto"/>
        <w:ind w:firstLine="420" w:firstLineChars="200"/>
        <w:jc w:val="right"/>
        <w:rPr>
          <w:rFonts w:ascii="宋体" w:hAnsi="宋体" w:eastAsia="宋体"/>
          <w:color w:val="auto"/>
          <w:szCs w:val="21"/>
          <w:highlight w:val="none"/>
        </w:rPr>
      </w:pPr>
    </w:p>
    <w:p w14:paraId="37A5D2B8">
      <w:pPr>
        <w:spacing w:line="360" w:lineRule="auto"/>
        <w:ind w:firstLine="420" w:firstLineChars="200"/>
        <w:rPr>
          <w:rFonts w:ascii="宋体" w:hAnsi="宋体" w:eastAsia="宋体"/>
          <w:color w:val="auto"/>
          <w:szCs w:val="21"/>
          <w:highlight w:val="none"/>
        </w:rPr>
      </w:pPr>
    </w:p>
    <w:p w14:paraId="63B2F29A">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六、供应商类似的业绩证明文件</w:t>
      </w:r>
    </w:p>
    <w:p w14:paraId="5ACBABA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附表：相关项目业绩一览表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817"/>
        <w:gridCol w:w="1618"/>
        <w:gridCol w:w="2404"/>
        <w:gridCol w:w="2404"/>
      </w:tblGrid>
      <w:tr w14:paraId="40C7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16" w:type="pct"/>
            <w:vAlign w:val="center"/>
          </w:tcPr>
          <w:p w14:paraId="10690AD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采购人名称</w:t>
            </w:r>
          </w:p>
        </w:tc>
        <w:tc>
          <w:tcPr>
            <w:tcW w:w="922" w:type="pct"/>
            <w:vAlign w:val="center"/>
          </w:tcPr>
          <w:p w14:paraId="4B16137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项目名称</w:t>
            </w:r>
          </w:p>
        </w:tc>
        <w:tc>
          <w:tcPr>
            <w:tcW w:w="821" w:type="pct"/>
            <w:vAlign w:val="center"/>
          </w:tcPr>
          <w:p w14:paraId="5D90692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合同金额（万元）</w:t>
            </w:r>
          </w:p>
        </w:tc>
        <w:tc>
          <w:tcPr>
            <w:tcW w:w="1220" w:type="pct"/>
            <w:vAlign w:val="center"/>
          </w:tcPr>
          <w:p w14:paraId="4AA39693">
            <w:pPr>
              <w:spacing w:line="360" w:lineRule="auto"/>
              <w:jc w:val="center"/>
              <w:rPr>
                <w:rFonts w:hint="eastAsia" w:ascii="宋体" w:hAnsi="宋体" w:eastAsia="宋体"/>
                <w:color w:val="auto"/>
                <w:szCs w:val="21"/>
                <w:highlight w:val="none"/>
              </w:rPr>
            </w:pPr>
            <w:r>
              <w:rPr>
                <w:rFonts w:hint="eastAsia" w:ascii="宋体" w:hAnsi="宋体" w:eastAsia="宋体" w:cs="宋体"/>
                <w:color w:val="auto"/>
                <w:szCs w:val="21"/>
                <w:highlight w:val="none"/>
                <w:lang w:val="en-US" w:eastAsia="zh-CN"/>
              </w:rPr>
              <w:t>中标日期</w:t>
            </w:r>
          </w:p>
        </w:tc>
        <w:tc>
          <w:tcPr>
            <w:tcW w:w="1220" w:type="pct"/>
            <w:vAlign w:val="center"/>
          </w:tcPr>
          <w:p w14:paraId="6D5D37B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采购人联系人及联系电话</w:t>
            </w:r>
          </w:p>
        </w:tc>
      </w:tr>
      <w:tr w14:paraId="494C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pct"/>
            <w:vAlign w:val="center"/>
          </w:tcPr>
          <w:p w14:paraId="5944CCEF">
            <w:pPr>
              <w:spacing w:line="360" w:lineRule="auto"/>
              <w:jc w:val="center"/>
              <w:rPr>
                <w:rFonts w:ascii="宋体" w:hAnsi="宋体" w:eastAsia="宋体"/>
                <w:color w:val="auto"/>
                <w:szCs w:val="21"/>
                <w:highlight w:val="none"/>
              </w:rPr>
            </w:pPr>
          </w:p>
        </w:tc>
        <w:tc>
          <w:tcPr>
            <w:tcW w:w="922" w:type="pct"/>
            <w:vAlign w:val="center"/>
          </w:tcPr>
          <w:p w14:paraId="2F8CF828">
            <w:pPr>
              <w:spacing w:line="360" w:lineRule="auto"/>
              <w:jc w:val="center"/>
              <w:rPr>
                <w:rFonts w:ascii="宋体" w:hAnsi="宋体" w:eastAsia="宋体"/>
                <w:color w:val="auto"/>
                <w:szCs w:val="21"/>
                <w:highlight w:val="none"/>
              </w:rPr>
            </w:pPr>
          </w:p>
        </w:tc>
        <w:tc>
          <w:tcPr>
            <w:tcW w:w="821" w:type="pct"/>
            <w:vAlign w:val="center"/>
          </w:tcPr>
          <w:p w14:paraId="0CF45D99">
            <w:pPr>
              <w:spacing w:line="360" w:lineRule="auto"/>
              <w:jc w:val="center"/>
              <w:rPr>
                <w:rFonts w:ascii="宋体" w:hAnsi="宋体" w:eastAsia="宋体"/>
                <w:color w:val="auto"/>
                <w:szCs w:val="21"/>
                <w:highlight w:val="none"/>
              </w:rPr>
            </w:pPr>
          </w:p>
        </w:tc>
        <w:tc>
          <w:tcPr>
            <w:tcW w:w="1220" w:type="pct"/>
            <w:vAlign w:val="center"/>
          </w:tcPr>
          <w:p w14:paraId="6459CB0C">
            <w:pPr>
              <w:spacing w:line="360" w:lineRule="auto"/>
              <w:jc w:val="center"/>
              <w:rPr>
                <w:rFonts w:ascii="宋体" w:hAnsi="宋体" w:eastAsia="宋体"/>
                <w:color w:val="auto"/>
                <w:szCs w:val="21"/>
                <w:highlight w:val="none"/>
              </w:rPr>
            </w:pPr>
          </w:p>
        </w:tc>
        <w:tc>
          <w:tcPr>
            <w:tcW w:w="1220" w:type="pct"/>
            <w:vAlign w:val="center"/>
          </w:tcPr>
          <w:p w14:paraId="3D644AFD">
            <w:pPr>
              <w:spacing w:line="360" w:lineRule="auto"/>
              <w:jc w:val="center"/>
              <w:rPr>
                <w:rFonts w:ascii="宋体" w:hAnsi="宋体" w:eastAsia="宋体"/>
                <w:color w:val="auto"/>
                <w:szCs w:val="21"/>
                <w:highlight w:val="none"/>
              </w:rPr>
            </w:pPr>
          </w:p>
        </w:tc>
      </w:tr>
      <w:tr w14:paraId="1C06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pct"/>
            <w:vAlign w:val="center"/>
          </w:tcPr>
          <w:p w14:paraId="017E4191">
            <w:pPr>
              <w:spacing w:line="360" w:lineRule="auto"/>
              <w:jc w:val="center"/>
              <w:rPr>
                <w:rFonts w:ascii="宋体" w:hAnsi="宋体" w:eastAsia="宋体"/>
                <w:color w:val="auto"/>
                <w:szCs w:val="21"/>
                <w:highlight w:val="none"/>
              </w:rPr>
            </w:pPr>
          </w:p>
        </w:tc>
        <w:tc>
          <w:tcPr>
            <w:tcW w:w="922" w:type="pct"/>
            <w:vAlign w:val="center"/>
          </w:tcPr>
          <w:p w14:paraId="40B96638">
            <w:pPr>
              <w:spacing w:line="360" w:lineRule="auto"/>
              <w:jc w:val="center"/>
              <w:rPr>
                <w:rFonts w:ascii="宋体" w:hAnsi="宋体" w:eastAsia="宋体"/>
                <w:color w:val="auto"/>
                <w:szCs w:val="21"/>
                <w:highlight w:val="none"/>
              </w:rPr>
            </w:pPr>
          </w:p>
        </w:tc>
        <w:tc>
          <w:tcPr>
            <w:tcW w:w="821" w:type="pct"/>
            <w:vAlign w:val="center"/>
          </w:tcPr>
          <w:p w14:paraId="3B83EF32">
            <w:pPr>
              <w:spacing w:line="360" w:lineRule="auto"/>
              <w:jc w:val="center"/>
              <w:rPr>
                <w:rFonts w:ascii="宋体" w:hAnsi="宋体" w:eastAsia="宋体"/>
                <w:color w:val="auto"/>
                <w:szCs w:val="21"/>
                <w:highlight w:val="none"/>
              </w:rPr>
            </w:pPr>
          </w:p>
        </w:tc>
        <w:tc>
          <w:tcPr>
            <w:tcW w:w="1220" w:type="pct"/>
            <w:vAlign w:val="center"/>
          </w:tcPr>
          <w:p w14:paraId="7B4A83F2">
            <w:pPr>
              <w:spacing w:line="360" w:lineRule="auto"/>
              <w:jc w:val="center"/>
              <w:rPr>
                <w:rFonts w:ascii="宋体" w:hAnsi="宋体" w:eastAsia="宋体"/>
                <w:color w:val="auto"/>
                <w:szCs w:val="21"/>
                <w:highlight w:val="none"/>
              </w:rPr>
            </w:pPr>
          </w:p>
        </w:tc>
        <w:tc>
          <w:tcPr>
            <w:tcW w:w="1220" w:type="pct"/>
            <w:vAlign w:val="center"/>
          </w:tcPr>
          <w:p w14:paraId="1FE64D3A">
            <w:pPr>
              <w:spacing w:line="360" w:lineRule="auto"/>
              <w:jc w:val="center"/>
              <w:rPr>
                <w:rFonts w:ascii="宋体" w:hAnsi="宋体" w:eastAsia="宋体"/>
                <w:color w:val="auto"/>
                <w:szCs w:val="21"/>
                <w:highlight w:val="none"/>
              </w:rPr>
            </w:pPr>
          </w:p>
        </w:tc>
      </w:tr>
      <w:tr w14:paraId="3B73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pct"/>
            <w:vAlign w:val="center"/>
          </w:tcPr>
          <w:p w14:paraId="113D1F0C">
            <w:pPr>
              <w:spacing w:line="360" w:lineRule="auto"/>
              <w:jc w:val="center"/>
              <w:rPr>
                <w:rFonts w:ascii="宋体" w:hAnsi="宋体" w:eastAsia="宋体"/>
                <w:color w:val="auto"/>
                <w:szCs w:val="21"/>
                <w:highlight w:val="none"/>
              </w:rPr>
            </w:pPr>
          </w:p>
        </w:tc>
        <w:tc>
          <w:tcPr>
            <w:tcW w:w="922" w:type="pct"/>
            <w:vAlign w:val="center"/>
          </w:tcPr>
          <w:p w14:paraId="4F239610">
            <w:pPr>
              <w:spacing w:line="360" w:lineRule="auto"/>
              <w:jc w:val="center"/>
              <w:rPr>
                <w:rFonts w:ascii="宋体" w:hAnsi="宋体" w:eastAsia="宋体"/>
                <w:color w:val="auto"/>
                <w:szCs w:val="21"/>
                <w:highlight w:val="none"/>
              </w:rPr>
            </w:pPr>
          </w:p>
        </w:tc>
        <w:tc>
          <w:tcPr>
            <w:tcW w:w="821" w:type="pct"/>
            <w:vAlign w:val="center"/>
          </w:tcPr>
          <w:p w14:paraId="565AD9FF">
            <w:pPr>
              <w:spacing w:line="360" w:lineRule="auto"/>
              <w:jc w:val="center"/>
              <w:rPr>
                <w:rFonts w:ascii="宋体" w:hAnsi="宋体" w:eastAsia="宋体"/>
                <w:color w:val="auto"/>
                <w:szCs w:val="21"/>
                <w:highlight w:val="none"/>
              </w:rPr>
            </w:pPr>
          </w:p>
        </w:tc>
        <w:tc>
          <w:tcPr>
            <w:tcW w:w="1220" w:type="pct"/>
            <w:vAlign w:val="center"/>
          </w:tcPr>
          <w:p w14:paraId="749AFADC">
            <w:pPr>
              <w:spacing w:line="360" w:lineRule="auto"/>
              <w:jc w:val="center"/>
              <w:rPr>
                <w:rFonts w:ascii="宋体" w:hAnsi="宋体" w:eastAsia="宋体"/>
                <w:color w:val="auto"/>
                <w:szCs w:val="21"/>
                <w:highlight w:val="none"/>
              </w:rPr>
            </w:pPr>
          </w:p>
        </w:tc>
        <w:tc>
          <w:tcPr>
            <w:tcW w:w="1220" w:type="pct"/>
            <w:vAlign w:val="center"/>
          </w:tcPr>
          <w:p w14:paraId="499439FD">
            <w:pPr>
              <w:spacing w:line="360" w:lineRule="auto"/>
              <w:jc w:val="center"/>
              <w:rPr>
                <w:rFonts w:ascii="宋体" w:hAnsi="宋体" w:eastAsia="宋体"/>
                <w:color w:val="auto"/>
                <w:szCs w:val="21"/>
                <w:highlight w:val="none"/>
              </w:rPr>
            </w:pPr>
          </w:p>
        </w:tc>
      </w:tr>
      <w:tr w14:paraId="17A8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pct"/>
            <w:vAlign w:val="center"/>
          </w:tcPr>
          <w:p w14:paraId="66BC711C">
            <w:pPr>
              <w:spacing w:line="360" w:lineRule="auto"/>
              <w:jc w:val="center"/>
              <w:rPr>
                <w:rFonts w:ascii="宋体" w:hAnsi="宋体" w:eastAsia="宋体"/>
                <w:color w:val="auto"/>
                <w:szCs w:val="21"/>
                <w:highlight w:val="none"/>
              </w:rPr>
            </w:pPr>
          </w:p>
        </w:tc>
        <w:tc>
          <w:tcPr>
            <w:tcW w:w="922" w:type="pct"/>
            <w:vAlign w:val="center"/>
          </w:tcPr>
          <w:p w14:paraId="24BBB78D">
            <w:pPr>
              <w:spacing w:line="360" w:lineRule="auto"/>
              <w:jc w:val="center"/>
              <w:rPr>
                <w:rFonts w:ascii="宋体" w:hAnsi="宋体" w:eastAsia="宋体"/>
                <w:color w:val="auto"/>
                <w:szCs w:val="21"/>
                <w:highlight w:val="none"/>
              </w:rPr>
            </w:pPr>
          </w:p>
        </w:tc>
        <w:tc>
          <w:tcPr>
            <w:tcW w:w="821" w:type="pct"/>
            <w:vAlign w:val="center"/>
          </w:tcPr>
          <w:p w14:paraId="698E3576">
            <w:pPr>
              <w:spacing w:line="360" w:lineRule="auto"/>
              <w:jc w:val="center"/>
              <w:rPr>
                <w:rFonts w:ascii="宋体" w:hAnsi="宋体" w:eastAsia="宋体"/>
                <w:color w:val="auto"/>
                <w:szCs w:val="21"/>
                <w:highlight w:val="none"/>
              </w:rPr>
            </w:pPr>
          </w:p>
        </w:tc>
        <w:tc>
          <w:tcPr>
            <w:tcW w:w="1220" w:type="pct"/>
            <w:vAlign w:val="center"/>
          </w:tcPr>
          <w:p w14:paraId="56C3B7CA">
            <w:pPr>
              <w:spacing w:line="360" w:lineRule="auto"/>
              <w:jc w:val="center"/>
              <w:rPr>
                <w:rFonts w:ascii="宋体" w:hAnsi="宋体" w:eastAsia="宋体"/>
                <w:color w:val="auto"/>
                <w:szCs w:val="21"/>
                <w:highlight w:val="none"/>
              </w:rPr>
            </w:pPr>
          </w:p>
        </w:tc>
        <w:tc>
          <w:tcPr>
            <w:tcW w:w="1220" w:type="pct"/>
            <w:vAlign w:val="center"/>
          </w:tcPr>
          <w:p w14:paraId="53C37AD9">
            <w:pPr>
              <w:spacing w:line="360" w:lineRule="auto"/>
              <w:jc w:val="center"/>
              <w:rPr>
                <w:rFonts w:ascii="宋体" w:hAnsi="宋体" w:eastAsia="宋体"/>
                <w:color w:val="auto"/>
                <w:szCs w:val="21"/>
                <w:highlight w:val="none"/>
              </w:rPr>
            </w:pPr>
          </w:p>
        </w:tc>
      </w:tr>
      <w:tr w14:paraId="0BD2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pct"/>
            <w:vAlign w:val="center"/>
          </w:tcPr>
          <w:p w14:paraId="3D9C3D2B">
            <w:pPr>
              <w:spacing w:line="360" w:lineRule="auto"/>
              <w:jc w:val="center"/>
              <w:rPr>
                <w:rFonts w:ascii="宋体" w:hAnsi="宋体" w:eastAsia="宋体"/>
                <w:color w:val="auto"/>
                <w:szCs w:val="21"/>
                <w:highlight w:val="none"/>
              </w:rPr>
            </w:pPr>
          </w:p>
        </w:tc>
        <w:tc>
          <w:tcPr>
            <w:tcW w:w="922" w:type="pct"/>
            <w:vAlign w:val="center"/>
          </w:tcPr>
          <w:p w14:paraId="46F32DC3">
            <w:pPr>
              <w:spacing w:line="360" w:lineRule="auto"/>
              <w:jc w:val="center"/>
              <w:rPr>
                <w:rFonts w:ascii="宋体" w:hAnsi="宋体" w:eastAsia="宋体"/>
                <w:color w:val="auto"/>
                <w:szCs w:val="21"/>
                <w:highlight w:val="none"/>
              </w:rPr>
            </w:pPr>
          </w:p>
        </w:tc>
        <w:tc>
          <w:tcPr>
            <w:tcW w:w="821" w:type="pct"/>
            <w:vAlign w:val="center"/>
          </w:tcPr>
          <w:p w14:paraId="52D2D22E">
            <w:pPr>
              <w:spacing w:line="360" w:lineRule="auto"/>
              <w:jc w:val="center"/>
              <w:rPr>
                <w:rFonts w:ascii="宋体" w:hAnsi="宋体" w:eastAsia="宋体"/>
                <w:color w:val="auto"/>
                <w:szCs w:val="21"/>
                <w:highlight w:val="none"/>
              </w:rPr>
            </w:pPr>
          </w:p>
        </w:tc>
        <w:tc>
          <w:tcPr>
            <w:tcW w:w="1220" w:type="pct"/>
            <w:vAlign w:val="center"/>
          </w:tcPr>
          <w:p w14:paraId="6BFC9F7D">
            <w:pPr>
              <w:spacing w:line="360" w:lineRule="auto"/>
              <w:jc w:val="center"/>
              <w:rPr>
                <w:rFonts w:ascii="宋体" w:hAnsi="宋体" w:eastAsia="宋体"/>
                <w:color w:val="auto"/>
                <w:szCs w:val="21"/>
                <w:highlight w:val="none"/>
              </w:rPr>
            </w:pPr>
          </w:p>
        </w:tc>
        <w:tc>
          <w:tcPr>
            <w:tcW w:w="1220" w:type="pct"/>
            <w:vAlign w:val="center"/>
          </w:tcPr>
          <w:p w14:paraId="3B4E4719">
            <w:pPr>
              <w:spacing w:line="360" w:lineRule="auto"/>
              <w:jc w:val="center"/>
              <w:rPr>
                <w:rFonts w:ascii="宋体" w:hAnsi="宋体" w:eastAsia="宋体"/>
                <w:color w:val="auto"/>
                <w:szCs w:val="21"/>
                <w:highlight w:val="none"/>
              </w:rPr>
            </w:pPr>
          </w:p>
        </w:tc>
      </w:tr>
    </w:tbl>
    <w:p w14:paraId="597FB0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注：供应商可按上述的格式自行编制，须随表提交评分办法中要求提供的对应证明材料。</w:t>
      </w:r>
    </w:p>
    <w:p w14:paraId="109C2AFB">
      <w:pPr>
        <w:spacing w:line="360" w:lineRule="auto"/>
        <w:ind w:firstLine="420" w:firstLineChars="200"/>
        <w:rPr>
          <w:rFonts w:ascii="宋体" w:hAnsi="宋体" w:eastAsia="宋体"/>
          <w:color w:val="auto"/>
          <w:szCs w:val="21"/>
          <w:highlight w:val="none"/>
        </w:rPr>
      </w:pPr>
    </w:p>
    <w:p w14:paraId="6D283B14">
      <w:pPr>
        <w:spacing w:line="360" w:lineRule="auto"/>
        <w:ind w:firstLine="420" w:firstLineChars="200"/>
        <w:rPr>
          <w:rFonts w:ascii="宋体" w:hAnsi="宋体" w:eastAsia="宋体"/>
          <w:color w:val="auto"/>
          <w:szCs w:val="21"/>
          <w:highlight w:val="none"/>
        </w:rPr>
      </w:pPr>
    </w:p>
    <w:p w14:paraId="7030769B">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62C2C06">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430F8A1B">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992" w:gutter="0"/>
          <w:pgNumType w:fmt="decimal"/>
          <w:cols w:space="425" w:num="1"/>
          <w:docGrid w:type="lines" w:linePitch="312" w:charSpace="0"/>
        </w:sectPr>
      </w:pPr>
    </w:p>
    <w:p w14:paraId="2D7C35B4">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七、技术需求偏离表</w:t>
      </w:r>
    </w:p>
    <w:p w14:paraId="05464281">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技术需求偏离表</w:t>
      </w:r>
    </w:p>
    <w:p w14:paraId="7B857A09">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（注：按采购需求具体条款修改）</w:t>
      </w:r>
    </w:p>
    <w:p w14:paraId="4FF981E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所竞分标：</w:t>
      </w:r>
      <w:r>
        <w:rPr>
          <w:rFonts w:ascii="Times New Roman" w:hAnsi="Times New Roman" w:eastAsia="宋体" w:cs="Times New Roman"/>
          <w:color w:val="auto"/>
          <w:szCs w:val="21"/>
          <w:highlight w:val="none"/>
        </w:rPr>
        <w:t>____________</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1E07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390EC7A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项号</w:t>
            </w:r>
          </w:p>
        </w:tc>
        <w:tc>
          <w:tcPr>
            <w:tcW w:w="2135" w:type="pct"/>
            <w:gridSpan w:val="3"/>
            <w:vAlign w:val="center"/>
          </w:tcPr>
          <w:p w14:paraId="00598D1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竞争性磋商采购文件需求</w:t>
            </w:r>
          </w:p>
        </w:tc>
        <w:tc>
          <w:tcPr>
            <w:tcW w:w="1875" w:type="pct"/>
            <w:gridSpan w:val="3"/>
            <w:vAlign w:val="center"/>
          </w:tcPr>
          <w:p w14:paraId="611F050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响应文件承诺</w:t>
            </w:r>
          </w:p>
        </w:tc>
        <w:tc>
          <w:tcPr>
            <w:tcW w:w="621" w:type="pct"/>
            <w:vMerge w:val="restart"/>
            <w:vAlign w:val="center"/>
          </w:tcPr>
          <w:p w14:paraId="0D9965E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偏离说明</w:t>
            </w:r>
          </w:p>
        </w:tc>
      </w:tr>
      <w:tr w14:paraId="3989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63093731">
            <w:pPr>
              <w:spacing w:line="360" w:lineRule="auto"/>
              <w:jc w:val="center"/>
              <w:rPr>
                <w:rFonts w:ascii="宋体" w:hAnsi="宋体" w:eastAsia="宋体"/>
                <w:color w:val="auto"/>
                <w:szCs w:val="21"/>
                <w:highlight w:val="none"/>
              </w:rPr>
            </w:pPr>
          </w:p>
        </w:tc>
        <w:tc>
          <w:tcPr>
            <w:tcW w:w="589" w:type="pct"/>
            <w:vAlign w:val="center"/>
          </w:tcPr>
          <w:p w14:paraId="7DD8FE6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服务名称</w:t>
            </w:r>
          </w:p>
        </w:tc>
        <w:tc>
          <w:tcPr>
            <w:tcW w:w="588" w:type="pct"/>
            <w:vAlign w:val="center"/>
          </w:tcPr>
          <w:p w14:paraId="3E13D84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958" w:type="pct"/>
            <w:vAlign w:val="center"/>
          </w:tcPr>
          <w:p w14:paraId="5EF7764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技术参数要求</w:t>
            </w:r>
          </w:p>
        </w:tc>
        <w:tc>
          <w:tcPr>
            <w:tcW w:w="625" w:type="pct"/>
            <w:vAlign w:val="center"/>
          </w:tcPr>
          <w:p w14:paraId="55AA199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服务名称</w:t>
            </w:r>
          </w:p>
        </w:tc>
        <w:tc>
          <w:tcPr>
            <w:tcW w:w="625" w:type="pct"/>
            <w:vAlign w:val="center"/>
          </w:tcPr>
          <w:p w14:paraId="3448659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625" w:type="pct"/>
            <w:vAlign w:val="center"/>
          </w:tcPr>
          <w:p w14:paraId="2914DB3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技术参数</w:t>
            </w:r>
          </w:p>
        </w:tc>
        <w:tc>
          <w:tcPr>
            <w:tcW w:w="621" w:type="pct"/>
            <w:vMerge w:val="continue"/>
            <w:vAlign w:val="center"/>
          </w:tcPr>
          <w:p w14:paraId="5C01A397">
            <w:pPr>
              <w:spacing w:line="360" w:lineRule="auto"/>
              <w:jc w:val="center"/>
              <w:rPr>
                <w:rFonts w:ascii="宋体" w:hAnsi="宋体" w:eastAsia="宋体"/>
                <w:color w:val="auto"/>
                <w:szCs w:val="21"/>
                <w:highlight w:val="none"/>
              </w:rPr>
            </w:pPr>
          </w:p>
        </w:tc>
      </w:tr>
      <w:tr w14:paraId="0694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7C9C2567">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w:t>
            </w:r>
          </w:p>
        </w:tc>
        <w:tc>
          <w:tcPr>
            <w:tcW w:w="589" w:type="pct"/>
            <w:vAlign w:val="center"/>
          </w:tcPr>
          <w:p w14:paraId="6E7E2EDF">
            <w:pPr>
              <w:spacing w:line="360" w:lineRule="auto"/>
              <w:jc w:val="center"/>
              <w:rPr>
                <w:rFonts w:ascii="宋体" w:hAnsi="宋体" w:eastAsia="宋体"/>
                <w:color w:val="auto"/>
                <w:szCs w:val="21"/>
                <w:highlight w:val="none"/>
              </w:rPr>
            </w:pPr>
          </w:p>
        </w:tc>
        <w:tc>
          <w:tcPr>
            <w:tcW w:w="588" w:type="pct"/>
            <w:vAlign w:val="center"/>
          </w:tcPr>
          <w:p w14:paraId="1308027E">
            <w:pPr>
              <w:spacing w:line="360" w:lineRule="auto"/>
              <w:jc w:val="center"/>
              <w:rPr>
                <w:rFonts w:ascii="宋体" w:hAnsi="宋体" w:eastAsia="宋体"/>
                <w:color w:val="auto"/>
                <w:szCs w:val="21"/>
                <w:highlight w:val="none"/>
              </w:rPr>
            </w:pPr>
          </w:p>
        </w:tc>
        <w:tc>
          <w:tcPr>
            <w:tcW w:w="958" w:type="pct"/>
            <w:vAlign w:val="center"/>
          </w:tcPr>
          <w:p w14:paraId="43B07D25">
            <w:pPr>
              <w:spacing w:line="360" w:lineRule="auto"/>
              <w:jc w:val="left"/>
              <w:rPr>
                <w:rFonts w:ascii="宋体" w:hAnsi="宋体" w:eastAsia="宋体"/>
                <w:color w:val="auto"/>
                <w:szCs w:val="21"/>
                <w:highlight w:val="none"/>
              </w:rPr>
            </w:pPr>
          </w:p>
        </w:tc>
        <w:tc>
          <w:tcPr>
            <w:tcW w:w="625" w:type="pct"/>
            <w:vAlign w:val="center"/>
          </w:tcPr>
          <w:p w14:paraId="6F0CE103">
            <w:pPr>
              <w:spacing w:line="360" w:lineRule="auto"/>
              <w:jc w:val="center"/>
              <w:rPr>
                <w:rFonts w:ascii="宋体" w:hAnsi="宋体" w:eastAsia="宋体"/>
                <w:color w:val="auto"/>
                <w:szCs w:val="21"/>
                <w:highlight w:val="none"/>
              </w:rPr>
            </w:pPr>
          </w:p>
        </w:tc>
        <w:tc>
          <w:tcPr>
            <w:tcW w:w="625" w:type="pct"/>
            <w:vAlign w:val="center"/>
          </w:tcPr>
          <w:p w14:paraId="6B54A498">
            <w:pPr>
              <w:spacing w:line="360" w:lineRule="auto"/>
              <w:jc w:val="center"/>
              <w:rPr>
                <w:rFonts w:ascii="宋体" w:hAnsi="宋体" w:eastAsia="宋体"/>
                <w:color w:val="auto"/>
                <w:szCs w:val="21"/>
                <w:highlight w:val="none"/>
              </w:rPr>
            </w:pPr>
          </w:p>
        </w:tc>
        <w:tc>
          <w:tcPr>
            <w:tcW w:w="625" w:type="pct"/>
            <w:vAlign w:val="center"/>
          </w:tcPr>
          <w:p w14:paraId="2A2ADEBE">
            <w:pPr>
              <w:spacing w:line="360" w:lineRule="auto"/>
              <w:rPr>
                <w:rFonts w:ascii="宋体" w:hAnsi="宋体" w:eastAsia="宋体"/>
                <w:color w:val="auto"/>
                <w:szCs w:val="21"/>
                <w:highlight w:val="none"/>
              </w:rPr>
            </w:pPr>
          </w:p>
        </w:tc>
        <w:tc>
          <w:tcPr>
            <w:tcW w:w="621" w:type="pct"/>
            <w:vAlign w:val="center"/>
          </w:tcPr>
          <w:p w14:paraId="68DEE4A9">
            <w:pPr>
              <w:spacing w:line="360" w:lineRule="auto"/>
              <w:jc w:val="center"/>
              <w:rPr>
                <w:rFonts w:ascii="宋体" w:hAnsi="宋体" w:eastAsia="宋体"/>
                <w:color w:val="auto"/>
                <w:szCs w:val="21"/>
                <w:highlight w:val="none"/>
              </w:rPr>
            </w:pPr>
          </w:p>
        </w:tc>
      </w:tr>
      <w:tr w14:paraId="0751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61E6FA7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589" w:type="pct"/>
            <w:vAlign w:val="center"/>
          </w:tcPr>
          <w:p w14:paraId="29E19686">
            <w:pPr>
              <w:spacing w:line="360" w:lineRule="auto"/>
              <w:jc w:val="center"/>
              <w:rPr>
                <w:rFonts w:ascii="宋体" w:hAnsi="宋体" w:eastAsia="宋体"/>
                <w:color w:val="auto"/>
                <w:szCs w:val="21"/>
                <w:highlight w:val="none"/>
              </w:rPr>
            </w:pPr>
          </w:p>
        </w:tc>
        <w:tc>
          <w:tcPr>
            <w:tcW w:w="588" w:type="pct"/>
            <w:vAlign w:val="center"/>
          </w:tcPr>
          <w:p w14:paraId="2BB290E5">
            <w:pPr>
              <w:spacing w:line="360" w:lineRule="auto"/>
              <w:jc w:val="center"/>
              <w:rPr>
                <w:rFonts w:ascii="宋体" w:hAnsi="宋体" w:eastAsia="宋体"/>
                <w:color w:val="auto"/>
                <w:szCs w:val="21"/>
                <w:highlight w:val="none"/>
              </w:rPr>
            </w:pPr>
          </w:p>
        </w:tc>
        <w:tc>
          <w:tcPr>
            <w:tcW w:w="958" w:type="pct"/>
            <w:vAlign w:val="center"/>
          </w:tcPr>
          <w:p w14:paraId="5BB338EC">
            <w:pPr>
              <w:spacing w:line="360" w:lineRule="auto"/>
              <w:rPr>
                <w:rFonts w:ascii="宋体" w:hAnsi="宋体" w:eastAsia="宋体"/>
                <w:color w:val="auto"/>
                <w:szCs w:val="21"/>
                <w:highlight w:val="none"/>
              </w:rPr>
            </w:pPr>
          </w:p>
        </w:tc>
        <w:tc>
          <w:tcPr>
            <w:tcW w:w="625" w:type="pct"/>
            <w:vAlign w:val="center"/>
          </w:tcPr>
          <w:p w14:paraId="6BB75E94">
            <w:pPr>
              <w:spacing w:line="360" w:lineRule="auto"/>
              <w:jc w:val="center"/>
              <w:rPr>
                <w:rFonts w:ascii="宋体" w:hAnsi="宋体" w:eastAsia="宋体"/>
                <w:color w:val="auto"/>
                <w:szCs w:val="21"/>
                <w:highlight w:val="none"/>
              </w:rPr>
            </w:pPr>
          </w:p>
        </w:tc>
        <w:tc>
          <w:tcPr>
            <w:tcW w:w="625" w:type="pct"/>
            <w:vAlign w:val="center"/>
          </w:tcPr>
          <w:p w14:paraId="7EF05C2D">
            <w:pPr>
              <w:spacing w:line="360" w:lineRule="auto"/>
              <w:jc w:val="center"/>
              <w:rPr>
                <w:rFonts w:ascii="宋体" w:hAnsi="宋体" w:eastAsia="宋体"/>
                <w:color w:val="auto"/>
                <w:szCs w:val="21"/>
                <w:highlight w:val="none"/>
              </w:rPr>
            </w:pPr>
          </w:p>
        </w:tc>
        <w:tc>
          <w:tcPr>
            <w:tcW w:w="625" w:type="pct"/>
            <w:vAlign w:val="center"/>
          </w:tcPr>
          <w:p w14:paraId="553C8BFA">
            <w:pPr>
              <w:spacing w:line="360" w:lineRule="auto"/>
              <w:rPr>
                <w:rFonts w:ascii="宋体" w:hAnsi="宋体" w:eastAsia="宋体"/>
                <w:color w:val="auto"/>
                <w:szCs w:val="21"/>
                <w:highlight w:val="none"/>
              </w:rPr>
            </w:pPr>
          </w:p>
        </w:tc>
        <w:tc>
          <w:tcPr>
            <w:tcW w:w="621" w:type="pct"/>
            <w:vAlign w:val="center"/>
          </w:tcPr>
          <w:p w14:paraId="5522E41E">
            <w:pPr>
              <w:spacing w:line="360" w:lineRule="auto"/>
              <w:jc w:val="center"/>
              <w:rPr>
                <w:rFonts w:ascii="宋体" w:hAnsi="宋体" w:eastAsia="宋体"/>
                <w:color w:val="auto"/>
                <w:szCs w:val="21"/>
                <w:highlight w:val="none"/>
              </w:rPr>
            </w:pPr>
          </w:p>
        </w:tc>
      </w:tr>
      <w:tr w14:paraId="280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E4C13A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589" w:type="pct"/>
            <w:vAlign w:val="center"/>
          </w:tcPr>
          <w:p w14:paraId="0166DAFB">
            <w:pPr>
              <w:spacing w:line="360" w:lineRule="auto"/>
              <w:jc w:val="center"/>
              <w:rPr>
                <w:rFonts w:ascii="宋体" w:hAnsi="宋体" w:eastAsia="宋体"/>
                <w:color w:val="auto"/>
                <w:szCs w:val="21"/>
                <w:highlight w:val="none"/>
              </w:rPr>
            </w:pPr>
          </w:p>
        </w:tc>
        <w:tc>
          <w:tcPr>
            <w:tcW w:w="588" w:type="pct"/>
            <w:vAlign w:val="center"/>
          </w:tcPr>
          <w:p w14:paraId="21EC9D97">
            <w:pPr>
              <w:spacing w:line="360" w:lineRule="auto"/>
              <w:jc w:val="center"/>
              <w:rPr>
                <w:rFonts w:ascii="宋体" w:hAnsi="宋体" w:eastAsia="宋体"/>
                <w:color w:val="auto"/>
                <w:szCs w:val="21"/>
                <w:highlight w:val="none"/>
              </w:rPr>
            </w:pPr>
          </w:p>
        </w:tc>
        <w:tc>
          <w:tcPr>
            <w:tcW w:w="958" w:type="pct"/>
            <w:vAlign w:val="center"/>
          </w:tcPr>
          <w:p w14:paraId="404D028F">
            <w:pPr>
              <w:spacing w:line="360" w:lineRule="auto"/>
              <w:jc w:val="center"/>
              <w:rPr>
                <w:rFonts w:ascii="宋体" w:hAnsi="宋体" w:eastAsia="宋体"/>
                <w:color w:val="auto"/>
                <w:szCs w:val="21"/>
                <w:highlight w:val="none"/>
              </w:rPr>
            </w:pPr>
          </w:p>
        </w:tc>
        <w:tc>
          <w:tcPr>
            <w:tcW w:w="625" w:type="pct"/>
            <w:vAlign w:val="center"/>
          </w:tcPr>
          <w:p w14:paraId="32175DC5">
            <w:pPr>
              <w:spacing w:line="360" w:lineRule="auto"/>
              <w:jc w:val="center"/>
              <w:rPr>
                <w:rFonts w:ascii="宋体" w:hAnsi="宋体" w:eastAsia="宋体"/>
                <w:color w:val="auto"/>
                <w:szCs w:val="21"/>
                <w:highlight w:val="none"/>
              </w:rPr>
            </w:pPr>
          </w:p>
        </w:tc>
        <w:tc>
          <w:tcPr>
            <w:tcW w:w="625" w:type="pct"/>
            <w:vAlign w:val="center"/>
          </w:tcPr>
          <w:p w14:paraId="473D41F2">
            <w:pPr>
              <w:spacing w:line="360" w:lineRule="auto"/>
              <w:jc w:val="center"/>
              <w:rPr>
                <w:rFonts w:ascii="宋体" w:hAnsi="宋体" w:eastAsia="宋体"/>
                <w:color w:val="auto"/>
                <w:szCs w:val="21"/>
                <w:highlight w:val="none"/>
              </w:rPr>
            </w:pPr>
          </w:p>
        </w:tc>
        <w:tc>
          <w:tcPr>
            <w:tcW w:w="625" w:type="pct"/>
            <w:vAlign w:val="center"/>
          </w:tcPr>
          <w:p w14:paraId="3667C296">
            <w:pPr>
              <w:spacing w:line="360" w:lineRule="auto"/>
              <w:jc w:val="center"/>
              <w:rPr>
                <w:rFonts w:ascii="宋体" w:hAnsi="宋体" w:eastAsia="宋体"/>
                <w:color w:val="auto"/>
                <w:szCs w:val="21"/>
                <w:highlight w:val="none"/>
              </w:rPr>
            </w:pPr>
          </w:p>
        </w:tc>
        <w:tc>
          <w:tcPr>
            <w:tcW w:w="621" w:type="pct"/>
            <w:vAlign w:val="center"/>
          </w:tcPr>
          <w:p w14:paraId="7BCEA4A4">
            <w:pPr>
              <w:spacing w:line="360" w:lineRule="auto"/>
              <w:jc w:val="center"/>
              <w:rPr>
                <w:rFonts w:ascii="宋体" w:hAnsi="宋体" w:eastAsia="宋体"/>
                <w:color w:val="auto"/>
                <w:szCs w:val="21"/>
                <w:highlight w:val="none"/>
              </w:rPr>
            </w:pPr>
          </w:p>
        </w:tc>
      </w:tr>
    </w:tbl>
    <w:p w14:paraId="737DC88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742EDED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1.说明：应对照磋商文件“第二章”中“采购需求一览表”的采购清单及技术参数条款逐条作出明确响应，并作出偏离说明。</w:t>
      </w:r>
    </w:p>
    <w:p w14:paraId="728B1E6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1E9946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3.表格内容均需按要求填写并盖章，不得留空。</w:t>
      </w:r>
    </w:p>
    <w:p w14:paraId="25462FB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.如技术偏离表中的竞标响应与佐证材料不一致的，以佐证材料为准。</w:t>
      </w:r>
    </w:p>
    <w:p w14:paraId="796D6F50">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4FB3CE8">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3B2CD86E">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54EFC71D">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八、企业概况表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14:paraId="5D06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0AA6EA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企业注册名称</w:t>
            </w:r>
          </w:p>
        </w:tc>
        <w:tc>
          <w:tcPr>
            <w:tcW w:w="3209" w:type="dxa"/>
            <w:gridSpan w:val="2"/>
            <w:vAlign w:val="center"/>
          </w:tcPr>
          <w:p w14:paraId="6490C718">
            <w:pPr>
              <w:spacing w:line="360" w:lineRule="auto"/>
              <w:jc w:val="center"/>
              <w:rPr>
                <w:rFonts w:ascii="宋体" w:hAnsi="宋体" w:eastAsia="宋体"/>
                <w:color w:val="auto"/>
                <w:szCs w:val="21"/>
                <w:highlight w:val="none"/>
              </w:rPr>
            </w:pPr>
          </w:p>
        </w:tc>
        <w:tc>
          <w:tcPr>
            <w:tcW w:w="1605" w:type="dxa"/>
            <w:vAlign w:val="center"/>
          </w:tcPr>
          <w:p w14:paraId="4C3433F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3210" w:type="dxa"/>
            <w:gridSpan w:val="2"/>
            <w:vAlign w:val="center"/>
          </w:tcPr>
          <w:p w14:paraId="01ABB4F1">
            <w:pPr>
              <w:spacing w:line="360" w:lineRule="auto"/>
              <w:jc w:val="center"/>
              <w:rPr>
                <w:rFonts w:ascii="宋体" w:hAnsi="宋体" w:eastAsia="宋体"/>
                <w:color w:val="auto"/>
                <w:szCs w:val="21"/>
                <w:highlight w:val="none"/>
              </w:rPr>
            </w:pPr>
          </w:p>
        </w:tc>
      </w:tr>
      <w:tr w14:paraId="1168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EC2E25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8024" w:type="dxa"/>
            <w:gridSpan w:val="5"/>
            <w:vAlign w:val="center"/>
          </w:tcPr>
          <w:p w14:paraId="4BFD0B2E">
            <w:pPr>
              <w:spacing w:line="360" w:lineRule="auto"/>
              <w:jc w:val="center"/>
              <w:rPr>
                <w:rFonts w:ascii="宋体" w:hAnsi="宋体" w:eastAsia="宋体"/>
                <w:color w:val="auto"/>
                <w:szCs w:val="21"/>
                <w:highlight w:val="none"/>
              </w:rPr>
            </w:pPr>
          </w:p>
        </w:tc>
      </w:tr>
      <w:tr w14:paraId="607D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4AC5B2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联系人姓名</w:t>
            </w:r>
          </w:p>
        </w:tc>
        <w:tc>
          <w:tcPr>
            <w:tcW w:w="1604" w:type="dxa"/>
            <w:vAlign w:val="center"/>
          </w:tcPr>
          <w:p w14:paraId="34B3D6C1">
            <w:pPr>
              <w:spacing w:line="360" w:lineRule="auto"/>
              <w:jc w:val="center"/>
              <w:rPr>
                <w:rFonts w:ascii="宋体" w:hAnsi="宋体" w:eastAsia="宋体"/>
                <w:color w:val="auto"/>
                <w:szCs w:val="21"/>
                <w:highlight w:val="none"/>
              </w:rPr>
            </w:pPr>
          </w:p>
        </w:tc>
        <w:tc>
          <w:tcPr>
            <w:tcW w:w="1605" w:type="dxa"/>
            <w:vAlign w:val="center"/>
          </w:tcPr>
          <w:p w14:paraId="69C0158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605" w:type="dxa"/>
            <w:vAlign w:val="center"/>
          </w:tcPr>
          <w:p w14:paraId="4D664641">
            <w:pPr>
              <w:spacing w:line="360" w:lineRule="auto"/>
              <w:jc w:val="center"/>
              <w:rPr>
                <w:rFonts w:ascii="宋体" w:hAnsi="宋体" w:eastAsia="宋体"/>
                <w:color w:val="auto"/>
                <w:szCs w:val="21"/>
                <w:highlight w:val="none"/>
              </w:rPr>
            </w:pPr>
          </w:p>
        </w:tc>
        <w:tc>
          <w:tcPr>
            <w:tcW w:w="1605" w:type="dxa"/>
            <w:vAlign w:val="center"/>
          </w:tcPr>
          <w:p w14:paraId="2D3D576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企业性质</w:t>
            </w:r>
          </w:p>
        </w:tc>
        <w:tc>
          <w:tcPr>
            <w:tcW w:w="1605" w:type="dxa"/>
            <w:vAlign w:val="center"/>
          </w:tcPr>
          <w:p w14:paraId="4A48EF45">
            <w:pPr>
              <w:spacing w:line="360" w:lineRule="auto"/>
              <w:jc w:val="center"/>
              <w:rPr>
                <w:rFonts w:ascii="宋体" w:hAnsi="宋体" w:eastAsia="宋体"/>
                <w:color w:val="auto"/>
                <w:szCs w:val="21"/>
                <w:highlight w:val="none"/>
              </w:rPr>
            </w:pPr>
          </w:p>
        </w:tc>
      </w:tr>
      <w:tr w14:paraId="6F7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631E65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法人代表姓名</w:t>
            </w:r>
          </w:p>
        </w:tc>
        <w:tc>
          <w:tcPr>
            <w:tcW w:w="1604" w:type="dxa"/>
            <w:vAlign w:val="center"/>
          </w:tcPr>
          <w:p w14:paraId="3FFD0E42">
            <w:pPr>
              <w:spacing w:line="360" w:lineRule="auto"/>
              <w:jc w:val="center"/>
              <w:rPr>
                <w:rFonts w:ascii="宋体" w:hAnsi="宋体" w:eastAsia="宋体"/>
                <w:color w:val="auto"/>
                <w:szCs w:val="21"/>
                <w:highlight w:val="none"/>
              </w:rPr>
            </w:pPr>
          </w:p>
        </w:tc>
        <w:tc>
          <w:tcPr>
            <w:tcW w:w="1605" w:type="dxa"/>
            <w:vAlign w:val="center"/>
          </w:tcPr>
          <w:p w14:paraId="18047F0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605" w:type="dxa"/>
            <w:vAlign w:val="center"/>
          </w:tcPr>
          <w:p w14:paraId="07BB6BF3">
            <w:pPr>
              <w:spacing w:line="360" w:lineRule="auto"/>
              <w:jc w:val="center"/>
              <w:rPr>
                <w:rFonts w:ascii="宋体" w:hAnsi="宋体" w:eastAsia="宋体"/>
                <w:color w:val="auto"/>
                <w:szCs w:val="21"/>
                <w:highlight w:val="none"/>
              </w:rPr>
            </w:pPr>
          </w:p>
        </w:tc>
        <w:tc>
          <w:tcPr>
            <w:tcW w:w="1605" w:type="dxa"/>
            <w:vAlign w:val="center"/>
          </w:tcPr>
          <w:p w14:paraId="1654CCC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联系电话</w:t>
            </w:r>
          </w:p>
        </w:tc>
        <w:tc>
          <w:tcPr>
            <w:tcW w:w="1605" w:type="dxa"/>
            <w:vAlign w:val="center"/>
          </w:tcPr>
          <w:p w14:paraId="235BB8DD">
            <w:pPr>
              <w:spacing w:line="360" w:lineRule="auto"/>
              <w:jc w:val="center"/>
              <w:rPr>
                <w:rFonts w:ascii="宋体" w:hAnsi="宋体" w:eastAsia="宋体"/>
                <w:color w:val="auto"/>
                <w:szCs w:val="21"/>
                <w:highlight w:val="none"/>
              </w:rPr>
            </w:pPr>
          </w:p>
        </w:tc>
      </w:tr>
      <w:tr w14:paraId="6B76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017C94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技术负责人姓名</w:t>
            </w:r>
          </w:p>
        </w:tc>
        <w:tc>
          <w:tcPr>
            <w:tcW w:w="1604" w:type="dxa"/>
            <w:vAlign w:val="center"/>
          </w:tcPr>
          <w:p w14:paraId="59096B20">
            <w:pPr>
              <w:spacing w:line="360" w:lineRule="auto"/>
              <w:jc w:val="center"/>
              <w:rPr>
                <w:rFonts w:ascii="宋体" w:hAnsi="宋体" w:eastAsia="宋体"/>
                <w:color w:val="auto"/>
                <w:szCs w:val="21"/>
                <w:highlight w:val="none"/>
              </w:rPr>
            </w:pPr>
          </w:p>
        </w:tc>
        <w:tc>
          <w:tcPr>
            <w:tcW w:w="1605" w:type="dxa"/>
            <w:vAlign w:val="center"/>
          </w:tcPr>
          <w:p w14:paraId="3896ACB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605" w:type="dxa"/>
            <w:vAlign w:val="center"/>
          </w:tcPr>
          <w:p w14:paraId="7367E94A">
            <w:pPr>
              <w:spacing w:line="360" w:lineRule="auto"/>
              <w:jc w:val="center"/>
              <w:rPr>
                <w:rFonts w:ascii="宋体" w:hAnsi="宋体" w:eastAsia="宋体"/>
                <w:color w:val="auto"/>
                <w:szCs w:val="21"/>
                <w:highlight w:val="none"/>
              </w:rPr>
            </w:pPr>
          </w:p>
        </w:tc>
        <w:tc>
          <w:tcPr>
            <w:tcW w:w="1605" w:type="dxa"/>
            <w:vAlign w:val="center"/>
          </w:tcPr>
          <w:p w14:paraId="0B5BFC1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联系电话</w:t>
            </w:r>
          </w:p>
        </w:tc>
        <w:tc>
          <w:tcPr>
            <w:tcW w:w="1605" w:type="dxa"/>
            <w:vAlign w:val="center"/>
          </w:tcPr>
          <w:p w14:paraId="08DC0720">
            <w:pPr>
              <w:spacing w:line="360" w:lineRule="auto"/>
              <w:jc w:val="center"/>
              <w:rPr>
                <w:rFonts w:ascii="宋体" w:hAnsi="宋体" w:eastAsia="宋体"/>
                <w:color w:val="auto"/>
                <w:szCs w:val="21"/>
                <w:highlight w:val="none"/>
              </w:rPr>
            </w:pPr>
          </w:p>
        </w:tc>
      </w:tr>
      <w:tr w14:paraId="45E2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24E650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3209" w:type="dxa"/>
            <w:gridSpan w:val="2"/>
            <w:vAlign w:val="center"/>
          </w:tcPr>
          <w:p w14:paraId="376A843D">
            <w:pPr>
              <w:spacing w:line="360" w:lineRule="auto"/>
              <w:jc w:val="center"/>
              <w:rPr>
                <w:rFonts w:ascii="宋体" w:hAnsi="宋体" w:eastAsia="宋体"/>
                <w:color w:val="auto"/>
                <w:szCs w:val="21"/>
                <w:highlight w:val="none"/>
              </w:rPr>
            </w:pPr>
          </w:p>
        </w:tc>
        <w:tc>
          <w:tcPr>
            <w:tcW w:w="1605" w:type="dxa"/>
            <w:vAlign w:val="center"/>
          </w:tcPr>
          <w:p w14:paraId="1D7C837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证号</w:t>
            </w:r>
          </w:p>
        </w:tc>
        <w:tc>
          <w:tcPr>
            <w:tcW w:w="3210" w:type="dxa"/>
            <w:gridSpan w:val="2"/>
            <w:vAlign w:val="center"/>
          </w:tcPr>
          <w:p w14:paraId="3B3E93E0">
            <w:pPr>
              <w:spacing w:line="360" w:lineRule="auto"/>
              <w:jc w:val="center"/>
              <w:rPr>
                <w:rFonts w:ascii="宋体" w:hAnsi="宋体" w:eastAsia="宋体"/>
                <w:color w:val="auto"/>
                <w:szCs w:val="21"/>
                <w:highlight w:val="none"/>
              </w:rPr>
            </w:pPr>
          </w:p>
        </w:tc>
      </w:tr>
      <w:tr w14:paraId="38EA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9B940B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安全生产许可证号</w:t>
            </w:r>
          </w:p>
        </w:tc>
        <w:tc>
          <w:tcPr>
            <w:tcW w:w="8024" w:type="dxa"/>
            <w:gridSpan w:val="5"/>
            <w:vAlign w:val="center"/>
          </w:tcPr>
          <w:p w14:paraId="787AECB3">
            <w:pPr>
              <w:spacing w:line="360" w:lineRule="auto"/>
              <w:jc w:val="center"/>
              <w:rPr>
                <w:rFonts w:ascii="宋体" w:hAnsi="宋体" w:eastAsia="宋体"/>
                <w:color w:val="auto"/>
                <w:szCs w:val="21"/>
                <w:highlight w:val="none"/>
              </w:rPr>
            </w:pPr>
          </w:p>
        </w:tc>
      </w:tr>
      <w:tr w14:paraId="3179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F9F90F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上级主管部门</w:t>
            </w:r>
          </w:p>
        </w:tc>
        <w:tc>
          <w:tcPr>
            <w:tcW w:w="8024" w:type="dxa"/>
            <w:gridSpan w:val="5"/>
            <w:vAlign w:val="center"/>
          </w:tcPr>
          <w:p w14:paraId="77E62E7F">
            <w:pPr>
              <w:spacing w:line="360" w:lineRule="auto"/>
              <w:jc w:val="center"/>
              <w:rPr>
                <w:rFonts w:ascii="宋体" w:hAnsi="宋体" w:eastAsia="宋体"/>
                <w:color w:val="auto"/>
                <w:szCs w:val="21"/>
                <w:highlight w:val="none"/>
              </w:rPr>
            </w:pPr>
          </w:p>
        </w:tc>
      </w:tr>
      <w:tr w14:paraId="462B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FDBA69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员工总人数</w:t>
            </w:r>
          </w:p>
        </w:tc>
        <w:tc>
          <w:tcPr>
            <w:tcW w:w="8024" w:type="dxa"/>
            <w:gridSpan w:val="5"/>
            <w:vAlign w:val="center"/>
          </w:tcPr>
          <w:p w14:paraId="267E6898">
            <w:pPr>
              <w:spacing w:line="360" w:lineRule="auto"/>
              <w:jc w:val="center"/>
              <w:rPr>
                <w:rFonts w:ascii="宋体" w:hAnsi="宋体" w:eastAsia="宋体"/>
                <w:color w:val="auto"/>
                <w:szCs w:val="21"/>
                <w:highlight w:val="none"/>
              </w:rPr>
            </w:pPr>
          </w:p>
        </w:tc>
      </w:tr>
      <w:tr w14:paraId="7FB4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FCADEC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注册建造师人数</w:t>
            </w:r>
          </w:p>
        </w:tc>
        <w:tc>
          <w:tcPr>
            <w:tcW w:w="8024" w:type="dxa"/>
            <w:gridSpan w:val="5"/>
            <w:vAlign w:val="center"/>
          </w:tcPr>
          <w:p w14:paraId="60256803">
            <w:pPr>
              <w:spacing w:line="360" w:lineRule="auto"/>
              <w:jc w:val="center"/>
              <w:rPr>
                <w:rFonts w:ascii="宋体" w:hAnsi="宋体" w:eastAsia="宋体"/>
                <w:color w:val="auto"/>
                <w:szCs w:val="21"/>
                <w:highlight w:val="none"/>
              </w:rPr>
            </w:pPr>
          </w:p>
        </w:tc>
      </w:tr>
      <w:tr w14:paraId="632C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434C7D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高级职称人数</w:t>
            </w:r>
          </w:p>
        </w:tc>
        <w:tc>
          <w:tcPr>
            <w:tcW w:w="8024" w:type="dxa"/>
            <w:gridSpan w:val="5"/>
            <w:vAlign w:val="center"/>
          </w:tcPr>
          <w:p w14:paraId="1D43F273">
            <w:pPr>
              <w:spacing w:line="360" w:lineRule="auto"/>
              <w:jc w:val="center"/>
              <w:rPr>
                <w:rFonts w:ascii="宋体" w:hAnsi="宋体" w:eastAsia="宋体"/>
                <w:color w:val="auto"/>
                <w:szCs w:val="21"/>
                <w:highlight w:val="none"/>
              </w:rPr>
            </w:pPr>
          </w:p>
        </w:tc>
      </w:tr>
      <w:tr w14:paraId="6E73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606348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中级职称人数</w:t>
            </w:r>
          </w:p>
        </w:tc>
        <w:tc>
          <w:tcPr>
            <w:tcW w:w="8024" w:type="dxa"/>
            <w:gridSpan w:val="5"/>
            <w:vAlign w:val="center"/>
          </w:tcPr>
          <w:p w14:paraId="4E520462">
            <w:pPr>
              <w:spacing w:line="360" w:lineRule="auto"/>
              <w:jc w:val="center"/>
              <w:rPr>
                <w:rFonts w:ascii="宋体" w:hAnsi="宋体" w:eastAsia="宋体"/>
                <w:color w:val="auto"/>
                <w:szCs w:val="21"/>
                <w:highlight w:val="none"/>
              </w:rPr>
            </w:pPr>
          </w:p>
        </w:tc>
      </w:tr>
      <w:tr w14:paraId="0848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79C1F83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初级职称人数</w:t>
            </w:r>
          </w:p>
        </w:tc>
        <w:tc>
          <w:tcPr>
            <w:tcW w:w="8024" w:type="dxa"/>
            <w:gridSpan w:val="5"/>
            <w:vAlign w:val="center"/>
          </w:tcPr>
          <w:p w14:paraId="1C661794">
            <w:pPr>
              <w:spacing w:line="360" w:lineRule="auto"/>
              <w:jc w:val="center"/>
              <w:rPr>
                <w:rFonts w:ascii="宋体" w:hAnsi="宋体" w:eastAsia="宋体"/>
                <w:color w:val="auto"/>
                <w:szCs w:val="21"/>
                <w:highlight w:val="none"/>
              </w:rPr>
            </w:pPr>
          </w:p>
        </w:tc>
      </w:tr>
      <w:tr w14:paraId="6A03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7179FE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8024" w:type="dxa"/>
            <w:gridSpan w:val="5"/>
            <w:vAlign w:val="center"/>
          </w:tcPr>
          <w:p w14:paraId="3AA4D93B">
            <w:pPr>
              <w:spacing w:line="360" w:lineRule="auto"/>
              <w:jc w:val="center"/>
              <w:rPr>
                <w:rFonts w:ascii="宋体" w:hAnsi="宋体" w:eastAsia="宋体"/>
                <w:color w:val="auto"/>
                <w:szCs w:val="21"/>
                <w:highlight w:val="none"/>
              </w:rPr>
            </w:pPr>
          </w:p>
        </w:tc>
      </w:tr>
      <w:tr w14:paraId="13D1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0C9640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企业简介</w:t>
            </w:r>
          </w:p>
        </w:tc>
        <w:tc>
          <w:tcPr>
            <w:tcW w:w="8024" w:type="dxa"/>
            <w:gridSpan w:val="5"/>
            <w:vAlign w:val="center"/>
          </w:tcPr>
          <w:p w14:paraId="36C36695">
            <w:pPr>
              <w:spacing w:line="360" w:lineRule="auto"/>
              <w:jc w:val="center"/>
              <w:rPr>
                <w:rFonts w:ascii="宋体" w:hAnsi="宋体" w:eastAsia="宋体"/>
                <w:color w:val="auto"/>
                <w:szCs w:val="21"/>
                <w:highlight w:val="none"/>
              </w:rPr>
            </w:pPr>
          </w:p>
        </w:tc>
      </w:tr>
    </w:tbl>
    <w:p w14:paraId="3772A1A5">
      <w:pPr>
        <w:spacing w:line="360" w:lineRule="auto"/>
        <w:ind w:firstLine="420" w:firstLineChars="200"/>
        <w:rPr>
          <w:rFonts w:ascii="宋体" w:hAnsi="宋体" w:eastAsia="宋体"/>
          <w:color w:val="auto"/>
          <w:szCs w:val="21"/>
          <w:highlight w:val="none"/>
        </w:rPr>
      </w:pPr>
    </w:p>
    <w:p w14:paraId="7F8950FB">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61D98668">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4E197656">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7BFCFC0F">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九、施工组织设计</w:t>
      </w:r>
    </w:p>
    <w:p w14:paraId="77D2F2EA">
      <w:pPr>
        <w:spacing w:line="360" w:lineRule="auto"/>
        <w:ind w:firstLine="482" w:firstLineChars="20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（格式自拟）</w:t>
      </w:r>
    </w:p>
    <w:p w14:paraId="047678C9">
      <w:pPr>
        <w:spacing w:line="360" w:lineRule="auto"/>
        <w:ind w:firstLine="420" w:firstLineChars="200"/>
        <w:rPr>
          <w:rFonts w:ascii="宋体" w:hAnsi="宋体" w:eastAsia="宋体"/>
          <w:color w:val="auto"/>
          <w:szCs w:val="21"/>
          <w:highlight w:val="none"/>
        </w:rPr>
      </w:pPr>
    </w:p>
    <w:p w14:paraId="6B236856">
      <w:pPr>
        <w:spacing w:line="360" w:lineRule="auto"/>
        <w:ind w:firstLine="420" w:firstLineChars="200"/>
        <w:jc w:val="right"/>
        <w:rPr>
          <w:rFonts w:ascii="宋体" w:hAnsi="宋体" w:eastAsia="宋体"/>
          <w:color w:val="auto"/>
          <w:szCs w:val="21"/>
          <w:highlight w:val="none"/>
        </w:rPr>
      </w:pPr>
    </w:p>
    <w:p w14:paraId="7A181077">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204947E3">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十、项目管理机构</w:t>
      </w:r>
    </w:p>
    <w:p w14:paraId="0682CF5C">
      <w:pPr>
        <w:spacing w:line="360" w:lineRule="auto"/>
        <w:jc w:val="center"/>
        <w:rPr>
          <w:rFonts w:ascii="宋体" w:hAnsi="宋体" w:eastAsia="宋体"/>
          <w:color w:val="auto"/>
          <w:szCs w:val="21"/>
          <w:highlight w:val="none"/>
        </w:rPr>
      </w:pPr>
      <w:r>
        <w:rPr>
          <w:rFonts w:hint="eastAsia" w:ascii="宋体" w:hAnsi="宋体" w:eastAsia="宋体" w:cs="Times New Roman"/>
          <w:b/>
          <w:color w:val="auto"/>
          <w:sz w:val="32"/>
          <w:szCs w:val="32"/>
          <w:highlight w:val="none"/>
        </w:rPr>
        <w:t>（格式自拟）</w:t>
      </w:r>
    </w:p>
    <w:p w14:paraId="25F6E2D8">
      <w:pPr>
        <w:spacing w:line="360" w:lineRule="auto"/>
        <w:ind w:firstLine="420" w:firstLineChars="200"/>
        <w:rPr>
          <w:rFonts w:ascii="宋体" w:hAnsi="宋体" w:eastAsia="宋体"/>
          <w:color w:val="auto"/>
          <w:szCs w:val="21"/>
          <w:highlight w:val="none"/>
        </w:rPr>
      </w:pPr>
    </w:p>
    <w:p w14:paraId="33EE2B98">
      <w:pPr>
        <w:spacing w:line="360" w:lineRule="auto"/>
        <w:ind w:firstLine="420" w:firstLineChars="200"/>
        <w:jc w:val="right"/>
        <w:rPr>
          <w:rFonts w:ascii="宋体" w:hAnsi="宋体" w:eastAsia="宋体"/>
          <w:color w:val="auto"/>
          <w:szCs w:val="21"/>
          <w:highlight w:val="none"/>
        </w:rPr>
      </w:pPr>
    </w:p>
    <w:p w14:paraId="496F526C">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65AF6146">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十一、建设工程项目管理承诺书（格式）</w:t>
      </w:r>
    </w:p>
    <w:p w14:paraId="6663FA9D">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（采购单位名称）：</w:t>
      </w:r>
    </w:p>
    <w:p w14:paraId="00851AE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如我公司在贵单位的</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成交，我方在此向采购人承诺：</w:t>
      </w:r>
    </w:p>
    <w:p w14:paraId="3A34968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1、一旦成交，我方保证在施工过程中，严格执行《广西壮族自治区建筑工程安全文明施工费使用管理细则》（桂建质〔20</w:t>
      </w:r>
      <w:r>
        <w:rPr>
          <w:rFonts w:hint="eastAsia" w:ascii="宋体" w:hAnsi="宋体" w:eastAsia="宋体"/>
          <w:color w:val="auto"/>
          <w:szCs w:val="21"/>
          <w:highlight w:val="none"/>
          <w:lang w:val="en-US" w:eastAsia="zh-CN"/>
        </w:rPr>
        <w:t>15</w:t>
      </w:r>
      <w:r>
        <w:rPr>
          <w:rFonts w:hint="eastAsia" w:ascii="宋体" w:hAnsi="宋体" w:eastAsia="宋体"/>
          <w:color w:val="auto"/>
          <w:szCs w:val="21"/>
          <w:highlight w:val="none"/>
        </w:rPr>
        <w:t>〕16号）的有关规定，确保建设工程各项安全防护、文明施工措施落实到位。如我方在该项目的承包中出现未按桂建质〔20</w:t>
      </w:r>
      <w:r>
        <w:rPr>
          <w:rFonts w:hint="eastAsia" w:ascii="宋体" w:hAnsi="宋体" w:eastAsia="宋体"/>
          <w:color w:val="auto"/>
          <w:szCs w:val="21"/>
          <w:highlight w:val="none"/>
          <w:lang w:val="en-US" w:eastAsia="zh-CN"/>
        </w:rPr>
        <w:t>15</w:t>
      </w:r>
      <w:r>
        <w:rPr>
          <w:rFonts w:hint="eastAsia" w:ascii="宋体" w:hAnsi="宋体" w:eastAsia="宋体"/>
          <w:color w:val="auto"/>
          <w:szCs w:val="21"/>
          <w:highlight w:val="none"/>
        </w:rPr>
        <w:t>〕16号文附件一规定执行的情形，我方愿意按照相关规定接受建设单位及有关主管部门的处罚。</w:t>
      </w:r>
    </w:p>
    <w:p w14:paraId="5AD2A2F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1364E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48C3D55F">
      <w:pPr>
        <w:spacing w:line="360" w:lineRule="auto"/>
        <w:ind w:firstLine="420" w:firstLineChars="200"/>
        <w:rPr>
          <w:rFonts w:ascii="宋体" w:hAnsi="宋体" w:eastAsia="宋体"/>
          <w:color w:val="auto"/>
          <w:szCs w:val="21"/>
          <w:highlight w:val="none"/>
        </w:rPr>
      </w:pPr>
    </w:p>
    <w:p w14:paraId="61CAA185">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6CC549DB">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法定代表人或授权代理人：</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（签字或盖章）</w:t>
      </w:r>
    </w:p>
    <w:p w14:paraId="15E47DDF">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28DC070E">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639DD9D8">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十二、供应商认为需要提供的其他有关资料</w:t>
      </w:r>
    </w:p>
    <w:p w14:paraId="0DDB3C3C">
      <w:pPr>
        <w:spacing w:line="360" w:lineRule="auto"/>
        <w:ind w:firstLine="420" w:firstLineChars="200"/>
        <w:rPr>
          <w:rFonts w:ascii="宋体" w:hAnsi="宋体" w:eastAsia="宋体"/>
          <w:color w:val="auto"/>
          <w:szCs w:val="21"/>
          <w:highlight w:val="none"/>
        </w:rPr>
      </w:pPr>
    </w:p>
    <w:p w14:paraId="00F215CF">
      <w:pPr>
        <w:pStyle w:val="3"/>
        <w:jc w:val="center"/>
        <w:rPr>
          <w:color w:val="auto"/>
          <w:highlight w:val="none"/>
        </w:rPr>
        <w:sectPr>
          <w:pgSz w:w="11906" w:h="16838"/>
          <w:pgMar w:top="1134" w:right="1134" w:bottom="1134" w:left="1134" w:header="851" w:footer="992" w:gutter="0"/>
          <w:pgNumType w:fmt="decimal"/>
          <w:cols w:space="425" w:num="1"/>
          <w:docGrid w:type="lines" w:linePitch="312" w:charSpace="0"/>
        </w:sectPr>
      </w:pPr>
    </w:p>
    <w:p w14:paraId="0BE44A31">
      <w:pPr>
        <w:pStyle w:val="3"/>
        <w:jc w:val="center"/>
        <w:rPr>
          <w:color w:val="auto"/>
          <w:highlight w:val="none"/>
        </w:rPr>
      </w:pPr>
      <w:bookmarkStart w:id="20" w:name="_Toc8664"/>
      <w:r>
        <w:rPr>
          <w:rFonts w:hint="eastAsia"/>
          <w:color w:val="auto"/>
          <w:highlight w:val="none"/>
        </w:rPr>
        <w:t>第四</w:t>
      </w:r>
      <w:r>
        <w:rPr>
          <w:rFonts w:hint="eastAsia"/>
          <w:color w:val="auto"/>
          <w:spacing w:val="120"/>
          <w:highlight w:val="none"/>
        </w:rPr>
        <w:t>节</w:t>
      </w:r>
      <w:r>
        <w:rPr>
          <w:rFonts w:hint="eastAsia"/>
          <w:color w:val="auto"/>
          <w:highlight w:val="none"/>
        </w:rPr>
        <w:t>报价文件格式</w:t>
      </w:r>
      <w:bookmarkEnd w:id="20"/>
    </w:p>
    <w:p w14:paraId="0DB7308F">
      <w:pPr>
        <w:spacing w:line="360" w:lineRule="auto"/>
        <w:ind w:firstLine="640" w:firstLineChars="200"/>
        <w:jc w:val="right"/>
        <w:rPr>
          <w:rFonts w:ascii="宋体" w:hAnsi="宋体" w:eastAsia="宋体"/>
          <w:color w:val="auto"/>
          <w:sz w:val="32"/>
          <w:szCs w:val="32"/>
          <w:highlight w:val="none"/>
        </w:rPr>
      </w:pPr>
      <w:r>
        <w:rPr>
          <w:rFonts w:hint="eastAsia" w:ascii="宋体" w:hAnsi="宋体" w:eastAsia="宋体"/>
          <w:color w:val="auto"/>
          <w:sz w:val="32"/>
          <w:szCs w:val="32"/>
          <w:highlight w:val="none"/>
        </w:rPr>
        <w:t>全流程电子文件</w:t>
      </w:r>
    </w:p>
    <w:p w14:paraId="690470C3">
      <w:pPr>
        <w:spacing w:line="360" w:lineRule="auto"/>
        <w:ind w:firstLine="420" w:firstLineChars="200"/>
        <w:rPr>
          <w:rFonts w:ascii="宋体" w:hAnsi="宋体" w:eastAsia="宋体"/>
          <w:color w:val="auto"/>
          <w:szCs w:val="21"/>
          <w:highlight w:val="none"/>
        </w:rPr>
      </w:pPr>
    </w:p>
    <w:p w14:paraId="4A7B4128">
      <w:pPr>
        <w:spacing w:line="360" w:lineRule="auto"/>
        <w:ind w:firstLine="420" w:firstLineChars="200"/>
        <w:rPr>
          <w:rFonts w:ascii="宋体" w:hAnsi="宋体" w:eastAsia="宋体"/>
          <w:color w:val="auto"/>
          <w:szCs w:val="21"/>
          <w:highlight w:val="none"/>
        </w:rPr>
      </w:pPr>
    </w:p>
    <w:p w14:paraId="6F0E0CDF">
      <w:pPr>
        <w:spacing w:line="360" w:lineRule="auto"/>
        <w:ind w:firstLine="420" w:firstLineChars="200"/>
        <w:rPr>
          <w:rFonts w:ascii="宋体" w:hAnsi="宋体" w:eastAsia="宋体"/>
          <w:color w:val="auto"/>
          <w:szCs w:val="21"/>
          <w:highlight w:val="none"/>
        </w:rPr>
      </w:pPr>
    </w:p>
    <w:p w14:paraId="53AB0705">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报价文件（封面）</w:t>
      </w:r>
    </w:p>
    <w:p w14:paraId="0F65B56D">
      <w:pPr>
        <w:spacing w:line="360" w:lineRule="auto"/>
        <w:ind w:firstLine="420" w:firstLineChars="200"/>
        <w:rPr>
          <w:rFonts w:ascii="宋体" w:hAnsi="宋体" w:eastAsia="宋体"/>
          <w:color w:val="auto"/>
          <w:szCs w:val="21"/>
          <w:highlight w:val="none"/>
        </w:rPr>
      </w:pPr>
    </w:p>
    <w:p w14:paraId="3C8DED6F">
      <w:pPr>
        <w:spacing w:line="360" w:lineRule="auto"/>
        <w:ind w:firstLine="420" w:firstLineChars="200"/>
        <w:rPr>
          <w:rFonts w:ascii="宋体" w:hAnsi="宋体" w:eastAsia="宋体"/>
          <w:color w:val="auto"/>
          <w:szCs w:val="21"/>
          <w:highlight w:val="none"/>
        </w:rPr>
      </w:pPr>
    </w:p>
    <w:p w14:paraId="6F3835D9">
      <w:pPr>
        <w:spacing w:line="360" w:lineRule="auto"/>
        <w:ind w:firstLine="420" w:firstLineChars="200"/>
        <w:rPr>
          <w:rFonts w:ascii="宋体" w:hAnsi="宋体" w:eastAsia="宋体"/>
          <w:color w:val="auto"/>
          <w:szCs w:val="21"/>
          <w:highlight w:val="none"/>
        </w:rPr>
      </w:pPr>
    </w:p>
    <w:p w14:paraId="656BF831">
      <w:pPr>
        <w:spacing w:line="360" w:lineRule="auto"/>
        <w:ind w:firstLine="420" w:firstLineChars="200"/>
        <w:rPr>
          <w:rFonts w:ascii="宋体" w:hAnsi="宋体" w:eastAsia="宋体"/>
          <w:color w:val="auto"/>
          <w:szCs w:val="21"/>
          <w:highlight w:val="none"/>
        </w:rPr>
      </w:pPr>
    </w:p>
    <w:p w14:paraId="423D218B">
      <w:pPr>
        <w:spacing w:line="360" w:lineRule="auto"/>
        <w:ind w:firstLine="420" w:firstLineChars="200"/>
        <w:rPr>
          <w:rFonts w:ascii="宋体" w:hAnsi="宋体" w:eastAsia="宋体"/>
          <w:color w:val="auto"/>
          <w:szCs w:val="21"/>
          <w:highlight w:val="none"/>
        </w:rPr>
      </w:pPr>
    </w:p>
    <w:p w14:paraId="64A706DD">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项目名称：[项目采购-项目名称_9]</w:t>
      </w:r>
    </w:p>
    <w:p w14:paraId="15416A74">
      <w:pPr>
        <w:spacing w:line="360" w:lineRule="auto"/>
        <w:ind w:firstLine="420" w:firstLineChars="200"/>
        <w:rPr>
          <w:rFonts w:ascii="宋体" w:hAnsi="宋体" w:eastAsia="宋体"/>
          <w:color w:val="auto"/>
          <w:szCs w:val="21"/>
          <w:highlight w:val="none"/>
        </w:rPr>
      </w:pPr>
    </w:p>
    <w:p w14:paraId="0E05294A">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项目编号：[项目采购-项目编号_9]</w:t>
      </w:r>
    </w:p>
    <w:p w14:paraId="3D9FB4D8">
      <w:pPr>
        <w:spacing w:line="360" w:lineRule="auto"/>
        <w:ind w:firstLine="420" w:firstLineChars="200"/>
        <w:rPr>
          <w:rFonts w:ascii="宋体" w:hAnsi="宋体" w:eastAsia="宋体"/>
          <w:color w:val="auto"/>
          <w:szCs w:val="21"/>
          <w:highlight w:val="none"/>
        </w:rPr>
      </w:pPr>
    </w:p>
    <w:p w14:paraId="6F052033">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77271F92">
      <w:pPr>
        <w:spacing w:line="360" w:lineRule="auto"/>
        <w:ind w:firstLine="420" w:firstLineChars="200"/>
        <w:rPr>
          <w:rFonts w:ascii="宋体" w:hAnsi="宋体" w:eastAsia="宋体"/>
          <w:color w:val="auto"/>
          <w:szCs w:val="21"/>
          <w:highlight w:val="none"/>
        </w:rPr>
      </w:pPr>
    </w:p>
    <w:p w14:paraId="2C986150">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6A44A577">
      <w:pPr>
        <w:spacing w:line="360" w:lineRule="auto"/>
        <w:ind w:firstLine="420" w:firstLineChars="200"/>
        <w:rPr>
          <w:rFonts w:ascii="宋体" w:hAnsi="宋体" w:eastAsia="宋体"/>
          <w:color w:val="auto"/>
          <w:szCs w:val="21"/>
          <w:highlight w:val="none"/>
        </w:rPr>
      </w:pPr>
    </w:p>
    <w:p w14:paraId="2447F50D">
      <w:pPr>
        <w:spacing w:line="360" w:lineRule="auto"/>
        <w:ind w:firstLine="420" w:firstLineChars="200"/>
        <w:rPr>
          <w:rFonts w:ascii="宋体" w:hAnsi="宋体" w:eastAsia="宋体"/>
          <w:color w:val="auto"/>
          <w:szCs w:val="21"/>
          <w:highlight w:val="none"/>
        </w:rPr>
      </w:pPr>
    </w:p>
    <w:p w14:paraId="297C2080">
      <w:pPr>
        <w:spacing w:line="360" w:lineRule="auto"/>
        <w:ind w:firstLine="420" w:firstLineChars="200"/>
        <w:rPr>
          <w:rFonts w:ascii="宋体" w:hAnsi="宋体" w:eastAsia="宋体"/>
          <w:color w:val="auto"/>
          <w:szCs w:val="21"/>
          <w:highlight w:val="none"/>
        </w:rPr>
      </w:pPr>
    </w:p>
    <w:p w14:paraId="07FE687D">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s="Times New Roman"/>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s="Times New Roman"/>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s="Times New Roman"/>
          <w:color w:val="auto"/>
          <w:sz w:val="32"/>
          <w:szCs w:val="32"/>
          <w:highlight w:val="none"/>
        </w:rPr>
        <w:t>日</w:t>
      </w:r>
    </w:p>
    <w:p w14:paraId="4075F3B9">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28D935AD">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报价文件目录</w:t>
      </w:r>
    </w:p>
    <w:p w14:paraId="0502F76E">
      <w:pPr>
        <w:spacing w:line="360" w:lineRule="auto"/>
        <w:ind w:firstLine="420" w:firstLineChars="200"/>
        <w:rPr>
          <w:rFonts w:ascii="宋体" w:hAnsi="宋体" w:eastAsia="宋体"/>
          <w:color w:val="auto"/>
          <w:szCs w:val="21"/>
          <w:highlight w:val="none"/>
        </w:rPr>
      </w:pPr>
    </w:p>
    <w:p w14:paraId="5C203260">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一、响应函……………………………………………………………………………………………………（页码）</w:t>
      </w:r>
    </w:p>
    <w:p w14:paraId="5C5710D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二、响应报价表………………………………………………………………………………………………（页码）</w:t>
      </w:r>
    </w:p>
    <w:p w14:paraId="5151D13A">
      <w:pPr>
        <w:spacing w:line="360" w:lineRule="auto"/>
        <w:rPr>
          <w:rFonts w:ascii="宋体" w:hAnsi="宋体" w:eastAsia="宋体"/>
          <w:color w:val="auto"/>
          <w:szCs w:val="21"/>
          <w:highlight w:val="none"/>
        </w:rPr>
      </w:pPr>
    </w:p>
    <w:p w14:paraId="0C16CF76">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992" w:gutter="0"/>
          <w:pgNumType w:fmt="decimal"/>
          <w:cols w:space="425" w:num="1"/>
          <w:docGrid w:type="lines" w:linePitch="312" w:charSpace="0"/>
        </w:sectPr>
      </w:pPr>
    </w:p>
    <w:p w14:paraId="040920FC">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一、响应函</w:t>
      </w:r>
    </w:p>
    <w:p w14:paraId="7DE0331C">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响应函</w:t>
      </w:r>
    </w:p>
    <w:p w14:paraId="79501DA2">
      <w:pPr>
        <w:spacing w:line="360" w:lineRule="auto"/>
        <w:rPr>
          <w:rFonts w:ascii="宋体" w:hAnsi="宋体" w:eastAsia="宋体"/>
          <w:color w:val="auto"/>
          <w:szCs w:val="21"/>
          <w:highlight w:val="none"/>
          <w:u w:val="singl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[项目采购-采购组织机构_4]</w:t>
      </w:r>
    </w:p>
    <w:p w14:paraId="28F3CD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我方已仔细阅读了贵方组织的</w:t>
      </w:r>
      <w:r>
        <w:rPr>
          <w:rFonts w:hint="eastAsia" w:ascii="宋体" w:hAnsi="宋体" w:eastAsia="宋体"/>
          <w:color w:val="auto"/>
          <w:szCs w:val="21"/>
          <w:highlight w:val="none"/>
          <w:u w:val="single"/>
        </w:rPr>
        <w:t>[项目采购-项目名称_10]</w:t>
      </w:r>
      <w:r>
        <w:rPr>
          <w:rFonts w:hint="eastAsia" w:ascii="宋体" w:hAnsi="宋体" w:eastAsia="宋体"/>
          <w:color w:val="auto"/>
          <w:szCs w:val="21"/>
          <w:highlight w:val="none"/>
        </w:rPr>
        <w:t>项目（项目编号：</w:t>
      </w:r>
      <w:r>
        <w:rPr>
          <w:rFonts w:hint="eastAsia" w:ascii="宋体" w:hAnsi="宋体" w:eastAsia="宋体"/>
          <w:color w:val="auto"/>
          <w:szCs w:val="21"/>
          <w:highlight w:val="none"/>
          <w:u w:val="single"/>
        </w:rPr>
        <w:t>[项目采购-项目编号_10]</w:t>
      </w:r>
      <w:r>
        <w:rPr>
          <w:rFonts w:hint="eastAsia" w:ascii="宋体" w:hAnsi="宋体" w:eastAsia="宋体"/>
          <w:color w:val="auto"/>
          <w:szCs w:val="21"/>
          <w:highlight w:val="none"/>
        </w:rPr>
        <w:t>）的竞争性磋商采购文件的全部内容，现正式递交下述文件参加贵方组织的本次政府采购活动：</w:t>
      </w:r>
    </w:p>
    <w:p w14:paraId="42B63F8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一、首次报价文件电子版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份（包含按“第三章供应商须知”提交的全部文件）；</w:t>
      </w:r>
    </w:p>
    <w:p w14:paraId="363D2E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二、技术文件电子版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份（包含按“第三章供应商须知”提交的全部文件）；商务文件电子版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份（包含按“第三章供应商须知”提交的全部文件）；（商务技术文件已合并装订成册）；</w:t>
      </w:r>
    </w:p>
    <w:p w14:paraId="6E4058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三、资格证明文件电子版（包含按“第三章供应商须知”提交的全部文件）；</w:t>
      </w:r>
    </w:p>
    <w:p w14:paraId="0801B7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据此函，签字人兹宣布：</w:t>
      </w:r>
    </w:p>
    <w:p w14:paraId="4897A8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1、我方愿意以</w:t>
      </w:r>
      <w:r>
        <w:rPr>
          <w:rFonts w:hint="eastAsia" w:ascii="宋体" w:hAnsi="宋体" w:eastAsia="宋体" w:cs="宋体"/>
          <w:color w:val="auto"/>
          <w:szCs w:val="21"/>
          <w:highlight w:val="none"/>
          <w:lang w:val="en-US" w:eastAsia="zh-CN"/>
        </w:rPr>
        <w:t>下浮系数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w:t>
      </w:r>
      <w:r>
        <w:rPr>
          <w:rFonts w:hint="eastAsia" w:ascii="宋体" w:hAnsi="宋体" w:eastAsia="宋体"/>
          <w:color w:val="auto"/>
          <w:szCs w:val="21"/>
          <w:highlight w:val="none"/>
        </w:rPr>
        <w:t>的竞标报价，合同履行期限：工期：</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，提供本项目竞争性磋商采购文件第二章“采购需求一览表”中相应的采购内容。</w:t>
      </w:r>
    </w:p>
    <w:p w14:paraId="5C7D2C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2、我方同意自本项目竞争性磋商采购文件采购公告规定的递交响应文件截止时间起遵循本响应函，并承诺在“第三章供应商须知”规定的响应有效期内不修改、撤销响应文件。</w:t>
      </w:r>
    </w:p>
    <w:p w14:paraId="25B25B1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3、我方在此声明，所递交的响应文件及有关资料内容完整、真实和准确。</w:t>
      </w:r>
    </w:p>
    <w:p w14:paraId="172F98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4、如本项目采购内容涉及须符合国家强制规定的，我方承诺我方本次竞标均符合国家有关强制规定。</w:t>
      </w:r>
    </w:p>
    <w:p w14:paraId="2A71D91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19F710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6、我方已详细审核竞争性磋商采购文件，我方知道必须放弃提出含糊不清或误解问题的权利。</w:t>
      </w:r>
    </w:p>
    <w:p w14:paraId="61F3A43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7、我方承诺满足竞争性磋商采购文件第六章“合同文本”的条款，承担完成合同的责任和义务。</w:t>
      </w:r>
    </w:p>
    <w:p w14:paraId="4C5F5FE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8、我方同意应贵方要求提供与本竞标有关的任何数据或资料。若贵方需要，我方愿意提供我方作出的一切承诺的证明材料。</w:t>
      </w:r>
    </w:p>
    <w:p w14:paraId="1B3EBB6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9、我方完全理解贵方不一定接受响应报价最低的竞标人为成交供应商的行为。</w:t>
      </w:r>
    </w:p>
    <w:p w14:paraId="5A3B5E9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5253E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（1）提供虚假材料谋取中标、成交的；</w:t>
      </w:r>
    </w:p>
    <w:p w14:paraId="24E9326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（2）采取不正当手段诋毁、排挤其他供应商的；</w:t>
      </w:r>
    </w:p>
    <w:p w14:paraId="12B4A39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（3）与采购人、其他供应商或者采购代理机构恶意串通的；</w:t>
      </w:r>
    </w:p>
    <w:p w14:paraId="6A667CF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（4）向采购人、采购代理机构行贿或者提供其他不正当利益的；</w:t>
      </w:r>
    </w:p>
    <w:p w14:paraId="6469CD7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（5）在采购过程中与采购人进行协商谈判的；</w:t>
      </w:r>
    </w:p>
    <w:p w14:paraId="4C9ECBF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（6）拒绝有关部门监督检查或提供虚假情况的。</w:t>
      </w:r>
    </w:p>
    <w:p w14:paraId="40A1B1D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11.与本磋商有关的一切正式往来信函请寄：</w:t>
      </w:r>
    </w:p>
    <w:p w14:paraId="0F081A9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0FBB13A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电话：</w:t>
      </w:r>
      <w:r>
        <w:rPr>
          <w:rFonts w:ascii="Times New Roman" w:hAnsi="Times New Roman" w:eastAsia="宋体" w:cs="Times New Roman"/>
          <w:color w:val="auto"/>
          <w:szCs w:val="21"/>
          <w:highlight w:val="none"/>
        </w:rPr>
        <w:t>__________________________________________________________________________________</w:t>
      </w:r>
    </w:p>
    <w:p w14:paraId="31E224D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传真：</w:t>
      </w:r>
      <w:r>
        <w:rPr>
          <w:rFonts w:ascii="Times New Roman" w:hAnsi="Times New Roman" w:eastAsia="宋体" w:cs="Times New Roman"/>
          <w:color w:val="auto"/>
          <w:szCs w:val="21"/>
          <w:highlight w:val="none"/>
        </w:rPr>
        <w:t>__________________________________________________________________________________</w:t>
      </w:r>
    </w:p>
    <w:p w14:paraId="733FCFA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邮政编码：</w:t>
      </w:r>
      <w:r>
        <w:rPr>
          <w:rFonts w:ascii="Times New Roman" w:hAnsi="Times New Roman" w:eastAsia="宋体" w:cs="Times New Roman"/>
          <w:color w:val="auto"/>
          <w:szCs w:val="21"/>
          <w:highlight w:val="none"/>
        </w:rPr>
        <w:t>______________________________________________________________________________</w:t>
      </w:r>
    </w:p>
    <w:p w14:paraId="06B0CB2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开户名称：</w:t>
      </w:r>
      <w:r>
        <w:rPr>
          <w:rFonts w:ascii="Times New Roman" w:hAnsi="Times New Roman" w:eastAsia="宋体" w:cs="Times New Roman"/>
          <w:color w:val="auto"/>
          <w:szCs w:val="21"/>
          <w:highlight w:val="none"/>
        </w:rPr>
        <w:t>______________________________________________________________________________</w:t>
      </w:r>
    </w:p>
    <w:p w14:paraId="2DA2A9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开户银行：</w:t>
      </w:r>
      <w:r>
        <w:rPr>
          <w:rFonts w:ascii="Times New Roman" w:hAnsi="Times New Roman" w:eastAsia="宋体" w:cs="Times New Roman"/>
          <w:color w:val="auto"/>
          <w:szCs w:val="21"/>
          <w:highlight w:val="none"/>
        </w:rPr>
        <w:t>______________________________________________________________________________</w:t>
      </w:r>
    </w:p>
    <w:p w14:paraId="43F1A46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银行账号：</w:t>
      </w:r>
      <w:r>
        <w:rPr>
          <w:rFonts w:ascii="Times New Roman" w:hAnsi="Times New Roman" w:eastAsia="宋体" w:cs="Times New Roman"/>
          <w:color w:val="auto"/>
          <w:szCs w:val="21"/>
          <w:highlight w:val="none"/>
        </w:rPr>
        <w:t>______________________________________________________________________________</w:t>
      </w:r>
    </w:p>
    <w:p w14:paraId="09FA2CB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特此承诺。</w:t>
      </w:r>
    </w:p>
    <w:p w14:paraId="61D7555E">
      <w:pPr>
        <w:spacing w:line="360" w:lineRule="auto"/>
        <w:ind w:firstLine="420" w:firstLineChars="200"/>
        <w:rPr>
          <w:rFonts w:ascii="宋体" w:hAnsi="宋体" w:eastAsia="宋体"/>
          <w:color w:val="auto"/>
          <w:szCs w:val="21"/>
          <w:highlight w:val="none"/>
        </w:rPr>
      </w:pPr>
    </w:p>
    <w:p w14:paraId="625C2DA4">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75645653">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5CAA5D9E">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992" w:gutter="0"/>
          <w:pgNumType w:fmt="decimal"/>
          <w:cols w:space="425" w:num="1"/>
          <w:docGrid w:type="lines" w:linePitch="312" w:charSpace="0"/>
        </w:sectPr>
      </w:pPr>
    </w:p>
    <w:p w14:paraId="4FD92CC6">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二、响应报价表</w:t>
      </w:r>
    </w:p>
    <w:p w14:paraId="1861AF8B">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[项目采购-项目名称_11]</w:t>
      </w:r>
      <w:r>
        <w:rPr>
          <w:rFonts w:hint="eastAsia" w:ascii="宋体" w:hAnsi="宋体" w:eastAsia="宋体"/>
          <w:color w:val="auto"/>
          <w:szCs w:val="21"/>
          <w:highlight w:val="none"/>
        </w:rPr>
        <w:t>项目编号：</w:t>
      </w:r>
      <w:r>
        <w:rPr>
          <w:rFonts w:hint="eastAsia" w:ascii="宋体" w:hAnsi="宋体" w:eastAsia="宋体"/>
          <w:color w:val="auto"/>
          <w:szCs w:val="21"/>
          <w:highlight w:val="none"/>
          <w:u w:val="single"/>
        </w:rPr>
        <w:t>[项目采购-项目编号_11]</w:t>
      </w:r>
    </w:p>
    <w:p w14:paraId="3B251FE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分标：</w:t>
      </w:r>
      <w:r>
        <w:rPr>
          <w:rFonts w:ascii="Times New Roman" w:hAnsi="Times New Roman" w:eastAsia="宋体" w:cs="Times New Roman"/>
          <w:color w:val="auto"/>
          <w:szCs w:val="21"/>
          <w:highlight w:val="none"/>
        </w:rPr>
        <w:t>_________</w:t>
      </w:r>
    </w:p>
    <w:p w14:paraId="7734604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供应商名称：</w:t>
      </w:r>
      <w:r>
        <w:rPr>
          <w:rFonts w:ascii="Times New Roman" w:hAnsi="Times New Roman" w:eastAsia="宋体" w:cs="Times New Roman"/>
          <w:color w:val="auto"/>
          <w:szCs w:val="21"/>
          <w:highlight w:val="none"/>
        </w:rPr>
        <w:t>_________</w:t>
      </w:r>
    </w:p>
    <w:tbl>
      <w:tblPr>
        <w:tblStyle w:val="1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41"/>
        <w:gridCol w:w="1068"/>
        <w:gridCol w:w="3193"/>
        <w:gridCol w:w="752"/>
      </w:tblGrid>
      <w:tr w14:paraId="4D09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56" w:type="pct"/>
            <w:vAlign w:val="center"/>
          </w:tcPr>
          <w:p w14:paraId="1539C6EB">
            <w:pPr>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2101" w:type="pct"/>
            <w:vAlign w:val="center"/>
          </w:tcPr>
          <w:p w14:paraId="3297270D">
            <w:pPr>
              <w:jc w:val="center"/>
              <w:rPr>
                <w:rFonts w:ascii="宋体" w:hAnsi="宋体" w:eastAsia="宋体"/>
                <w:color w:val="auto"/>
                <w:szCs w:val="21"/>
                <w:highlight w:val="none"/>
              </w:rPr>
            </w:pPr>
            <w:r>
              <w:rPr>
                <w:rFonts w:hint="eastAsia" w:ascii="宋体" w:hAnsi="宋体" w:eastAsia="宋体"/>
                <w:color w:val="auto"/>
                <w:szCs w:val="21"/>
                <w:highlight w:val="none"/>
              </w:rPr>
              <w:t>标的的名称</w:t>
            </w:r>
          </w:p>
        </w:tc>
        <w:tc>
          <w:tcPr>
            <w:tcW w:w="542" w:type="pct"/>
            <w:vAlign w:val="center"/>
          </w:tcPr>
          <w:p w14:paraId="4A60B564">
            <w:pPr>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1620" w:type="pct"/>
            <w:vAlign w:val="center"/>
          </w:tcPr>
          <w:p w14:paraId="71DC60D0">
            <w:pPr>
              <w:jc w:val="center"/>
              <w:rPr>
                <w:rFonts w:ascii="宋体" w:hAnsi="宋体" w:eastAsia="宋体"/>
                <w:color w:val="auto"/>
                <w:szCs w:val="21"/>
                <w:highlight w:val="none"/>
              </w:rPr>
            </w:pPr>
            <w:r>
              <w:rPr>
                <w:rFonts w:hint="eastAsia" w:ascii="宋体" w:hAnsi="宋体" w:eastAsia="宋体" w:cs="宋体"/>
                <w:color w:val="auto"/>
                <w:szCs w:val="21"/>
                <w:highlight w:val="none"/>
                <w:lang w:val="en-US" w:eastAsia="zh-CN"/>
              </w:rPr>
              <w:t>下浮系数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p>
        </w:tc>
        <w:tc>
          <w:tcPr>
            <w:tcW w:w="378" w:type="pct"/>
            <w:vAlign w:val="center"/>
          </w:tcPr>
          <w:p w14:paraId="546CA08F">
            <w:pPr>
              <w:jc w:val="center"/>
              <w:rPr>
                <w:rFonts w:ascii="宋体" w:hAnsi="宋体" w:eastAsia="宋体"/>
                <w:color w:val="auto"/>
                <w:szCs w:val="21"/>
                <w:highlight w:val="none"/>
              </w:rPr>
            </w:pPr>
            <w:r>
              <w:rPr>
                <w:rFonts w:hint="eastAsia" w:ascii="宋体" w:hAnsi="宋体" w:eastAsia="宋体"/>
                <w:color w:val="auto"/>
                <w:szCs w:val="21"/>
                <w:highlight w:val="none"/>
              </w:rPr>
              <w:t>备注</w:t>
            </w:r>
          </w:p>
        </w:tc>
      </w:tr>
      <w:tr w14:paraId="47D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356" w:type="pct"/>
            <w:vAlign w:val="center"/>
          </w:tcPr>
          <w:p w14:paraId="64CC04EE">
            <w:pPr>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2101" w:type="pct"/>
            <w:vAlign w:val="center"/>
          </w:tcPr>
          <w:p w14:paraId="4B4E258B">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刘圩镇槐里村智慧高效设施农业大棚建设</w:t>
            </w:r>
          </w:p>
        </w:tc>
        <w:tc>
          <w:tcPr>
            <w:tcW w:w="542" w:type="pct"/>
            <w:vAlign w:val="center"/>
          </w:tcPr>
          <w:p w14:paraId="0A7A315E">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1项</w:t>
            </w:r>
          </w:p>
        </w:tc>
        <w:tc>
          <w:tcPr>
            <w:tcW w:w="1620" w:type="pct"/>
            <w:vAlign w:val="center"/>
          </w:tcPr>
          <w:p w14:paraId="60783D8A">
            <w:pPr>
              <w:jc w:val="center"/>
              <w:rPr>
                <w:rFonts w:ascii="宋体" w:hAnsi="宋体" w:eastAsia="宋体"/>
                <w:color w:val="auto"/>
                <w:szCs w:val="21"/>
                <w:highlight w:val="none"/>
              </w:rPr>
            </w:pPr>
          </w:p>
        </w:tc>
        <w:tc>
          <w:tcPr>
            <w:tcW w:w="378" w:type="pct"/>
            <w:vAlign w:val="center"/>
          </w:tcPr>
          <w:p w14:paraId="4973EC8C">
            <w:pPr>
              <w:jc w:val="center"/>
              <w:rPr>
                <w:rFonts w:ascii="宋体" w:hAnsi="宋体" w:eastAsia="宋体"/>
                <w:color w:val="auto"/>
                <w:szCs w:val="21"/>
                <w:highlight w:val="none"/>
              </w:rPr>
            </w:pPr>
          </w:p>
        </w:tc>
      </w:tr>
      <w:tr w14:paraId="53EA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00" w:type="pct"/>
            <w:gridSpan w:val="5"/>
            <w:vAlign w:val="center"/>
          </w:tcPr>
          <w:p w14:paraId="5A48DFD6">
            <w:pPr>
              <w:jc w:val="left"/>
              <w:rPr>
                <w:rFonts w:ascii="宋体" w:hAnsi="宋体" w:eastAsia="宋体"/>
                <w:color w:val="auto"/>
                <w:szCs w:val="21"/>
                <w:highlight w:val="none"/>
              </w:rPr>
            </w:pP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rPr>
              <w:t>工期：</w:t>
            </w:r>
          </w:p>
        </w:tc>
      </w:tr>
      <w:tr w14:paraId="61FA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00" w:type="pct"/>
            <w:gridSpan w:val="5"/>
            <w:vAlign w:val="center"/>
          </w:tcPr>
          <w:p w14:paraId="30BCB5C3">
            <w:pPr>
              <w:jc w:val="left"/>
              <w:rPr>
                <w:rFonts w:ascii="宋体" w:hAnsi="宋体" w:eastAsia="宋体"/>
                <w:color w:val="auto"/>
                <w:szCs w:val="21"/>
                <w:highlight w:val="none"/>
              </w:rPr>
            </w:pPr>
            <w:r>
              <w:rPr>
                <w:rFonts w:hint="eastAsia" w:ascii="宋体" w:hAnsi="宋体" w:eastAsia="宋体" w:cs="宋体"/>
                <w:color w:val="auto"/>
                <w:szCs w:val="21"/>
                <w:highlight w:val="none"/>
              </w:rPr>
              <w:t>项目经理姓名：</w:t>
            </w:r>
          </w:p>
        </w:tc>
      </w:tr>
      <w:tr w14:paraId="60F0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00" w:type="pct"/>
            <w:gridSpan w:val="5"/>
            <w:vAlign w:val="center"/>
          </w:tcPr>
          <w:p w14:paraId="4514C91D">
            <w:pPr>
              <w:jc w:val="left"/>
              <w:rPr>
                <w:rFonts w:ascii="宋体" w:hAnsi="宋体" w:eastAsia="宋体"/>
                <w:color w:val="auto"/>
                <w:szCs w:val="21"/>
                <w:highlight w:val="none"/>
              </w:rPr>
            </w:pPr>
            <w:r>
              <w:rPr>
                <w:rFonts w:hint="eastAsia" w:ascii="宋体" w:hAnsi="宋体" w:eastAsia="宋体" w:cs="宋体"/>
                <w:color w:val="auto"/>
                <w:szCs w:val="21"/>
                <w:highlight w:val="none"/>
              </w:rPr>
              <w:t>项目经理的执业注册建造师证编号：</w:t>
            </w:r>
          </w:p>
        </w:tc>
      </w:tr>
    </w:tbl>
    <w:p w14:paraId="51BCA1E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06C5E22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1、供应商需按本表格式填写，不得自行更改，也不得留空，如有多分标，按分标分别提供响应报价表。</w:t>
      </w:r>
    </w:p>
    <w:p w14:paraId="50E5416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2、如为联合体响应的，“供应商名称”处必须列明联合体各方名称，并标注联合体牵头人名称，且盖章处须加盖联合体各方公章，</w:t>
      </w:r>
      <w:r>
        <w:rPr>
          <w:rFonts w:hint="eastAsia" w:ascii="宋体" w:hAnsi="宋体" w:eastAsia="宋体"/>
          <w:b/>
          <w:color w:val="auto"/>
          <w:szCs w:val="21"/>
          <w:highlight w:val="none"/>
        </w:rPr>
        <w:t>否则其响应作无效响应处理</w:t>
      </w:r>
      <w:r>
        <w:rPr>
          <w:rFonts w:hint="eastAsia" w:ascii="宋体" w:hAnsi="宋体" w:eastAsia="宋体"/>
          <w:color w:val="auto"/>
          <w:szCs w:val="21"/>
          <w:highlight w:val="none"/>
        </w:rPr>
        <w:t>。</w:t>
      </w:r>
    </w:p>
    <w:p w14:paraId="0A084DB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、特别提示：采购机构将对项目名称和项目编号，成交供应商名称、地址和成交</w:t>
      </w:r>
      <w:r>
        <w:rPr>
          <w:rFonts w:hint="eastAsia" w:ascii="宋体" w:hAnsi="宋体" w:eastAsia="宋体"/>
          <w:color w:val="auto"/>
          <w:szCs w:val="21"/>
          <w:highlight w:val="none"/>
          <w:lang w:val="en-US" w:eastAsia="zh-CN"/>
        </w:rPr>
        <w:t>下浮系数</w:t>
      </w:r>
      <w:r>
        <w:rPr>
          <w:rFonts w:hint="eastAsia" w:ascii="宋体" w:hAnsi="宋体" w:eastAsia="宋体"/>
          <w:color w:val="auto"/>
          <w:szCs w:val="21"/>
          <w:highlight w:val="none"/>
        </w:rPr>
        <w:t>，主要成交标的的名称、施工工期、项目经理、执业证书信息等予以公示。</w:t>
      </w:r>
    </w:p>
    <w:p w14:paraId="582DF868">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BF03306">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40F8F4AA">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1DD2D6AE">
      <w:pPr>
        <w:pStyle w:val="3"/>
        <w:jc w:val="center"/>
        <w:rPr>
          <w:color w:val="auto"/>
          <w:highlight w:val="none"/>
        </w:rPr>
        <w:sectPr>
          <w:pgSz w:w="11906" w:h="16838"/>
          <w:pgMar w:top="1134" w:right="1134" w:bottom="1134" w:left="1134" w:header="851" w:footer="992" w:gutter="0"/>
          <w:pgNumType w:fmt="decimal"/>
          <w:cols w:space="425" w:num="1"/>
          <w:docGrid w:type="lines" w:linePitch="312" w:charSpace="0"/>
        </w:sectPr>
      </w:pPr>
    </w:p>
    <w:p w14:paraId="5AF6131F">
      <w:pPr>
        <w:pStyle w:val="3"/>
        <w:jc w:val="center"/>
        <w:rPr>
          <w:color w:val="auto"/>
          <w:highlight w:val="none"/>
        </w:rPr>
      </w:pPr>
      <w:bookmarkStart w:id="21" w:name="_Toc3201"/>
      <w:r>
        <w:rPr>
          <w:rFonts w:hint="eastAsia"/>
          <w:color w:val="auto"/>
          <w:highlight w:val="none"/>
        </w:rPr>
        <w:t>第五</w:t>
      </w:r>
      <w:r>
        <w:rPr>
          <w:rFonts w:hint="eastAsia"/>
          <w:color w:val="auto"/>
          <w:spacing w:val="120"/>
          <w:highlight w:val="none"/>
        </w:rPr>
        <w:t>节</w:t>
      </w:r>
      <w:r>
        <w:rPr>
          <w:rFonts w:hint="eastAsia"/>
          <w:color w:val="auto"/>
          <w:highlight w:val="none"/>
        </w:rPr>
        <w:t>其他文书、文件格式</w:t>
      </w:r>
      <w:bookmarkEnd w:id="21"/>
    </w:p>
    <w:p w14:paraId="6A63CB2F">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知识产权合规性声明</w:t>
      </w:r>
    </w:p>
    <w:p w14:paraId="28FDD930">
      <w:pPr>
        <w:spacing w:line="360" w:lineRule="auto"/>
        <w:ind w:firstLine="420" w:firstLineChars="200"/>
        <w:rPr>
          <w:rFonts w:ascii="宋体" w:hAnsi="宋体" w:eastAsia="宋体"/>
          <w:color w:val="auto"/>
          <w:szCs w:val="21"/>
          <w:highlight w:val="none"/>
        </w:rPr>
      </w:pPr>
    </w:p>
    <w:p w14:paraId="40FD8AC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本企业（单位）自愿参与政府投资政府采购的</w:t>
      </w:r>
      <w:r>
        <w:rPr>
          <w:rFonts w:hint="eastAsia" w:ascii="宋体" w:hAnsi="宋体" w:eastAsia="宋体"/>
          <w:color w:val="auto"/>
          <w:szCs w:val="21"/>
          <w:highlight w:val="none"/>
          <w:u w:val="single"/>
        </w:rPr>
        <w:t>[项目采购-项目名称_14]</w:t>
      </w:r>
      <w:r>
        <w:rPr>
          <w:rFonts w:hint="eastAsia" w:ascii="宋体" w:hAnsi="宋体" w:eastAsia="宋体"/>
          <w:color w:val="auto"/>
          <w:szCs w:val="21"/>
          <w:highlight w:val="none"/>
        </w:rPr>
        <w:t>项目，</w:t>
      </w:r>
      <w:r>
        <w:rPr>
          <w:rFonts w:hint="eastAsia" w:ascii="宋体" w:hAnsi="宋体" w:eastAsia="宋体"/>
          <w:b/>
          <w:color w:val="auto"/>
          <w:szCs w:val="21"/>
          <w:highlight w:val="none"/>
        </w:rPr>
        <w:t>在此郑重承诺</w:t>
      </w:r>
      <w:r>
        <w:rPr>
          <w:rFonts w:hint="eastAsia" w:ascii="宋体" w:hAnsi="宋体" w:eastAsia="宋体"/>
          <w:color w:val="auto"/>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4D3D4F2">
      <w:pPr>
        <w:spacing w:line="360" w:lineRule="auto"/>
        <w:ind w:firstLine="420" w:firstLineChars="200"/>
        <w:rPr>
          <w:rFonts w:ascii="宋体" w:hAnsi="宋体" w:eastAsia="宋体"/>
          <w:color w:val="auto"/>
          <w:szCs w:val="21"/>
          <w:highlight w:val="none"/>
        </w:rPr>
      </w:pPr>
    </w:p>
    <w:p w14:paraId="39E94F91">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4415678B">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083E6251">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06ADD38E">
      <w:pPr>
        <w:spacing w:line="360" w:lineRule="auto"/>
        <w:ind w:firstLine="420" w:firstLineChars="200"/>
        <w:rPr>
          <w:rFonts w:ascii="宋体" w:hAnsi="宋体" w:eastAsia="宋体"/>
          <w:color w:val="auto"/>
          <w:szCs w:val="21"/>
          <w:highlight w:val="none"/>
        </w:rPr>
      </w:pPr>
    </w:p>
    <w:p w14:paraId="712CC901">
      <w:pPr>
        <w:spacing w:line="360" w:lineRule="auto"/>
        <w:ind w:firstLine="420" w:firstLineChars="200"/>
        <w:rPr>
          <w:rFonts w:ascii="宋体" w:hAnsi="宋体" w:eastAsia="宋体"/>
          <w:color w:val="auto"/>
          <w:szCs w:val="21"/>
          <w:highlight w:val="none"/>
        </w:rPr>
      </w:pPr>
    </w:p>
    <w:p w14:paraId="25F0EAEE">
      <w:pPr>
        <w:spacing w:line="360" w:lineRule="auto"/>
        <w:ind w:firstLine="420" w:firstLineChars="200"/>
        <w:rPr>
          <w:rFonts w:ascii="宋体" w:hAnsi="宋体" w:eastAsia="宋体"/>
          <w:color w:val="auto"/>
          <w:szCs w:val="21"/>
          <w:highlight w:val="none"/>
        </w:rPr>
      </w:pPr>
    </w:p>
    <w:p w14:paraId="6DB379B1">
      <w:pPr>
        <w:spacing w:line="360" w:lineRule="auto"/>
        <w:ind w:firstLine="420" w:firstLineChars="200"/>
        <w:rPr>
          <w:rFonts w:ascii="宋体" w:hAnsi="宋体" w:eastAsia="宋体"/>
          <w:color w:val="auto"/>
          <w:szCs w:val="21"/>
          <w:highlight w:val="none"/>
        </w:rPr>
      </w:pPr>
    </w:p>
    <w:p w14:paraId="6D6797F6">
      <w:pPr>
        <w:spacing w:line="360" w:lineRule="auto"/>
        <w:ind w:firstLine="420" w:firstLineChars="200"/>
        <w:rPr>
          <w:rFonts w:ascii="宋体" w:hAnsi="宋体" w:eastAsia="宋体"/>
          <w:color w:val="auto"/>
          <w:szCs w:val="21"/>
          <w:highlight w:val="none"/>
        </w:rPr>
      </w:pPr>
    </w:p>
    <w:p w14:paraId="216CB1B6">
      <w:pPr>
        <w:spacing w:line="360" w:lineRule="auto"/>
        <w:ind w:firstLine="420" w:firstLineChars="200"/>
        <w:rPr>
          <w:rFonts w:ascii="宋体" w:hAnsi="宋体" w:eastAsia="宋体"/>
          <w:color w:val="auto"/>
          <w:szCs w:val="21"/>
          <w:highlight w:val="none"/>
        </w:rPr>
      </w:pPr>
    </w:p>
    <w:p w14:paraId="42324580">
      <w:pPr>
        <w:spacing w:line="360" w:lineRule="auto"/>
        <w:ind w:firstLine="420" w:firstLineChars="200"/>
        <w:rPr>
          <w:rFonts w:ascii="宋体" w:hAnsi="宋体" w:eastAsia="宋体"/>
          <w:color w:val="auto"/>
          <w:szCs w:val="21"/>
          <w:highlight w:val="none"/>
        </w:rPr>
      </w:pPr>
    </w:p>
    <w:p w14:paraId="447B99BE">
      <w:pPr>
        <w:spacing w:line="360" w:lineRule="auto"/>
        <w:ind w:firstLine="420" w:firstLineChars="200"/>
        <w:rPr>
          <w:rFonts w:ascii="宋体" w:hAnsi="宋体" w:eastAsia="宋体"/>
          <w:color w:val="auto"/>
          <w:szCs w:val="21"/>
          <w:highlight w:val="none"/>
        </w:rPr>
      </w:pPr>
    </w:p>
    <w:p w14:paraId="3EDFF35A">
      <w:pPr>
        <w:spacing w:line="360" w:lineRule="auto"/>
        <w:ind w:firstLine="420" w:firstLineChars="200"/>
        <w:rPr>
          <w:rFonts w:ascii="宋体" w:hAnsi="宋体" w:eastAsia="宋体"/>
          <w:color w:val="auto"/>
          <w:szCs w:val="21"/>
          <w:highlight w:val="none"/>
        </w:rPr>
      </w:pPr>
    </w:p>
    <w:p w14:paraId="03EDB290">
      <w:pPr>
        <w:pStyle w:val="2"/>
        <w:jc w:val="center"/>
        <w:rPr>
          <w:color w:val="auto"/>
          <w:highlight w:val="none"/>
        </w:rPr>
      </w:pPr>
      <w:bookmarkStart w:id="22" w:name="_Toc30553"/>
      <w:r>
        <w:rPr>
          <w:rFonts w:hint="eastAsia"/>
          <w:color w:val="auto"/>
          <w:highlight w:val="none"/>
        </w:rPr>
        <w:t>第六</w:t>
      </w:r>
      <w:r>
        <w:rPr>
          <w:rFonts w:hint="eastAsia" w:ascii="宋体" w:hAnsi="宋体" w:eastAsia="宋体"/>
          <w:color w:val="auto"/>
          <w:spacing w:val="120"/>
          <w:highlight w:val="none"/>
        </w:rPr>
        <w:t>章</w:t>
      </w:r>
      <w:r>
        <w:rPr>
          <w:rFonts w:hint="eastAsia"/>
          <w:color w:val="auto"/>
          <w:highlight w:val="none"/>
        </w:rPr>
        <w:t>合同文本</w:t>
      </w:r>
      <w:bookmarkEnd w:id="22"/>
    </w:p>
    <w:p w14:paraId="06EEC888">
      <w:pPr>
        <w:rPr>
          <w:color w:val="auto"/>
          <w:highlight w:val="none"/>
        </w:rPr>
        <w:sectPr>
          <w:pgSz w:w="11906" w:h="16838"/>
          <w:pgMar w:top="1134" w:right="1134" w:bottom="1134" w:left="1134" w:header="851" w:footer="992" w:gutter="0"/>
          <w:pgNumType w:fmt="decimal"/>
          <w:cols w:space="425" w:num="1"/>
          <w:docGrid w:type="lines" w:linePitch="312" w:charSpace="0"/>
        </w:sectPr>
      </w:pPr>
    </w:p>
    <w:p w14:paraId="280880C7">
      <w:pPr>
        <w:spacing w:line="560" w:lineRule="exact"/>
        <w:ind w:firstLine="560" w:firstLineChars="200"/>
        <w:rPr>
          <w:rFonts w:hint="eastAsia"/>
          <w:color w:val="auto"/>
          <w:sz w:val="28"/>
          <w:szCs w:val="28"/>
          <w:highlight w:val="none"/>
        </w:rPr>
      </w:pPr>
    </w:p>
    <w:p w14:paraId="655734FC">
      <w:pPr>
        <w:spacing w:line="560" w:lineRule="exact"/>
        <w:ind w:firstLine="200"/>
        <w:rPr>
          <w:rFonts w:hint="eastAsia"/>
          <w:b/>
          <w:color w:val="auto"/>
          <w:sz w:val="52"/>
          <w:szCs w:val="52"/>
          <w:highlight w:val="none"/>
        </w:rPr>
      </w:pPr>
    </w:p>
    <w:p w14:paraId="7903FFDA">
      <w:pPr>
        <w:spacing w:line="560" w:lineRule="exact"/>
        <w:ind w:firstLine="200"/>
        <w:jc w:val="center"/>
        <w:rPr>
          <w:rFonts w:hint="eastAsia"/>
          <w:b/>
          <w:color w:val="auto"/>
          <w:sz w:val="52"/>
          <w:szCs w:val="52"/>
          <w:highlight w:val="none"/>
        </w:rPr>
      </w:pPr>
      <w:r>
        <w:rPr>
          <w:rFonts w:hint="eastAsia"/>
          <w:b/>
          <w:color w:val="auto"/>
          <w:sz w:val="52"/>
          <w:szCs w:val="52"/>
          <w:highlight w:val="none"/>
        </w:rPr>
        <w:t>青  秀  区  建  设  工  程</w:t>
      </w:r>
    </w:p>
    <w:p w14:paraId="1BC31553">
      <w:pPr>
        <w:spacing w:line="560" w:lineRule="exact"/>
        <w:ind w:firstLine="200"/>
        <w:jc w:val="center"/>
        <w:rPr>
          <w:rFonts w:hint="eastAsia"/>
          <w:b/>
          <w:color w:val="auto"/>
          <w:sz w:val="52"/>
          <w:szCs w:val="52"/>
          <w:highlight w:val="none"/>
        </w:rPr>
      </w:pPr>
    </w:p>
    <w:p w14:paraId="2405BC23">
      <w:pPr>
        <w:spacing w:line="560" w:lineRule="exact"/>
        <w:ind w:firstLine="200"/>
        <w:jc w:val="center"/>
        <w:rPr>
          <w:rFonts w:hint="eastAsia"/>
          <w:b/>
          <w:color w:val="auto"/>
          <w:sz w:val="52"/>
          <w:szCs w:val="52"/>
          <w:highlight w:val="none"/>
        </w:rPr>
      </w:pPr>
      <w:r>
        <w:rPr>
          <w:rFonts w:hint="eastAsia"/>
          <w:b/>
          <w:color w:val="auto"/>
          <w:sz w:val="52"/>
          <w:szCs w:val="52"/>
          <w:highlight w:val="none"/>
        </w:rPr>
        <w:t>施  工  合  同</w:t>
      </w:r>
    </w:p>
    <w:p w14:paraId="76D5400F">
      <w:pPr>
        <w:spacing w:line="560" w:lineRule="exact"/>
        <w:ind w:firstLine="964" w:firstLineChars="200"/>
        <w:rPr>
          <w:rFonts w:hint="eastAsia"/>
          <w:b/>
          <w:color w:val="auto"/>
          <w:sz w:val="48"/>
          <w:szCs w:val="48"/>
          <w:highlight w:val="none"/>
        </w:rPr>
      </w:pPr>
    </w:p>
    <w:p w14:paraId="1B31565D">
      <w:pPr>
        <w:spacing w:line="560" w:lineRule="exact"/>
        <w:jc w:val="center"/>
        <w:rPr>
          <w:rFonts w:hint="eastAsia"/>
          <w:b/>
          <w:color w:val="auto"/>
          <w:sz w:val="32"/>
          <w:szCs w:val="32"/>
          <w:highlight w:val="none"/>
        </w:rPr>
      </w:pPr>
      <w:r>
        <w:rPr>
          <w:rFonts w:hint="eastAsia"/>
          <w:b/>
          <w:color w:val="auto"/>
          <w:sz w:val="32"/>
          <w:szCs w:val="32"/>
          <w:highlight w:val="none"/>
        </w:rPr>
        <w:t>合同类别：工程类</w:t>
      </w:r>
    </w:p>
    <w:p w14:paraId="048BF1AD">
      <w:pPr>
        <w:spacing w:line="560" w:lineRule="exact"/>
        <w:jc w:val="center"/>
        <w:rPr>
          <w:rFonts w:hint="eastAsia"/>
          <w:b/>
          <w:color w:val="auto"/>
          <w:sz w:val="32"/>
          <w:szCs w:val="32"/>
          <w:highlight w:val="none"/>
        </w:rPr>
      </w:pPr>
      <w:r>
        <w:rPr>
          <w:rFonts w:hint="eastAsia"/>
          <w:b/>
          <w:color w:val="auto"/>
          <w:sz w:val="32"/>
          <w:szCs w:val="32"/>
          <w:highlight w:val="none"/>
        </w:rPr>
        <w:t>合同编号:</w:t>
      </w:r>
    </w:p>
    <w:p w14:paraId="2C56F814">
      <w:pPr>
        <w:spacing w:line="560" w:lineRule="exact"/>
        <w:ind w:firstLine="640" w:firstLineChars="200"/>
        <w:rPr>
          <w:rFonts w:hint="eastAsia"/>
          <w:color w:val="auto"/>
          <w:sz w:val="32"/>
          <w:szCs w:val="32"/>
          <w:highlight w:val="none"/>
        </w:rPr>
      </w:pPr>
    </w:p>
    <w:p w14:paraId="6F02270B">
      <w:pPr>
        <w:spacing w:line="560" w:lineRule="exact"/>
        <w:ind w:firstLine="640" w:firstLineChars="200"/>
        <w:rPr>
          <w:rFonts w:hint="eastAsia"/>
          <w:color w:val="auto"/>
          <w:sz w:val="32"/>
          <w:szCs w:val="32"/>
          <w:highlight w:val="none"/>
        </w:rPr>
      </w:pPr>
    </w:p>
    <w:p w14:paraId="434FA4AB">
      <w:pPr>
        <w:spacing w:line="560" w:lineRule="exact"/>
        <w:ind w:firstLine="200"/>
        <w:rPr>
          <w:rFonts w:hint="eastAsia"/>
          <w:color w:val="auto"/>
          <w:sz w:val="32"/>
          <w:szCs w:val="32"/>
          <w:highlight w:val="none"/>
        </w:rPr>
      </w:pPr>
    </w:p>
    <w:p w14:paraId="7316386E">
      <w:pPr>
        <w:spacing w:line="560" w:lineRule="exact"/>
        <w:ind w:left="1590" w:leftChars="300" w:hanging="960" w:hangingChars="300"/>
        <w:jc w:val="left"/>
        <w:rPr>
          <w:rFonts w:hint="eastAsia" w:ascii="宋体" w:hAnsi="宋体"/>
          <w:color w:val="auto"/>
          <w:sz w:val="32"/>
          <w:szCs w:val="32"/>
          <w:highlight w:val="none"/>
          <w:u w:val="single"/>
        </w:rPr>
      </w:pPr>
      <w:r>
        <w:rPr>
          <w:rFonts w:hint="eastAsia"/>
          <w:color w:val="auto"/>
          <w:sz w:val="32"/>
          <w:szCs w:val="32"/>
          <w:highlight w:val="none"/>
        </w:rPr>
        <w:t>工程名称：</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6888D9F2">
      <w:pPr>
        <w:spacing w:line="560" w:lineRule="exact"/>
        <w:ind w:firstLine="640" w:firstLineChars="200"/>
        <w:jc w:val="left"/>
        <w:rPr>
          <w:rFonts w:hint="eastAsia"/>
          <w:color w:val="auto"/>
          <w:sz w:val="32"/>
          <w:szCs w:val="32"/>
          <w:highlight w:val="none"/>
        </w:rPr>
      </w:pPr>
      <w:r>
        <w:rPr>
          <w:rFonts w:hint="eastAsia"/>
          <w:color w:val="auto"/>
          <w:sz w:val="32"/>
          <w:szCs w:val="32"/>
          <w:highlight w:val="none"/>
        </w:rPr>
        <w:t xml:space="preserve">   </w:t>
      </w:r>
    </w:p>
    <w:p w14:paraId="15583589">
      <w:pPr>
        <w:spacing w:line="560" w:lineRule="exact"/>
        <w:ind w:left="1590" w:leftChars="300" w:hanging="960" w:hangingChars="300"/>
        <w:jc w:val="left"/>
        <w:rPr>
          <w:rFonts w:hint="eastAsia" w:ascii="宋体" w:hAnsi="宋体"/>
          <w:color w:val="auto"/>
          <w:sz w:val="32"/>
          <w:szCs w:val="32"/>
          <w:highlight w:val="none"/>
          <w:u w:val="single"/>
        </w:rPr>
      </w:pPr>
      <w:r>
        <w:rPr>
          <w:rFonts w:hint="eastAsia"/>
          <w:color w:val="auto"/>
          <w:sz w:val="32"/>
          <w:szCs w:val="32"/>
          <w:highlight w:val="none"/>
        </w:rPr>
        <w:t>工程地点：</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60A84AAA">
      <w:pPr>
        <w:spacing w:line="560" w:lineRule="exact"/>
        <w:ind w:firstLine="640" w:firstLineChars="200"/>
        <w:jc w:val="left"/>
        <w:rPr>
          <w:rFonts w:hint="eastAsia"/>
          <w:color w:val="auto"/>
          <w:sz w:val="32"/>
          <w:szCs w:val="32"/>
          <w:highlight w:val="none"/>
        </w:rPr>
      </w:pPr>
      <w:r>
        <w:rPr>
          <w:rFonts w:hint="eastAsia"/>
          <w:color w:val="auto"/>
          <w:sz w:val="32"/>
          <w:szCs w:val="32"/>
          <w:highlight w:val="none"/>
        </w:rPr>
        <w:t xml:space="preserve"> </w:t>
      </w:r>
    </w:p>
    <w:p w14:paraId="5B2A7038">
      <w:pPr>
        <w:spacing w:line="560" w:lineRule="exact"/>
        <w:ind w:left="1590" w:leftChars="300" w:hanging="960" w:hangingChars="300"/>
        <w:jc w:val="left"/>
        <w:rPr>
          <w:rFonts w:hint="eastAsia"/>
          <w:color w:val="auto"/>
          <w:sz w:val="32"/>
          <w:szCs w:val="32"/>
          <w:highlight w:val="none"/>
          <w:u w:val="single"/>
        </w:rPr>
      </w:pPr>
      <w:r>
        <w:rPr>
          <w:rFonts w:hint="eastAsia"/>
          <w:color w:val="auto"/>
          <w:sz w:val="32"/>
          <w:szCs w:val="32"/>
          <w:highlight w:val="none"/>
        </w:rPr>
        <w:t>政府采购编号：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486C34ED">
      <w:pPr>
        <w:spacing w:line="560" w:lineRule="exact"/>
        <w:ind w:firstLine="640" w:firstLineChars="200"/>
        <w:jc w:val="left"/>
        <w:rPr>
          <w:rFonts w:hint="eastAsia"/>
          <w:color w:val="auto"/>
          <w:sz w:val="32"/>
          <w:szCs w:val="32"/>
          <w:highlight w:val="none"/>
        </w:rPr>
      </w:pPr>
      <w:r>
        <w:rPr>
          <w:rFonts w:hint="eastAsia"/>
          <w:color w:val="auto"/>
          <w:sz w:val="32"/>
          <w:szCs w:val="32"/>
          <w:highlight w:val="none"/>
        </w:rPr>
        <w:t xml:space="preserve">  </w:t>
      </w:r>
    </w:p>
    <w:p w14:paraId="404B87F1">
      <w:pPr>
        <w:spacing w:line="560" w:lineRule="exact"/>
        <w:ind w:firstLine="640" w:firstLineChars="200"/>
        <w:jc w:val="left"/>
        <w:rPr>
          <w:rFonts w:hint="eastAsia"/>
          <w:color w:val="auto"/>
          <w:sz w:val="32"/>
          <w:szCs w:val="32"/>
          <w:highlight w:val="none"/>
        </w:rPr>
      </w:pPr>
      <w:r>
        <w:rPr>
          <w:rFonts w:hint="eastAsia"/>
          <w:color w:val="auto"/>
          <w:sz w:val="32"/>
          <w:szCs w:val="32"/>
          <w:highlight w:val="none"/>
        </w:rPr>
        <w:t>发 包 人：</w:t>
      </w:r>
      <w:r>
        <w:rPr>
          <w:rFonts w:hint="eastAsia"/>
          <w:color w:val="auto"/>
          <w:sz w:val="32"/>
          <w:szCs w:val="32"/>
          <w:highlight w:val="none"/>
          <w:u w:val="single"/>
        </w:rPr>
        <w:t xml:space="preserve"> 南宁市青秀区刘圩镇人民政府 </w:t>
      </w:r>
    </w:p>
    <w:p w14:paraId="42E23569">
      <w:pPr>
        <w:spacing w:line="560" w:lineRule="exact"/>
        <w:ind w:firstLine="200"/>
        <w:jc w:val="left"/>
        <w:rPr>
          <w:rFonts w:hint="eastAsia"/>
          <w:color w:val="auto"/>
          <w:sz w:val="32"/>
          <w:szCs w:val="32"/>
          <w:highlight w:val="none"/>
        </w:rPr>
      </w:pPr>
    </w:p>
    <w:p w14:paraId="17DC7E33">
      <w:pPr>
        <w:spacing w:line="560" w:lineRule="exact"/>
        <w:ind w:firstLine="640" w:firstLineChars="200"/>
        <w:jc w:val="left"/>
        <w:rPr>
          <w:color w:val="auto"/>
          <w:sz w:val="32"/>
          <w:szCs w:val="32"/>
          <w:highlight w:val="none"/>
          <w:u w:val="single"/>
        </w:rPr>
      </w:pPr>
      <w:r>
        <w:rPr>
          <w:rFonts w:hint="eastAsia"/>
          <w:color w:val="auto"/>
          <w:sz w:val="32"/>
          <w:szCs w:val="32"/>
          <w:highlight w:val="none"/>
        </w:rPr>
        <w:t>承 包 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5C87FAA1">
      <w:pPr>
        <w:spacing w:line="560" w:lineRule="exact"/>
        <w:ind w:firstLine="640" w:firstLineChars="200"/>
        <w:jc w:val="left"/>
        <w:rPr>
          <w:rFonts w:hint="eastAsia"/>
          <w:color w:val="auto"/>
          <w:sz w:val="32"/>
          <w:szCs w:val="32"/>
          <w:highlight w:val="none"/>
        </w:rPr>
      </w:pPr>
    </w:p>
    <w:p w14:paraId="02547A57">
      <w:pPr>
        <w:spacing w:line="560" w:lineRule="exact"/>
        <w:ind w:firstLine="640" w:firstLineChars="200"/>
        <w:jc w:val="left"/>
        <w:rPr>
          <w:rFonts w:hint="eastAsia"/>
          <w:color w:val="auto"/>
          <w:sz w:val="32"/>
          <w:szCs w:val="32"/>
          <w:highlight w:val="none"/>
          <w:u w:val="single"/>
        </w:rPr>
      </w:pPr>
      <w:r>
        <w:rPr>
          <w:rFonts w:hint="eastAsia"/>
          <w:color w:val="auto"/>
          <w:sz w:val="32"/>
          <w:szCs w:val="32"/>
          <w:highlight w:val="none"/>
        </w:rPr>
        <w:t>签订日期：</w:t>
      </w:r>
      <w:r>
        <w:rPr>
          <w:rFonts w:hint="eastAsia"/>
          <w:color w:val="auto"/>
          <w:sz w:val="32"/>
          <w:szCs w:val="32"/>
          <w:highlight w:val="none"/>
          <w:u w:val="single"/>
        </w:rPr>
        <w:t xml:space="preserve">        年      月     日   </w:t>
      </w:r>
    </w:p>
    <w:p w14:paraId="1ABDC9C8">
      <w:pPr>
        <w:spacing w:line="560" w:lineRule="exact"/>
        <w:jc w:val="left"/>
        <w:rPr>
          <w:rFonts w:hint="eastAsia"/>
          <w:color w:val="auto"/>
          <w:sz w:val="28"/>
          <w:szCs w:val="28"/>
          <w:highlight w:val="none"/>
        </w:rPr>
      </w:pPr>
    </w:p>
    <w:p w14:paraId="3E0927C9">
      <w:pPr>
        <w:spacing w:line="560" w:lineRule="exact"/>
        <w:rPr>
          <w:rFonts w:hint="eastAsia"/>
          <w:color w:val="auto"/>
          <w:sz w:val="28"/>
          <w:szCs w:val="28"/>
          <w:highlight w:val="none"/>
        </w:rPr>
      </w:pPr>
    </w:p>
    <w:p w14:paraId="3B6C04BA">
      <w:pPr>
        <w:spacing w:line="560" w:lineRule="exact"/>
        <w:rPr>
          <w:rFonts w:hint="eastAsia"/>
          <w:b/>
          <w:color w:val="auto"/>
          <w:sz w:val="28"/>
          <w:szCs w:val="28"/>
          <w:highlight w:val="none"/>
        </w:rPr>
        <w:sectPr>
          <w:headerReference r:id="rId6" w:type="default"/>
          <w:footerReference r:id="rId7" w:type="even"/>
          <w:pgSz w:w="11906" w:h="16838"/>
          <w:pgMar w:top="1474" w:right="1588" w:bottom="1474" w:left="1588" w:header="851" w:footer="992" w:gutter="0"/>
          <w:pgNumType w:fmt="decimal"/>
          <w:cols w:space="720" w:num="1"/>
          <w:docGrid w:type="lines" w:linePitch="312" w:charSpace="0"/>
        </w:sectPr>
      </w:pPr>
    </w:p>
    <w:p w14:paraId="27BECCB5">
      <w:pPr>
        <w:spacing w:line="520" w:lineRule="exact"/>
        <w:ind w:firstLine="200"/>
        <w:jc w:val="center"/>
        <w:rPr>
          <w:rFonts w:hint="eastAsia" w:ascii="宋体" w:hAnsi="宋体"/>
          <w:b/>
          <w:color w:val="auto"/>
          <w:sz w:val="44"/>
          <w:szCs w:val="44"/>
          <w:highlight w:val="none"/>
        </w:rPr>
      </w:pPr>
      <w:r>
        <w:rPr>
          <w:rFonts w:hint="eastAsia" w:ascii="宋体" w:hAnsi="宋体"/>
          <w:b/>
          <w:color w:val="auto"/>
          <w:sz w:val="44"/>
          <w:szCs w:val="44"/>
          <w:highlight w:val="none"/>
        </w:rPr>
        <w:t>第一部分</w:t>
      </w:r>
      <w:r>
        <w:rPr>
          <w:rFonts w:ascii="宋体" w:hAnsi="宋体"/>
          <w:b/>
          <w:color w:val="auto"/>
          <w:sz w:val="44"/>
          <w:szCs w:val="44"/>
          <w:highlight w:val="none"/>
        </w:rPr>
        <w:t xml:space="preserve">  </w:t>
      </w:r>
      <w:r>
        <w:rPr>
          <w:rFonts w:hint="eastAsia" w:ascii="宋体" w:hAnsi="宋体"/>
          <w:b/>
          <w:color w:val="auto"/>
          <w:sz w:val="44"/>
          <w:szCs w:val="44"/>
          <w:highlight w:val="none"/>
        </w:rPr>
        <w:t>协议书</w:t>
      </w:r>
    </w:p>
    <w:p w14:paraId="02AF4EF3">
      <w:pPr>
        <w:spacing w:line="520" w:lineRule="exact"/>
        <w:ind w:firstLine="200"/>
        <w:rPr>
          <w:rFonts w:hint="eastAsia" w:ascii="宋体" w:hAnsi="宋体"/>
          <w:b/>
          <w:color w:val="auto"/>
          <w:sz w:val="44"/>
          <w:szCs w:val="44"/>
          <w:highlight w:val="none"/>
        </w:rPr>
      </w:pPr>
    </w:p>
    <w:p w14:paraId="1E1C9D2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发包人(全称)：</w:t>
      </w:r>
      <w:r>
        <w:rPr>
          <w:rFonts w:hint="eastAsia" w:ascii="仿宋" w:hAnsi="仿宋" w:eastAsia="仿宋" w:cs="仿宋"/>
          <w:color w:val="auto"/>
          <w:sz w:val="32"/>
          <w:szCs w:val="32"/>
          <w:highlight w:val="none"/>
          <w:u w:val="single"/>
        </w:rPr>
        <w:t xml:space="preserve">  南宁市青秀区刘圩镇人民政府   </w:t>
      </w:r>
    </w:p>
    <w:p w14:paraId="29169D52">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承包人(全称)：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043B9A4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依照《中华人民共和国</w:t>
      </w:r>
      <w:r>
        <w:rPr>
          <w:rFonts w:hint="eastAsia" w:ascii="仿宋" w:hAnsi="仿宋" w:eastAsia="仿宋" w:cs="仿宋"/>
          <w:color w:val="auto"/>
          <w:sz w:val="32"/>
          <w:szCs w:val="32"/>
          <w:highlight w:val="none"/>
          <w:lang w:val="en-US" w:eastAsia="zh-CN"/>
        </w:rPr>
        <w:t>民法典</w:t>
      </w:r>
      <w:r>
        <w:rPr>
          <w:rFonts w:hint="eastAsia" w:ascii="仿宋" w:hAnsi="仿宋" w:eastAsia="仿宋" w:cs="仿宋"/>
          <w:color w:val="auto"/>
          <w:sz w:val="32"/>
          <w:szCs w:val="32"/>
          <w:highlight w:val="none"/>
        </w:rPr>
        <w:t>》、《中华人民共和国政府采购法》《中华人民共和国建筑法》及其他有关法律、行政法规，遵循平等、自愿、公平和诚实信用的原则，双方就本建设工程施工事项协商一致，订立本合同。</w:t>
      </w:r>
    </w:p>
    <w:p w14:paraId="1143E8AC">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一、工程概况</w:t>
      </w:r>
    </w:p>
    <w:p w14:paraId="6FA5BBDB">
      <w:pPr>
        <w:spacing w:line="520" w:lineRule="exact"/>
        <w:ind w:firstLine="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lang w:val="en-US" w:eastAsia="zh-CN"/>
        </w:rPr>
        <w:t xml:space="preserve">             </w:t>
      </w:r>
    </w:p>
    <w:p w14:paraId="257B5C9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工程地点：</w:t>
      </w:r>
      <w:r>
        <w:rPr>
          <w:rFonts w:hint="eastAsia" w:ascii="仿宋" w:hAnsi="仿宋" w:eastAsia="仿宋" w:cs="仿宋"/>
          <w:color w:val="auto"/>
          <w:sz w:val="32"/>
          <w:szCs w:val="32"/>
          <w:highlight w:val="none"/>
          <w:u w:val="single"/>
          <w:lang w:val="en-US" w:eastAsia="zh-CN"/>
        </w:rPr>
        <w:t xml:space="preserve">             </w:t>
      </w:r>
    </w:p>
    <w:p w14:paraId="38E86DE0">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工程内容：</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w:t>
      </w:r>
    </w:p>
    <w:p w14:paraId="0B0D2861">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工程立项批准文号：</w:t>
      </w:r>
      <w:r>
        <w:rPr>
          <w:rFonts w:hint="eastAsia" w:ascii="仿宋" w:hAnsi="仿宋" w:eastAsia="仿宋" w:cs="仿宋"/>
          <w:color w:val="auto"/>
          <w:sz w:val="32"/>
          <w:szCs w:val="32"/>
          <w:highlight w:val="none"/>
          <w:u w:val="single"/>
        </w:rPr>
        <w:t xml:space="preserve">        /         </w:t>
      </w:r>
    </w:p>
    <w:p w14:paraId="4830101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资金来源：</w:t>
      </w:r>
      <w:r>
        <w:rPr>
          <w:rFonts w:hint="eastAsia" w:ascii="仿宋" w:hAnsi="仿宋" w:eastAsia="仿宋" w:cs="仿宋"/>
          <w:color w:val="auto"/>
          <w:sz w:val="32"/>
          <w:szCs w:val="32"/>
          <w:highlight w:val="none"/>
          <w:u w:val="single"/>
        </w:rPr>
        <w:t xml:space="preserve">    财政拨款   </w:t>
      </w:r>
    </w:p>
    <w:p w14:paraId="52E313AE">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二、工程承包范围</w:t>
      </w:r>
    </w:p>
    <w:p w14:paraId="4111C4A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承包范围：</w:t>
      </w:r>
      <w:r>
        <w:rPr>
          <w:rFonts w:hint="eastAsia" w:ascii="仿宋" w:hAnsi="仿宋" w:eastAsia="仿宋" w:cs="仿宋"/>
          <w:color w:val="auto"/>
          <w:sz w:val="32"/>
          <w:szCs w:val="32"/>
          <w:highlight w:val="none"/>
          <w:u w:val="single"/>
        </w:rPr>
        <w:t xml:space="preserve"> 工程量清单范围  </w:t>
      </w:r>
      <w:r>
        <w:rPr>
          <w:rFonts w:hint="eastAsia" w:ascii="仿宋" w:hAnsi="仿宋" w:eastAsia="仿宋" w:cs="仿宋"/>
          <w:color w:val="auto"/>
          <w:sz w:val="32"/>
          <w:szCs w:val="32"/>
          <w:highlight w:val="none"/>
        </w:rPr>
        <w:t>。</w:t>
      </w:r>
    </w:p>
    <w:p w14:paraId="515D629B">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三、合同工期</w:t>
      </w:r>
    </w:p>
    <w:p w14:paraId="6B6394A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开工日期：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年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日（以开工令为准）</w:t>
      </w:r>
    </w:p>
    <w:p w14:paraId="3FEC99C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竣工日期：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年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22BDC96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合同工期总日历天数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天。</w:t>
      </w:r>
    </w:p>
    <w:p w14:paraId="0FD30ED3">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四、质量标准</w:t>
      </w:r>
    </w:p>
    <w:p w14:paraId="4587A64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工程质量标准：</w:t>
      </w:r>
      <w:r>
        <w:rPr>
          <w:rFonts w:hint="eastAsia" w:ascii="仿宋" w:hAnsi="仿宋" w:eastAsia="仿宋" w:cs="仿宋"/>
          <w:color w:val="auto"/>
          <w:sz w:val="32"/>
          <w:szCs w:val="32"/>
          <w:highlight w:val="none"/>
          <w:u w:val="single"/>
        </w:rPr>
        <w:t xml:space="preserve"> 国家标准规定的合格标准 </w:t>
      </w:r>
      <w:r>
        <w:rPr>
          <w:rFonts w:hint="eastAsia" w:ascii="仿宋" w:hAnsi="仿宋" w:eastAsia="仿宋" w:cs="仿宋"/>
          <w:color w:val="auto"/>
          <w:sz w:val="32"/>
          <w:szCs w:val="32"/>
          <w:highlight w:val="none"/>
        </w:rPr>
        <w:t>。</w:t>
      </w:r>
    </w:p>
    <w:p w14:paraId="5211357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 xml:space="preserve"> 五、合同形式</w:t>
      </w:r>
    </w:p>
    <w:p w14:paraId="7CB89EC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单价合同</w:t>
      </w:r>
    </w:p>
    <w:p w14:paraId="01BFA11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、合同价款</w:t>
      </w:r>
    </w:p>
    <w:p w14:paraId="6D044B2D">
      <w:pPr>
        <w:spacing w:line="520" w:lineRule="exact"/>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签约合同价：</w:t>
      </w:r>
      <w:r>
        <w:rPr>
          <w:rFonts w:hint="eastAsia" w:ascii="仿宋" w:hAnsi="仿宋" w:eastAsia="仿宋" w:cs="仿宋"/>
          <w:color w:val="auto"/>
          <w:sz w:val="32"/>
          <w:szCs w:val="32"/>
          <w:highlight w:val="none"/>
          <w:u w:val="single"/>
        </w:rPr>
        <w:t>预算金额×（1-下浮系数）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最终造价以</w:t>
      </w:r>
      <w:r>
        <w:rPr>
          <w:rFonts w:hint="eastAsia" w:ascii="仿宋" w:hAnsi="仿宋" w:eastAsia="仿宋" w:cs="仿宋"/>
          <w:color w:val="auto"/>
          <w:sz w:val="32"/>
          <w:szCs w:val="32"/>
          <w:highlight w:val="none"/>
          <w:lang w:val="en-US" w:eastAsia="zh-CN"/>
        </w:rPr>
        <w:t>青秀区财政局或发包人</w:t>
      </w:r>
      <w:r>
        <w:rPr>
          <w:rFonts w:hint="default" w:ascii="仿宋" w:hAnsi="仿宋" w:eastAsia="仿宋" w:cs="仿宋"/>
          <w:color w:val="auto"/>
          <w:sz w:val="32"/>
          <w:szCs w:val="32"/>
          <w:highlight w:val="none"/>
          <w:lang w:val="en-US"/>
        </w:rPr>
        <w:t>选定的第三方工程咨询单位</w:t>
      </w:r>
      <w:r>
        <w:rPr>
          <w:rFonts w:hint="eastAsia" w:ascii="仿宋" w:hAnsi="仿宋" w:eastAsia="仿宋" w:cs="仿宋"/>
          <w:color w:val="auto"/>
          <w:sz w:val="32"/>
          <w:szCs w:val="32"/>
          <w:highlight w:val="none"/>
        </w:rPr>
        <w:t>的工程结算价为准（投资计划内）。</w:t>
      </w:r>
    </w:p>
    <w:p w14:paraId="4BF8C9B4">
      <w:pPr>
        <w:spacing w:line="52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、组成合同的文件</w:t>
      </w:r>
    </w:p>
    <w:p w14:paraId="3D2F0F8A">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 本合同协议书</w:t>
      </w:r>
    </w:p>
    <w:p w14:paraId="0ABF8812">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 成交通知书。</w:t>
      </w:r>
    </w:p>
    <w:p w14:paraId="74855B4B">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 本合同专用条款及附件</w:t>
      </w:r>
    </w:p>
    <w:p w14:paraId="5BD2789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 本合同通用条款</w:t>
      </w:r>
    </w:p>
    <w:p w14:paraId="61A6E361">
      <w:pPr>
        <w:spacing w:line="520" w:lineRule="exact"/>
        <w:ind w:firstLine="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u w:val="none"/>
        </w:rPr>
        <w:t xml:space="preserve">    </w:t>
      </w:r>
      <w:r>
        <w:rPr>
          <w:rFonts w:hint="eastAsia" w:ascii="仿宋" w:hAnsi="仿宋" w:eastAsia="仿宋" w:cs="仿宋"/>
          <w:color w:val="auto"/>
          <w:sz w:val="32"/>
          <w:szCs w:val="32"/>
          <w:highlight w:val="none"/>
          <w:lang w:val="en-US" w:eastAsia="zh-CN"/>
        </w:rPr>
        <w:t>5.工程量清单</w:t>
      </w:r>
    </w:p>
    <w:p w14:paraId="59D862FC">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标准、规范及有关技术文件</w:t>
      </w:r>
    </w:p>
    <w:p w14:paraId="2BB8D2E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 图纸</w:t>
      </w:r>
    </w:p>
    <w:p w14:paraId="00E5C86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 招标控制价</w:t>
      </w:r>
    </w:p>
    <w:p w14:paraId="2F2A8C3C">
      <w:pPr>
        <w:spacing w:line="520" w:lineRule="exact"/>
        <w:ind w:firstLine="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 农民工工资保障金缴纳证明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如有</w:t>
      </w:r>
      <w:r>
        <w:rPr>
          <w:rFonts w:hint="eastAsia" w:ascii="仿宋" w:hAnsi="仿宋" w:eastAsia="仿宋" w:cs="仿宋"/>
          <w:color w:val="auto"/>
          <w:sz w:val="32"/>
          <w:szCs w:val="32"/>
          <w:highlight w:val="none"/>
          <w:lang w:eastAsia="zh-CN"/>
        </w:rPr>
        <w:t>）</w:t>
      </w:r>
    </w:p>
    <w:p w14:paraId="5884C651">
      <w:pPr>
        <w:spacing w:line="520" w:lineRule="exact"/>
        <w:ind w:firstLine="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 履约保证金缴纳证明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如有</w:t>
      </w:r>
      <w:r>
        <w:rPr>
          <w:rFonts w:hint="eastAsia" w:ascii="仿宋" w:hAnsi="仿宋" w:eastAsia="仿宋" w:cs="仿宋"/>
          <w:color w:val="auto"/>
          <w:sz w:val="32"/>
          <w:szCs w:val="32"/>
          <w:highlight w:val="none"/>
          <w:lang w:eastAsia="zh-CN"/>
        </w:rPr>
        <w:t>）</w:t>
      </w:r>
    </w:p>
    <w:p w14:paraId="64DF3F29">
      <w:pPr>
        <w:spacing w:line="52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八</w:t>
      </w:r>
      <w:r>
        <w:rPr>
          <w:rFonts w:hint="eastAsia" w:ascii="仿宋" w:hAnsi="仿宋" w:eastAsia="仿宋" w:cs="仿宋"/>
          <w:b/>
          <w:color w:val="auto"/>
          <w:sz w:val="32"/>
          <w:szCs w:val="32"/>
          <w:highlight w:val="none"/>
        </w:rPr>
        <w:t>、双方有关工程的洽商、变更等书面协议或文件视为本合同的组成部分。</w:t>
      </w:r>
    </w:p>
    <w:p w14:paraId="243951C8">
      <w:pPr>
        <w:spacing w:line="520" w:lineRule="exact"/>
        <w:ind w:firstLine="321" w:firstLineChars="1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九</w:t>
      </w:r>
      <w:r>
        <w:rPr>
          <w:rFonts w:hint="eastAsia" w:ascii="仿宋" w:hAnsi="仿宋" w:eastAsia="仿宋" w:cs="仿宋"/>
          <w:b/>
          <w:color w:val="auto"/>
          <w:sz w:val="32"/>
          <w:szCs w:val="32"/>
          <w:highlight w:val="none"/>
        </w:rPr>
        <w:t>、本协议书中有关词语含义《建设工程施工合同(示范文本)》(gf-2013-0201)的通用条款中分别赋予它们的定义相同。</w:t>
      </w:r>
    </w:p>
    <w:p w14:paraId="7D59DA11">
      <w:pPr>
        <w:spacing w:line="52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十</w:t>
      </w:r>
      <w:r>
        <w:rPr>
          <w:rFonts w:hint="eastAsia" w:ascii="仿宋" w:hAnsi="仿宋" w:eastAsia="仿宋" w:cs="仿宋"/>
          <w:b/>
          <w:color w:val="auto"/>
          <w:sz w:val="32"/>
          <w:szCs w:val="32"/>
          <w:highlight w:val="none"/>
        </w:rPr>
        <w:t>、承诺</w:t>
      </w:r>
    </w:p>
    <w:p w14:paraId="0E3E5EF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 发包人承诺按照法律规定履行项目审批手续、筹集工程建设资金并按照合同约定的期限和方式支付合同价款。</w:t>
      </w:r>
    </w:p>
    <w:p w14:paraId="4AA7432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 .承包人承诺按照法律规定及合同约定组织完成工程施工，确保工程质量和安全，不进行转包及违法分包，并在缺陷责任期及保修期内承担相应的工程维修责任。</w:t>
      </w:r>
    </w:p>
    <w:p w14:paraId="014426F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 发包人和承包人通过招投标形式签订合同的，双方理解并承诺不再就同一工程另行签订与合同实质性内容相背离的协议。</w:t>
      </w:r>
    </w:p>
    <w:p w14:paraId="696B4EBE">
      <w:pPr>
        <w:spacing w:line="52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十</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rPr>
        <w:t>、合同生效</w:t>
      </w:r>
    </w:p>
    <w:p w14:paraId="1A88C448">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合同订立时间：</w:t>
      </w:r>
      <w:r>
        <w:rPr>
          <w:rFonts w:hint="eastAsia" w:ascii="仿宋" w:hAnsi="仿宋" w:eastAsia="仿宋" w:cs="仿宋"/>
          <w:color w:val="auto"/>
          <w:sz w:val="32"/>
          <w:szCs w:val="32"/>
          <w:highlight w:val="none"/>
          <w:u w:val="single"/>
        </w:rPr>
        <w:t xml:space="preserve">      年    月     日</w:t>
      </w:r>
    </w:p>
    <w:p w14:paraId="3E39A2E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合同订立地点：</w:t>
      </w:r>
      <w:r>
        <w:rPr>
          <w:rFonts w:hint="eastAsia" w:ascii="仿宋" w:hAnsi="仿宋" w:eastAsia="仿宋" w:cs="仿宋"/>
          <w:color w:val="auto"/>
          <w:sz w:val="32"/>
          <w:szCs w:val="32"/>
          <w:highlight w:val="none"/>
          <w:u w:val="single"/>
        </w:rPr>
        <w:t xml:space="preserve"> 青秀区刘圩镇人民政府四楼会议室 </w:t>
      </w:r>
    </w:p>
    <w:p w14:paraId="0EB8D99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本合同双方约定双方法定代表人或其授权代理人签字和盖章并加盖单位公章后生效。</w:t>
      </w:r>
    </w:p>
    <w:p w14:paraId="01DD7BA4">
      <w:pPr>
        <w:spacing w:line="52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w:t>
      </w:r>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、合同份数：本合同一式</w:t>
      </w:r>
      <w:r>
        <w:rPr>
          <w:rFonts w:hint="eastAsia" w:ascii="仿宋" w:hAnsi="仿宋" w:eastAsia="仿宋" w:cs="仿宋"/>
          <w:b/>
          <w:color w:val="auto"/>
          <w:sz w:val="32"/>
          <w:szCs w:val="32"/>
          <w:highlight w:val="none"/>
          <w:u w:val="single"/>
        </w:rPr>
        <w:t>陆</w:t>
      </w:r>
      <w:r>
        <w:rPr>
          <w:rFonts w:hint="eastAsia" w:ascii="仿宋" w:hAnsi="仿宋" w:eastAsia="仿宋" w:cs="仿宋"/>
          <w:b/>
          <w:color w:val="auto"/>
          <w:sz w:val="32"/>
          <w:szCs w:val="32"/>
          <w:highlight w:val="none"/>
        </w:rPr>
        <w:t>份，均具有同等法律效力，发包人执</w:t>
      </w:r>
      <w:r>
        <w:rPr>
          <w:rFonts w:hint="eastAsia" w:ascii="仿宋" w:hAnsi="仿宋" w:eastAsia="仿宋" w:cs="仿宋"/>
          <w:b/>
          <w:color w:val="auto"/>
          <w:sz w:val="32"/>
          <w:szCs w:val="32"/>
          <w:highlight w:val="none"/>
          <w:u w:val="single"/>
        </w:rPr>
        <w:t xml:space="preserve"> 肆 </w:t>
      </w:r>
      <w:r>
        <w:rPr>
          <w:rFonts w:hint="eastAsia" w:ascii="仿宋" w:hAnsi="仿宋" w:eastAsia="仿宋" w:cs="仿宋"/>
          <w:b/>
          <w:color w:val="auto"/>
          <w:sz w:val="32"/>
          <w:szCs w:val="32"/>
          <w:highlight w:val="none"/>
        </w:rPr>
        <w:t>份，承包人执</w:t>
      </w:r>
      <w:r>
        <w:rPr>
          <w:rFonts w:hint="eastAsia" w:ascii="仿宋" w:hAnsi="仿宋" w:eastAsia="仿宋" w:cs="仿宋"/>
          <w:b/>
          <w:color w:val="auto"/>
          <w:sz w:val="32"/>
          <w:szCs w:val="32"/>
          <w:highlight w:val="none"/>
          <w:u w:val="single"/>
        </w:rPr>
        <w:t xml:space="preserve"> 贰 </w:t>
      </w:r>
      <w:r>
        <w:rPr>
          <w:rFonts w:hint="eastAsia" w:ascii="仿宋" w:hAnsi="仿宋" w:eastAsia="仿宋" w:cs="仿宋"/>
          <w:b/>
          <w:color w:val="auto"/>
          <w:sz w:val="32"/>
          <w:szCs w:val="32"/>
          <w:highlight w:val="none"/>
        </w:rPr>
        <w:t>份。</w:t>
      </w:r>
    </w:p>
    <w:p w14:paraId="780BC6D3">
      <w:pPr>
        <w:spacing w:line="520" w:lineRule="exact"/>
        <w:ind w:firstLine="200"/>
        <w:rPr>
          <w:rFonts w:hint="eastAsia" w:ascii="仿宋" w:hAnsi="仿宋" w:eastAsia="仿宋" w:cs="仿宋"/>
          <w:color w:val="auto"/>
          <w:sz w:val="32"/>
          <w:szCs w:val="32"/>
          <w:highlight w:val="none"/>
        </w:rPr>
      </w:pPr>
    </w:p>
    <w:tbl>
      <w:tblPr>
        <w:tblStyle w:val="15"/>
        <w:tblW w:w="8940" w:type="dxa"/>
        <w:tblInd w:w="0" w:type="dxa"/>
        <w:tblLayout w:type="autofit"/>
        <w:tblCellMar>
          <w:top w:w="0" w:type="dxa"/>
          <w:left w:w="108" w:type="dxa"/>
          <w:bottom w:w="0" w:type="dxa"/>
          <w:right w:w="108" w:type="dxa"/>
        </w:tblCellMar>
      </w:tblPr>
      <w:tblGrid>
        <w:gridCol w:w="4470"/>
        <w:gridCol w:w="4470"/>
      </w:tblGrid>
      <w:tr w14:paraId="27C332D6">
        <w:tblPrEx>
          <w:tblCellMar>
            <w:top w:w="0" w:type="dxa"/>
            <w:left w:w="108" w:type="dxa"/>
            <w:bottom w:w="0" w:type="dxa"/>
            <w:right w:w="108" w:type="dxa"/>
          </w:tblCellMar>
        </w:tblPrEx>
        <w:trPr>
          <w:trHeight w:val="1209" w:hRule="atLeast"/>
        </w:trPr>
        <w:tc>
          <w:tcPr>
            <w:tcW w:w="4470" w:type="dxa"/>
            <w:noWrap w:val="0"/>
            <w:vAlign w:val="top"/>
          </w:tcPr>
          <w:p w14:paraId="76E9F8D6">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发包人：南宁市青秀区刘圩镇人民政府</w:t>
            </w:r>
          </w:p>
        </w:tc>
        <w:tc>
          <w:tcPr>
            <w:tcW w:w="4470" w:type="dxa"/>
            <w:noWrap w:val="0"/>
            <w:vAlign w:val="top"/>
          </w:tcPr>
          <w:p w14:paraId="53F1533D">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w:t>
            </w:r>
          </w:p>
        </w:tc>
      </w:tr>
      <w:tr w14:paraId="4A26D60E">
        <w:tblPrEx>
          <w:tblCellMar>
            <w:top w:w="0" w:type="dxa"/>
            <w:left w:w="108" w:type="dxa"/>
            <w:bottom w:w="0" w:type="dxa"/>
            <w:right w:w="108" w:type="dxa"/>
          </w:tblCellMar>
        </w:tblPrEx>
        <w:trPr>
          <w:trHeight w:val="1209" w:hRule="atLeast"/>
        </w:trPr>
        <w:tc>
          <w:tcPr>
            <w:tcW w:w="4470" w:type="dxa"/>
            <w:noWrap w:val="0"/>
            <w:vAlign w:val="top"/>
          </w:tcPr>
          <w:p w14:paraId="09CEB472">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所：南宁市青秀区刘圩镇新兴街24号</w:t>
            </w:r>
          </w:p>
        </w:tc>
        <w:tc>
          <w:tcPr>
            <w:tcW w:w="4470" w:type="dxa"/>
            <w:noWrap w:val="0"/>
            <w:vAlign w:val="top"/>
          </w:tcPr>
          <w:p w14:paraId="264EF360">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w:t>
            </w:r>
          </w:p>
        </w:tc>
      </w:tr>
      <w:tr w14:paraId="75E99D5C">
        <w:tblPrEx>
          <w:tblCellMar>
            <w:top w:w="0" w:type="dxa"/>
            <w:left w:w="108" w:type="dxa"/>
            <w:bottom w:w="0" w:type="dxa"/>
            <w:right w:w="108" w:type="dxa"/>
          </w:tblCellMar>
        </w:tblPrEx>
        <w:trPr>
          <w:trHeight w:val="1223" w:hRule="atLeast"/>
        </w:trPr>
        <w:tc>
          <w:tcPr>
            <w:tcW w:w="4470" w:type="dxa"/>
            <w:noWrap w:val="0"/>
            <w:vAlign w:val="top"/>
          </w:tcPr>
          <w:p w14:paraId="0073F651">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c>
          <w:tcPr>
            <w:tcW w:w="4470" w:type="dxa"/>
            <w:noWrap w:val="0"/>
            <w:vAlign w:val="top"/>
          </w:tcPr>
          <w:p w14:paraId="5932846B">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r>
      <w:tr w14:paraId="08A12764">
        <w:tblPrEx>
          <w:tblCellMar>
            <w:top w:w="0" w:type="dxa"/>
            <w:left w:w="108" w:type="dxa"/>
            <w:bottom w:w="0" w:type="dxa"/>
            <w:right w:w="108" w:type="dxa"/>
          </w:tblCellMar>
        </w:tblPrEx>
        <w:trPr>
          <w:trHeight w:val="1253" w:hRule="atLeast"/>
        </w:trPr>
        <w:tc>
          <w:tcPr>
            <w:tcW w:w="4470" w:type="dxa"/>
            <w:noWrap w:val="0"/>
            <w:vAlign w:val="top"/>
          </w:tcPr>
          <w:p w14:paraId="116D9ECD">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c>
          <w:tcPr>
            <w:tcW w:w="4470" w:type="dxa"/>
            <w:noWrap w:val="0"/>
            <w:vAlign w:val="top"/>
          </w:tcPr>
          <w:p w14:paraId="3496D4C5">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r>
      <w:tr w14:paraId="1C38448A">
        <w:tblPrEx>
          <w:tblCellMar>
            <w:top w:w="0" w:type="dxa"/>
            <w:left w:w="108" w:type="dxa"/>
            <w:bottom w:w="0" w:type="dxa"/>
            <w:right w:w="108" w:type="dxa"/>
          </w:tblCellMar>
        </w:tblPrEx>
        <w:trPr>
          <w:trHeight w:val="893" w:hRule="atLeast"/>
        </w:trPr>
        <w:tc>
          <w:tcPr>
            <w:tcW w:w="4470" w:type="dxa"/>
            <w:noWrap w:val="0"/>
            <w:vAlign w:val="top"/>
          </w:tcPr>
          <w:p w14:paraId="0EAD5217">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话：0771-4302016</w:t>
            </w:r>
          </w:p>
        </w:tc>
        <w:tc>
          <w:tcPr>
            <w:tcW w:w="4470" w:type="dxa"/>
            <w:noWrap w:val="0"/>
            <w:vAlign w:val="top"/>
          </w:tcPr>
          <w:p w14:paraId="5BBF49D3">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p>
        </w:tc>
      </w:tr>
      <w:tr w14:paraId="5B3BA19F">
        <w:tblPrEx>
          <w:tblCellMar>
            <w:top w:w="0" w:type="dxa"/>
            <w:left w:w="108" w:type="dxa"/>
            <w:bottom w:w="0" w:type="dxa"/>
            <w:right w:w="108" w:type="dxa"/>
          </w:tblCellMar>
        </w:tblPrEx>
        <w:trPr>
          <w:trHeight w:val="893" w:hRule="atLeast"/>
        </w:trPr>
        <w:tc>
          <w:tcPr>
            <w:tcW w:w="4470" w:type="dxa"/>
            <w:noWrap w:val="0"/>
            <w:vAlign w:val="top"/>
          </w:tcPr>
          <w:p w14:paraId="7B490F37">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   真：0771-4302264</w:t>
            </w:r>
          </w:p>
        </w:tc>
        <w:tc>
          <w:tcPr>
            <w:tcW w:w="4470" w:type="dxa"/>
            <w:noWrap w:val="0"/>
            <w:vAlign w:val="top"/>
          </w:tcPr>
          <w:p w14:paraId="42ADB938">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   真：</w:t>
            </w:r>
          </w:p>
        </w:tc>
      </w:tr>
      <w:tr w14:paraId="367D9668">
        <w:tblPrEx>
          <w:tblCellMar>
            <w:top w:w="0" w:type="dxa"/>
            <w:left w:w="108" w:type="dxa"/>
            <w:bottom w:w="0" w:type="dxa"/>
            <w:right w:w="108" w:type="dxa"/>
          </w:tblCellMar>
        </w:tblPrEx>
        <w:trPr>
          <w:trHeight w:val="1209" w:hRule="atLeast"/>
        </w:trPr>
        <w:tc>
          <w:tcPr>
            <w:tcW w:w="4470" w:type="dxa"/>
            <w:noWrap w:val="0"/>
            <w:vAlign w:val="top"/>
          </w:tcPr>
          <w:p w14:paraId="602C127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开户银行：中国农业银行南宁刘圩分理处</w:t>
            </w:r>
          </w:p>
        </w:tc>
        <w:tc>
          <w:tcPr>
            <w:tcW w:w="4470" w:type="dxa"/>
            <w:noWrap w:val="0"/>
            <w:vAlign w:val="top"/>
          </w:tcPr>
          <w:p w14:paraId="6F419FC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tc>
      </w:tr>
      <w:tr w14:paraId="7EAF4531">
        <w:tblPrEx>
          <w:tblCellMar>
            <w:top w:w="0" w:type="dxa"/>
            <w:left w:w="108" w:type="dxa"/>
            <w:bottom w:w="0" w:type="dxa"/>
            <w:right w:w="108" w:type="dxa"/>
          </w:tblCellMar>
        </w:tblPrEx>
        <w:trPr>
          <w:trHeight w:val="893" w:hRule="atLeast"/>
        </w:trPr>
        <w:tc>
          <w:tcPr>
            <w:tcW w:w="4470" w:type="dxa"/>
            <w:noWrap w:val="0"/>
            <w:vAlign w:val="top"/>
          </w:tcPr>
          <w:p w14:paraId="735EA355">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帐  号：2003 0201 0400 00638</w:t>
            </w:r>
          </w:p>
        </w:tc>
        <w:tc>
          <w:tcPr>
            <w:tcW w:w="4470" w:type="dxa"/>
            <w:noWrap w:val="0"/>
            <w:vAlign w:val="top"/>
          </w:tcPr>
          <w:p w14:paraId="2E145732">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帐  号：</w:t>
            </w:r>
          </w:p>
        </w:tc>
      </w:tr>
      <w:tr w14:paraId="29E28C04">
        <w:tblPrEx>
          <w:tblCellMar>
            <w:top w:w="0" w:type="dxa"/>
            <w:left w:w="108" w:type="dxa"/>
            <w:bottom w:w="0" w:type="dxa"/>
            <w:right w:w="108" w:type="dxa"/>
          </w:tblCellMar>
        </w:tblPrEx>
        <w:trPr>
          <w:trHeight w:val="893" w:hRule="atLeast"/>
        </w:trPr>
        <w:tc>
          <w:tcPr>
            <w:tcW w:w="4470" w:type="dxa"/>
            <w:noWrap w:val="0"/>
            <w:vAlign w:val="top"/>
          </w:tcPr>
          <w:p w14:paraId="5DEAA5C7">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邮政编码:530207</w:t>
            </w:r>
          </w:p>
        </w:tc>
        <w:tc>
          <w:tcPr>
            <w:tcW w:w="4470" w:type="dxa"/>
            <w:noWrap w:val="0"/>
            <w:vAlign w:val="top"/>
          </w:tcPr>
          <w:p w14:paraId="1DE02008">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邮政编码:</w:t>
            </w:r>
          </w:p>
        </w:tc>
      </w:tr>
    </w:tbl>
    <w:p w14:paraId="3E22AA23">
      <w:pPr>
        <w:spacing w:line="520" w:lineRule="exact"/>
        <w:jc w:val="center"/>
        <w:rPr>
          <w:rFonts w:hint="eastAsia" w:ascii="仿宋" w:hAnsi="仿宋" w:eastAsia="仿宋" w:cs="仿宋"/>
          <w:b/>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44"/>
          <w:szCs w:val="44"/>
          <w:highlight w:val="none"/>
        </w:rPr>
        <w:t>第二部分 通用条款</w:t>
      </w:r>
    </w:p>
    <w:p w14:paraId="5DA814F9">
      <w:pPr>
        <w:spacing w:line="520" w:lineRule="exact"/>
        <w:ind w:firstLine="200"/>
        <w:rPr>
          <w:rFonts w:hint="eastAsia" w:ascii="仿宋" w:hAnsi="仿宋" w:eastAsia="仿宋" w:cs="仿宋"/>
          <w:b/>
          <w:color w:val="auto"/>
          <w:sz w:val="44"/>
          <w:szCs w:val="44"/>
          <w:highlight w:val="none"/>
        </w:rPr>
      </w:pPr>
    </w:p>
    <w:p w14:paraId="33608F9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采用国家工商行政管理局和住建部颁发的《建设工程施工合同(示范文本)》(gf-2013-0201)的通用条款。</w:t>
      </w:r>
    </w:p>
    <w:p w14:paraId="14D6578E">
      <w:pPr>
        <w:spacing w:line="520" w:lineRule="exact"/>
        <w:ind w:firstLine="200"/>
        <w:rPr>
          <w:rFonts w:hint="eastAsia" w:ascii="仿宋" w:hAnsi="仿宋" w:eastAsia="仿宋" w:cs="仿宋"/>
          <w:color w:val="auto"/>
          <w:sz w:val="32"/>
          <w:szCs w:val="32"/>
          <w:highlight w:val="none"/>
        </w:rPr>
      </w:pPr>
    </w:p>
    <w:p w14:paraId="320B3440">
      <w:pPr>
        <w:spacing w:line="520" w:lineRule="exact"/>
        <w:ind w:firstLine="20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第三部分 专用条款</w:t>
      </w:r>
    </w:p>
    <w:p w14:paraId="3D7F0EF4">
      <w:pPr>
        <w:spacing w:line="52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一、词语定义及合同文件</w:t>
      </w:r>
    </w:p>
    <w:p w14:paraId="33B8765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1．合同文件组成及解释顺序： </w:t>
      </w:r>
    </w:p>
    <w:p w14:paraId="6DF993C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 本合同协议书</w:t>
      </w:r>
    </w:p>
    <w:p w14:paraId="38980A81">
      <w:pPr>
        <w:spacing w:line="520" w:lineRule="exact"/>
        <w:ind w:firstLine="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 成交通知书</w:t>
      </w:r>
    </w:p>
    <w:p w14:paraId="2FBA0322">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 本合同专用条款及附件</w:t>
      </w:r>
    </w:p>
    <w:p w14:paraId="060DDF9D">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 通用合同条款</w:t>
      </w:r>
    </w:p>
    <w:p w14:paraId="5FFD82D0">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 工程量清单</w:t>
      </w:r>
    </w:p>
    <w:p w14:paraId="1FFCD04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 标准、规范及有关技术文件</w:t>
      </w:r>
    </w:p>
    <w:p w14:paraId="561EF90D">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 xml:space="preserve"> 图纸</w:t>
      </w:r>
    </w:p>
    <w:p w14:paraId="718D6ADC">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1.8 </w:t>
      </w:r>
      <w:r>
        <w:rPr>
          <w:rFonts w:hint="eastAsia" w:ascii="仿宋" w:hAnsi="仿宋" w:eastAsia="仿宋" w:cs="仿宋"/>
          <w:color w:val="auto"/>
          <w:sz w:val="32"/>
          <w:szCs w:val="32"/>
          <w:highlight w:val="none"/>
        </w:rPr>
        <w:t>招标控制价</w:t>
      </w:r>
    </w:p>
    <w:p w14:paraId="504C3FB4">
      <w:pPr>
        <w:spacing w:line="520" w:lineRule="exact"/>
        <w:ind w:firstLine="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1.</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 xml:space="preserve"> 农民工工资保障金缴纳证明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如有</w:t>
      </w:r>
      <w:r>
        <w:rPr>
          <w:rFonts w:hint="eastAsia" w:ascii="仿宋" w:hAnsi="仿宋" w:eastAsia="仿宋" w:cs="仿宋"/>
          <w:color w:val="auto"/>
          <w:sz w:val="32"/>
          <w:szCs w:val="32"/>
          <w:highlight w:val="none"/>
          <w:lang w:eastAsia="zh-CN"/>
        </w:rPr>
        <w:t>）</w:t>
      </w:r>
    </w:p>
    <w:p w14:paraId="7D48E5C7">
      <w:pPr>
        <w:spacing w:line="520" w:lineRule="exact"/>
        <w:ind w:firstLine="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1.</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 xml:space="preserve"> 履约保证金缴纳证明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如有</w:t>
      </w:r>
      <w:r>
        <w:rPr>
          <w:rFonts w:hint="eastAsia" w:ascii="仿宋" w:hAnsi="仿宋" w:eastAsia="仿宋" w:cs="仿宋"/>
          <w:color w:val="auto"/>
          <w:sz w:val="32"/>
          <w:szCs w:val="32"/>
          <w:highlight w:val="none"/>
          <w:lang w:eastAsia="zh-CN"/>
        </w:rPr>
        <w:t>）</w:t>
      </w:r>
    </w:p>
    <w:p w14:paraId="4978B120">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双方有关工程的洽商、变更等书面协议或文件视为本合同的组成部分。</w:t>
      </w:r>
    </w:p>
    <w:p w14:paraId="69AF174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2、语言文字和适用法律、标准及规范</w:t>
      </w:r>
    </w:p>
    <w:p w14:paraId="1818664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2.1 本合同除使用</w:t>
      </w:r>
      <w:r>
        <w:rPr>
          <w:rFonts w:hint="eastAsia" w:ascii="仿宋" w:hAnsi="仿宋" w:eastAsia="仿宋" w:cs="仿宋"/>
          <w:color w:val="auto"/>
          <w:sz w:val="32"/>
          <w:szCs w:val="32"/>
          <w:highlight w:val="none"/>
          <w:u w:val="single"/>
        </w:rPr>
        <w:t>中文</w:t>
      </w:r>
      <w:r>
        <w:rPr>
          <w:rFonts w:hint="eastAsia" w:ascii="仿宋" w:hAnsi="仿宋" w:eastAsia="仿宋" w:cs="仿宋"/>
          <w:color w:val="auto"/>
          <w:sz w:val="32"/>
          <w:szCs w:val="32"/>
          <w:highlight w:val="none"/>
        </w:rPr>
        <w:t xml:space="preserve">外， </w:t>
      </w:r>
      <w:r>
        <w:rPr>
          <w:rFonts w:hint="eastAsia" w:ascii="仿宋" w:hAnsi="仿宋" w:eastAsia="仿宋" w:cs="仿宋"/>
          <w:color w:val="auto"/>
          <w:sz w:val="32"/>
          <w:szCs w:val="32"/>
          <w:highlight w:val="none"/>
          <w:u w:val="single"/>
        </w:rPr>
        <w:t>无</w:t>
      </w:r>
      <w:r>
        <w:rPr>
          <w:rFonts w:hint="eastAsia" w:ascii="仿宋" w:hAnsi="仿宋" w:eastAsia="仿宋" w:cs="仿宋"/>
          <w:color w:val="auto"/>
          <w:sz w:val="32"/>
          <w:szCs w:val="32"/>
          <w:highlight w:val="none"/>
        </w:rPr>
        <w:t>其它语言文字。</w:t>
      </w:r>
    </w:p>
    <w:p w14:paraId="3AB497C7">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2.2 适用法律和法规需要明示的法律、行政法规：按合同签订时国家现行法律、行政法规及工程所在地政府的的相关法规和规章。</w:t>
      </w:r>
    </w:p>
    <w:p w14:paraId="00319DA9">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2.3 适用标准、规范</w:t>
      </w:r>
    </w:p>
    <w:p w14:paraId="6DFD3E5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适用标准、规范的名称：《建筑工程施工及验收规范》等现行的国家标准、规范和工程所在地的行业标准、规范。</w:t>
      </w:r>
    </w:p>
    <w:p w14:paraId="2376F3BC">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发包人提供标准、规范的时间：发包人不另外提供，承包人自行解决。</w:t>
      </w:r>
    </w:p>
    <w:p w14:paraId="7DD5275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国内没有相应标准、规范时的约定：由发包人与本项目设计单位协商解决。</w:t>
      </w:r>
    </w:p>
    <w:p w14:paraId="1067DEA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3、图纸</w:t>
      </w:r>
    </w:p>
    <w:p w14:paraId="2B282C22">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3.1 发包人向承包人提供图纸日期和套数：合同生效后7日内提供图纸一式3套（用于制作竣工图的图纸由承包人自行负责）。</w:t>
      </w:r>
    </w:p>
    <w:p w14:paraId="05C2A039">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3.2 发包人对图纸的保密要求：没有发包人的书面同意，承包方不得将本工程的图纸和相关的文件资料传播给第三方或用于其他工程。   </w:t>
      </w:r>
    </w:p>
    <w:p w14:paraId="03ED639B">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3.3 使用国外图纸的要求及费用承担：</w:t>
      </w:r>
      <w:r>
        <w:rPr>
          <w:rFonts w:hint="eastAsia" w:ascii="仿宋" w:hAnsi="仿宋" w:eastAsia="仿宋" w:cs="仿宋"/>
          <w:color w:val="auto"/>
          <w:sz w:val="32"/>
          <w:szCs w:val="32"/>
          <w:highlight w:val="none"/>
          <w:u w:val="single"/>
        </w:rPr>
        <w:t>无</w:t>
      </w:r>
      <w:r>
        <w:rPr>
          <w:rFonts w:hint="eastAsia" w:ascii="仿宋" w:hAnsi="仿宋" w:eastAsia="仿宋" w:cs="仿宋"/>
          <w:color w:val="auto"/>
          <w:sz w:val="32"/>
          <w:szCs w:val="32"/>
          <w:highlight w:val="none"/>
        </w:rPr>
        <w:t xml:space="preserve">。   </w:t>
      </w:r>
    </w:p>
    <w:p w14:paraId="044E183F">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二、双方一般权利和义务</w:t>
      </w:r>
    </w:p>
    <w:p w14:paraId="40F71CD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4、工程师</w:t>
      </w:r>
    </w:p>
    <w:p w14:paraId="0B3EDD8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4.1 监理单位委派的工程师</w:t>
      </w:r>
    </w:p>
    <w:p w14:paraId="528851E0">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职务：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068DEFF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发包人委托的职权：按本工程《委托监理合同》的约定。</w:t>
      </w:r>
    </w:p>
    <w:p w14:paraId="07615AC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需要取得发包人批准才能行使的职权：按本工程《委托监理合同》的约定。        </w:t>
      </w:r>
    </w:p>
    <w:p w14:paraId="0222E2C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4.2 发包人派驻的工程师</w:t>
      </w:r>
    </w:p>
    <w:p w14:paraId="74E1AF8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职务：</w:t>
      </w:r>
      <w:r>
        <w:rPr>
          <w:rFonts w:hint="eastAsia" w:ascii="仿宋" w:hAnsi="仿宋" w:eastAsia="仿宋" w:cs="仿宋"/>
          <w:color w:val="auto"/>
          <w:sz w:val="32"/>
          <w:szCs w:val="32"/>
          <w:highlight w:val="none"/>
          <w:u w:val="single"/>
        </w:rPr>
        <w:t xml:space="preserve">项目负责人 </w:t>
      </w:r>
      <w:r>
        <w:rPr>
          <w:rFonts w:hint="eastAsia" w:ascii="仿宋" w:hAnsi="仿宋" w:eastAsia="仿宋" w:cs="仿宋"/>
          <w:color w:val="auto"/>
          <w:sz w:val="32"/>
          <w:szCs w:val="32"/>
          <w:highlight w:val="none"/>
        </w:rPr>
        <w:t xml:space="preserve"> </w:t>
      </w:r>
    </w:p>
    <w:p w14:paraId="6B6FFC9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职权：按通用条款执行工程师的职权。</w:t>
      </w:r>
    </w:p>
    <w:p w14:paraId="578BCED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4.3 不实行监理的，工程师的职权：</w:t>
      </w:r>
      <w:r>
        <w:rPr>
          <w:rFonts w:hint="eastAsia" w:ascii="仿宋" w:hAnsi="仿宋" w:eastAsia="仿宋" w:cs="仿宋"/>
          <w:color w:val="auto"/>
          <w:sz w:val="32"/>
          <w:szCs w:val="32"/>
          <w:highlight w:val="none"/>
          <w:u w:val="single"/>
        </w:rPr>
        <w:t>无</w:t>
      </w:r>
      <w:r>
        <w:rPr>
          <w:rFonts w:hint="eastAsia" w:ascii="仿宋" w:hAnsi="仿宋" w:eastAsia="仿宋" w:cs="仿宋"/>
          <w:color w:val="auto"/>
          <w:sz w:val="32"/>
          <w:szCs w:val="32"/>
          <w:highlight w:val="none"/>
        </w:rPr>
        <w:t>。</w:t>
      </w:r>
    </w:p>
    <w:p w14:paraId="63FAB6BA">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3959CC4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4.4 项目经理</w:t>
      </w:r>
    </w:p>
    <w:p w14:paraId="79991491">
      <w:pPr>
        <w:spacing w:line="520" w:lineRule="exact"/>
        <w:ind w:firstLine="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姓名：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注册证号：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6D94380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职务：</w:t>
      </w:r>
      <w:r>
        <w:rPr>
          <w:rFonts w:hint="eastAsia" w:ascii="仿宋" w:hAnsi="仿宋" w:eastAsia="仿宋" w:cs="仿宋"/>
          <w:color w:val="auto"/>
          <w:sz w:val="32"/>
          <w:szCs w:val="32"/>
          <w:highlight w:val="none"/>
          <w:u w:val="single"/>
        </w:rPr>
        <w:t xml:space="preserve"> 项目经理 </w:t>
      </w:r>
      <w:r>
        <w:rPr>
          <w:rFonts w:hint="eastAsia" w:ascii="仿宋" w:hAnsi="仿宋" w:eastAsia="仿宋" w:cs="仿宋"/>
          <w:color w:val="auto"/>
          <w:sz w:val="32"/>
          <w:szCs w:val="32"/>
          <w:highlight w:val="none"/>
        </w:rPr>
        <w:t xml:space="preserve">  </w:t>
      </w:r>
    </w:p>
    <w:p w14:paraId="29CEC0B4">
      <w:pPr>
        <w:spacing w:line="52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4.5  项目技术负责人</w:t>
      </w:r>
    </w:p>
    <w:p w14:paraId="1E92AF52">
      <w:pPr>
        <w:spacing w:line="52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职称证号：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0EC6F93B">
      <w:pPr>
        <w:spacing w:line="520" w:lineRule="exact"/>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职务：</w:t>
      </w:r>
      <w:r>
        <w:rPr>
          <w:rFonts w:hint="eastAsia" w:ascii="仿宋" w:hAnsi="仿宋" w:eastAsia="仿宋" w:cs="仿宋"/>
          <w:color w:val="auto"/>
          <w:sz w:val="32"/>
          <w:szCs w:val="32"/>
          <w:highlight w:val="none"/>
          <w:u w:val="single"/>
        </w:rPr>
        <w:t xml:space="preserve">项目技术负责人 </w:t>
      </w:r>
    </w:p>
    <w:p w14:paraId="3144257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5、发包人工作</w:t>
      </w:r>
    </w:p>
    <w:p w14:paraId="166300D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5.1 发包人应按约定的时间和要求完成以下工作：</w:t>
      </w:r>
    </w:p>
    <w:p w14:paraId="2CB9D813">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（1）施工场地具备施工条件的要求及完成的时间：</w:t>
      </w:r>
      <w:r>
        <w:rPr>
          <w:rFonts w:hint="eastAsia" w:ascii="仿宋" w:hAnsi="仿宋" w:eastAsia="仿宋" w:cs="仿宋"/>
          <w:color w:val="auto"/>
          <w:sz w:val="32"/>
          <w:szCs w:val="32"/>
          <w:highlight w:val="none"/>
          <w:u w:val="single"/>
        </w:rPr>
        <w:t>开工前 3 天 ；</w:t>
      </w:r>
    </w:p>
    <w:p w14:paraId="73A2C475">
      <w:pPr>
        <w:pStyle w:val="8"/>
        <w:spacing w:line="520" w:lineRule="exact"/>
        <w:ind w:firstLine="200"/>
        <w:rPr>
          <w:rFonts w:hint="eastAsia" w:ascii="仿宋" w:hAnsi="仿宋" w:eastAsia="仿宋" w:cs="仿宋"/>
          <w:bCs/>
          <w:color w:val="auto"/>
          <w:sz w:val="32"/>
          <w:szCs w:val="32"/>
          <w:highlight w:val="none"/>
          <w:u w:val="single"/>
        </w:rPr>
      </w:pPr>
      <w:r>
        <w:rPr>
          <w:rFonts w:hint="eastAsia" w:ascii="仿宋" w:hAnsi="仿宋" w:eastAsia="仿宋" w:cs="仿宋"/>
          <w:color w:val="auto"/>
          <w:sz w:val="32"/>
          <w:szCs w:val="32"/>
          <w:highlight w:val="none"/>
        </w:rPr>
        <w:t xml:space="preserve">  （2）将施工所需的水、电、电讯线路接至施工场地的时间、地点和供应要求：</w:t>
      </w:r>
      <w:r>
        <w:rPr>
          <w:rFonts w:hint="eastAsia" w:ascii="仿宋" w:hAnsi="仿宋" w:eastAsia="仿宋" w:cs="仿宋"/>
          <w:bCs/>
          <w:color w:val="auto"/>
          <w:sz w:val="32"/>
          <w:szCs w:val="32"/>
          <w:highlight w:val="none"/>
          <w:u w:val="single"/>
        </w:rPr>
        <w:t>若供电部门的原因造成停电，承包人必须自行解决施工用电，费用自理。</w:t>
      </w:r>
    </w:p>
    <w:p w14:paraId="39843A7D">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（3）施工场地与公共道路通道开通时间和要求：</w:t>
      </w:r>
      <w:r>
        <w:rPr>
          <w:rFonts w:hint="eastAsia" w:ascii="仿宋" w:hAnsi="仿宋" w:eastAsia="仿宋" w:cs="仿宋"/>
          <w:color w:val="auto"/>
          <w:sz w:val="32"/>
          <w:szCs w:val="32"/>
          <w:highlight w:val="none"/>
          <w:u w:val="single"/>
        </w:rPr>
        <w:t>开工前3天将施工场地通道开通；</w:t>
      </w:r>
    </w:p>
    <w:p w14:paraId="26DA144F">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（4）工程地质和地下管线资料的提供时间：</w:t>
      </w:r>
      <w:r>
        <w:rPr>
          <w:rFonts w:hint="eastAsia" w:ascii="仿宋" w:hAnsi="仿宋" w:eastAsia="仿宋" w:cs="仿宋"/>
          <w:color w:val="auto"/>
          <w:sz w:val="32"/>
          <w:szCs w:val="32"/>
          <w:highlight w:val="none"/>
          <w:u w:val="single"/>
        </w:rPr>
        <w:t>开工前3天提供一套完整、准确的地质资料 ；</w:t>
      </w:r>
    </w:p>
    <w:p w14:paraId="6CD13000">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（5）由发包人办理的施工所需证件、批件的名称和完成时间：</w:t>
      </w:r>
      <w:r>
        <w:rPr>
          <w:rFonts w:hint="eastAsia" w:ascii="仿宋" w:hAnsi="仿宋" w:eastAsia="仿宋" w:cs="仿宋"/>
          <w:color w:val="auto"/>
          <w:sz w:val="32"/>
          <w:szCs w:val="32"/>
          <w:highlight w:val="none"/>
          <w:u w:val="single"/>
        </w:rPr>
        <w:t>争取开工前办理完毕施工所需的证件、批件；</w:t>
      </w:r>
    </w:p>
    <w:p w14:paraId="6E49E8A9">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（6）水准点与坐标控制点交验要求：</w:t>
      </w:r>
      <w:r>
        <w:rPr>
          <w:rFonts w:hint="eastAsia" w:ascii="仿宋" w:hAnsi="仿宋" w:eastAsia="仿宋" w:cs="仿宋"/>
          <w:color w:val="auto"/>
          <w:sz w:val="32"/>
          <w:szCs w:val="32"/>
          <w:highlight w:val="none"/>
          <w:u w:val="single"/>
        </w:rPr>
        <w:t>于开工前3日内现场交验,双方做好签认工作；</w:t>
      </w:r>
    </w:p>
    <w:p w14:paraId="5FA2895C">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（7）图纸会审和设计交底时间：  </w:t>
      </w:r>
      <w:r>
        <w:rPr>
          <w:rFonts w:hint="eastAsia" w:ascii="仿宋" w:hAnsi="仿宋" w:eastAsia="仿宋" w:cs="仿宋"/>
          <w:color w:val="auto"/>
          <w:sz w:val="32"/>
          <w:szCs w:val="32"/>
          <w:highlight w:val="none"/>
          <w:u w:val="single"/>
        </w:rPr>
        <w:t>开工前3天</w:t>
      </w:r>
      <w:r>
        <w:rPr>
          <w:rFonts w:hint="eastAsia" w:ascii="仿宋" w:hAnsi="仿宋" w:eastAsia="仿宋" w:cs="仿宋"/>
          <w:color w:val="auto"/>
          <w:sz w:val="32"/>
          <w:szCs w:val="32"/>
          <w:highlight w:val="none"/>
        </w:rPr>
        <w:t xml:space="preserve">；  </w:t>
      </w:r>
    </w:p>
    <w:p w14:paraId="5B4B593A">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（8）协调处理施工场地周围地下管线和邻近建筑物、构筑物（含文物保护建筑）、古树名木的保护工作：</w:t>
      </w:r>
      <w:r>
        <w:rPr>
          <w:rFonts w:hint="eastAsia" w:ascii="仿宋" w:hAnsi="仿宋" w:eastAsia="仿宋" w:cs="仿宋"/>
          <w:color w:val="auto"/>
          <w:sz w:val="32"/>
          <w:szCs w:val="32"/>
          <w:highlight w:val="none"/>
          <w:u w:val="single"/>
        </w:rPr>
        <w:t>协调处理保护工作</w:t>
      </w:r>
      <w:r>
        <w:rPr>
          <w:rFonts w:hint="eastAsia" w:ascii="仿宋" w:hAnsi="仿宋" w:eastAsia="仿宋" w:cs="仿宋"/>
          <w:color w:val="auto"/>
          <w:sz w:val="32"/>
          <w:szCs w:val="32"/>
          <w:highlight w:val="none"/>
        </w:rPr>
        <w:t>；</w:t>
      </w:r>
    </w:p>
    <w:p w14:paraId="65AB56FA">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（9）双方约定发包人应做的其他工作：无</w:t>
      </w:r>
    </w:p>
    <w:p w14:paraId="3467850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5.2、发包人委托承包人办理的工作：</w:t>
      </w:r>
      <w:r>
        <w:rPr>
          <w:rFonts w:hint="eastAsia" w:ascii="仿宋" w:hAnsi="仿宋" w:eastAsia="仿宋" w:cs="仿宋"/>
          <w:color w:val="auto"/>
          <w:sz w:val="32"/>
          <w:szCs w:val="32"/>
          <w:highlight w:val="none"/>
          <w:u w:val="single"/>
        </w:rPr>
        <w:t>按发包人要求执行</w:t>
      </w:r>
      <w:r>
        <w:rPr>
          <w:rFonts w:hint="eastAsia" w:ascii="仿宋" w:hAnsi="仿宋" w:eastAsia="仿宋" w:cs="仿宋"/>
          <w:color w:val="auto"/>
          <w:sz w:val="32"/>
          <w:szCs w:val="32"/>
          <w:highlight w:val="none"/>
        </w:rPr>
        <w:t xml:space="preserve">。 </w:t>
      </w:r>
    </w:p>
    <w:p w14:paraId="275E8B4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6、承包人工作</w:t>
      </w:r>
    </w:p>
    <w:p w14:paraId="0220581B">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 承包人应按约定时间和要求，完成以下工作：</w:t>
      </w:r>
    </w:p>
    <w:p w14:paraId="1529A85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（1）需由设计资质等级和业务范围允许的承包人完成的设计文件提交时间：</w:t>
      </w:r>
      <w:r>
        <w:rPr>
          <w:rFonts w:hint="eastAsia" w:ascii="仿宋" w:hAnsi="仿宋" w:eastAsia="仿宋" w:cs="仿宋"/>
          <w:color w:val="auto"/>
          <w:sz w:val="32"/>
          <w:szCs w:val="32"/>
          <w:highlight w:val="none"/>
          <w:u w:val="single"/>
        </w:rPr>
        <w:t>另行协商</w:t>
      </w:r>
      <w:r>
        <w:rPr>
          <w:rFonts w:hint="eastAsia" w:ascii="仿宋" w:hAnsi="仿宋" w:eastAsia="仿宋" w:cs="仿宋"/>
          <w:color w:val="auto"/>
          <w:sz w:val="32"/>
          <w:szCs w:val="32"/>
          <w:highlight w:val="none"/>
        </w:rPr>
        <w:t xml:space="preserve">；                 </w:t>
      </w:r>
    </w:p>
    <w:p w14:paraId="5C924C8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（2）应提供计划、报表的名称及完成时间：</w:t>
      </w:r>
      <w:r>
        <w:rPr>
          <w:rFonts w:hint="eastAsia" w:ascii="仿宋" w:hAnsi="仿宋" w:eastAsia="仿宋" w:cs="仿宋"/>
          <w:color w:val="auto"/>
          <w:sz w:val="32"/>
          <w:szCs w:val="32"/>
          <w:highlight w:val="none"/>
          <w:u w:val="single"/>
        </w:rPr>
        <w:t>每月25日向监理、发包人提供当月工程进度报表以及下月的工程进度计划各一式两份；</w:t>
      </w:r>
    </w:p>
    <w:p w14:paraId="0246EEEE">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（3）承担施工安全保卫工作及非夜间施工照明的责任和要求：</w:t>
      </w:r>
      <w:r>
        <w:rPr>
          <w:rFonts w:hint="eastAsia" w:ascii="仿宋" w:hAnsi="仿宋" w:eastAsia="仿宋" w:cs="仿宋"/>
          <w:color w:val="auto"/>
          <w:sz w:val="32"/>
          <w:szCs w:val="32"/>
          <w:highlight w:val="none"/>
          <w:u w:val="single"/>
        </w:rPr>
        <w:t>承包人承担施工现场一切安全保卫工作及非夜间施工照明的责任和相关费用；</w:t>
      </w:r>
    </w:p>
    <w:p w14:paraId="017873D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（4）向</w:t>
      </w:r>
      <w:r>
        <w:rPr>
          <w:rFonts w:hint="eastAsia" w:ascii="仿宋" w:hAnsi="仿宋" w:eastAsia="仿宋" w:cs="仿宋"/>
          <w:color w:val="auto"/>
          <w:sz w:val="32"/>
          <w:szCs w:val="32"/>
          <w:highlight w:val="none"/>
          <w:u w:val="single"/>
        </w:rPr>
        <w:t>承</w:t>
      </w:r>
      <w:r>
        <w:rPr>
          <w:rFonts w:hint="eastAsia" w:ascii="仿宋" w:hAnsi="仿宋" w:eastAsia="仿宋" w:cs="仿宋"/>
          <w:color w:val="auto"/>
          <w:sz w:val="32"/>
          <w:szCs w:val="32"/>
          <w:highlight w:val="none"/>
        </w:rPr>
        <w:t>包人提供的办公和生活房屋、</w:t>
      </w:r>
      <w:r>
        <w:rPr>
          <w:rFonts w:hint="eastAsia" w:ascii="仿宋" w:hAnsi="仿宋" w:eastAsia="仿宋" w:cs="仿宋"/>
          <w:color w:val="auto"/>
          <w:sz w:val="32"/>
          <w:szCs w:val="32"/>
          <w:highlight w:val="none"/>
          <w:u w:val="single"/>
        </w:rPr>
        <w:t>建筑、用水、用电及部分水泥场地设施的要求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由发包人向发承包人提供使用面积不小于30㎡的现场办公室，费用由承包人承担；</w:t>
      </w:r>
      <w:r>
        <w:rPr>
          <w:rFonts w:hint="eastAsia" w:ascii="仿宋" w:hAnsi="仿宋" w:eastAsia="仿宋" w:cs="仿宋"/>
          <w:color w:val="auto"/>
          <w:sz w:val="32"/>
          <w:szCs w:val="32"/>
          <w:highlight w:val="none"/>
        </w:rPr>
        <w:t xml:space="preserve"> </w:t>
      </w:r>
    </w:p>
    <w:p w14:paraId="336D9502">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（5）需承包人办理的有关施工场地交通、环卫和施工噪音管理等手续：</w:t>
      </w:r>
      <w:r>
        <w:rPr>
          <w:rFonts w:hint="eastAsia" w:ascii="仿宋" w:hAnsi="仿宋" w:eastAsia="仿宋" w:cs="仿宋"/>
          <w:color w:val="auto"/>
          <w:sz w:val="32"/>
          <w:szCs w:val="32"/>
          <w:highlight w:val="none"/>
          <w:u w:val="single"/>
        </w:rPr>
        <w:t>承包人事先通告发包人并负责具体办理施工车辆通行，环卫和施工噪音、文明施工等管理手续，承担相应费用（应由甲方交纳的建筑垃圾处理费除外）以及因承包人责任可能造成的罚款；</w:t>
      </w:r>
      <w:r>
        <w:rPr>
          <w:rFonts w:hint="eastAsia" w:ascii="仿宋" w:hAnsi="仿宋" w:eastAsia="仿宋" w:cs="仿宋"/>
          <w:color w:val="auto"/>
          <w:sz w:val="32"/>
          <w:szCs w:val="32"/>
          <w:highlight w:val="none"/>
        </w:rPr>
        <w:t xml:space="preserve">                      </w:t>
      </w:r>
    </w:p>
    <w:p w14:paraId="743F8E7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（6）已完工程成品保护的特殊要求及费用承担：</w:t>
      </w:r>
      <w:r>
        <w:rPr>
          <w:rFonts w:hint="eastAsia" w:ascii="仿宋" w:hAnsi="仿宋" w:eastAsia="仿宋" w:cs="仿宋"/>
          <w:color w:val="auto"/>
          <w:sz w:val="32"/>
          <w:szCs w:val="32"/>
          <w:highlight w:val="none"/>
          <w:u w:val="single"/>
        </w:rPr>
        <w:t>按通用条款相关规定执行</w:t>
      </w:r>
      <w:r>
        <w:rPr>
          <w:rFonts w:hint="eastAsia" w:ascii="仿宋" w:hAnsi="仿宋" w:eastAsia="仿宋" w:cs="仿宋"/>
          <w:color w:val="auto"/>
          <w:sz w:val="32"/>
          <w:szCs w:val="32"/>
          <w:highlight w:val="none"/>
        </w:rPr>
        <w:t xml:space="preserve">；                     </w:t>
      </w:r>
    </w:p>
    <w:p w14:paraId="57631148">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（7）施工场地周围地下秘线和邻近建筑物、构筑物（含文物保护建筑）、古树名木的保护要求及费用承担：</w:t>
      </w:r>
      <w:r>
        <w:rPr>
          <w:rFonts w:hint="eastAsia" w:ascii="仿宋" w:hAnsi="仿宋" w:eastAsia="仿宋" w:cs="仿宋"/>
          <w:color w:val="auto"/>
          <w:sz w:val="32"/>
          <w:szCs w:val="32"/>
          <w:highlight w:val="none"/>
          <w:u w:val="single"/>
        </w:rPr>
        <w:t>承包人负责采取有效措施进行保护工作，如有损害承包人承担相关责任和费用；</w:t>
      </w:r>
    </w:p>
    <w:p w14:paraId="2CC978E0">
      <w:pPr>
        <w:spacing w:line="520" w:lineRule="exact"/>
        <w:ind w:firstLine="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8）承包人应在收到合同价的60%项目进度款后，优先将该笔款项用于解决农民工工资及材料商相关款项问题，避免出现拖欠农民工工资现象；待进度款拨付至60%时，默认承包方已结清农民工工资及材料商相关款项，若承包方在项目建设过程中出现拖欠农民工工资的问题，在妥善解决该问题前，将暂停安排下一阶段的项目进度款。</w:t>
      </w:r>
    </w:p>
    <w:p w14:paraId="48B34E99">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（9）施工场地清洁卫生的要求：</w:t>
      </w:r>
      <w:r>
        <w:rPr>
          <w:rFonts w:hint="eastAsia" w:ascii="仿宋" w:hAnsi="仿宋" w:eastAsia="仿宋" w:cs="仿宋"/>
          <w:color w:val="auto"/>
          <w:sz w:val="32"/>
          <w:szCs w:val="32"/>
          <w:highlight w:val="none"/>
          <w:u w:val="single"/>
        </w:rPr>
        <w:t>拆除施工临时建筑物（含附属生活设施，征得发包人同意允许暂时保留的除外），清理外运所有本工程所产生的建筑垃圾、生活垃圾以及其他不必要的设施和遗留物，恢复平整室外地面；确保现场和周边环境的清洁、卫生符合有关验收规范、标准和法律、法规的要求；清洗建筑物的灰尘和污点使达到发包人交房要求；承担上述各项的相应费用；</w:t>
      </w:r>
      <w:r>
        <w:rPr>
          <w:rFonts w:hint="eastAsia" w:ascii="仿宋" w:hAnsi="仿宋" w:eastAsia="仿宋" w:cs="仿宋"/>
          <w:color w:val="auto"/>
          <w:sz w:val="32"/>
          <w:szCs w:val="32"/>
          <w:highlight w:val="none"/>
        </w:rPr>
        <w:t xml:space="preserve">               </w:t>
      </w:r>
    </w:p>
    <w:p w14:paraId="7D2C0AC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6.2 双方约定承包人应做的其他工作：</w:t>
      </w:r>
    </w:p>
    <w:p w14:paraId="5D15445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（1）配合发包人做好安全文明宣传、领导检查宣传等工作，相关费用由承包人承担。</w:t>
      </w:r>
    </w:p>
    <w:p w14:paraId="50A0F10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（2）承包人的临时用地（含项目部驻地等）租用费（含拆迁补偿）、临时用地的环保、恢复、临时用地的青苗补偿及地面附着物拆除等费用均由承包人负责，以上费用在结算时综合考虑。</w:t>
      </w:r>
    </w:p>
    <w:p w14:paraId="4C41631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（3）取土场及弃土场由承包人自行解决，但不得违反相关管理规定，并承担相关费用。</w:t>
      </w:r>
    </w:p>
    <w:p w14:paraId="573D161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（4）经过城市道路的施工车辆，必须按交警、城管、运输等部门相关规定执行。由于施工车辆造成的道路、环境等污染，其责任和费用均由承包人承担。</w:t>
      </w:r>
    </w:p>
    <w:p w14:paraId="6BD9074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（5）承包人负责合同实施期间其合同段内临时交通道路（含场内外连接公共交通道路）和交通设施的修建、维修、养护和交通管理工作，并承担一切费用。</w:t>
      </w:r>
    </w:p>
    <w:p w14:paraId="5184C76C">
      <w:pPr>
        <w:pStyle w:val="8"/>
        <w:spacing w:line="520" w:lineRule="exact"/>
        <w:ind w:firstLine="200"/>
        <w:rPr>
          <w:rFonts w:hint="eastAsia" w:ascii="仿宋" w:hAnsi="仿宋" w:eastAsia="仿宋" w:cs="仿宋"/>
          <w:color w:val="auto"/>
          <w:sz w:val="32"/>
          <w:szCs w:val="32"/>
          <w:highlight w:val="none"/>
          <w:u w:val="none" w:color="FF0000"/>
        </w:rPr>
      </w:pPr>
      <w:r>
        <w:rPr>
          <w:rFonts w:hint="eastAsia" w:ascii="仿宋" w:hAnsi="仿宋" w:eastAsia="仿宋" w:cs="仿宋"/>
          <w:color w:val="auto"/>
          <w:sz w:val="32"/>
          <w:szCs w:val="32"/>
          <w:highlight w:val="none"/>
          <w:u w:val="none" w:color="FF0000"/>
        </w:rPr>
        <w:t xml:space="preserve"> （6）承包人应按监理人的指示，负责清除本工程施工范围的零星拆迁垃圾、杂物以及场地中的树根等，所需费用由承包人负责。</w:t>
      </w:r>
    </w:p>
    <w:p w14:paraId="3C6C1712">
      <w:pPr>
        <w:pStyle w:val="8"/>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（7）本工程施工场地范围内水、电（含发包人的供水、供电部分设备）使用、维护、拆除、恢复等由承包人负责。</w:t>
      </w:r>
    </w:p>
    <w:p w14:paraId="5FCB9C11">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三、施工组织设计和工期</w:t>
      </w:r>
    </w:p>
    <w:p w14:paraId="27F6665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7、进度计划</w:t>
      </w:r>
    </w:p>
    <w:p w14:paraId="6543E37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7.1 承包人向发包人提供施工组织设计（施工方案）和进度计划的时间：</w:t>
      </w:r>
      <w:r>
        <w:rPr>
          <w:rFonts w:hint="eastAsia" w:ascii="仿宋" w:hAnsi="仿宋" w:eastAsia="仿宋" w:cs="仿宋"/>
          <w:color w:val="auto"/>
          <w:sz w:val="32"/>
          <w:szCs w:val="32"/>
          <w:highlight w:val="none"/>
          <w:u w:val="single"/>
        </w:rPr>
        <w:t>交付施工图纸后5天内</w:t>
      </w:r>
      <w:r>
        <w:rPr>
          <w:rFonts w:hint="eastAsia" w:ascii="仿宋" w:hAnsi="仿宋" w:eastAsia="仿宋" w:cs="仿宋"/>
          <w:color w:val="auto"/>
          <w:sz w:val="32"/>
          <w:szCs w:val="32"/>
          <w:highlight w:val="none"/>
        </w:rPr>
        <w:t>；</w:t>
      </w:r>
    </w:p>
    <w:p w14:paraId="3DEDD79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工程师确认的时间：</w:t>
      </w:r>
      <w:r>
        <w:rPr>
          <w:rFonts w:hint="eastAsia" w:ascii="仿宋" w:hAnsi="仿宋" w:eastAsia="仿宋" w:cs="仿宋"/>
          <w:color w:val="auto"/>
          <w:sz w:val="32"/>
          <w:szCs w:val="32"/>
          <w:highlight w:val="none"/>
          <w:u w:val="single"/>
        </w:rPr>
        <w:t>承包人提交后5天内</w:t>
      </w:r>
      <w:r>
        <w:rPr>
          <w:rFonts w:hint="eastAsia" w:ascii="仿宋" w:hAnsi="仿宋" w:eastAsia="仿宋" w:cs="仿宋"/>
          <w:color w:val="auto"/>
          <w:sz w:val="32"/>
          <w:szCs w:val="32"/>
          <w:highlight w:val="none"/>
        </w:rPr>
        <w:t xml:space="preserve">；  </w:t>
      </w:r>
    </w:p>
    <w:p w14:paraId="6529FC9A">
      <w:pPr>
        <w:spacing w:line="520" w:lineRule="exact"/>
        <w:ind w:firstLine="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7.2 群体工程中有关进度计划的要求：</w:t>
      </w:r>
      <w:r>
        <w:rPr>
          <w:rFonts w:hint="eastAsia" w:ascii="仿宋" w:hAnsi="仿宋" w:eastAsia="仿宋" w:cs="仿宋"/>
          <w:color w:val="auto"/>
          <w:sz w:val="32"/>
          <w:szCs w:val="32"/>
          <w:highlight w:val="none"/>
          <w:u w:val="single"/>
        </w:rPr>
        <w:t xml:space="preserve">        /        </w:t>
      </w:r>
    </w:p>
    <w:p w14:paraId="36CFD85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8、开工</w:t>
      </w:r>
    </w:p>
    <w:p w14:paraId="23980E3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8.1 承包人应按协议约定的开工日期开工。</w:t>
      </w:r>
    </w:p>
    <w:p w14:paraId="5B222DC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9、工期延误</w:t>
      </w:r>
    </w:p>
    <w:p w14:paraId="39304DEB">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9.1 对以下原因造成工期延误；经工程师确认，工期相应顺延：</w:t>
      </w:r>
      <w:r>
        <w:rPr>
          <w:rFonts w:hint="eastAsia" w:ascii="仿宋" w:hAnsi="仿宋" w:eastAsia="仿宋" w:cs="仿宋"/>
          <w:color w:val="auto"/>
          <w:sz w:val="32"/>
          <w:szCs w:val="32"/>
          <w:highlight w:val="none"/>
          <w:u w:val="single"/>
        </w:rPr>
        <w:t>按通用条款第5.1.3条执行。</w:t>
      </w:r>
    </w:p>
    <w:p w14:paraId="76D358BC">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9.2 双方约定工期顺延的其他情况：</w:t>
      </w:r>
      <w:r>
        <w:rPr>
          <w:rFonts w:hint="eastAsia" w:ascii="仿宋" w:hAnsi="仿宋" w:eastAsia="仿宋" w:cs="仿宋"/>
          <w:color w:val="auto"/>
          <w:sz w:val="32"/>
          <w:szCs w:val="32"/>
          <w:highlight w:val="none"/>
          <w:u w:val="single"/>
        </w:rPr>
        <w:t>因不可抗力或发包方的需要造成工期延误，经发包方及工程师确认后，工期可相应顺延。</w:t>
      </w:r>
    </w:p>
    <w:p w14:paraId="1980CE6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10、工程竣工</w:t>
      </w:r>
    </w:p>
    <w:p w14:paraId="2B021E5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10.1 承包人必须按照协议书约定的竣工日期或工程师同意顺延的工期竣工。</w:t>
      </w:r>
    </w:p>
    <w:p w14:paraId="71253BA9">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10.2 因承包人原因不能按照协议书约定的竣工日期或工程师同意顺延的工期竣工的，承包人承担违约责任，</w:t>
      </w:r>
      <w:r>
        <w:rPr>
          <w:rFonts w:hint="eastAsia" w:ascii="仿宋" w:hAnsi="仿宋" w:eastAsia="仿宋" w:cs="仿宋"/>
          <w:color w:val="auto"/>
          <w:sz w:val="32"/>
          <w:szCs w:val="32"/>
          <w:highlight w:val="none"/>
          <w:u w:val="single"/>
        </w:rPr>
        <w:t>应向发包人支付误期赔偿费（每天赔偿金额为合同价款的万分之四），误期时间从规定竣工日期起知道全部过程或相应部分过程竣工验收各方签章日期之间的天数（扣除发包人批准顺延的工期），其限额为合同价的百分之五，发包人可以从应向承包人支付得任何金额中扣除此项赔偿费或其他方式回收此款，此款赔偿的支付并不能解除承包人应完成工程的责任或合同规定的其他责任</w:t>
      </w:r>
      <w:r>
        <w:rPr>
          <w:rFonts w:hint="eastAsia" w:ascii="仿宋" w:hAnsi="仿宋" w:eastAsia="仿宋" w:cs="仿宋"/>
          <w:color w:val="auto"/>
          <w:sz w:val="32"/>
          <w:szCs w:val="32"/>
          <w:highlight w:val="none"/>
        </w:rPr>
        <w:t>。</w:t>
      </w:r>
    </w:p>
    <w:p w14:paraId="4A96AD1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10.3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68D4235C">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四、质量与验收</w:t>
      </w:r>
    </w:p>
    <w:p w14:paraId="2E063D8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11、工程质量</w:t>
      </w:r>
    </w:p>
    <w:p w14:paraId="1ADFF49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11.1 工程质量要求</w:t>
      </w:r>
      <w:r>
        <w:rPr>
          <w:rFonts w:hint="eastAsia" w:ascii="仿宋" w:hAnsi="仿宋" w:eastAsia="仿宋" w:cs="仿宋"/>
          <w:color w:val="auto"/>
          <w:sz w:val="32"/>
          <w:szCs w:val="32"/>
          <w:highlight w:val="none"/>
          <w:u w:val="single"/>
        </w:rPr>
        <w:t>达到国家施工验收规范合格标准</w:t>
      </w:r>
      <w:r>
        <w:rPr>
          <w:rFonts w:hint="eastAsia" w:ascii="仿宋" w:hAnsi="仿宋" w:eastAsia="仿宋" w:cs="仿宋"/>
          <w:color w:val="auto"/>
          <w:sz w:val="32"/>
          <w:szCs w:val="32"/>
          <w:highlight w:val="none"/>
        </w:rPr>
        <w:t>。</w:t>
      </w:r>
    </w:p>
    <w:p w14:paraId="3C12163D">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11.2 双方对工程质量有争议时，双方同意工程所在地建设工程质量检验部门鉴定，有关费用及因此造成的损失由责任方承担。</w:t>
      </w:r>
    </w:p>
    <w:p w14:paraId="6F45570B">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12、隐蔽工程和中间验收</w:t>
      </w:r>
    </w:p>
    <w:p w14:paraId="406F3BB0">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12.1双方约定中间验收部位：</w:t>
      </w:r>
      <w:r>
        <w:rPr>
          <w:rFonts w:hint="eastAsia" w:ascii="仿宋" w:hAnsi="仿宋" w:eastAsia="仿宋" w:cs="仿宋"/>
          <w:color w:val="auto"/>
          <w:sz w:val="32"/>
          <w:szCs w:val="32"/>
          <w:highlight w:val="none"/>
          <w:u w:val="single"/>
        </w:rPr>
        <w:t>按有关验收规范和南宁市及城区质量监督部门的要求执行。</w:t>
      </w:r>
    </w:p>
    <w:p w14:paraId="7D9CC5D7">
      <w:pPr>
        <w:autoSpaceDE w:val="0"/>
        <w:autoSpaceDN w:val="0"/>
        <w:spacing w:line="520" w:lineRule="exact"/>
        <w:ind w:firstLine="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 xml:space="preserve">  12.2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FE7126B">
      <w:pPr>
        <w:autoSpaceDE w:val="0"/>
        <w:autoSpaceDN w:val="0"/>
        <w:spacing w:line="520" w:lineRule="exact"/>
        <w:ind w:firstLine="200"/>
        <w:textAlignment w:val="auto"/>
        <w:rPr>
          <w:rFonts w:hint="eastAsia" w:ascii="仿宋" w:hAnsi="仿宋" w:eastAsia="仿宋" w:cs="仿宋"/>
          <w:color w:val="auto"/>
          <w:sz w:val="32"/>
          <w:szCs w:val="32"/>
          <w:highlight w:val="none"/>
          <w:lang w:val="zh-CN"/>
        </w:rPr>
      </w:pPr>
      <w:r>
        <w:rPr>
          <w:rFonts w:hint="eastAsia" w:ascii="仿宋" w:hAnsi="仿宋" w:eastAsia="仿宋" w:cs="仿宋"/>
          <w:bCs/>
          <w:color w:val="auto"/>
          <w:sz w:val="32"/>
          <w:szCs w:val="32"/>
          <w:highlight w:val="none"/>
          <w:lang w:val="zh-CN"/>
        </w:rPr>
        <w:t xml:space="preserve">  12.3 工程师应在承包人约定时间到达现场进行隐蔽中间验收工作（不得以任何理由改期），但在约定时间承包人未到现场及超过约定时间两小时，工程师可另订时间验收，承包人不得有异议且承担由此引发的责任。</w:t>
      </w:r>
    </w:p>
    <w:p w14:paraId="478F220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13、工程试车</w:t>
      </w:r>
    </w:p>
    <w:p w14:paraId="7C4D7A0D">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13.1试车费用的承担：</w:t>
      </w:r>
      <w:r>
        <w:rPr>
          <w:rFonts w:hint="eastAsia" w:ascii="仿宋" w:hAnsi="仿宋" w:eastAsia="仿宋" w:cs="仿宋"/>
          <w:color w:val="auto"/>
          <w:sz w:val="32"/>
          <w:szCs w:val="32"/>
          <w:highlight w:val="none"/>
          <w:u w:val="single"/>
        </w:rPr>
        <w:t>由承包人承担</w:t>
      </w:r>
      <w:r>
        <w:rPr>
          <w:rFonts w:hint="eastAsia" w:ascii="仿宋" w:hAnsi="仿宋" w:eastAsia="仿宋" w:cs="仿宋"/>
          <w:color w:val="auto"/>
          <w:sz w:val="32"/>
          <w:szCs w:val="32"/>
          <w:highlight w:val="none"/>
        </w:rPr>
        <w:t xml:space="preserve">。   </w:t>
      </w:r>
    </w:p>
    <w:p w14:paraId="2198DD4E">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五、合同价款与支付</w:t>
      </w:r>
    </w:p>
    <w:p w14:paraId="4E5EA9D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14、合同价款及调整</w:t>
      </w:r>
    </w:p>
    <w:p w14:paraId="49DF51C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14.1本合同价款采用实行综合单价包干制，竣工结算送城区公共投资</w:t>
      </w:r>
      <w:r>
        <w:rPr>
          <w:rFonts w:hint="eastAsia" w:ascii="仿宋" w:hAnsi="仿宋" w:eastAsia="仿宋" w:cs="仿宋"/>
          <w:color w:val="auto"/>
          <w:sz w:val="32"/>
          <w:szCs w:val="32"/>
          <w:highlight w:val="none"/>
          <w:lang w:val="en-US" w:eastAsia="zh-CN"/>
        </w:rPr>
        <w:t>评审</w:t>
      </w:r>
      <w:r>
        <w:rPr>
          <w:rFonts w:hint="eastAsia" w:ascii="仿宋" w:hAnsi="仿宋" w:eastAsia="仿宋" w:cs="仿宋"/>
          <w:color w:val="auto"/>
          <w:sz w:val="32"/>
          <w:szCs w:val="32"/>
          <w:highlight w:val="none"/>
        </w:rPr>
        <w:t>中心审核，工程结算价以城区审定为准。</w:t>
      </w:r>
    </w:p>
    <w:p w14:paraId="6C49B7E5">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14.2合同价款中包括的风险范围：</w:t>
      </w:r>
      <w:r>
        <w:rPr>
          <w:rFonts w:hint="eastAsia" w:ascii="仿宋" w:hAnsi="仿宋" w:eastAsia="仿宋" w:cs="仿宋"/>
          <w:color w:val="auto"/>
          <w:sz w:val="32"/>
          <w:szCs w:val="32"/>
          <w:highlight w:val="none"/>
          <w:u w:val="single"/>
        </w:rPr>
        <w:t>除设计变更和政策性调整以外。</w:t>
      </w:r>
    </w:p>
    <w:p w14:paraId="65C59E58">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14.3风险费用的计算方法：综合单价在合同实施期间在约定的风险范围内不再调整。</w:t>
      </w:r>
    </w:p>
    <w:p w14:paraId="51B7140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14.4风险范围以外合同价款调整方法：本合同实施期间因设计变更引起工程项目、工程量变化的，按城区项目管理办法等相关规定执行。</w:t>
      </w:r>
    </w:p>
    <w:p w14:paraId="54251418">
      <w:pPr>
        <w:autoSpaceDE w:val="0"/>
        <w:autoSpaceDN w:val="0"/>
        <w:spacing w:line="520" w:lineRule="exact"/>
        <w:ind w:firstLine="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 xml:space="preserve">   14.</w:t>
      </w:r>
      <w:r>
        <w:rPr>
          <w:rFonts w:hint="eastAsia" w:ascii="仿宋" w:hAnsi="仿宋" w:eastAsia="仿宋" w:cs="仿宋"/>
          <w:b/>
          <w:bCs/>
          <w:color w:val="auto"/>
          <w:sz w:val="32"/>
          <w:szCs w:val="32"/>
          <w:highlight w:val="none"/>
          <w:lang w:val="zh-CN"/>
        </w:rPr>
        <w:t xml:space="preserve">5 </w:t>
      </w:r>
      <w:r>
        <w:rPr>
          <w:rFonts w:hint="eastAsia" w:ascii="仿宋" w:hAnsi="仿宋" w:eastAsia="仿宋" w:cs="仿宋"/>
          <w:bCs/>
          <w:color w:val="auto"/>
          <w:sz w:val="32"/>
          <w:szCs w:val="32"/>
          <w:highlight w:val="none"/>
          <w:lang w:val="zh-CN"/>
        </w:rPr>
        <w:t>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1-下浮系数）计算，其中材料价格有信息价的按施工期间的信息价进行计算，无信息的按市场价；无定额可套的，</w:t>
      </w:r>
      <w:r>
        <w:rPr>
          <w:rFonts w:hint="eastAsia" w:ascii="仿宋" w:hAnsi="仿宋" w:eastAsia="仿宋" w:cs="仿宋"/>
          <w:color w:val="auto"/>
          <w:sz w:val="32"/>
          <w:szCs w:val="32"/>
          <w:highlight w:val="none"/>
        </w:rPr>
        <w:t>由发包人、承包人、城区发改局、财政局、审计局、监察局等部门</w:t>
      </w:r>
      <w:r>
        <w:rPr>
          <w:rFonts w:hint="eastAsia" w:ascii="仿宋" w:hAnsi="仿宋" w:eastAsia="仿宋" w:cs="仿宋"/>
          <w:bCs/>
          <w:color w:val="auto"/>
          <w:sz w:val="32"/>
          <w:szCs w:val="32"/>
          <w:highlight w:val="none"/>
          <w:lang w:val="zh-CN"/>
        </w:rPr>
        <w:t>根据市场价格协商。</w:t>
      </w:r>
    </w:p>
    <w:p w14:paraId="174FE22F">
      <w:pPr>
        <w:autoSpaceDE w:val="0"/>
        <w:autoSpaceDN w:val="0"/>
        <w:spacing w:line="520" w:lineRule="exact"/>
        <w:ind w:firstLine="200"/>
        <w:textAlignment w:val="auto"/>
        <w:rPr>
          <w:rFonts w:hint="eastAsia" w:ascii="仿宋" w:hAnsi="仿宋" w:eastAsia="仿宋" w:cs="仿宋"/>
          <w:bCs/>
          <w:color w:val="auto"/>
          <w:sz w:val="32"/>
          <w:szCs w:val="32"/>
          <w:highlight w:val="none"/>
          <w:u w:val="single"/>
          <w:lang w:val="zh-CN"/>
        </w:rPr>
      </w:pPr>
      <w:r>
        <w:rPr>
          <w:rFonts w:hint="eastAsia" w:ascii="仿宋" w:hAnsi="仿宋" w:eastAsia="仿宋" w:cs="仿宋"/>
          <w:bCs/>
          <w:color w:val="auto"/>
          <w:sz w:val="32"/>
          <w:szCs w:val="32"/>
          <w:highlight w:val="none"/>
          <w:lang w:val="zh-CN"/>
        </w:rPr>
        <w:t xml:space="preserve">  14.6 </w:t>
      </w:r>
      <w:r>
        <w:rPr>
          <w:rFonts w:hint="eastAsia" w:ascii="仿宋" w:hAnsi="仿宋" w:eastAsia="仿宋" w:cs="仿宋"/>
          <w:bCs/>
          <w:color w:val="auto"/>
          <w:sz w:val="32"/>
          <w:szCs w:val="32"/>
          <w:highlight w:val="none"/>
          <w:u w:val="single"/>
          <w:lang w:val="zh-CN"/>
        </w:rPr>
        <w:t>国家和自治区政策性调整有关费用标准的，按文件规定执行，本工程最终结算价以</w:t>
      </w:r>
      <w:r>
        <w:rPr>
          <w:rFonts w:hint="eastAsia" w:ascii="仿宋" w:hAnsi="仿宋" w:eastAsia="仿宋" w:cs="仿宋"/>
          <w:bCs/>
          <w:color w:val="auto"/>
          <w:sz w:val="32"/>
          <w:szCs w:val="32"/>
          <w:highlight w:val="none"/>
          <w:u w:val="single"/>
          <w:lang w:val="en-US" w:eastAsia="zh-CN"/>
        </w:rPr>
        <w:t>青秀区财政局或发包人</w:t>
      </w:r>
      <w:r>
        <w:rPr>
          <w:rFonts w:hint="default" w:ascii="仿宋" w:hAnsi="仿宋" w:eastAsia="仿宋" w:cs="仿宋"/>
          <w:bCs/>
          <w:color w:val="auto"/>
          <w:sz w:val="32"/>
          <w:szCs w:val="32"/>
          <w:highlight w:val="none"/>
          <w:u w:val="single"/>
          <w:lang w:val="en-US"/>
        </w:rPr>
        <w:t>选定的第三方工程咨询单位</w:t>
      </w:r>
      <w:r>
        <w:rPr>
          <w:rFonts w:hint="eastAsia" w:ascii="仿宋" w:hAnsi="仿宋" w:eastAsia="仿宋" w:cs="仿宋"/>
          <w:bCs/>
          <w:color w:val="auto"/>
          <w:sz w:val="32"/>
          <w:szCs w:val="32"/>
          <w:highlight w:val="none"/>
          <w:u w:val="single"/>
          <w:lang w:val="zh-CN"/>
        </w:rPr>
        <w:t>审定为准，材料价差调整按照通用条款11.1价格调整第2种方式规定执行。（采用造价信息进行价格调整）</w:t>
      </w:r>
    </w:p>
    <w:p w14:paraId="32D3989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15、工程预付款：</w:t>
      </w:r>
      <w:r>
        <w:rPr>
          <w:rFonts w:hint="eastAsia" w:ascii="仿宋" w:hAnsi="仿宋" w:eastAsia="仿宋" w:cs="仿宋"/>
          <w:color w:val="auto"/>
          <w:sz w:val="32"/>
          <w:szCs w:val="32"/>
          <w:highlight w:val="none"/>
          <w:u w:val="single"/>
        </w:rPr>
        <w:t>合同总价（扣除暂列金额）的30%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预付款扣回的方式：按每次经审定已完工程量的30%扣回，直到预付款金额足额扣回为止。</w:t>
      </w:r>
    </w:p>
    <w:p w14:paraId="60BF0C49">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16、工程量确认</w:t>
      </w:r>
    </w:p>
    <w:p w14:paraId="57C0B403">
      <w:pPr>
        <w:spacing w:line="520" w:lineRule="exact"/>
        <w:ind w:firstLine="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16.1 承包人向工程师提交已完成工程量报告的时间：</w:t>
      </w:r>
      <w:r>
        <w:rPr>
          <w:rFonts w:hint="eastAsia" w:ascii="仿宋" w:hAnsi="仿宋" w:eastAsia="仿宋" w:cs="仿宋"/>
          <w:color w:val="auto"/>
          <w:sz w:val="32"/>
          <w:szCs w:val="32"/>
          <w:highlight w:val="none"/>
          <w:u w:val="single"/>
        </w:rPr>
        <w:t>每月25日前提交当月已完工程量报告。</w:t>
      </w:r>
    </w:p>
    <w:p w14:paraId="5775F172">
      <w:pPr>
        <w:autoSpaceDE w:val="0"/>
        <w:autoSpaceDN w:val="0"/>
        <w:spacing w:line="520" w:lineRule="exact"/>
        <w:ind w:firstLine="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16.2 </w:t>
      </w:r>
      <w:r>
        <w:rPr>
          <w:rFonts w:hint="eastAsia" w:ascii="仿宋" w:hAnsi="仿宋" w:eastAsia="仿宋" w:cs="仿宋"/>
          <w:color w:val="auto"/>
          <w:sz w:val="32"/>
          <w:szCs w:val="32"/>
          <w:highlight w:val="none"/>
          <w:lang w:val="zh-CN"/>
        </w:rPr>
        <w:t>工程量清单所列的工程量，不能作为承包人按合同履行其责任依据，实际施工中发生的工程量增加或减少并不影响承包人履行合同的责任，工程结算以完成的实际工程量为准。</w:t>
      </w:r>
    </w:p>
    <w:p w14:paraId="72F0778A">
      <w:pPr>
        <w:autoSpaceDE w:val="0"/>
        <w:autoSpaceDN w:val="0"/>
        <w:spacing w:line="520" w:lineRule="exact"/>
        <w:ind w:firstLine="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16.3 </w:t>
      </w:r>
      <w:r>
        <w:rPr>
          <w:rFonts w:hint="eastAsia" w:ascii="仿宋" w:hAnsi="仿宋" w:eastAsia="仿宋" w:cs="仿宋"/>
          <w:color w:val="auto"/>
          <w:sz w:val="32"/>
          <w:szCs w:val="32"/>
          <w:highlight w:val="none"/>
          <w:lang w:val="zh-CN"/>
        </w:rPr>
        <w:t>除另有规定外，工程师应按照合同通过计量来核实确定已完成的工程量和价值，承包人应得到该价值扣除保留金后的价款。当工程师要对已完工的工程量进行计量时，应适时地通知承包人参加。</w:t>
      </w:r>
    </w:p>
    <w:p w14:paraId="3D4F9D1E">
      <w:pPr>
        <w:autoSpaceDE w:val="0"/>
        <w:autoSpaceDN w:val="0"/>
        <w:spacing w:line="520" w:lineRule="exact"/>
        <w:ind w:firstLine="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16.4</w:t>
      </w:r>
      <w:r>
        <w:rPr>
          <w:rFonts w:hint="eastAsia" w:ascii="仿宋" w:hAnsi="仿宋" w:eastAsia="仿宋" w:cs="仿宋"/>
          <w:color w:val="auto"/>
          <w:sz w:val="32"/>
          <w:szCs w:val="32"/>
          <w:highlight w:val="none"/>
          <w:lang w:val="zh-CN"/>
        </w:rPr>
        <w:t>计量方法</w:t>
      </w:r>
    </w:p>
    <w:p w14:paraId="59575F11">
      <w:pPr>
        <w:autoSpaceDE w:val="0"/>
        <w:autoSpaceDN w:val="0"/>
        <w:spacing w:line="520" w:lineRule="exact"/>
        <w:ind w:firstLine="200"/>
        <w:textAlignment w:val="auto"/>
        <w:rPr>
          <w:rFonts w:hint="eastAsia" w:ascii="仿宋" w:hAnsi="仿宋" w:eastAsia="仿宋" w:cs="仿宋"/>
          <w:i/>
          <w:iCs/>
          <w:color w:val="auto"/>
          <w:sz w:val="32"/>
          <w:szCs w:val="32"/>
          <w:highlight w:val="none"/>
          <w:u w:val="single"/>
        </w:rPr>
      </w:pPr>
      <w:r>
        <w:rPr>
          <w:rFonts w:hint="eastAsia" w:ascii="仿宋" w:hAnsi="仿宋" w:eastAsia="仿宋" w:cs="仿宋"/>
          <w:color w:val="auto"/>
          <w:sz w:val="32"/>
          <w:szCs w:val="32"/>
          <w:highlight w:val="none"/>
          <w:lang w:val="zh-CN"/>
        </w:rPr>
        <w:t xml:space="preserve">  工程的计量均以国家标准《建设工程工程量清单计价规范》（</w:t>
      </w:r>
      <w:r>
        <w:rPr>
          <w:rFonts w:hint="eastAsia" w:ascii="仿宋" w:hAnsi="仿宋" w:eastAsia="仿宋" w:cs="仿宋"/>
          <w:color w:val="auto"/>
          <w:sz w:val="32"/>
          <w:szCs w:val="32"/>
          <w:highlight w:val="none"/>
        </w:rPr>
        <w:t>GB50500</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val="zh-CN"/>
        </w:rPr>
        <w:t>）和《建设工程工程量清单计价规范（</w:t>
      </w:r>
      <w:r>
        <w:rPr>
          <w:rFonts w:hint="eastAsia" w:ascii="仿宋" w:hAnsi="仿宋" w:eastAsia="仿宋" w:cs="仿宋"/>
          <w:color w:val="auto"/>
          <w:sz w:val="32"/>
          <w:szCs w:val="32"/>
          <w:highlight w:val="none"/>
        </w:rPr>
        <w:t>GB50500-2013</w:t>
      </w:r>
      <w:r>
        <w:rPr>
          <w:rFonts w:hint="eastAsia" w:ascii="仿宋" w:hAnsi="仿宋" w:eastAsia="仿宋" w:cs="仿宋"/>
          <w:color w:val="auto"/>
          <w:sz w:val="32"/>
          <w:szCs w:val="32"/>
          <w:highlight w:val="none"/>
          <w:lang w:val="zh-CN"/>
        </w:rPr>
        <w:t>）广西壮族自治区实施细则》计算的净值为准，如有不明之处，应以监理工程师或造价管理部门指定的计量方法为准。</w:t>
      </w:r>
    </w:p>
    <w:p w14:paraId="53970422">
      <w:pPr>
        <w:autoSpaceDE w:val="0"/>
        <w:autoSpaceDN w:val="0"/>
        <w:spacing w:line="520" w:lineRule="exact"/>
        <w:ind w:firstLine="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16.5</w:t>
      </w:r>
      <w:r>
        <w:rPr>
          <w:rFonts w:hint="eastAsia" w:ascii="仿宋" w:hAnsi="仿宋" w:eastAsia="仿宋" w:cs="仿宋"/>
          <w:color w:val="auto"/>
          <w:sz w:val="32"/>
          <w:szCs w:val="32"/>
          <w:highlight w:val="none"/>
          <w:lang w:val="zh-CN"/>
        </w:rPr>
        <w:t>计量单位</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zh-CN"/>
        </w:rPr>
        <w:t>除了合同另有规定外，所有计量单位均应符合本工程的工程量清单。</w:t>
      </w:r>
    </w:p>
    <w:p w14:paraId="28B23E1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17、工程款（进度款）支付</w:t>
      </w:r>
    </w:p>
    <w:p w14:paraId="02294414">
      <w:pPr>
        <w:spacing w:line="520" w:lineRule="exact"/>
        <w:ind w:firstLine="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17.1资金拨付按照《南宁市青秀区财政性资金审批管理暂行办法》(青政办〔2017〕1号)相关规定实行，（1）合同内工程施工进度款：按照当期计量的80%支付；（2）合同外（设计变更）工程施工进度款：累计增加的变更金额在合同价的10%以内（含10%），按照当期计量的60%支付；累计增加的变更金额超出合同价的10%部分，不进行施工进度款计量支付，留待工程结算时一并支付；（3）工程竣工验收并经</w:t>
      </w:r>
      <w:r>
        <w:rPr>
          <w:rFonts w:hint="eastAsia" w:ascii="仿宋" w:hAnsi="仿宋" w:eastAsia="仿宋" w:cs="仿宋"/>
          <w:bCs/>
          <w:color w:val="auto"/>
          <w:sz w:val="32"/>
          <w:szCs w:val="32"/>
          <w:highlight w:val="none"/>
          <w:u w:val="single"/>
          <w:lang w:val="en-US" w:eastAsia="zh-CN"/>
        </w:rPr>
        <w:t>青秀区财政局或发包人</w:t>
      </w:r>
      <w:r>
        <w:rPr>
          <w:rFonts w:hint="default" w:ascii="仿宋" w:hAnsi="仿宋" w:eastAsia="仿宋" w:cs="仿宋"/>
          <w:bCs/>
          <w:color w:val="auto"/>
          <w:sz w:val="32"/>
          <w:szCs w:val="32"/>
          <w:highlight w:val="none"/>
          <w:u w:val="single"/>
          <w:lang w:val="en-US"/>
        </w:rPr>
        <w:t>选定的第三方工程咨询单位</w:t>
      </w:r>
      <w:r>
        <w:rPr>
          <w:rFonts w:hint="eastAsia" w:ascii="仿宋" w:hAnsi="仿宋" w:eastAsia="仿宋" w:cs="仿宋"/>
          <w:color w:val="auto"/>
          <w:sz w:val="32"/>
          <w:szCs w:val="32"/>
          <w:highlight w:val="none"/>
          <w:lang w:val="zh-CN"/>
        </w:rPr>
        <w:t>审定结算后，按结算价的97%进行结算，预留3%的工程质量保证金，待质量保证期满未出现质量问题且完成工程竣工决算报表后，可支付至审定结算总价的100%。工程建设其他费用根据财政部门有关规定执行，按完成情况支付。（4）</w:t>
      </w:r>
      <w:r>
        <w:rPr>
          <w:rFonts w:hint="eastAsia" w:ascii="仿宋" w:hAnsi="仿宋" w:eastAsia="仿宋" w:cs="仿宋"/>
          <w:color w:val="auto"/>
          <w:sz w:val="32"/>
          <w:szCs w:val="32"/>
          <w:highlight w:val="none"/>
        </w:rPr>
        <w:t>承包人</w:t>
      </w:r>
      <w:r>
        <w:rPr>
          <w:rFonts w:hint="eastAsia" w:ascii="仿宋" w:hAnsi="仿宋" w:eastAsia="仿宋" w:cs="仿宋"/>
          <w:color w:val="auto"/>
          <w:sz w:val="32"/>
          <w:szCs w:val="32"/>
          <w:highlight w:val="none"/>
          <w:lang w:val="zh-CN"/>
        </w:rPr>
        <w:t>在</w:t>
      </w:r>
      <w:r>
        <w:rPr>
          <w:rFonts w:hint="eastAsia" w:ascii="仿宋" w:hAnsi="仿宋" w:eastAsia="仿宋" w:cs="仿宋"/>
          <w:color w:val="auto"/>
          <w:sz w:val="32"/>
          <w:szCs w:val="32"/>
          <w:highlight w:val="none"/>
        </w:rPr>
        <w:t>发包人</w:t>
      </w:r>
      <w:r>
        <w:rPr>
          <w:rFonts w:hint="eastAsia" w:ascii="仿宋" w:hAnsi="仿宋" w:eastAsia="仿宋" w:cs="仿宋"/>
          <w:color w:val="auto"/>
          <w:sz w:val="32"/>
          <w:szCs w:val="32"/>
          <w:highlight w:val="none"/>
          <w:lang w:val="zh-CN"/>
        </w:rPr>
        <w:t>支付工程款前3日内提供有效的增值税专用发票给</w:t>
      </w:r>
      <w:r>
        <w:rPr>
          <w:rFonts w:hint="eastAsia" w:ascii="仿宋" w:hAnsi="仿宋" w:eastAsia="仿宋" w:cs="仿宋"/>
          <w:color w:val="auto"/>
          <w:sz w:val="32"/>
          <w:szCs w:val="32"/>
          <w:highlight w:val="none"/>
        </w:rPr>
        <w:t>发包人</w:t>
      </w:r>
      <w:r>
        <w:rPr>
          <w:rFonts w:hint="eastAsia" w:ascii="仿宋" w:hAnsi="仿宋" w:eastAsia="仿宋" w:cs="仿宋"/>
          <w:color w:val="auto"/>
          <w:sz w:val="32"/>
          <w:szCs w:val="32"/>
          <w:highlight w:val="none"/>
          <w:lang w:val="zh-CN"/>
        </w:rPr>
        <w:t>，否则</w:t>
      </w:r>
      <w:r>
        <w:rPr>
          <w:rFonts w:hint="eastAsia" w:ascii="仿宋" w:hAnsi="仿宋" w:eastAsia="仿宋" w:cs="仿宋"/>
          <w:color w:val="auto"/>
          <w:sz w:val="32"/>
          <w:szCs w:val="32"/>
          <w:highlight w:val="none"/>
        </w:rPr>
        <w:t>发包人</w:t>
      </w:r>
      <w:r>
        <w:rPr>
          <w:rFonts w:hint="eastAsia" w:ascii="仿宋" w:hAnsi="仿宋" w:eastAsia="仿宋" w:cs="仿宋"/>
          <w:color w:val="auto"/>
          <w:sz w:val="32"/>
          <w:szCs w:val="32"/>
          <w:highlight w:val="none"/>
          <w:lang w:val="zh-CN"/>
        </w:rPr>
        <w:t>有权拒付该笔工程款，所造成的责任由</w:t>
      </w:r>
      <w:r>
        <w:rPr>
          <w:rFonts w:hint="eastAsia" w:ascii="仿宋" w:hAnsi="仿宋" w:eastAsia="仿宋" w:cs="仿宋"/>
          <w:color w:val="auto"/>
          <w:sz w:val="32"/>
          <w:szCs w:val="32"/>
          <w:highlight w:val="none"/>
        </w:rPr>
        <w:t>承包人</w:t>
      </w:r>
      <w:r>
        <w:rPr>
          <w:rFonts w:hint="eastAsia" w:ascii="仿宋" w:hAnsi="仿宋" w:eastAsia="仿宋" w:cs="仿宋"/>
          <w:color w:val="auto"/>
          <w:sz w:val="32"/>
          <w:szCs w:val="32"/>
          <w:highlight w:val="none"/>
          <w:lang w:val="zh-CN"/>
        </w:rPr>
        <w:t>负责承担。</w:t>
      </w:r>
    </w:p>
    <w:p w14:paraId="11A49483">
      <w:pPr>
        <w:spacing w:line="520" w:lineRule="exact"/>
        <w:ind w:firstLine="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 xml:space="preserve">  17.2发包</w:t>
      </w:r>
      <w:r>
        <w:rPr>
          <w:rFonts w:hint="eastAsia" w:ascii="仿宋" w:hAnsi="仿宋" w:eastAsia="仿宋" w:cs="仿宋"/>
          <w:color w:val="auto"/>
          <w:sz w:val="32"/>
          <w:szCs w:val="32"/>
          <w:highlight w:val="none"/>
        </w:rPr>
        <w:t>人向财政部门申请工程进度款时，应填写《建设工程进度款申请单》，承包人应配合发包人提供以下资料：（1）《工程用款申请书》；（2）监理单位填制的《工程款支付证书》；（3）已完工工程量清单；（4）申请拨付资金报告；（5）资金分期支付申请书；（6）其他相关资料。由于承包人原因导致影响工程款支付时，承包人自行负责。</w:t>
      </w:r>
    </w:p>
    <w:p w14:paraId="6674FF9D">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17.3农民工工资</w:t>
      </w:r>
    </w:p>
    <w:p w14:paraId="3779819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（1）农民工工资保证金</w:t>
      </w:r>
    </w:p>
    <w:p w14:paraId="6D211E02">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承包方在签订本合同后，需按有关规定将农民工工资保证金及时足额存入指定账户，并到人社部门进行备案。</w:t>
      </w:r>
    </w:p>
    <w:p w14:paraId="4AB817BE">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（2）农民工工资支付及监管</w:t>
      </w:r>
    </w:p>
    <w:p w14:paraId="5084429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1）承包方在项目开工前，应在项目所在地商业银行开设农民工工资专用账户，由银行按月代发。</w:t>
      </w:r>
    </w:p>
    <w:p w14:paraId="1C521302">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2）承包方应按工程进度，按月支付农民工工资，并确保专用账户余额足以支付当月农民工工资。本项目符合可不专设农民工工资专用账户情形，可不专设农民工工资专用账户。</w:t>
      </w:r>
    </w:p>
    <w:p w14:paraId="7A7A5F19">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3）农民工工资专用账户资金必须专款专用，不得挪作他用，严格按照《广西壮族自治区工程建设领域工人工资支付专用账户管理办法》（桂薪联发〔2016〕1号）有关规定执行。</w:t>
      </w:r>
    </w:p>
    <w:p w14:paraId="0CFAC73C">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4）承包方应按月将农民工工资支付情况与凭证定期报告发包人和监理单位，并自觉接受相关行政主管部门监督。</w:t>
      </w:r>
    </w:p>
    <w:p w14:paraId="17E5B6E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5）执行广西壮族自治区解决企业拖欠工资问题联席会议关于保障农民工工资支付的有关规定，确保农民工工资无拖欠。</w:t>
      </w:r>
    </w:p>
    <w:p w14:paraId="3817B3D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并扣留承包人履约保证金至承包人整改完毕为止。</w:t>
      </w:r>
    </w:p>
    <w:p w14:paraId="1D1790E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7）承包人与雇佣人员发生劳动纠纷、工伤等情形的，均由承包人负责处理并承担相应的责任，与发包人无关；承包人不得以劳动纠纷或工人纠集闹事等任何理由提前预支任何款项。</w:t>
      </w:r>
    </w:p>
    <w:p w14:paraId="43C4EF9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承包人不得以任何借口将承包人与包括农民工在内的雇用人员的劳酬纠纷引发的矛盾转嫁发包人，如果出现雇用人员聚众向发包方闹事的情形，承包人须按（人民币）5万元/次的标准向发包人计付违约金，若因此造成发包人工作人员人身伤害、财产损毁的，承包人还须承担赔偿损失等法律责任。</w:t>
      </w:r>
    </w:p>
    <w:p w14:paraId="7F6CE728">
      <w:pPr>
        <w:spacing w:line="520" w:lineRule="exact"/>
        <w:ind w:firstLine="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六、材料设备供应</w:t>
      </w:r>
    </w:p>
    <w:p w14:paraId="42B71623">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18、发包人供应材料设备</w:t>
      </w:r>
    </w:p>
    <w:p w14:paraId="7AA98274">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18.1发包人供应的材料设备与一览表不符时，双方约定发包人承担责任如下：</w:t>
      </w:r>
    </w:p>
    <w:p w14:paraId="6AD6423F">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（1）材料设备单价与一览表不符：</w:t>
      </w:r>
      <w:r>
        <w:rPr>
          <w:rFonts w:hint="eastAsia" w:ascii="仿宋" w:hAnsi="仿宋" w:eastAsia="仿宋" w:cs="仿宋"/>
          <w:color w:val="auto"/>
          <w:sz w:val="32"/>
          <w:szCs w:val="32"/>
          <w:highlight w:val="none"/>
          <w:u w:val="single"/>
        </w:rPr>
        <w:t>双方另行协商</w:t>
      </w:r>
      <w:r>
        <w:rPr>
          <w:rFonts w:hint="eastAsia" w:ascii="仿宋" w:hAnsi="仿宋" w:eastAsia="仿宋" w:cs="仿宋"/>
          <w:color w:val="auto"/>
          <w:sz w:val="32"/>
          <w:szCs w:val="32"/>
          <w:highlight w:val="none"/>
        </w:rPr>
        <w:t xml:space="preserve">。                                 </w:t>
      </w:r>
    </w:p>
    <w:p w14:paraId="18CD46A9">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（2）材料设备的品种、规格、型号、质量等级与一览表不符： </w:t>
      </w:r>
      <w:r>
        <w:rPr>
          <w:rFonts w:hint="eastAsia" w:ascii="仿宋" w:hAnsi="仿宋" w:eastAsia="仿宋" w:cs="仿宋"/>
          <w:color w:val="auto"/>
          <w:sz w:val="32"/>
          <w:szCs w:val="32"/>
          <w:highlight w:val="none"/>
          <w:u w:val="single"/>
        </w:rPr>
        <w:t>双方另行协商</w:t>
      </w:r>
      <w:r>
        <w:rPr>
          <w:rFonts w:hint="eastAsia" w:ascii="仿宋" w:hAnsi="仿宋" w:eastAsia="仿宋" w:cs="仿宋"/>
          <w:color w:val="auto"/>
          <w:sz w:val="32"/>
          <w:szCs w:val="32"/>
          <w:highlight w:val="none"/>
        </w:rPr>
        <w:t xml:space="preserve">。        </w:t>
      </w:r>
    </w:p>
    <w:p w14:paraId="43A1B58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（3）承包人可代为调剂串换的材料：</w:t>
      </w:r>
      <w:r>
        <w:rPr>
          <w:rFonts w:hint="eastAsia" w:ascii="仿宋" w:hAnsi="仿宋" w:eastAsia="仿宋" w:cs="仿宋"/>
          <w:color w:val="auto"/>
          <w:sz w:val="32"/>
          <w:szCs w:val="32"/>
          <w:highlight w:val="none"/>
          <w:u w:val="single"/>
        </w:rPr>
        <w:t>视情况经设计批准，双方另行协商</w:t>
      </w:r>
      <w:r>
        <w:rPr>
          <w:rFonts w:hint="eastAsia" w:ascii="仿宋" w:hAnsi="仿宋" w:eastAsia="仿宋" w:cs="仿宋"/>
          <w:color w:val="auto"/>
          <w:sz w:val="32"/>
          <w:szCs w:val="32"/>
          <w:highlight w:val="none"/>
        </w:rPr>
        <w:t xml:space="preserve">。             </w:t>
      </w:r>
    </w:p>
    <w:p w14:paraId="12260DD2">
      <w:pPr>
        <w:spacing w:line="520" w:lineRule="exact"/>
        <w:ind w:left="585" w:leftChars="50" w:hanging="480" w:hanging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(4)到货地点与一览表不符：</w:t>
      </w:r>
      <w:r>
        <w:rPr>
          <w:rFonts w:hint="eastAsia" w:ascii="仿宋" w:hAnsi="仿宋" w:eastAsia="仿宋" w:cs="仿宋"/>
          <w:color w:val="auto"/>
          <w:sz w:val="32"/>
          <w:szCs w:val="32"/>
          <w:highlight w:val="none"/>
          <w:u w:val="single"/>
        </w:rPr>
        <w:t>双方另行协商</w:t>
      </w:r>
      <w:r>
        <w:rPr>
          <w:rFonts w:hint="eastAsia" w:ascii="仿宋" w:hAnsi="仿宋" w:eastAsia="仿宋" w:cs="仿宋"/>
          <w:color w:val="auto"/>
          <w:sz w:val="32"/>
          <w:szCs w:val="32"/>
          <w:highlight w:val="none"/>
        </w:rPr>
        <w:t xml:space="preserve">。    </w:t>
      </w:r>
    </w:p>
    <w:p w14:paraId="0A1AD923">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(5)供应数量与一览表不符：</w:t>
      </w:r>
      <w:r>
        <w:rPr>
          <w:rFonts w:hint="eastAsia" w:ascii="仿宋" w:hAnsi="仿宋" w:eastAsia="仿宋" w:cs="仿宋"/>
          <w:color w:val="auto"/>
          <w:sz w:val="32"/>
          <w:szCs w:val="32"/>
          <w:highlight w:val="none"/>
          <w:u w:val="single"/>
        </w:rPr>
        <w:t>双方另行协商。</w:t>
      </w:r>
    </w:p>
    <w:p w14:paraId="49B70481">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（6）到货时间与一览表不符：</w:t>
      </w:r>
      <w:r>
        <w:rPr>
          <w:rFonts w:hint="eastAsia" w:ascii="仿宋" w:hAnsi="仿宋" w:eastAsia="仿宋" w:cs="仿宋"/>
          <w:color w:val="auto"/>
          <w:sz w:val="32"/>
          <w:szCs w:val="32"/>
          <w:highlight w:val="none"/>
          <w:u w:val="single"/>
        </w:rPr>
        <w:t>双方另行协商</w:t>
      </w:r>
      <w:r>
        <w:rPr>
          <w:rFonts w:hint="eastAsia" w:ascii="仿宋" w:hAnsi="仿宋" w:eastAsia="仿宋" w:cs="仿宋"/>
          <w:color w:val="auto"/>
          <w:sz w:val="32"/>
          <w:szCs w:val="32"/>
          <w:highlight w:val="none"/>
        </w:rPr>
        <w:t xml:space="preserve">。 </w:t>
      </w:r>
    </w:p>
    <w:p w14:paraId="418E8F2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18.2 发包人供应材料设备的结算方法：</w:t>
      </w:r>
      <w:r>
        <w:rPr>
          <w:rFonts w:hint="eastAsia" w:ascii="仿宋" w:hAnsi="仿宋" w:eastAsia="仿宋" w:cs="仿宋"/>
          <w:color w:val="auto"/>
          <w:sz w:val="32"/>
          <w:szCs w:val="32"/>
          <w:highlight w:val="none"/>
          <w:u w:val="single"/>
        </w:rPr>
        <w:t>双方另行协商</w:t>
      </w:r>
      <w:r>
        <w:rPr>
          <w:rFonts w:hint="eastAsia" w:ascii="仿宋" w:hAnsi="仿宋" w:eastAsia="仿宋" w:cs="仿宋"/>
          <w:color w:val="auto"/>
          <w:sz w:val="32"/>
          <w:szCs w:val="32"/>
          <w:highlight w:val="none"/>
        </w:rPr>
        <w:t xml:space="preserve">。  </w:t>
      </w:r>
    </w:p>
    <w:p w14:paraId="700A47AD">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19、承包人采购材料设备</w:t>
      </w:r>
    </w:p>
    <w:p w14:paraId="2DC0ECB5">
      <w:pPr>
        <w:autoSpaceDE w:val="0"/>
        <w:autoSpaceDN w:val="0"/>
        <w:spacing w:line="520" w:lineRule="exact"/>
        <w:ind w:firstLine="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 xml:space="preserve">  19.1 承包人采购设备的约定： </w:t>
      </w:r>
      <w:r>
        <w:rPr>
          <w:rFonts w:hint="eastAsia" w:ascii="仿宋" w:hAnsi="仿宋" w:eastAsia="仿宋" w:cs="仿宋"/>
          <w:color w:val="auto"/>
          <w:sz w:val="32"/>
          <w:szCs w:val="32"/>
          <w:highlight w:val="none"/>
          <w:lang w:val="zh-CN"/>
        </w:rPr>
        <w:t>本工程由承包人自行采购的工程材料和设备（政府集中采购的除外），采购前须征得发包人或其授权人认可同意。主要材料涉及品种、款式、颜色等方面内容的，承包人应提前准备合格的材料样品送发包人选定。</w:t>
      </w:r>
    </w:p>
    <w:p w14:paraId="4F13B90B">
      <w:pPr>
        <w:spacing w:line="520" w:lineRule="exact"/>
        <w:ind w:firstLine="482" w:firstLineChars="15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七、工程量变更</w:t>
      </w:r>
    </w:p>
    <w:p w14:paraId="6629C152">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20、工程设计变更</w:t>
      </w:r>
    </w:p>
    <w:p w14:paraId="3E8E3016">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1698CB50">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（1）更改工程有关部分的标高、基线、位置和尺寸； </w:t>
      </w:r>
    </w:p>
    <w:p w14:paraId="1AE8C175">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（2）增减合同中约定的工程量； </w:t>
      </w:r>
    </w:p>
    <w:p w14:paraId="2F3C79CC">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（3）改变有关工程的施工时间和顺序； </w:t>
      </w:r>
    </w:p>
    <w:p w14:paraId="46B39071">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（4）其他有关工程变更需要的附加工作。 </w:t>
      </w:r>
    </w:p>
    <w:p w14:paraId="47F10607">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20.2因变更导致合同价款的增减及造成的承包人损失，由发包人承担，延误的工期相应顺延。 </w:t>
      </w:r>
    </w:p>
    <w:p w14:paraId="29B3FB75">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20.3施工中承包人不得对原工程设计进行变更。因承包人擅自变更设计发生的费用和由此导致发包人的直接损失，由承包人承担，延误的工期不予顺延。 </w:t>
      </w:r>
    </w:p>
    <w:p w14:paraId="6C1C4CBC">
      <w:pPr>
        <w:snapToGrid w:val="0"/>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20.4 变更按照《青秀区政府投资工程项目管理暂行办法》相关规定实施。</w:t>
      </w:r>
    </w:p>
    <w:p w14:paraId="57F2D632">
      <w:pPr>
        <w:autoSpaceDE w:val="0"/>
        <w:autoSpaceDN w:val="0"/>
        <w:spacing w:line="520" w:lineRule="exact"/>
        <w:ind w:firstLine="480" w:firstLineChars="150"/>
        <w:textAlignment w:val="auto"/>
        <w:rPr>
          <w:rFonts w:hint="eastAsia"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u w:val="single"/>
          <w:lang w:val="zh-CN"/>
        </w:rPr>
        <w:t>（1）土石方单价以综合单价包干，运距由投标人按所能承受能力自行考虑。</w:t>
      </w:r>
    </w:p>
    <w:p w14:paraId="66F2BB24">
      <w:pPr>
        <w:snapToGrid w:val="0"/>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（2）工程建筑材料价格必须严格执行工程所在地工程造价管理机构《造价信息》上发布的建筑材料市场价格。</w:t>
      </w:r>
    </w:p>
    <w:p w14:paraId="085D5148">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20.5 建设单位在工程设计变更和工程签证过程中必须认真负责、实事求是，不得弄虚作假，凡因上述问题所造成的损失，相应等额扣除建设单位项目管理费或其他财政拨款。</w:t>
      </w:r>
    </w:p>
    <w:p w14:paraId="5C17F81B">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21.其他变更</w:t>
      </w:r>
    </w:p>
    <w:p w14:paraId="02FF44B5">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21.1合同履行中发包人要求变更工程质量标准及发生其他实质性变更，由双方协商解决。</w:t>
      </w:r>
    </w:p>
    <w:p w14:paraId="71CD03AA">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22、确定变更价款 </w:t>
      </w:r>
    </w:p>
    <w:p w14:paraId="22D39E34">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22.1发包人确认增加的工程变更价款作为追加合同价款，与工程款同期支付。 </w:t>
      </w:r>
    </w:p>
    <w:p w14:paraId="736D1C13">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22.2因承包人自身原因导致的工程变更，承包人无权要求追加合同价款。 </w:t>
      </w:r>
    </w:p>
    <w:p w14:paraId="60BDE1F8">
      <w:pPr>
        <w:spacing w:line="520" w:lineRule="exact"/>
        <w:ind w:firstLine="482" w:firstLineChars="15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八、竣工验收与结算</w:t>
      </w:r>
    </w:p>
    <w:p w14:paraId="744D4C0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23、竣工验收</w:t>
      </w:r>
    </w:p>
    <w:p w14:paraId="50A1BFA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23.1 承包人提供竣工图的约定：</w:t>
      </w:r>
    </w:p>
    <w:p w14:paraId="4F7072D1">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（1）工程具备竣工验收条件，承包人按工程竣工验收有关规定，向发包人提交完整竣工资料及竣工验收报告。</w:t>
      </w:r>
    </w:p>
    <w:p w14:paraId="66FD5A4B">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（2）承包人向发包人提交竣工资料及验收报告4份，提交的时间是：竣工验收前15日。</w:t>
      </w:r>
    </w:p>
    <w:p w14:paraId="1BE93185">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（3）承包人向发包人提交竣工图的约定：竣工验收合格之日起15日内提交4份。</w:t>
      </w:r>
    </w:p>
    <w:p w14:paraId="44BF57D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23.2中间交工工程的范围和竣工时间：</w:t>
      </w:r>
      <w:r>
        <w:rPr>
          <w:rFonts w:hint="eastAsia" w:ascii="仿宋" w:hAnsi="仿宋" w:eastAsia="仿宋" w:cs="仿宋"/>
          <w:color w:val="auto"/>
          <w:sz w:val="32"/>
          <w:szCs w:val="32"/>
          <w:highlight w:val="none"/>
          <w:u w:val="single"/>
        </w:rPr>
        <w:t xml:space="preserve"> 无</w:t>
      </w:r>
      <w:r>
        <w:rPr>
          <w:rFonts w:hint="eastAsia" w:ascii="仿宋" w:hAnsi="仿宋" w:eastAsia="仿宋" w:cs="仿宋"/>
          <w:color w:val="auto"/>
          <w:sz w:val="32"/>
          <w:szCs w:val="32"/>
          <w:highlight w:val="none"/>
        </w:rPr>
        <w:t xml:space="preserve">。   </w:t>
      </w:r>
    </w:p>
    <w:p w14:paraId="4B74D99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24、竣工结算 </w:t>
      </w:r>
    </w:p>
    <w:p w14:paraId="021BA395">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24.1 工程竣工验收报告经发包人认可后28天内，承包人向发包人递交竣工结算报告及完整的结算资料，由发包人送审计部门进行工程竣工结算。 </w:t>
      </w:r>
      <w:r>
        <w:rPr>
          <w:rFonts w:hint="eastAsia" w:ascii="仿宋" w:hAnsi="仿宋" w:eastAsia="仿宋" w:cs="仿宋"/>
          <w:bCs/>
          <w:color w:val="auto"/>
          <w:sz w:val="32"/>
          <w:szCs w:val="32"/>
          <w:highlight w:val="none"/>
          <w:lang w:val="zh-CN"/>
        </w:rPr>
        <w:t>承包人必须在工程竣工验收合格后28个日历天内按要求提交完整的竣工结算资料,超时限提交结算资料造成的后果承包人自行承担。</w:t>
      </w:r>
    </w:p>
    <w:p w14:paraId="3F1356B3">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24.2工程竣工验收报告经发包人认可后28天内，承包人未能向发包人递交竣工结算报告及完整的结算资料，造成工程竣工结算不能正常进行，发包人要求交付工程的，承包人应当交付；发包人不要求交付工程的，承包人承担保管责任。 </w:t>
      </w:r>
      <w:r>
        <w:rPr>
          <w:rFonts w:hint="eastAsia" w:ascii="仿宋" w:hAnsi="仿宋" w:eastAsia="仿宋" w:cs="仿宋"/>
          <w:bCs/>
          <w:color w:val="auto"/>
          <w:sz w:val="32"/>
          <w:szCs w:val="32"/>
          <w:highlight w:val="none"/>
          <w:lang w:val="zh-CN"/>
        </w:rPr>
        <w:t>其余按通用条款第33.1、33.5、33.6条执行。</w:t>
      </w:r>
    </w:p>
    <w:p w14:paraId="194975A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25、质量保修</w:t>
      </w:r>
    </w:p>
    <w:p w14:paraId="50FA2475">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25.1承包人应按法律、行政法规或国家关于工程质量保修的有关规定，对交付发包人使用的工程在质量保修期内承担质量保修责任。</w:t>
      </w:r>
    </w:p>
    <w:p w14:paraId="32E589B7">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25.2质量保修工作的实施。承包人应在工程竣工验收之前，与发包人签订质量保修书，作为本合同附件（附件3）。</w:t>
      </w:r>
    </w:p>
    <w:p w14:paraId="7AB14A22">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25.3、质量保修书的主要内容包括：</w:t>
      </w:r>
    </w:p>
    <w:p w14:paraId="1D75B02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质量保修项目内容及范围；</w:t>
      </w:r>
    </w:p>
    <w:p w14:paraId="7B5B2B64">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质量保修期；</w:t>
      </w:r>
    </w:p>
    <w:p w14:paraId="4B8AB191">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质量保修责任；</w:t>
      </w:r>
    </w:p>
    <w:p w14:paraId="2684EAA3">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质量保修金的支付方法。</w:t>
      </w:r>
    </w:p>
    <w:p w14:paraId="681C9BB6">
      <w:pPr>
        <w:spacing w:line="52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九、违约、索赔和争议</w:t>
      </w:r>
    </w:p>
    <w:p w14:paraId="2EE40757">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26、违约</w:t>
      </w:r>
    </w:p>
    <w:p w14:paraId="4CBBA283">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26.1本合同中关于发包人违约的具体责任如下：</w:t>
      </w:r>
    </w:p>
    <w:p w14:paraId="15AD06BB">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26.1.1 本合同通用条款第20条约定发包人违约应承担的违约责任：</w:t>
      </w:r>
      <w:r>
        <w:rPr>
          <w:rFonts w:hint="eastAsia" w:ascii="仿宋" w:hAnsi="仿宋" w:eastAsia="仿宋" w:cs="仿宋"/>
          <w:bCs/>
          <w:color w:val="auto"/>
          <w:sz w:val="32"/>
          <w:szCs w:val="32"/>
          <w:highlight w:val="none"/>
          <w:u w:val="single"/>
          <w:lang w:val="zh-CN"/>
        </w:rPr>
        <w:t xml:space="preserve"> 无 </w:t>
      </w:r>
    </w:p>
    <w:p w14:paraId="7FBA9C74">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u w:val="single"/>
          <w:lang w:val="zh-CN"/>
        </w:rPr>
      </w:pPr>
      <w:r>
        <w:rPr>
          <w:rFonts w:hint="eastAsia" w:ascii="仿宋" w:hAnsi="仿宋" w:eastAsia="仿宋" w:cs="仿宋"/>
          <w:bCs/>
          <w:color w:val="auto"/>
          <w:sz w:val="32"/>
          <w:szCs w:val="32"/>
          <w:highlight w:val="none"/>
          <w:lang w:val="zh-CN"/>
        </w:rPr>
        <w:t xml:space="preserve">26.1.2 </w:t>
      </w:r>
      <w:r>
        <w:rPr>
          <w:rFonts w:hint="eastAsia" w:ascii="仿宋" w:hAnsi="仿宋" w:eastAsia="仿宋" w:cs="仿宋"/>
          <w:bCs/>
          <w:color w:val="auto"/>
          <w:sz w:val="32"/>
          <w:szCs w:val="32"/>
          <w:highlight w:val="none"/>
          <w:u w:val="single"/>
          <w:lang w:val="zh-CN"/>
        </w:rPr>
        <w:t xml:space="preserve">  承包人与发包人签订延期付款协议，延期付款协议须经财政部门认可。</w:t>
      </w:r>
    </w:p>
    <w:p w14:paraId="1E71CDBB">
      <w:pPr>
        <w:autoSpaceDE w:val="0"/>
        <w:autoSpaceDN w:val="0"/>
        <w:spacing w:line="520" w:lineRule="exact"/>
        <w:ind w:firstLine="640" w:firstLineChars="200"/>
        <w:textAlignment w:val="auto"/>
        <w:rPr>
          <w:rFonts w:hint="eastAsia" w:ascii="仿宋" w:hAnsi="仿宋" w:eastAsia="仿宋" w:cs="仿宋"/>
          <w:color w:val="auto"/>
          <w:sz w:val="32"/>
          <w:szCs w:val="32"/>
          <w:highlight w:val="none"/>
          <w:u w:val="single"/>
          <w:lang w:val="zh-CN"/>
        </w:rPr>
      </w:pPr>
      <w:r>
        <w:rPr>
          <w:rFonts w:hint="eastAsia" w:ascii="仿宋" w:hAnsi="仿宋" w:eastAsia="仿宋" w:cs="仿宋"/>
          <w:color w:val="auto"/>
          <w:sz w:val="32"/>
          <w:szCs w:val="32"/>
          <w:highlight w:val="none"/>
          <w:lang w:val="zh-CN"/>
        </w:rPr>
        <w:t>26.1.3 双方约定的发包人其他违约责任：</w:t>
      </w:r>
      <w:r>
        <w:rPr>
          <w:rFonts w:hint="eastAsia" w:ascii="仿宋" w:hAnsi="仿宋" w:eastAsia="仿宋" w:cs="仿宋"/>
          <w:color w:val="auto"/>
          <w:sz w:val="32"/>
          <w:szCs w:val="32"/>
          <w:highlight w:val="none"/>
          <w:u w:val="single"/>
          <w:lang w:val="zh-CN"/>
        </w:rPr>
        <w:t xml:space="preserve">  </w:t>
      </w:r>
      <w:r>
        <w:rPr>
          <w:rFonts w:hint="eastAsia" w:ascii="仿宋" w:hAnsi="仿宋" w:eastAsia="仿宋" w:cs="仿宋"/>
          <w:bCs/>
          <w:color w:val="auto"/>
          <w:sz w:val="32"/>
          <w:szCs w:val="32"/>
          <w:highlight w:val="none"/>
          <w:u w:val="single"/>
          <w:lang w:val="zh-CN"/>
        </w:rPr>
        <w:t xml:space="preserve">  </w:t>
      </w:r>
      <w:r>
        <w:rPr>
          <w:rFonts w:hint="eastAsia" w:ascii="仿宋" w:hAnsi="仿宋" w:eastAsia="仿宋" w:cs="仿宋"/>
          <w:bCs/>
          <w:color w:val="auto"/>
          <w:sz w:val="32"/>
          <w:szCs w:val="32"/>
          <w:highlight w:val="none"/>
          <w:u w:val="single"/>
        </w:rPr>
        <w:t>/</w:t>
      </w:r>
      <w:r>
        <w:rPr>
          <w:rFonts w:hint="eastAsia" w:ascii="仿宋" w:hAnsi="仿宋" w:eastAsia="仿宋" w:cs="仿宋"/>
          <w:bCs/>
          <w:color w:val="auto"/>
          <w:sz w:val="32"/>
          <w:szCs w:val="32"/>
          <w:highlight w:val="none"/>
          <w:u w:val="single"/>
          <w:lang w:val="zh-CN"/>
        </w:rPr>
        <w:t xml:space="preserve">     </w:t>
      </w:r>
    </w:p>
    <w:p w14:paraId="3BBD4EAC">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u w:val="single"/>
          <w:lang w:val="zh-CN"/>
        </w:rPr>
      </w:pPr>
      <w:r>
        <w:rPr>
          <w:rFonts w:hint="eastAsia" w:ascii="仿宋" w:hAnsi="仿宋" w:eastAsia="仿宋" w:cs="仿宋"/>
          <w:bCs/>
          <w:color w:val="auto"/>
          <w:sz w:val="32"/>
          <w:szCs w:val="32"/>
          <w:highlight w:val="none"/>
          <w:lang w:val="zh-CN"/>
        </w:rPr>
        <w:t>26.2双方约定的承包人其他违约责任：</w:t>
      </w:r>
      <w:r>
        <w:rPr>
          <w:rFonts w:hint="eastAsia" w:ascii="仿宋" w:hAnsi="仿宋" w:eastAsia="仿宋" w:cs="仿宋"/>
          <w:bCs/>
          <w:color w:val="auto"/>
          <w:sz w:val="32"/>
          <w:szCs w:val="32"/>
          <w:highlight w:val="none"/>
          <w:u w:val="single"/>
          <w:lang w:val="zh-CN"/>
        </w:rPr>
        <w:t xml:space="preserve">      </w:t>
      </w:r>
      <w:r>
        <w:rPr>
          <w:rFonts w:hint="eastAsia" w:ascii="仿宋" w:hAnsi="仿宋" w:eastAsia="仿宋" w:cs="仿宋"/>
          <w:bCs/>
          <w:color w:val="auto"/>
          <w:sz w:val="32"/>
          <w:szCs w:val="32"/>
          <w:highlight w:val="none"/>
          <w:u w:val="single"/>
        </w:rPr>
        <w:t>/</w:t>
      </w:r>
      <w:r>
        <w:rPr>
          <w:rFonts w:hint="eastAsia" w:ascii="仿宋" w:hAnsi="仿宋" w:eastAsia="仿宋" w:cs="仿宋"/>
          <w:bCs/>
          <w:color w:val="auto"/>
          <w:sz w:val="32"/>
          <w:szCs w:val="32"/>
          <w:highlight w:val="none"/>
          <w:u w:val="single"/>
          <w:lang w:val="zh-CN"/>
        </w:rPr>
        <w:t xml:space="preserve">      </w:t>
      </w:r>
    </w:p>
    <w:p w14:paraId="3CB6ABA8">
      <w:pPr>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26.2.</w:t>
      </w:r>
      <w:r>
        <w:rPr>
          <w:rFonts w:hint="eastAsia"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lang w:val="zh-CN"/>
        </w:rPr>
        <w:t xml:space="preserve"> 承包人如违反了以下情况之一者，发包人有权解除合同。</w:t>
      </w:r>
    </w:p>
    <w:p w14:paraId="1D5879A6">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（1）承包人无正当理由不按开工通知的要求及时进点组织施工和不按签订协议书时商订的进度计划有效地开展施工准备，造成工期延误。</w:t>
      </w:r>
    </w:p>
    <w:p w14:paraId="764F1D70">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（2）承包人私自将合同或合同的任何部分或任何权利转让给其他人，或私自将工程或工程的一部分分包出去。</w:t>
      </w:r>
    </w:p>
    <w:p w14:paraId="7927CA5F">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（3）未经监理人批准，承包人私自将已按投标书承诺进入工地的工程设备、施工设备、临时工程或材料撤离工地。</w:t>
      </w:r>
    </w:p>
    <w:p w14:paraId="35E512C4">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（4）由于承包人原因拒绝按合同进度计划及时完成合同规定的工程，而又未采取有效措施赶上进度，造成工期延误。</w:t>
      </w:r>
    </w:p>
    <w:p w14:paraId="17C4BD90">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（5）承包人否认合同有效或拒绝履行合同规定的承包人义务，或由于法律、财务等原因导致承包人无法继续履行或实质上已停止履行合同的义务。</w:t>
      </w:r>
    </w:p>
    <w:p w14:paraId="266956A3">
      <w:pPr>
        <w:tabs>
          <w:tab w:val="left" w:pos="246"/>
          <w:tab w:val="left" w:pos="1350"/>
        </w:tabs>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color w:val="auto"/>
          <w:sz w:val="32"/>
          <w:szCs w:val="32"/>
          <w:highlight w:val="none"/>
        </w:rPr>
        <w:t>26.2.2 承包人不及时执行发包人和监理公司发出的合理指令，对工程的正常管理工作造成影响时，承包人必须限期整改，同时，发包人有权对承包人处罚，罚金视所造成的损失和影响确定；如还不改正，发包人有权单方面解除合同，扣缴履约保证金。</w:t>
      </w:r>
    </w:p>
    <w:p w14:paraId="6F2FBAE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26.2.3承包人应按经发包人和监理公司认可的施工组织设计的进度计划进行施工；如果没有经发包人和监理公司认可的合理理由，承包人实际施工进度比计划延误超过20天，则发包人有权要求承包人采取更换项目管理人员和施工队、停工整改等措施，并有权暂停支付工程进度款；如工期延误达到45天，可视为承包人已无能力继续履行本合同，发包人有权单方面解除合同；合同解除后，发包人扣缴履约担保金。</w:t>
      </w:r>
    </w:p>
    <w:p w14:paraId="3E8A2EE7">
      <w:pPr>
        <w:tabs>
          <w:tab w:val="left" w:pos="246"/>
        </w:tabs>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26.2.</w:t>
      </w:r>
      <w:r>
        <w:rPr>
          <w:rFonts w:hint="eastAsia" w:ascii="仿宋" w:hAnsi="仿宋" w:eastAsia="仿宋" w:cs="仿宋"/>
          <w:bCs/>
          <w:color w:val="auto"/>
          <w:sz w:val="32"/>
          <w:szCs w:val="32"/>
          <w:highlight w:val="none"/>
        </w:rPr>
        <w:t>4</w:t>
      </w:r>
      <w:r>
        <w:rPr>
          <w:rFonts w:hint="eastAsia" w:ascii="仿宋" w:hAnsi="仿宋" w:eastAsia="仿宋" w:cs="仿宋"/>
          <w:bCs/>
          <w:color w:val="auto"/>
          <w:sz w:val="32"/>
          <w:szCs w:val="32"/>
          <w:highlight w:val="none"/>
          <w:lang w:val="zh-CN"/>
        </w:rPr>
        <w:t xml:space="preserve"> 承包人在保修期内拒绝按通用条款第15.4条的规定进行修复，或经监理人检验认为修复质量不合格而承包人拒绝再进行修补的，发包人将扣除承包人全部质量保修金。</w:t>
      </w:r>
    </w:p>
    <w:p w14:paraId="229D448D">
      <w:pPr>
        <w:tabs>
          <w:tab w:val="left" w:pos="246"/>
        </w:tabs>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26.3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2318714B">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1）承包人必须按照投标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4D72ADFA">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4D2654DC">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（3）未经监理工程师审查批准，施工期内自行调走主要施工机械，经发现不及时调回的，视为承包人违约，发包人有权处违约金为履约保证金金额的1-5％（视情节严重而定）。</w:t>
      </w:r>
    </w:p>
    <w:p w14:paraId="74BB8B9A">
      <w:pPr>
        <w:tabs>
          <w:tab w:val="left" w:pos="246"/>
          <w:tab w:val="left" w:pos="1350"/>
        </w:tabs>
        <w:autoSpaceDE w:val="0"/>
        <w:autoSpaceDN w:val="0"/>
        <w:spacing w:line="520" w:lineRule="exact"/>
        <w:ind w:firstLine="480" w:firstLineChars="15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4）第一次工地会后十日内，承包人提交经监理审核的总体进度计划及月底进度计划（含网络计划）。总体计划中应包括：（1）完工时间；（2）关键节点、时间；（3）机械、设备进场计划；（4）资金需求计划；（5）劳动力进场计划。</w:t>
      </w:r>
    </w:p>
    <w:p w14:paraId="40C645EB">
      <w:pPr>
        <w:tabs>
          <w:tab w:val="left" w:pos="246"/>
        </w:tabs>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26.4 非业主原因的月度计划欠产，按欠产部分提交5%罚金及并实施赶工计划后方可进行工程款的计量。</w:t>
      </w:r>
    </w:p>
    <w:p w14:paraId="5FD23E23">
      <w:pPr>
        <w:tabs>
          <w:tab w:val="left" w:pos="246"/>
        </w:tabs>
        <w:autoSpaceDE w:val="0"/>
        <w:autoSpaceDN w:val="0"/>
        <w:spacing w:line="520" w:lineRule="exact"/>
        <w:ind w:firstLine="640" w:firstLineChars="200"/>
        <w:textAlignment w:val="auto"/>
        <w:rPr>
          <w:rFonts w:hint="eastAsia" w:ascii="仿宋" w:hAnsi="仿宋" w:eastAsia="仿宋" w:cs="仿宋"/>
          <w:bCs/>
          <w:color w:val="auto"/>
          <w:sz w:val="32"/>
          <w:szCs w:val="32"/>
          <w:highlight w:val="none"/>
          <w:lang w:val="zh-CN"/>
        </w:rPr>
      </w:pPr>
      <w:r>
        <w:rPr>
          <w:rFonts w:hint="eastAsia" w:ascii="仿宋" w:hAnsi="仿宋" w:eastAsia="仿宋" w:cs="仿宋"/>
          <w:bCs/>
          <w:color w:val="auto"/>
          <w:sz w:val="32"/>
          <w:szCs w:val="32"/>
          <w:highlight w:val="none"/>
          <w:lang w:val="zh-CN"/>
        </w:rPr>
        <w:t>26.5 承包人有违反《南宁市建设工程造价管理办法》（南宁市人民政府令2007年第5号）规定的，按规定给予处罚。</w:t>
      </w:r>
    </w:p>
    <w:p w14:paraId="663A9AB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zh-CN"/>
        </w:rPr>
        <w:t>26.6</w:t>
      </w:r>
      <w:r>
        <w:rPr>
          <w:rFonts w:hint="eastAsia" w:ascii="仿宋" w:hAnsi="仿宋" w:eastAsia="仿宋" w:cs="仿宋"/>
          <w:color w:val="auto"/>
          <w:sz w:val="32"/>
          <w:szCs w:val="32"/>
          <w:highlight w:val="none"/>
        </w:rPr>
        <w:t>工程竣工验收后，承包人必须及时配合发包人做好后续工程和配套工程的交接工作，并在工程竣工验收后10日内清理完毕所有的现场人员、临时设施、材料机具和其他遗留物品，在工程竣工验收后15日内办理完毕工程移交手续，否则视为工期延误，其违约责任与工期延误相同。</w:t>
      </w:r>
    </w:p>
    <w:p w14:paraId="7E6A801F">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zh-CN"/>
        </w:rPr>
        <w:t>26.7</w:t>
      </w:r>
      <w:r>
        <w:rPr>
          <w:rFonts w:hint="eastAsia" w:ascii="仿宋" w:hAnsi="仿宋" w:eastAsia="仿宋" w:cs="仿宋"/>
          <w:color w:val="auto"/>
          <w:sz w:val="32"/>
          <w:szCs w:val="32"/>
          <w:highlight w:val="none"/>
        </w:rPr>
        <w:t>若由于承包人原因，承包人未能按合同约定的时间提交结算资料，发包人可单方面进行结算，结算结果视为承包人已确认。</w:t>
      </w:r>
    </w:p>
    <w:p w14:paraId="2FA0274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27、争议</w:t>
      </w:r>
    </w:p>
    <w:p w14:paraId="768D67D6">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27.1、双方约定，在履行合同过程中产生争议时：</w:t>
      </w:r>
    </w:p>
    <w:p w14:paraId="45A0D547">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（1）报城区住建局调解或裁定；</w:t>
      </w:r>
    </w:p>
    <w:p w14:paraId="1FA50FFC">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（2）向工程所在地仲裁委员会提请仲裁或向人民法院提起诉讼。</w:t>
      </w:r>
    </w:p>
    <w:p w14:paraId="597B00AB">
      <w:pPr>
        <w:spacing w:line="52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十、其他</w:t>
      </w:r>
    </w:p>
    <w:p w14:paraId="4012433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28、工程分包</w:t>
      </w:r>
    </w:p>
    <w:p w14:paraId="251EA52F">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28.1本工程不允许分包。</w:t>
      </w:r>
    </w:p>
    <w:p w14:paraId="5DD82D0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28.2承包人有以下情况之一者，发包人有权解除合同，并视情况扣除其履约保证金：</w:t>
      </w:r>
    </w:p>
    <w:p w14:paraId="5D1BE2F8">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28.2.1个人承包工程，包括本人单位及外单位人员承包，发包人不承认其个人拥有任何资质等级及营业许可资格。</w:t>
      </w:r>
    </w:p>
    <w:p w14:paraId="393A8BDB">
      <w:pPr>
        <w:autoSpaceDE w:val="0"/>
        <w:autoSpaceDN w:val="0"/>
        <w:spacing w:line="52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28.2.2 几个人联合承包工程，就地组织暗分包队伍，不具备完成本工程的技术、机械能力，被发包人判定为没有能力履行的承包人。</w:t>
      </w:r>
    </w:p>
    <w:p w14:paraId="3AC187DA">
      <w:pPr>
        <w:autoSpaceDE w:val="0"/>
        <w:autoSpaceDN w:val="0"/>
        <w:spacing w:line="52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28.2.3 就地转包全部的工程，以谋取高额转让费、管理费的承包人。</w:t>
      </w:r>
    </w:p>
    <w:p w14:paraId="6B9039E1">
      <w:pPr>
        <w:autoSpaceDE w:val="0"/>
        <w:autoSpaceDN w:val="0"/>
        <w:spacing w:line="52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28.2.4 承包人有部分分包现象（其中包括冒充承包人下属单位的挂勾单位，凭口头协议参与施工的分包人及其他暗分包个体户），一经发现核实，发包人将采取驱逐该暗分包人措施，并对承包人处予违约处罚金（视情节严重而定）。</w:t>
      </w:r>
    </w:p>
    <w:p w14:paraId="0A35507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29、不可抗力</w:t>
      </w:r>
    </w:p>
    <w:p w14:paraId="6392F62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29.1双方不可抗力的约定：十级（含）以上大风，六级（含）以上地震，洪灾，特大（含）暴雨，自然灾害的等级必须得到相关权威部门的书面认定方可视为有效。　　　　　　　　　　　</w:t>
      </w:r>
    </w:p>
    <w:p w14:paraId="3EADB98F">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30、保险</w:t>
      </w:r>
    </w:p>
    <w:p w14:paraId="19C6C54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30.1本工程双方约定投保内容如下：</w:t>
      </w:r>
    </w:p>
    <w:p w14:paraId="60D2257E">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（1）发包人投保内容：按国家和地方政府的相关规定和需要投保。</w:t>
      </w:r>
    </w:p>
    <w:p w14:paraId="0EE32A36">
      <w:pPr>
        <w:spacing w:line="520" w:lineRule="exact"/>
        <w:ind w:firstLine="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发包人委托承包人办理的保险事项：</w:t>
      </w:r>
      <w:r>
        <w:rPr>
          <w:rFonts w:hint="eastAsia" w:ascii="仿宋" w:hAnsi="仿宋" w:eastAsia="仿宋" w:cs="仿宋"/>
          <w:color w:val="auto"/>
          <w:sz w:val="32"/>
          <w:szCs w:val="32"/>
          <w:highlight w:val="none"/>
          <w:u w:val="single"/>
        </w:rPr>
        <w:t>无</w:t>
      </w:r>
      <w:r>
        <w:rPr>
          <w:rFonts w:hint="eastAsia" w:ascii="仿宋" w:hAnsi="仿宋" w:eastAsia="仿宋" w:cs="仿宋"/>
          <w:color w:val="auto"/>
          <w:sz w:val="32"/>
          <w:szCs w:val="32"/>
          <w:highlight w:val="none"/>
        </w:rPr>
        <w:t xml:space="preserve">。           </w:t>
      </w:r>
    </w:p>
    <w:p w14:paraId="3F248851">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（2）承包人投保内容：承包人应于签订合同之日起10日内按国家和地方政府的相关规定自行办理投保。</w:t>
      </w:r>
    </w:p>
    <w:p w14:paraId="5F34F32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31、担保</w:t>
      </w:r>
    </w:p>
    <w:p w14:paraId="647172A1">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31.1本工程双方约定担保事项如下：</w:t>
      </w:r>
    </w:p>
    <w:p w14:paraId="4FA014D3">
      <w:pPr>
        <w:spacing w:line="52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（1）发包人向承包人提供支付担保，担保方式为：</w:t>
      </w:r>
      <w:r>
        <w:rPr>
          <w:rFonts w:hint="eastAsia" w:ascii="仿宋" w:hAnsi="仿宋" w:eastAsia="仿宋" w:cs="仿宋"/>
          <w:color w:val="auto"/>
          <w:sz w:val="32"/>
          <w:szCs w:val="32"/>
          <w:highlight w:val="none"/>
          <w:u w:val="single"/>
        </w:rPr>
        <w:t>无。</w:t>
      </w:r>
    </w:p>
    <w:p w14:paraId="5D5EDCC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32、合同份数</w:t>
      </w:r>
    </w:p>
    <w:p w14:paraId="6B03620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32.1 双方约定合同副本份数：</w:t>
      </w:r>
      <w:r>
        <w:rPr>
          <w:rFonts w:hint="eastAsia" w:ascii="仿宋" w:hAnsi="仿宋" w:eastAsia="仿宋" w:cs="仿宋"/>
          <w:color w:val="auto"/>
          <w:sz w:val="32"/>
          <w:szCs w:val="32"/>
          <w:highlight w:val="none"/>
          <w:u w:val="single"/>
        </w:rPr>
        <w:t xml:space="preserve"> 正本贰份，副本肆份</w:t>
      </w:r>
    </w:p>
    <w:p w14:paraId="18C1C9E2">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33、补充条款</w:t>
      </w:r>
    </w:p>
    <w:p w14:paraId="6613A594">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33.1承包人有以下情形之一者，视为承包人违约，发包人有权终止合同，承包人还应按国家有关法律、法规和规章规定承担相应责任。</w:t>
      </w:r>
    </w:p>
    <w:p w14:paraId="7A2F402F">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33.1.1经有关建设主管部门鉴定确认，承包人有挂靠行为。</w:t>
      </w:r>
    </w:p>
    <w:p w14:paraId="33976C3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33.1.2个人承包工程，包括承包人本单位人员或外单位人员个人承包，发包人不承认其个人拥有任何资质等级及营业许可证资格。</w:t>
      </w:r>
    </w:p>
    <w:p w14:paraId="2A6B53F4">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33.1.3几个人联合承包工程，就地组织暗分包队伍，不具备完成本工程的技术、机械能办，经发包人核实没有能力履行全部合同条款。</w:t>
      </w:r>
    </w:p>
    <w:p w14:paraId="5F9B0A5A">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33.1.4转包全部工程，以牟取转让费、管理费。</w:t>
      </w:r>
    </w:p>
    <w:p w14:paraId="061E5B2D">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33.1.5承包人自签订合同之日起15日内，无法组织合同规定的人员、机械进场或进场人员、机械与合同严重不符。</w:t>
      </w:r>
    </w:p>
    <w:p w14:paraId="233FC22F">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33.2承包人所编制的工程竣工资料经发包人核定后，送到审计部门之日起，承包人所遗漏的与工程造价有关的签证不再作为结算审核依据，按自动放弃处理。</w:t>
      </w:r>
    </w:p>
    <w:p w14:paraId="7874E108">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33.3 承包人须严格执行有关安全操作管理规范，在施工过程中发生的工伤事故或其他内部纠纷，由承包人自行处理并承担全部经济责任。</w:t>
      </w:r>
    </w:p>
    <w:p w14:paraId="06E7CE7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33.4承包人不得以任何理由擅自停工或消极怠工，以及采取吵闹、威胁等不当手段，否则，发包人有权责令其退场，一切后果由乙方承担。</w:t>
      </w:r>
    </w:p>
    <w:p w14:paraId="62B4B2D6">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33.5承包人生活设施及施工场地，应自费配备消防设备，防止火灾发生。</w:t>
      </w:r>
    </w:p>
    <w:p w14:paraId="112F5E4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34、其它</w:t>
      </w:r>
    </w:p>
    <w:p w14:paraId="768AA6A1">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34.1 本工程资金属地方财政、业主贷款等，承包人在施工期间必须保证资金的专项使用，不得挪作他用，并自觉接受业主和银行的监督，否则将视为承包人违约。</w:t>
      </w:r>
    </w:p>
    <w:p w14:paraId="64BF2E2E">
      <w:pPr>
        <w:autoSpaceDE w:val="0"/>
        <w:autoSpaceDN w:val="0"/>
        <w:spacing w:line="520" w:lineRule="exact"/>
        <w:ind w:firstLine="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34.2凡进入本工程工作的妇女应持有计生证，否则不准安排工作，禁止使用童工。</w:t>
      </w:r>
    </w:p>
    <w:p w14:paraId="2ED169C9">
      <w:pPr>
        <w:autoSpaceDE w:val="0"/>
        <w:autoSpaceDN w:val="0"/>
        <w:spacing w:line="520" w:lineRule="exact"/>
        <w:ind w:firstLine="482" w:firstLineChars="15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val="zh-CN"/>
        </w:rPr>
        <w:t>十一、其它补充条款：</w:t>
      </w:r>
    </w:p>
    <w:p w14:paraId="0F3E6CB6">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p>
    <w:p w14:paraId="2717B756">
      <w:pPr>
        <w:spacing w:line="520" w:lineRule="exact"/>
        <w:rPr>
          <w:rFonts w:hint="eastAsia" w:ascii="仿宋" w:hAnsi="仿宋" w:eastAsia="仿宋" w:cs="仿宋"/>
          <w:color w:val="auto"/>
          <w:sz w:val="32"/>
          <w:szCs w:val="32"/>
          <w:highlight w:val="none"/>
        </w:rPr>
      </w:pPr>
    </w:p>
    <w:p w14:paraId="58733992">
      <w:pPr>
        <w:pageBreakBefore/>
        <w:widowControl/>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安 全 生 产 责 任 书</w:t>
      </w:r>
    </w:p>
    <w:p w14:paraId="790AC0F2">
      <w:pPr>
        <w:spacing w:line="52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u w:val="single"/>
        </w:rPr>
        <w:t>南宁市青秀区刘圩镇人民政府</w:t>
      </w:r>
    </w:p>
    <w:p w14:paraId="4FF76FC2">
      <w:pPr>
        <w:spacing w:line="520" w:lineRule="exact"/>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乙方：</w:t>
      </w:r>
      <w:r>
        <w:rPr>
          <w:rFonts w:hint="eastAsia" w:ascii="仿宋" w:hAnsi="仿宋" w:eastAsia="仿宋" w:cs="仿宋"/>
          <w:color w:val="auto"/>
          <w:sz w:val="32"/>
          <w:szCs w:val="32"/>
          <w:highlight w:val="none"/>
          <w:u w:val="single"/>
          <w:lang w:val="en-US" w:eastAsia="zh-CN"/>
        </w:rPr>
        <w:t xml:space="preserve">                          </w:t>
      </w:r>
    </w:p>
    <w:p w14:paraId="3479F99D">
      <w:pPr>
        <w:spacing w:line="520" w:lineRule="exact"/>
        <w:rPr>
          <w:rFonts w:hint="eastAsia" w:ascii="仿宋" w:hAnsi="仿宋" w:eastAsia="仿宋" w:cs="仿宋"/>
          <w:color w:val="auto"/>
          <w:sz w:val="32"/>
          <w:szCs w:val="32"/>
          <w:highlight w:val="none"/>
        </w:rPr>
      </w:pPr>
    </w:p>
    <w:p w14:paraId="59917E7D">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有效防范本工程安全生产事故的发生，规范涉及安全的行政管理行为，认真履行安全生产管理职责，保障国家及劳动者生命、财产安全，强化安全生产工作领导，落实安全生产责任，确保完成本项目全年安全生产目标，结合项目实际，特签订本工程安全生产责任书。</w:t>
      </w:r>
    </w:p>
    <w:p w14:paraId="235C07D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一、施工安全管理是党、国家和企业为保护劳动者在施工过程中人身的安全、健康和设备的安全运行以及预防事故和职业病发生所进行的一系列工作。</w:t>
      </w:r>
    </w:p>
    <w:p w14:paraId="0C921A61">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二、乙方在本工程安全管理的主要任务</w:t>
      </w:r>
    </w:p>
    <w:p w14:paraId="08594AF6">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乙方必须采取各种手段和措施保护劳动者在劳动过程中人身和施工设备的安全，形成良好的劳动条件与各种环境，主要任务如下：</w:t>
      </w:r>
    </w:p>
    <w:p w14:paraId="64D0AF9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1、贯彻落实国家有关劳动保护的政策、法规，把事故和职业病消灭在发生之前。</w:t>
      </w:r>
    </w:p>
    <w:p w14:paraId="04DD269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2、制定安全生产责任制和合理的劳动制度。</w:t>
      </w:r>
    </w:p>
    <w:p w14:paraId="0D4A09E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3、组织安全检查、抓好预防工作。</w:t>
      </w:r>
    </w:p>
    <w:p w14:paraId="1DDB5D62">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4、制定安全技术措施及相应的劳动保护措施，实现安全文明生产。</w:t>
      </w:r>
    </w:p>
    <w:p w14:paraId="2135E5EB">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5、组织开展安全宣传教育和安全培训，提高职工安全技术水平和安全生产意识。</w:t>
      </w:r>
    </w:p>
    <w:p w14:paraId="31C7A20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6、做好女职工的特殊劳动保护。</w:t>
      </w:r>
    </w:p>
    <w:p w14:paraId="48D6BE3A">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7、做好组织事故调查分析和事故统计报告。</w:t>
      </w:r>
    </w:p>
    <w:p w14:paraId="620F8069">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8、按照《中华人民共和国生产法》和《广西壮族自治区安全生产条例》建立健全安全生产领导机构和日常工作机构，配置安全生产管理人员，落实责任，人员和经费落实到位，工作正常运转。</w:t>
      </w:r>
    </w:p>
    <w:p w14:paraId="05F2D2A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深入开展安全生产宣传教育活动，广泛宣传有关安全生产法律法规、政策措施，不断增强安全意识。按照上级部署，组织开展“安全发展、预防为主”为主题的2023年度“安全生产年”活动，做到有组织领导、有工作机构和工作方案，落实必要的经费，确保各项活动有序进行。</w:t>
      </w:r>
    </w:p>
    <w:p w14:paraId="0F2DD7FA">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加强基础工作和强化源头管理。严格执行《中华人民共和国安全生产法》、《广西壮族自治区安全生产条例》，加大对安全生产的投入，严格执行建设项目安全设施与主体工程“三同时”规定，安全设施经费依法纳入项目预算，实行安全风险抵押金和安全文明措施费提取制度。</w:t>
      </w:r>
    </w:p>
    <w:p w14:paraId="7ADD1EC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三、本工程的安全年产目标：不发生死亡安全事故和直接经济损失在30万元以上各类重大责任事故，力争不发生重伤、人为机械事故。</w:t>
      </w:r>
    </w:p>
    <w:p w14:paraId="3A8CA85A">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四、明确安全管理原则</w:t>
      </w:r>
    </w:p>
    <w:p w14:paraId="2DD09379">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1、“安全第一、预防为主”的原则。</w:t>
      </w:r>
    </w:p>
    <w:p w14:paraId="30BFD31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2、“管生产必须管安全”的原则。</w:t>
      </w:r>
    </w:p>
    <w:p w14:paraId="544CC632">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3、“安全具有否决”的原则。</w:t>
      </w:r>
    </w:p>
    <w:p w14:paraId="36B4332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五、乙方需根据本工程的特点建立安全管理组织机构与制定安全职责，并报甲方备案。</w:t>
      </w:r>
    </w:p>
    <w:p w14:paraId="00717E6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六、乙方需根据本工程的实际情况，制定安全管理制度，并落实安全生产责任制，明确工程项目经理为本工程第一安全责任人。</w:t>
      </w:r>
    </w:p>
    <w:p w14:paraId="0DACDAC8">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七、为防范安全事故的发生，为提高职工安全技术水平和防范事故的能力，乙方必须对全体员工及劳动者进行思想政治教育、劳动者保护方针政策教育，安全技术知识教育、典型经验和事故教训教育。</w:t>
      </w:r>
    </w:p>
    <w:p w14:paraId="31EA696A">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乙方需根据本工程施工特点，对施工过程中的安全进行经常性、突击性的检查活动。检查内容要求包括施工工艺、施工流程、设施设备、规章制度、操作行为以及思想等方面。要求通过各种形式的安全生产检查，不断地发现和消除施工中的不安全因素，保证工程施工安全进行。</w:t>
      </w:r>
    </w:p>
    <w:p w14:paraId="61F9F01C">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九、伤亡事故的处理</w:t>
      </w:r>
    </w:p>
    <w:p w14:paraId="3A120327">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乙方必须严格采取各种措施，预防和杜绝安全事故的发生。但如发生伤亡事故，乙方必须根据GB6442-86《企业职工伤亡事故调查分析规则》进行处理。</w:t>
      </w:r>
    </w:p>
    <w:p w14:paraId="17ABC38A">
      <w:pPr>
        <w:numPr>
          <w:ilvl w:val="0"/>
          <w:numId w:val="1"/>
        </w:num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建立工作信息定期报告制度，每月第一周内向甲方安全生产领导小组办公室报送上个月的安全生产检查、隐患排查治理、专项整治、生产事故等安全生产方面的重要信息。如有安全事故发生，在事故发生后第一时间报甲方和有关主观部门，事故书面报告在事故发生后２４小时内上报，然后补报事故报告（表），要对所发生事故作到及时、准确、不隐瞒、不弄虚作假。如隐瞒、虚报后者故意延迟不报的，除责成补报外，要给责任者以纪律处分，情节严重的要追究法律责任。</w:t>
      </w:r>
    </w:p>
    <w:p w14:paraId="2B193F92">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为保证本工程的安全生产目标的实现，乙方需向甲方交壹万元风险保证金，在本工程竣工验收且经年度安全考核达标后，甲方向乙方退还风险保证金，如不达标则没收风险保证金，年度考核在乙方自行考核的基础上，由甲方组织监理对乙方进行综合评定，考核评定分为优秀、良好、合格、不合格4个档次，甲方安全生产领导小组办公室负责制定《考核细则》，以季度自查、半年检查、年度考核的方式进行。</w:t>
      </w:r>
    </w:p>
    <w:p w14:paraId="6EC3E6C8">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十二、合同份数：本合同一式</w:t>
      </w:r>
      <w:r>
        <w:rPr>
          <w:rFonts w:hint="eastAsia" w:ascii="仿宋" w:hAnsi="仿宋" w:eastAsia="仿宋" w:cs="仿宋"/>
          <w:color w:val="auto"/>
          <w:sz w:val="32"/>
          <w:szCs w:val="32"/>
          <w:highlight w:val="none"/>
          <w:u w:val="single"/>
        </w:rPr>
        <w:t xml:space="preserve"> 陆 </w:t>
      </w:r>
      <w:r>
        <w:rPr>
          <w:rFonts w:hint="eastAsia" w:ascii="仿宋" w:hAnsi="仿宋" w:eastAsia="仿宋" w:cs="仿宋"/>
          <w:color w:val="auto"/>
          <w:sz w:val="32"/>
          <w:szCs w:val="32"/>
          <w:highlight w:val="none"/>
        </w:rPr>
        <w:t>份，均具有同等法律效力，发包人执</w:t>
      </w:r>
      <w:r>
        <w:rPr>
          <w:rFonts w:hint="eastAsia" w:ascii="仿宋" w:hAnsi="仿宋" w:eastAsia="仿宋" w:cs="仿宋"/>
          <w:color w:val="auto"/>
          <w:sz w:val="32"/>
          <w:szCs w:val="32"/>
          <w:highlight w:val="none"/>
          <w:u w:val="single"/>
        </w:rPr>
        <w:t xml:space="preserve"> 肆 </w:t>
      </w:r>
      <w:r>
        <w:rPr>
          <w:rFonts w:hint="eastAsia" w:ascii="仿宋" w:hAnsi="仿宋" w:eastAsia="仿宋" w:cs="仿宋"/>
          <w:color w:val="auto"/>
          <w:sz w:val="32"/>
          <w:szCs w:val="32"/>
          <w:highlight w:val="none"/>
        </w:rPr>
        <w:t>份，承包人执</w:t>
      </w:r>
      <w:r>
        <w:rPr>
          <w:rFonts w:hint="eastAsia" w:ascii="仿宋" w:hAnsi="仿宋" w:eastAsia="仿宋" w:cs="仿宋"/>
          <w:color w:val="auto"/>
          <w:sz w:val="32"/>
          <w:szCs w:val="32"/>
          <w:highlight w:val="none"/>
          <w:u w:val="single"/>
        </w:rPr>
        <w:t xml:space="preserve"> 贰 </w:t>
      </w:r>
      <w:r>
        <w:rPr>
          <w:rFonts w:hint="eastAsia" w:ascii="仿宋" w:hAnsi="仿宋" w:eastAsia="仿宋" w:cs="仿宋"/>
          <w:color w:val="auto"/>
          <w:sz w:val="32"/>
          <w:szCs w:val="32"/>
          <w:highlight w:val="none"/>
        </w:rPr>
        <w:t>份。</w:t>
      </w:r>
    </w:p>
    <w:p w14:paraId="5C69B5FE">
      <w:pPr>
        <w:spacing w:line="520" w:lineRule="exact"/>
        <w:ind w:firstLine="640" w:firstLineChars="200"/>
        <w:rPr>
          <w:rFonts w:hint="eastAsia" w:ascii="仿宋" w:hAnsi="仿宋" w:eastAsia="仿宋" w:cs="仿宋"/>
          <w:color w:val="auto"/>
          <w:sz w:val="32"/>
          <w:szCs w:val="32"/>
          <w:highlight w:val="none"/>
        </w:rPr>
      </w:pPr>
    </w:p>
    <w:p w14:paraId="57F93566">
      <w:pPr>
        <w:spacing w:line="520" w:lineRule="exact"/>
        <w:rPr>
          <w:rFonts w:hint="eastAsia" w:ascii="仿宋" w:hAnsi="仿宋" w:eastAsia="仿宋" w:cs="仿宋"/>
          <w:color w:val="auto"/>
          <w:sz w:val="32"/>
          <w:szCs w:val="32"/>
          <w:highlight w:val="none"/>
        </w:rPr>
      </w:pPr>
    </w:p>
    <w:p w14:paraId="71D54095">
      <w:pPr>
        <w:spacing w:line="520" w:lineRule="exact"/>
        <w:rPr>
          <w:rFonts w:hint="eastAsia" w:ascii="仿宋" w:hAnsi="仿宋" w:eastAsia="仿宋" w:cs="仿宋"/>
          <w:color w:val="auto"/>
          <w:sz w:val="32"/>
          <w:szCs w:val="32"/>
          <w:highlight w:val="none"/>
        </w:rPr>
      </w:pPr>
    </w:p>
    <w:p w14:paraId="1BE233C9">
      <w:pPr>
        <w:spacing w:line="520" w:lineRule="exact"/>
        <w:rPr>
          <w:rFonts w:hint="eastAsia" w:ascii="仿宋" w:hAnsi="仿宋" w:eastAsia="仿宋" w:cs="仿宋"/>
          <w:color w:val="auto"/>
          <w:sz w:val="32"/>
          <w:szCs w:val="32"/>
          <w:highlight w:val="none"/>
        </w:rPr>
      </w:pPr>
    </w:p>
    <w:p w14:paraId="511C0106">
      <w:pPr>
        <w:spacing w:line="520" w:lineRule="exact"/>
        <w:rPr>
          <w:rFonts w:hint="eastAsia" w:ascii="仿宋" w:hAnsi="仿宋" w:eastAsia="仿宋" w:cs="仿宋"/>
          <w:color w:val="auto"/>
          <w:sz w:val="32"/>
          <w:szCs w:val="32"/>
          <w:highlight w:val="none"/>
        </w:rPr>
      </w:pPr>
    </w:p>
    <w:p w14:paraId="5300A8BC">
      <w:pPr>
        <w:spacing w:line="520" w:lineRule="exact"/>
        <w:rPr>
          <w:rFonts w:hint="eastAsia" w:ascii="仿宋" w:hAnsi="仿宋" w:eastAsia="仿宋" w:cs="仿宋"/>
          <w:color w:val="auto"/>
          <w:sz w:val="32"/>
          <w:szCs w:val="32"/>
          <w:highlight w:val="none"/>
        </w:rPr>
      </w:pPr>
    </w:p>
    <w:tbl>
      <w:tblPr>
        <w:tblStyle w:val="15"/>
        <w:tblW w:w="8960" w:type="dxa"/>
        <w:tblInd w:w="0" w:type="dxa"/>
        <w:tblLayout w:type="autofit"/>
        <w:tblCellMar>
          <w:top w:w="0" w:type="dxa"/>
          <w:left w:w="108" w:type="dxa"/>
          <w:bottom w:w="0" w:type="dxa"/>
          <w:right w:w="108" w:type="dxa"/>
        </w:tblCellMar>
      </w:tblPr>
      <w:tblGrid>
        <w:gridCol w:w="4480"/>
        <w:gridCol w:w="4480"/>
      </w:tblGrid>
      <w:tr w14:paraId="1FAB661E">
        <w:tblPrEx>
          <w:tblCellMar>
            <w:top w:w="0" w:type="dxa"/>
            <w:left w:w="108" w:type="dxa"/>
            <w:bottom w:w="0" w:type="dxa"/>
            <w:right w:w="108" w:type="dxa"/>
          </w:tblCellMar>
        </w:tblPrEx>
        <w:trPr>
          <w:trHeight w:val="907" w:hRule="atLeast"/>
        </w:trPr>
        <w:tc>
          <w:tcPr>
            <w:tcW w:w="4480" w:type="dxa"/>
            <w:noWrap w:val="0"/>
            <w:vAlign w:val="top"/>
          </w:tcPr>
          <w:p w14:paraId="6C415E54">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发包人：南宁市青秀区刘圩镇人民政府</w:t>
            </w:r>
          </w:p>
        </w:tc>
        <w:tc>
          <w:tcPr>
            <w:tcW w:w="4480" w:type="dxa"/>
            <w:noWrap w:val="0"/>
            <w:vAlign w:val="top"/>
          </w:tcPr>
          <w:p w14:paraId="6A801A76">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w:t>
            </w:r>
          </w:p>
        </w:tc>
      </w:tr>
      <w:tr w14:paraId="2EE030DE">
        <w:tblPrEx>
          <w:tblCellMar>
            <w:top w:w="0" w:type="dxa"/>
            <w:left w:w="108" w:type="dxa"/>
            <w:bottom w:w="0" w:type="dxa"/>
            <w:right w:w="108" w:type="dxa"/>
          </w:tblCellMar>
        </w:tblPrEx>
        <w:trPr>
          <w:trHeight w:val="907" w:hRule="atLeast"/>
        </w:trPr>
        <w:tc>
          <w:tcPr>
            <w:tcW w:w="4480" w:type="dxa"/>
            <w:noWrap w:val="0"/>
            <w:vAlign w:val="top"/>
          </w:tcPr>
          <w:p w14:paraId="6FBA9E1A">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所：南宁市青秀区刘圩镇新兴街24号</w:t>
            </w:r>
          </w:p>
        </w:tc>
        <w:tc>
          <w:tcPr>
            <w:tcW w:w="4480" w:type="dxa"/>
            <w:noWrap w:val="0"/>
            <w:vAlign w:val="top"/>
          </w:tcPr>
          <w:p w14:paraId="099273CA">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w:t>
            </w:r>
          </w:p>
        </w:tc>
      </w:tr>
      <w:tr w14:paraId="1D4BEA19">
        <w:tblPrEx>
          <w:tblCellMar>
            <w:top w:w="0" w:type="dxa"/>
            <w:left w:w="108" w:type="dxa"/>
            <w:bottom w:w="0" w:type="dxa"/>
            <w:right w:w="108" w:type="dxa"/>
          </w:tblCellMar>
        </w:tblPrEx>
        <w:trPr>
          <w:trHeight w:val="907" w:hRule="atLeast"/>
        </w:trPr>
        <w:tc>
          <w:tcPr>
            <w:tcW w:w="4480" w:type="dxa"/>
            <w:noWrap w:val="0"/>
            <w:vAlign w:val="top"/>
          </w:tcPr>
          <w:p w14:paraId="2983EB14">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c>
          <w:tcPr>
            <w:tcW w:w="4480" w:type="dxa"/>
            <w:noWrap w:val="0"/>
            <w:vAlign w:val="top"/>
          </w:tcPr>
          <w:p w14:paraId="4533084D">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r>
      <w:tr w14:paraId="53A551C1">
        <w:tblPrEx>
          <w:tblCellMar>
            <w:top w:w="0" w:type="dxa"/>
            <w:left w:w="108" w:type="dxa"/>
            <w:bottom w:w="0" w:type="dxa"/>
            <w:right w:w="108" w:type="dxa"/>
          </w:tblCellMar>
        </w:tblPrEx>
        <w:trPr>
          <w:trHeight w:val="907" w:hRule="atLeast"/>
        </w:trPr>
        <w:tc>
          <w:tcPr>
            <w:tcW w:w="4480" w:type="dxa"/>
            <w:noWrap w:val="0"/>
            <w:vAlign w:val="top"/>
          </w:tcPr>
          <w:p w14:paraId="6A0DDA15">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c>
          <w:tcPr>
            <w:tcW w:w="4480" w:type="dxa"/>
            <w:noWrap w:val="0"/>
            <w:vAlign w:val="top"/>
          </w:tcPr>
          <w:p w14:paraId="54D410C3">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r>
      <w:tr w14:paraId="5DC34598">
        <w:tblPrEx>
          <w:tblCellMar>
            <w:top w:w="0" w:type="dxa"/>
            <w:left w:w="108" w:type="dxa"/>
            <w:bottom w:w="0" w:type="dxa"/>
            <w:right w:w="108" w:type="dxa"/>
          </w:tblCellMar>
        </w:tblPrEx>
        <w:trPr>
          <w:trHeight w:val="907" w:hRule="atLeast"/>
        </w:trPr>
        <w:tc>
          <w:tcPr>
            <w:tcW w:w="4480" w:type="dxa"/>
            <w:noWrap w:val="0"/>
            <w:vAlign w:val="top"/>
          </w:tcPr>
          <w:p w14:paraId="5A7DB10F">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tc>
        <w:tc>
          <w:tcPr>
            <w:tcW w:w="4480" w:type="dxa"/>
            <w:noWrap w:val="0"/>
            <w:vAlign w:val="top"/>
          </w:tcPr>
          <w:p w14:paraId="5BE3D54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tc>
      </w:tr>
    </w:tbl>
    <w:p w14:paraId="1606E235">
      <w:pPr>
        <w:spacing w:line="520" w:lineRule="exact"/>
        <w:rPr>
          <w:rFonts w:hint="eastAsia" w:ascii="仿宋" w:hAnsi="仿宋" w:eastAsia="仿宋" w:cs="仿宋"/>
          <w:color w:val="auto"/>
          <w:sz w:val="32"/>
          <w:szCs w:val="32"/>
          <w:highlight w:val="none"/>
        </w:rPr>
      </w:pPr>
    </w:p>
    <w:p w14:paraId="0D66D5AC">
      <w:pPr>
        <w:spacing w:line="520" w:lineRule="exact"/>
        <w:ind w:firstLine="636" w:firstLineChars="198"/>
        <w:jc w:val="center"/>
        <w:rPr>
          <w:rFonts w:hint="eastAsia" w:ascii="仿宋" w:hAnsi="仿宋" w:eastAsia="仿宋" w:cs="仿宋"/>
          <w:b/>
          <w:bCs/>
          <w:color w:val="auto"/>
          <w:sz w:val="32"/>
          <w:szCs w:val="32"/>
          <w:highlight w:val="none"/>
        </w:rPr>
      </w:pPr>
    </w:p>
    <w:p w14:paraId="50A2AC4B">
      <w:pPr>
        <w:spacing w:line="520" w:lineRule="exact"/>
        <w:ind w:firstLine="636" w:firstLineChars="198"/>
        <w:jc w:val="center"/>
        <w:rPr>
          <w:rFonts w:hint="eastAsia" w:ascii="仿宋" w:hAnsi="仿宋" w:eastAsia="仿宋" w:cs="仿宋"/>
          <w:b/>
          <w:bCs/>
          <w:color w:val="auto"/>
          <w:sz w:val="32"/>
          <w:szCs w:val="32"/>
          <w:highlight w:val="none"/>
        </w:rPr>
      </w:pPr>
    </w:p>
    <w:p w14:paraId="5D02868E">
      <w:pPr>
        <w:spacing w:line="520" w:lineRule="exact"/>
        <w:jc w:val="center"/>
        <w:rPr>
          <w:rFonts w:hint="eastAsia" w:ascii="仿宋" w:hAnsi="仿宋" w:eastAsia="仿宋" w:cs="仿宋"/>
          <w:bCs/>
          <w:color w:val="auto"/>
          <w:sz w:val="44"/>
          <w:szCs w:val="44"/>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44"/>
          <w:szCs w:val="44"/>
          <w:highlight w:val="none"/>
        </w:rPr>
        <w:t>廉 政 责 任 书</w:t>
      </w:r>
    </w:p>
    <w:p w14:paraId="1E4C3A1A">
      <w:pPr>
        <w:pStyle w:val="8"/>
        <w:spacing w:line="520" w:lineRule="exact"/>
        <w:ind w:left="2483" w:leftChars="131" w:hanging="2208" w:hangingChars="690"/>
        <w:rPr>
          <w:rFonts w:hint="eastAsia" w:ascii="仿宋" w:hAnsi="仿宋" w:eastAsia="仿宋" w:cs="仿宋"/>
          <w:bCs/>
          <w:color w:val="auto"/>
          <w:sz w:val="32"/>
          <w:szCs w:val="32"/>
          <w:highlight w:val="none"/>
        </w:rPr>
      </w:pPr>
    </w:p>
    <w:p w14:paraId="56C470D7">
      <w:pPr>
        <w:spacing w:line="520" w:lineRule="exact"/>
        <w:ind w:firstLine="640" w:firstLineChars="200"/>
        <w:rPr>
          <w:rFonts w:hint="default" w:ascii="仿宋" w:hAnsi="仿宋" w:eastAsia="仿宋" w:cs="仿宋"/>
          <w:color w:val="auto"/>
          <w:sz w:val="32"/>
          <w:szCs w:val="32"/>
          <w:highlight w:val="none"/>
          <w:u w:val="single"/>
          <w:lang w:val="en-US" w:eastAsia="zh-CN"/>
        </w:rPr>
      </w:pPr>
      <w:r>
        <w:rPr>
          <w:rFonts w:hint="eastAsia" w:ascii="仿宋" w:hAnsi="仿宋" w:eastAsia="仿宋" w:cs="仿宋"/>
          <w:bCs/>
          <w:color w:val="auto"/>
          <w:sz w:val="32"/>
          <w:szCs w:val="32"/>
          <w:highlight w:val="none"/>
        </w:rPr>
        <w:t>工程名称：</w:t>
      </w:r>
      <w:r>
        <w:rPr>
          <w:rFonts w:hint="eastAsia" w:ascii="仿宋" w:hAnsi="仿宋" w:eastAsia="仿宋" w:cs="仿宋"/>
          <w:color w:val="auto"/>
          <w:sz w:val="32"/>
          <w:szCs w:val="32"/>
          <w:highlight w:val="none"/>
          <w:u w:val="single"/>
          <w:lang w:val="en-US" w:eastAsia="zh-CN"/>
        </w:rPr>
        <w:t xml:space="preserve">                                    </w:t>
      </w:r>
    </w:p>
    <w:p w14:paraId="64A43842">
      <w:pPr>
        <w:spacing w:line="52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为加强工程建设中的廉政建设,规范工程建设勘察设计、建设监理委托与被委托双方和工程建设项目承发包双方的·各项活动,防止发生各种谋取不正当利益的违法违记行为,保护国家、集体和当事人的合法权益,根据国家有关工程建设的法律法规和党风廉政建设责任制规定以及南宁市建设局、监察局关于《南宁市建设工程“双合同制度” 》、《南宁市有形建筑市政廉政准入制度》,特订立本廉政责任书。</w:t>
      </w:r>
    </w:p>
    <w:p w14:paraId="5A8CD6EC">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第一条 甲乙双方的责任</w:t>
      </w:r>
    </w:p>
    <w:p w14:paraId="31B4055C">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 应严格遵守国家及地方有关市场准入、项目招标投标、工程建设、勘察设计、施工安装、工程监理和市场活动等有关法律、法规,相关政策, 以及廉政建设的各项规定。</w:t>
      </w:r>
    </w:p>
    <w:p w14:paraId="2400615B">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 严格执行建设工程项目承发包工程施工、工程勘察设计、工程监理合同文件,自觉按合同办事。</w:t>
      </w:r>
    </w:p>
    <w:p w14:paraId="13A86804">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 业务活动必坚持公开、公平、公正、诚信、透明的原则,不得为获取不正当的利益,损害国家、集体和对方利益,不得违反工程建设管理、施工安装、勘察设计、建设监理的的规章制度。</w:t>
      </w:r>
    </w:p>
    <w:p w14:paraId="3FB4E9AA">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 发现对方在业务活动中有违规、违纪、违法行为的,应及时提醒对方,情节严重的,应向其上级主管部门或纪检监察、司法等有关机关举报。</w:t>
      </w:r>
    </w:p>
    <w:p w14:paraId="784B6A97">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第二条 甲方责任</w:t>
      </w:r>
    </w:p>
    <w:p w14:paraId="32B47BD5">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甲方的领导和从事该建设工程项目的工作人员(含家属、子女),在工程建设的事前、事中、事后应遵守以下规定:</w:t>
      </w:r>
    </w:p>
    <w:p w14:paraId="0A5D0A3D">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 不准以任何方式向乙方和相关单位索要或接受回扣、礼金、有价证券、贵重物品和好处费、感谢费、赞助费等;不准向乙方索要(或接受)通信工具、交通工具、家电及高档办公用品;</w:t>
      </w:r>
    </w:p>
    <w:p w14:paraId="080AE35E">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 不准在乙方和相关单位报销任何应由甲方或个人支付的费用;</w:t>
      </w:r>
    </w:p>
    <w:p w14:paraId="33620519">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 不准要求、暗示或接受乙方和相关单位为个人装修住房、婚丧嫁娶、配偶子女的工作安排以及出国(境)、旅游等提价方便;甲方工作人员不得以考察参观等名义参加乙方安排的国内外旅游活动;</w:t>
      </w:r>
    </w:p>
    <w:p w14:paraId="185086BC">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 不准参加有可能影响公正执行公务的乙方和相关单位的宴请和高消费健身、娱乐等活动;</w:t>
      </w:r>
    </w:p>
    <w:p w14:paraId="4D00CFEB">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 不准向乙方和相关单位介绍或为配偶、子女、亲属参与同甲方工程项目施工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各等。</w:t>
      </w:r>
    </w:p>
    <w:p w14:paraId="2331998C">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第三条 乙方责任:</w:t>
      </w:r>
    </w:p>
    <w:p w14:paraId="74CC3A50">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应与甲方保持正常的业务交往,按照有关法律法规和程序开展业务工作,严格执行工程建设的有关方针、政策和合同条款,尤其是有关建筑施工安装的强制性标准和规范,并遵守以下规定:</w:t>
      </w:r>
    </w:p>
    <w:p w14:paraId="790CE7E8">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(一) 不准以任何理由向甲方、相关单位及其工作人员(含家属、子女)赠送礼金、有价证券、贵重物品及回扣、好处费、感谢费、赞助费等; </w:t>
      </w:r>
    </w:p>
    <w:p w14:paraId="051A05CA">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 不准以任何理由为甲方和相关单位报销应由对方或个人支付的费用;</w:t>
      </w:r>
    </w:p>
    <w:p w14:paraId="76DC325C">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 不准接受或暗示为甲方、相关单位或个人装修住房、婚丧嫁娶、配偶子女的工作安排以及出国(境)、旅游等提供方便;</w:t>
      </w:r>
    </w:p>
    <w:p w14:paraId="07D61590">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 不准以任何理由为甲方、相关单位或个人组织安排有可能影响公正执行公务的宴请、高消费健身、娱乐等活动;</w:t>
      </w:r>
    </w:p>
    <w:p w14:paraId="17D4E69F">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 不准为甲方单位和个人购置或者提供通信工具、交通工具、家电及高档办公用品等物品;</w:t>
      </w:r>
    </w:p>
    <w:p w14:paraId="6697AE08">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 乙方工作人员不得为谋取私利擅自与甲方工作人员就工程承包、工程费用、材料设备供应、工程量变动、工程验收、工程量问题处理等到私下商谈或者达成默契;</w:t>
      </w:r>
    </w:p>
    <w:p w14:paraId="199FAC60">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(七) 不准在建设工程招投标活动中围标、串标等违法行为;不准将承接的建设工程转包、挂靠或者违法分包;不准违反工程建设质量、安全强制性标准。</w:t>
      </w:r>
    </w:p>
    <w:p w14:paraId="5B980C05">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第四条 违约责任:</w:t>
      </w:r>
    </w:p>
    <w:p w14:paraId="797863E9">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 甲方工作人员有违反本责任第一、二条责任行为的,按照管理权限,依据法律法规和规定给予党纪、政记处分或组织处理;情节严重的直至解除合同;涉嫌犯罪的,移交司法机关追究刑事责任;给乙方单位造成经济损失的,应予以赔偿。</w:t>
      </w:r>
    </w:p>
    <w:p w14:paraId="270E340F">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 乙方工作人员有违反本责任书第一、三条责任行为的,按照管理权限,依据有关法律法规和规定给予党纪、政记处分或组织处理;涉嫌犯罪的,移交司法机关追究刑事责任;给甲方单位造成经济损失的,应予以赔偿。</w:t>
      </w:r>
    </w:p>
    <w:p w14:paraId="2E28D359">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 乙方单位有违反本责任书第三条责任行为的,即作为违规行为记入南宁建设工程交易中心数据为并向社会公布,不准参加重点建设工程招投标活动。</w:t>
      </w:r>
    </w:p>
    <w:p w14:paraId="0A8B2BB2">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第五条 本责任书作为工程施工、勘察设计、工程监理合同的附件,与工程施工、勘察设计、工程监理合同具有同等法律效力。经双方签署后立即生效。</w:t>
      </w:r>
    </w:p>
    <w:p w14:paraId="550E6B80">
      <w:pPr>
        <w:spacing w:line="52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第六条 本责任书的有效期为双方签署之日起至该工程项目竣工验收合格之日止。`</w:t>
      </w:r>
    </w:p>
    <w:p w14:paraId="29A6C226">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第七条</w:t>
      </w:r>
      <w:r>
        <w:rPr>
          <w:rFonts w:hint="eastAsia" w:ascii="仿宋" w:hAnsi="仿宋" w:eastAsia="仿宋" w:cs="仿宋"/>
          <w:color w:val="auto"/>
          <w:sz w:val="32"/>
          <w:szCs w:val="32"/>
          <w:highlight w:val="none"/>
        </w:rPr>
        <w:t xml:space="preserve">： </w:t>
      </w:r>
      <w:r>
        <w:rPr>
          <w:rFonts w:hint="eastAsia" w:ascii="仿宋" w:hAnsi="仿宋" w:eastAsia="仿宋" w:cs="仿宋"/>
          <w:bCs/>
          <w:color w:val="auto"/>
          <w:sz w:val="32"/>
          <w:szCs w:val="32"/>
          <w:highlight w:val="none"/>
        </w:rPr>
        <w:t>本责任书一式陆份,甲乙双方各执贰份,监察和建设行政主管部门各一份。</w:t>
      </w:r>
    </w:p>
    <w:p w14:paraId="6F8FA102">
      <w:pPr>
        <w:spacing w:line="520" w:lineRule="exact"/>
        <w:ind w:firstLine="720" w:firstLineChars="225"/>
        <w:rPr>
          <w:rFonts w:hint="eastAsia" w:ascii="仿宋" w:hAnsi="仿宋" w:eastAsia="仿宋" w:cs="仿宋"/>
          <w:bCs/>
          <w:color w:val="auto"/>
          <w:sz w:val="32"/>
          <w:szCs w:val="32"/>
          <w:highlight w:val="none"/>
        </w:rPr>
      </w:pPr>
    </w:p>
    <w:p w14:paraId="2DC32B2D">
      <w:pPr>
        <w:spacing w:line="520" w:lineRule="exact"/>
        <w:ind w:firstLine="720" w:firstLineChars="225"/>
        <w:rPr>
          <w:rFonts w:hint="eastAsia" w:ascii="仿宋" w:hAnsi="仿宋" w:eastAsia="仿宋" w:cs="仿宋"/>
          <w:bCs/>
          <w:color w:val="auto"/>
          <w:sz w:val="32"/>
          <w:szCs w:val="32"/>
          <w:highlight w:val="none"/>
        </w:rPr>
      </w:pPr>
    </w:p>
    <w:tbl>
      <w:tblPr>
        <w:tblStyle w:val="15"/>
        <w:tblW w:w="8960" w:type="dxa"/>
        <w:tblInd w:w="0" w:type="dxa"/>
        <w:tblLayout w:type="autofit"/>
        <w:tblCellMar>
          <w:top w:w="0" w:type="dxa"/>
          <w:left w:w="108" w:type="dxa"/>
          <w:bottom w:w="0" w:type="dxa"/>
          <w:right w:w="108" w:type="dxa"/>
        </w:tblCellMar>
      </w:tblPr>
      <w:tblGrid>
        <w:gridCol w:w="4480"/>
        <w:gridCol w:w="4480"/>
      </w:tblGrid>
      <w:tr w14:paraId="380EF5CF">
        <w:tblPrEx>
          <w:tblCellMar>
            <w:top w:w="0" w:type="dxa"/>
            <w:left w:w="108" w:type="dxa"/>
            <w:bottom w:w="0" w:type="dxa"/>
            <w:right w:w="108" w:type="dxa"/>
          </w:tblCellMar>
        </w:tblPrEx>
        <w:trPr>
          <w:trHeight w:val="907" w:hRule="atLeast"/>
        </w:trPr>
        <w:tc>
          <w:tcPr>
            <w:tcW w:w="4480" w:type="dxa"/>
            <w:noWrap w:val="0"/>
            <w:vAlign w:val="top"/>
          </w:tcPr>
          <w:p w14:paraId="46BEE9F9">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发包人：南宁市青秀区刘圩镇人民政府</w:t>
            </w:r>
          </w:p>
        </w:tc>
        <w:tc>
          <w:tcPr>
            <w:tcW w:w="4480" w:type="dxa"/>
            <w:noWrap w:val="0"/>
            <w:vAlign w:val="top"/>
          </w:tcPr>
          <w:p w14:paraId="1E6E27ED">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w:t>
            </w:r>
          </w:p>
        </w:tc>
      </w:tr>
      <w:tr w14:paraId="480A9B7C">
        <w:tblPrEx>
          <w:tblCellMar>
            <w:top w:w="0" w:type="dxa"/>
            <w:left w:w="108" w:type="dxa"/>
            <w:bottom w:w="0" w:type="dxa"/>
            <w:right w:w="108" w:type="dxa"/>
          </w:tblCellMar>
        </w:tblPrEx>
        <w:trPr>
          <w:trHeight w:val="907" w:hRule="atLeast"/>
        </w:trPr>
        <w:tc>
          <w:tcPr>
            <w:tcW w:w="4480" w:type="dxa"/>
            <w:noWrap w:val="0"/>
            <w:vAlign w:val="top"/>
          </w:tcPr>
          <w:p w14:paraId="7B94CBF1">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所：南宁市青秀区刘圩镇新兴街24号</w:t>
            </w:r>
          </w:p>
        </w:tc>
        <w:tc>
          <w:tcPr>
            <w:tcW w:w="4480" w:type="dxa"/>
            <w:noWrap w:val="0"/>
            <w:vAlign w:val="top"/>
          </w:tcPr>
          <w:p w14:paraId="2FE67DF0">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w:t>
            </w:r>
          </w:p>
        </w:tc>
      </w:tr>
      <w:tr w14:paraId="39F68103">
        <w:tblPrEx>
          <w:tblCellMar>
            <w:top w:w="0" w:type="dxa"/>
            <w:left w:w="108" w:type="dxa"/>
            <w:bottom w:w="0" w:type="dxa"/>
            <w:right w:w="108" w:type="dxa"/>
          </w:tblCellMar>
        </w:tblPrEx>
        <w:trPr>
          <w:trHeight w:val="907" w:hRule="atLeast"/>
        </w:trPr>
        <w:tc>
          <w:tcPr>
            <w:tcW w:w="4480" w:type="dxa"/>
            <w:noWrap w:val="0"/>
            <w:vAlign w:val="top"/>
          </w:tcPr>
          <w:p w14:paraId="1DE4B1F8">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c>
          <w:tcPr>
            <w:tcW w:w="4480" w:type="dxa"/>
            <w:noWrap w:val="0"/>
            <w:vAlign w:val="top"/>
          </w:tcPr>
          <w:p w14:paraId="287B42C6">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r>
      <w:tr w14:paraId="744049DF">
        <w:tblPrEx>
          <w:tblCellMar>
            <w:top w:w="0" w:type="dxa"/>
            <w:left w:w="108" w:type="dxa"/>
            <w:bottom w:w="0" w:type="dxa"/>
            <w:right w:w="108" w:type="dxa"/>
          </w:tblCellMar>
        </w:tblPrEx>
        <w:trPr>
          <w:trHeight w:val="907" w:hRule="atLeast"/>
        </w:trPr>
        <w:tc>
          <w:tcPr>
            <w:tcW w:w="4480" w:type="dxa"/>
            <w:noWrap w:val="0"/>
            <w:vAlign w:val="top"/>
          </w:tcPr>
          <w:p w14:paraId="239DFE8A">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c>
          <w:tcPr>
            <w:tcW w:w="4480" w:type="dxa"/>
            <w:noWrap w:val="0"/>
            <w:vAlign w:val="top"/>
          </w:tcPr>
          <w:p w14:paraId="147E9F49">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r>
      <w:tr w14:paraId="602AED47">
        <w:tblPrEx>
          <w:tblCellMar>
            <w:top w:w="0" w:type="dxa"/>
            <w:left w:w="108" w:type="dxa"/>
            <w:bottom w:w="0" w:type="dxa"/>
            <w:right w:w="108" w:type="dxa"/>
          </w:tblCellMar>
        </w:tblPrEx>
        <w:trPr>
          <w:trHeight w:val="907" w:hRule="atLeast"/>
        </w:trPr>
        <w:tc>
          <w:tcPr>
            <w:tcW w:w="4480" w:type="dxa"/>
            <w:noWrap w:val="0"/>
            <w:vAlign w:val="top"/>
          </w:tcPr>
          <w:p w14:paraId="1603B074">
            <w:pPr>
              <w:spacing w:line="520" w:lineRule="exact"/>
              <w:rPr>
                <w:rFonts w:hint="eastAsia" w:ascii="仿宋" w:hAnsi="仿宋" w:eastAsia="仿宋" w:cs="仿宋"/>
                <w:snapToGrid w:val="0"/>
                <w:color w:val="auto"/>
                <w:sz w:val="32"/>
                <w:szCs w:val="32"/>
                <w:highlight w:val="none"/>
              </w:rPr>
            </w:pPr>
            <w:r>
              <w:rPr>
                <w:rFonts w:hint="eastAsia" w:ascii="仿宋" w:hAnsi="仿宋" w:eastAsia="仿宋" w:cs="仿宋"/>
                <w:snapToGrid w:val="0"/>
                <w:color w:val="auto"/>
                <w:sz w:val="32"/>
                <w:szCs w:val="32"/>
                <w:highlight w:val="none"/>
              </w:rPr>
              <w:t>电话号码：0771-4302016</w:t>
            </w:r>
          </w:p>
        </w:tc>
        <w:tc>
          <w:tcPr>
            <w:tcW w:w="4480" w:type="dxa"/>
            <w:noWrap w:val="0"/>
            <w:vAlign w:val="top"/>
          </w:tcPr>
          <w:p w14:paraId="34C2B4BC">
            <w:pPr>
              <w:spacing w:line="520" w:lineRule="exact"/>
              <w:rPr>
                <w:rFonts w:ascii="仿宋" w:hAnsi="仿宋" w:eastAsia="仿宋" w:cs="仿宋"/>
                <w:snapToGrid w:val="0"/>
                <w:color w:val="auto"/>
                <w:sz w:val="32"/>
                <w:szCs w:val="32"/>
                <w:highlight w:val="none"/>
              </w:rPr>
            </w:pPr>
            <w:r>
              <w:rPr>
                <w:rFonts w:hint="eastAsia" w:ascii="仿宋" w:hAnsi="仿宋" w:eastAsia="仿宋" w:cs="仿宋"/>
                <w:snapToGrid w:val="0"/>
                <w:color w:val="auto"/>
                <w:sz w:val="32"/>
                <w:szCs w:val="32"/>
                <w:highlight w:val="none"/>
              </w:rPr>
              <w:t>电话号码：</w:t>
            </w:r>
          </w:p>
        </w:tc>
      </w:tr>
      <w:tr w14:paraId="3261E9EC">
        <w:tblPrEx>
          <w:tblCellMar>
            <w:top w:w="0" w:type="dxa"/>
            <w:left w:w="108" w:type="dxa"/>
            <w:bottom w:w="0" w:type="dxa"/>
            <w:right w:w="108" w:type="dxa"/>
          </w:tblCellMar>
        </w:tblPrEx>
        <w:trPr>
          <w:trHeight w:val="907" w:hRule="atLeast"/>
        </w:trPr>
        <w:tc>
          <w:tcPr>
            <w:tcW w:w="8960" w:type="dxa"/>
            <w:gridSpan w:val="2"/>
            <w:noWrap w:val="0"/>
            <w:vAlign w:val="top"/>
          </w:tcPr>
          <w:p w14:paraId="67444B68">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签约日期：年    月    日</w:t>
            </w:r>
          </w:p>
        </w:tc>
      </w:tr>
    </w:tbl>
    <w:p w14:paraId="61C47A2C">
      <w:pPr>
        <w:spacing w:line="240" w:lineRule="auto"/>
        <w:rPr>
          <w:rFonts w:hint="eastAsia" w:ascii="仿宋" w:hAnsi="仿宋" w:eastAsia="仿宋" w:cs="仿宋"/>
          <w:color w:val="auto"/>
          <w:sz w:val="32"/>
          <w:szCs w:val="32"/>
          <w:highlight w:val="none"/>
        </w:rPr>
      </w:pPr>
    </w:p>
    <w:p w14:paraId="2E5D1C01">
      <w:pPr>
        <w:spacing w:line="360" w:lineRule="auto"/>
        <w:jc w:val="center"/>
        <w:rPr>
          <w:rFonts w:ascii="宋体" w:hAnsi="宋体"/>
          <w:b/>
          <w:color w:val="auto"/>
          <w:sz w:val="32"/>
          <w:szCs w:val="32"/>
          <w:highlight w:val="none"/>
        </w:rPr>
      </w:pPr>
      <w:r>
        <w:rPr>
          <w:rFonts w:hint="eastAsia" w:ascii="仿宋" w:hAnsi="仿宋" w:eastAsia="仿宋" w:cs="仿宋"/>
          <w:color w:val="auto"/>
          <w:sz w:val="32"/>
          <w:szCs w:val="32"/>
          <w:highlight w:val="none"/>
        </w:rPr>
        <w:br w:type="page"/>
      </w:r>
      <w:r>
        <w:rPr>
          <w:rFonts w:hint="eastAsia" w:ascii="宋体" w:hAnsi="宋体"/>
          <w:b/>
          <w:color w:val="auto"/>
          <w:sz w:val="32"/>
          <w:szCs w:val="32"/>
          <w:highlight w:val="none"/>
        </w:rPr>
        <w:t>工程质量保修书</w:t>
      </w:r>
    </w:p>
    <w:p w14:paraId="4A04ADA7">
      <w:pPr>
        <w:spacing w:line="52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发包人（全称）：南宁市青秀区刘圩镇人民政府</w:t>
      </w:r>
    </w:p>
    <w:p w14:paraId="78750728">
      <w:pPr>
        <w:spacing w:line="52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承包人（全称）：</w:t>
      </w:r>
      <w:r>
        <w:rPr>
          <w:rFonts w:hint="eastAsia" w:ascii="仿宋" w:hAnsi="仿宋" w:eastAsia="仿宋" w:cs="仿宋"/>
          <w:color w:val="auto"/>
          <w:sz w:val="32"/>
          <w:szCs w:val="32"/>
          <w:highlight w:val="none"/>
          <w:lang w:val="en-US" w:eastAsia="zh-CN"/>
        </w:rPr>
        <w:t xml:space="preserve">                          </w:t>
      </w:r>
    </w:p>
    <w:p w14:paraId="33DD4969">
      <w:pPr>
        <w:spacing w:line="360" w:lineRule="auto"/>
        <w:ind w:firstLine="420" w:firstLineChars="200"/>
        <w:rPr>
          <w:rFonts w:ascii="宋体" w:hAnsi="宋体"/>
          <w:color w:val="auto"/>
          <w:szCs w:val="21"/>
          <w:highlight w:val="none"/>
        </w:rPr>
      </w:pPr>
    </w:p>
    <w:p w14:paraId="0E09FF8A">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发包人和承包人根据《中华人民共和国建筑法》和《建设工程质量管理条例》，经协商一致就</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（工程全称）签订工程质量保修书。</w:t>
      </w:r>
    </w:p>
    <w:p w14:paraId="2EACF760">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一、工程质量保修范围和内容</w:t>
      </w:r>
    </w:p>
    <w:p w14:paraId="1AA1FA5F">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在质量保修期内，按照有关法律规定和合同约定，承担工程质量保修责任。工程总承包单位应当对其承包的全部建设工程质量负责，分包单位对其分包工程的质量负责，分包不免除工程总承包单位对其承包的全部建设工程所负的质量责任。</w:t>
      </w:r>
    </w:p>
    <w:p w14:paraId="761FC777">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量保修期从工程实际竣工验收通过之日算起。</w:t>
      </w:r>
    </w:p>
    <w:p w14:paraId="5AB53C82">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（1）双方根据国家有关规定，按法律、行政法规或国家关于工程质量保修的有关规定，对交付发包人使用的工程质量保修期为工程实际竣工验收通过之日起2年，应承担质量保修责任。</w:t>
      </w:r>
    </w:p>
    <w:p w14:paraId="3DF8E1BE">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（2）在没有明文规定下，参照建设工程质量保修条例，双方协商为设计文件规定的该工程的合理使用年限内保修。</w:t>
      </w:r>
    </w:p>
    <w:p w14:paraId="06976006">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二、质量保修期</w:t>
      </w:r>
    </w:p>
    <w:p w14:paraId="5A1A949F">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根据《建设工程质量管理条例》及有关规定，工程的质量保修期如下：</w:t>
      </w:r>
    </w:p>
    <w:p w14:paraId="1641300D">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1．地基基础工程和主体结构工程为设计文件规定的工程合理使用年限；</w:t>
      </w:r>
    </w:p>
    <w:p w14:paraId="6BE19014">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2．电气管线、给排水管道、设备安装工程为2年；</w:t>
      </w:r>
    </w:p>
    <w:p w14:paraId="5E6C3B63">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3．住宅小区内的给排水设施、道路等配套工程为2年；</w:t>
      </w:r>
    </w:p>
    <w:p w14:paraId="01C6202E">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4.其他：</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w:t>
      </w:r>
    </w:p>
    <w:p w14:paraId="240F0EED">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质量保修期自工程竣工验收合格之日起计算。</w:t>
      </w:r>
    </w:p>
    <w:p w14:paraId="7DCFB095">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三、缺陷责任期</w:t>
      </w:r>
    </w:p>
    <w:p w14:paraId="6BB335BE">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工程缺陷责任期为24个月（最长不超过24个月），缺陷责任期自工程竣工验收合格之日起计算。单位工程先于全部工程进行验收，单位工程缺陷责任期自单位工程验收合格之日起算。</w:t>
      </w:r>
    </w:p>
    <w:p w14:paraId="3CB8EF42">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四、质量保修责任</w:t>
      </w:r>
    </w:p>
    <w:p w14:paraId="75E6119F">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1．属于保修范围、内容的项目，承包人应当在接到保修通知之日起3天内派人保修。承包人不在约定期限内派人保修的，发包人可以委托他人修理，修理费用从应支付承包人的款项内扣除。</w:t>
      </w:r>
    </w:p>
    <w:p w14:paraId="670FA1FC">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2．发生紧急事故需抢修的，承包人在接到事故通知后，应当立即到达事故现场抢修。</w:t>
      </w:r>
    </w:p>
    <w:p w14:paraId="0ADED1D5">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C836353">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4．质量保修完成后，由发包人组织验收。</w:t>
      </w:r>
    </w:p>
    <w:p w14:paraId="1A3CCDBB">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五、保修费用</w:t>
      </w:r>
    </w:p>
    <w:p w14:paraId="49413776">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保修费用由造成质量缺陷的责任方承担。</w:t>
      </w:r>
    </w:p>
    <w:p w14:paraId="3FBCD91D">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六、双方约定的其他工程质量保修事项：</w:t>
      </w:r>
    </w:p>
    <w:p w14:paraId="68EBF8CB">
      <w:pPr>
        <w:spacing w:line="52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w:t>
      </w:r>
    </w:p>
    <w:p w14:paraId="47939AEE">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工程质量保修书由发包人、承包人在工程竣工验收前共同签署，作为施工合同附件，其有效期限至保修期满。</w:t>
      </w:r>
    </w:p>
    <w:p w14:paraId="33B7CAD9">
      <w:pPr>
        <w:spacing w:line="520" w:lineRule="exact"/>
        <w:ind w:firstLine="640" w:firstLineChars="200"/>
        <w:rPr>
          <w:rFonts w:hint="eastAsia" w:ascii="仿宋" w:hAnsi="仿宋" w:eastAsia="仿宋" w:cs="仿宋"/>
          <w:color w:val="auto"/>
          <w:sz w:val="32"/>
          <w:szCs w:val="32"/>
          <w:highlight w:val="none"/>
        </w:rPr>
      </w:pPr>
    </w:p>
    <w:tbl>
      <w:tblPr>
        <w:tblStyle w:val="15"/>
        <w:tblW w:w="8940" w:type="dxa"/>
        <w:tblInd w:w="0" w:type="dxa"/>
        <w:tblLayout w:type="autofit"/>
        <w:tblCellMar>
          <w:top w:w="0" w:type="dxa"/>
          <w:left w:w="108" w:type="dxa"/>
          <w:bottom w:w="0" w:type="dxa"/>
          <w:right w:w="108" w:type="dxa"/>
        </w:tblCellMar>
      </w:tblPr>
      <w:tblGrid>
        <w:gridCol w:w="4470"/>
        <w:gridCol w:w="4470"/>
      </w:tblGrid>
      <w:tr w14:paraId="54A0F44F">
        <w:tblPrEx>
          <w:tblCellMar>
            <w:top w:w="0" w:type="dxa"/>
            <w:left w:w="108" w:type="dxa"/>
            <w:bottom w:w="0" w:type="dxa"/>
            <w:right w:w="108" w:type="dxa"/>
          </w:tblCellMar>
        </w:tblPrEx>
        <w:trPr>
          <w:trHeight w:val="1209" w:hRule="atLeast"/>
        </w:trPr>
        <w:tc>
          <w:tcPr>
            <w:tcW w:w="4470" w:type="dxa"/>
            <w:noWrap w:val="0"/>
            <w:vAlign w:val="top"/>
          </w:tcPr>
          <w:p w14:paraId="65B4B69C">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发包人：南宁市青秀区刘圩镇人民政府</w:t>
            </w:r>
          </w:p>
        </w:tc>
        <w:tc>
          <w:tcPr>
            <w:tcW w:w="4470" w:type="dxa"/>
            <w:noWrap w:val="0"/>
            <w:vAlign w:val="top"/>
          </w:tcPr>
          <w:p w14:paraId="42126EFA">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w:t>
            </w:r>
          </w:p>
        </w:tc>
      </w:tr>
      <w:tr w14:paraId="027B6C07">
        <w:tblPrEx>
          <w:tblCellMar>
            <w:top w:w="0" w:type="dxa"/>
            <w:left w:w="108" w:type="dxa"/>
            <w:bottom w:w="0" w:type="dxa"/>
            <w:right w:w="108" w:type="dxa"/>
          </w:tblCellMar>
        </w:tblPrEx>
        <w:trPr>
          <w:trHeight w:val="1209" w:hRule="atLeast"/>
        </w:trPr>
        <w:tc>
          <w:tcPr>
            <w:tcW w:w="4470" w:type="dxa"/>
            <w:noWrap w:val="0"/>
            <w:vAlign w:val="top"/>
          </w:tcPr>
          <w:p w14:paraId="60598904">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所：南宁市青秀区刘圩镇新兴街24号</w:t>
            </w:r>
          </w:p>
        </w:tc>
        <w:tc>
          <w:tcPr>
            <w:tcW w:w="4470" w:type="dxa"/>
            <w:noWrap w:val="0"/>
            <w:vAlign w:val="top"/>
          </w:tcPr>
          <w:p w14:paraId="0BD1598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  所：</w:t>
            </w:r>
          </w:p>
        </w:tc>
      </w:tr>
      <w:tr w14:paraId="4ED9680E">
        <w:tblPrEx>
          <w:tblCellMar>
            <w:top w:w="0" w:type="dxa"/>
            <w:left w:w="108" w:type="dxa"/>
            <w:bottom w:w="0" w:type="dxa"/>
            <w:right w:w="108" w:type="dxa"/>
          </w:tblCellMar>
        </w:tblPrEx>
        <w:trPr>
          <w:trHeight w:val="1223" w:hRule="atLeast"/>
        </w:trPr>
        <w:tc>
          <w:tcPr>
            <w:tcW w:w="4470" w:type="dxa"/>
            <w:noWrap w:val="0"/>
            <w:vAlign w:val="top"/>
          </w:tcPr>
          <w:p w14:paraId="1073C700">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c>
          <w:tcPr>
            <w:tcW w:w="4470" w:type="dxa"/>
            <w:noWrap w:val="0"/>
            <w:vAlign w:val="top"/>
          </w:tcPr>
          <w:p w14:paraId="3CCD2E69">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p>
        </w:tc>
      </w:tr>
      <w:tr w14:paraId="457A504E">
        <w:tblPrEx>
          <w:tblCellMar>
            <w:top w:w="0" w:type="dxa"/>
            <w:left w:w="108" w:type="dxa"/>
            <w:bottom w:w="0" w:type="dxa"/>
            <w:right w:w="108" w:type="dxa"/>
          </w:tblCellMar>
        </w:tblPrEx>
        <w:trPr>
          <w:trHeight w:val="1253" w:hRule="atLeast"/>
        </w:trPr>
        <w:tc>
          <w:tcPr>
            <w:tcW w:w="4470" w:type="dxa"/>
            <w:noWrap w:val="0"/>
            <w:vAlign w:val="top"/>
          </w:tcPr>
          <w:p w14:paraId="690B81BB">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c>
          <w:tcPr>
            <w:tcW w:w="4470" w:type="dxa"/>
            <w:noWrap w:val="0"/>
            <w:vAlign w:val="top"/>
          </w:tcPr>
          <w:p w14:paraId="530E8D13">
            <w:pPr>
              <w:spacing w:line="520" w:lineRule="exact"/>
              <w:rPr>
                <w:rFonts w:hint="eastAsia" w:ascii="仿宋" w:hAnsi="仿宋" w:eastAsia="仿宋" w:cs="仿宋"/>
                <w:color w:val="auto"/>
                <w:sz w:val="32"/>
                <w:szCs w:val="32"/>
                <w:highlight w:val="none"/>
              </w:rPr>
            </w:pPr>
            <w:r>
              <w:rPr>
                <w:rFonts w:hint="eastAsia" w:ascii="仿宋" w:hAnsi="仿宋" w:eastAsia="仿宋" w:cs="仿宋"/>
                <w:snapToGrid w:val="0"/>
                <w:color w:val="auto"/>
                <w:sz w:val="32"/>
                <w:szCs w:val="32"/>
                <w:highlight w:val="none"/>
              </w:rPr>
              <w:t>委托代理人：</w:t>
            </w:r>
          </w:p>
        </w:tc>
      </w:tr>
      <w:tr w14:paraId="1674B032">
        <w:tblPrEx>
          <w:tblCellMar>
            <w:top w:w="0" w:type="dxa"/>
            <w:left w:w="108" w:type="dxa"/>
            <w:bottom w:w="0" w:type="dxa"/>
            <w:right w:w="108" w:type="dxa"/>
          </w:tblCellMar>
        </w:tblPrEx>
        <w:trPr>
          <w:trHeight w:val="893" w:hRule="atLeast"/>
        </w:trPr>
        <w:tc>
          <w:tcPr>
            <w:tcW w:w="4470" w:type="dxa"/>
            <w:noWrap w:val="0"/>
            <w:vAlign w:val="top"/>
          </w:tcPr>
          <w:p w14:paraId="26F688B4">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话：0771-4302016</w:t>
            </w:r>
          </w:p>
        </w:tc>
        <w:tc>
          <w:tcPr>
            <w:tcW w:w="4470" w:type="dxa"/>
            <w:noWrap w:val="0"/>
            <w:vAlign w:val="top"/>
          </w:tcPr>
          <w:p w14:paraId="54D43952">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p>
        </w:tc>
      </w:tr>
      <w:tr w14:paraId="6B16B254">
        <w:tblPrEx>
          <w:tblCellMar>
            <w:top w:w="0" w:type="dxa"/>
            <w:left w:w="108" w:type="dxa"/>
            <w:bottom w:w="0" w:type="dxa"/>
            <w:right w:w="108" w:type="dxa"/>
          </w:tblCellMar>
        </w:tblPrEx>
        <w:trPr>
          <w:trHeight w:val="893" w:hRule="atLeast"/>
        </w:trPr>
        <w:tc>
          <w:tcPr>
            <w:tcW w:w="4470" w:type="dxa"/>
            <w:noWrap w:val="0"/>
            <w:vAlign w:val="top"/>
          </w:tcPr>
          <w:p w14:paraId="2E34834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   真：0771-4302264</w:t>
            </w:r>
          </w:p>
        </w:tc>
        <w:tc>
          <w:tcPr>
            <w:tcW w:w="4470" w:type="dxa"/>
            <w:noWrap w:val="0"/>
            <w:vAlign w:val="top"/>
          </w:tcPr>
          <w:p w14:paraId="1349BFF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   真：</w:t>
            </w:r>
          </w:p>
        </w:tc>
      </w:tr>
      <w:tr w14:paraId="7AB206C8">
        <w:tblPrEx>
          <w:tblCellMar>
            <w:top w:w="0" w:type="dxa"/>
            <w:left w:w="108" w:type="dxa"/>
            <w:bottom w:w="0" w:type="dxa"/>
            <w:right w:w="108" w:type="dxa"/>
          </w:tblCellMar>
        </w:tblPrEx>
        <w:trPr>
          <w:trHeight w:val="1209" w:hRule="atLeast"/>
        </w:trPr>
        <w:tc>
          <w:tcPr>
            <w:tcW w:w="4470" w:type="dxa"/>
            <w:noWrap w:val="0"/>
            <w:vAlign w:val="top"/>
          </w:tcPr>
          <w:p w14:paraId="5C1281E8">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开户银行：中国农业银行南宁刘圩分理处</w:t>
            </w:r>
          </w:p>
        </w:tc>
        <w:tc>
          <w:tcPr>
            <w:tcW w:w="4470" w:type="dxa"/>
            <w:noWrap w:val="0"/>
            <w:vAlign w:val="top"/>
          </w:tcPr>
          <w:p w14:paraId="36A45996">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tc>
      </w:tr>
      <w:tr w14:paraId="49D1FE44">
        <w:tblPrEx>
          <w:tblCellMar>
            <w:top w:w="0" w:type="dxa"/>
            <w:left w:w="108" w:type="dxa"/>
            <w:bottom w:w="0" w:type="dxa"/>
            <w:right w:w="108" w:type="dxa"/>
          </w:tblCellMar>
        </w:tblPrEx>
        <w:trPr>
          <w:trHeight w:val="893" w:hRule="atLeast"/>
        </w:trPr>
        <w:tc>
          <w:tcPr>
            <w:tcW w:w="4470" w:type="dxa"/>
            <w:noWrap w:val="0"/>
            <w:vAlign w:val="top"/>
          </w:tcPr>
          <w:p w14:paraId="5DFCB083">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帐  号：2003 0201 0400 00638</w:t>
            </w:r>
          </w:p>
        </w:tc>
        <w:tc>
          <w:tcPr>
            <w:tcW w:w="4470" w:type="dxa"/>
            <w:noWrap w:val="0"/>
            <w:vAlign w:val="top"/>
          </w:tcPr>
          <w:p w14:paraId="4F3EA9F7">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帐  号：</w:t>
            </w:r>
          </w:p>
        </w:tc>
      </w:tr>
      <w:tr w14:paraId="6AE62D25">
        <w:tblPrEx>
          <w:tblCellMar>
            <w:top w:w="0" w:type="dxa"/>
            <w:left w:w="108" w:type="dxa"/>
            <w:bottom w:w="0" w:type="dxa"/>
            <w:right w:w="108" w:type="dxa"/>
          </w:tblCellMar>
        </w:tblPrEx>
        <w:trPr>
          <w:trHeight w:val="893" w:hRule="atLeast"/>
        </w:trPr>
        <w:tc>
          <w:tcPr>
            <w:tcW w:w="4470" w:type="dxa"/>
            <w:noWrap w:val="0"/>
            <w:vAlign w:val="top"/>
          </w:tcPr>
          <w:p w14:paraId="3F5BCC6E">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邮政编码:530207</w:t>
            </w:r>
          </w:p>
        </w:tc>
        <w:tc>
          <w:tcPr>
            <w:tcW w:w="4470" w:type="dxa"/>
            <w:noWrap w:val="0"/>
            <w:vAlign w:val="top"/>
          </w:tcPr>
          <w:p w14:paraId="29C068A9">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邮政编码:</w:t>
            </w:r>
          </w:p>
        </w:tc>
      </w:tr>
    </w:tbl>
    <w:p w14:paraId="67D2AF62">
      <w:pPr>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4932019B">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3B8E4146">
      <w:pPr>
        <w:spacing w:line="360" w:lineRule="auto"/>
        <w:ind w:firstLine="420" w:firstLineChars="200"/>
        <w:rPr>
          <w:rFonts w:ascii="宋体" w:hAnsi="宋体" w:eastAsia="宋体"/>
          <w:color w:val="auto"/>
          <w:szCs w:val="21"/>
          <w:highlight w:val="none"/>
        </w:rPr>
      </w:pPr>
    </w:p>
    <w:p w14:paraId="2384FD02">
      <w:pPr>
        <w:spacing w:line="360" w:lineRule="auto"/>
        <w:ind w:firstLine="420" w:firstLineChars="200"/>
        <w:rPr>
          <w:rFonts w:ascii="宋体" w:hAnsi="宋体" w:eastAsia="宋体"/>
          <w:color w:val="auto"/>
          <w:szCs w:val="21"/>
          <w:highlight w:val="none"/>
        </w:rPr>
      </w:pPr>
    </w:p>
    <w:p w14:paraId="0FE8952D">
      <w:pPr>
        <w:spacing w:line="360" w:lineRule="auto"/>
        <w:ind w:firstLine="420" w:firstLineChars="200"/>
        <w:rPr>
          <w:rFonts w:ascii="宋体" w:hAnsi="宋体" w:eastAsia="宋体"/>
          <w:color w:val="auto"/>
          <w:szCs w:val="21"/>
          <w:highlight w:val="none"/>
        </w:rPr>
      </w:pPr>
    </w:p>
    <w:p w14:paraId="2772EB9E">
      <w:pPr>
        <w:spacing w:line="360" w:lineRule="auto"/>
        <w:ind w:firstLine="420" w:firstLineChars="200"/>
        <w:rPr>
          <w:rFonts w:ascii="宋体" w:hAnsi="宋体" w:eastAsia="宋体"/>
          <w:color w:val="auto"/>
          <w:szCs w:val="21"/>
          <w:highlight w:val="none"/>
        </w:rPr>
      </w:pPr>
    </w:p>
    <w:p w14:paraId="205E3CE9">
      <w:pPr>
        <w:spacing w:line="360" w:lineRule="auto"/>
        <w:ind w:firstLine="420" w:firstLineChars="200"/>
        <w:rPr>
          <w:rFonts w:ascii="宋体" w:hAnsi="宋体" w:eastAsia="宋体"/>
          <w:color w:val="auto"/>
          <w:szCs w:val="21"/>
          <w:highlight w:val="none"/>
        </w:rPr>
      </w:pPr>
    </w:p>
    <w:p w14:paraId="40189B03">
      <w:pPr>
        <w:spacing w:line="360" w:lineRule="auto"/>
        <w:ind w:firstLine="420" w:firstLineChars="200"/>
        <w:rPr>
          <w:rFonts w:ascii="宋体" w:hAnsi="宋体" w:eastAsia="宋体"/>
          <w:color w:val="auto"/>
          <w:szCs w:val="21"/>
          <w:highlight w:val="none"/>
        </w:rPr>
      </w:pPr>
    </w:p>
    <w:p w14:paraId="3DCC5E22">
      <w:pPr>
        <w:spacing w:line="360" w:lineRule="auto"/>
        <w:ind w:firstLine="420" w:firstLineChars="200"/>
        <w:rPr>
          <w:rFonts w:ascii="宋体" w:hAnsi="宋体" w:eastAsia="宋体"/>
          <w:color w:val="auto"/>
          <w:szCs w:val="21"/>
          <w:highlight w:val="none"/>
        </w:rPr>
      </w:pPr>
    </w:p>
    <w:p w14:paraId="550ADDCE">
      <w:pPr>
        <w:spacing w:line="360" w:lineRule="auto"/>
        <w:ind w:firstLine="420" w:firstLineChars="200"/>
        <w:rPr>
          <w:rFonts w:ascii="宋体" w:hAnsi="宋体" w:eastAsia="宋体"/>
          <w:color w:val="auto"/>
          <w:szCs w:val="21"/>
          <w:highlight w:val="none"/>
        </w:rPr>
      </w:pPr>
    </w:p>
    <w:p w14:paraId="7EFF793E">
      <w:pPr>
        <w:spacing w:line="360" w:lineRule="auto"/>
        <w:ind w:firstLine="420" w:firstLineChars="200"/>
        <w:rPr>
          <w:rFonts w:ascii="宋体" w:hAnsi="宋体" w:eastAsia="宋体"/>
          <w:color w:val="auto"/>
          <w:szCs w:val="21"/>
          <w:highlight w:val="none"/>
        </w:rPr>
      </w:pPr>
    </w:p>
    <w:p w14:paraId="3E09AAEC">
      <w:pPr>
        <w:spacing w:line="360" w:lineRule="auto"/>
        <w:ind w:firstLine="420" w:firstLineChars="200"/>
        <w:rPr>
          <w:rFonts w:ascii="宋体" w:hAnsi="宋体" w:eastAsia="宋体"/>
          <w:color w:val="auto"/>
          <w:szCs w:val="21"/>
          <w:highlight w:val="none"/>
        </w:rPr>
      </w:pPr>
    </w:p>
    <w:p w14:paraId="7A76B582">
      <w:pPr>
        <w:spacing w:line="360" w:lineRule="auto"/>
        <w:ind w:firstLine="420" w:firstLineChars="200"/>
        <w:rPr>
          <w:rFonts w:ascii="宋体" w:hAnsi="宋体" w:eastAsia="宋体"/>
          <w:color w:val="auto"/>
          <w:szCs w:val="21"/>
          <w:highlight w:val="none"/>
        </w:rPr>
      </w:pPr>
    </w:p>
    <w:p w14:paraId="6F2E643A">
      <w:pPr>
        <w:spacing w:line="360" w:lineRule="auto"/>
        <w:ind w:firstLine="420" w:firstLineChars="200"/>
        <w:rPr>
          <w:rFonts w:ascii="宋体" w:hAnsi="宋体" w:eastAsia="宋体"/>
          <w:color w:val="auto"/>
          <w:szCs w:val="21"/>
          <w:highlight w:val="none"/>
        </w:rPr>
      </w:pPr>
    </w:p>
    <w:p w14:paraId="71F093A6">
      <w:pPr>
        <w:pStyle w:val="2"/>
        <w:jc w:val="center"/>
        <w:rPr>
          <w:color w:val="auto"/>
          <w:highlight w:val="none"/>
        </w:rPr>
      </w:pPr>
      <w:bookmarkStart w:id="23" w:name="_Toc4295"/>
      <w:r>
        <w:rPr>
          <w:rFonts w:hint="eastAsia"/>
          <w:color w:val="auto"/>
          <w:highlight w:val="none"/>
        </w:rPr>
        <w:t>第七</w:t>
      </w:r>
      <w:r>
        <w:rPr>
          <w:rFonts w:hint="eastAsia" w:ascii="宋体" w:hAnsi="宋体" w:eastAsia="宋体"/>
          <w:color w:val="auto"/>
          <w:spacing w:val="120"/>
          <w:highlight w:val="none"/>
        </w:rPr>
        <w:t>章</w:t>
      </w:r>
      <w:r>
        <w:rPr>
          <w:rFonts w:hint="eastAsia"/>
          <w:color w:val="auto"/>
          <w:highlight w:val="none"/>
        </w:rPr>
        <w:t>质疑、投诉材料格式</w:t>
      </w:r>
      <w:bookmarkEnd w:id="23"/>
    </w:p>
    <w:p w14:paraId="5C72BDBF">
      <w:pPr>
        <w:rPr>
          <w:color w:val="auto"/>
          <w:highlight w:val="none"/>
        </w:rPr>
        <w:sectPr>
          <w:pgSz w:w="11906" w:h="16838"/>
          <w:pgMar w:top="1134" w:right="1134" w:bottom="1134" w:left="1134" w:header="851" w:footer="992" w:gutter="0"/>
          <w:pgNumType w:fmt="decimal"/>
          <w:cols w:space="425" w:num="1"/>
          <w:docGrid w:type="lines" w:linePitch="312" w:charSpace="0"/>
        </w:sectPr>
      </w:pPr>
    </w:p>
    <w:p w14:paraId="1F2D238F">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质疑函（格式）</w:t>
      </w:r>
    </w:p>
    <w:p w14:paraId="7609652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一、质疑供应商基本信息：</w:t>
      </w:r>
    </w:p>
    <w:p w14:paraId="6D87F85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质疑供应商：</w:t>
      </w:r>
      <w:r>
        <w:rPr>
          <w:rFonts w:ascii="Times New Roman" w:hAnsi="Times New Roman" w:eastAsia="宋体" w:cs="Times New Roman"/>
          <w:color w:val="auto"/>
          <w:szCs w:val="21"/>
          <w:highlight w:val="none"/>
        </w:rPr>
        <w:t>____________________________________________________________________________</w:t>
      </w:r>
    </w:p>
    <w:p w14:paraId="6A9DAE7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w:t>
      </w:r>
    </w:p>
    <w:p w14:paraId="17423D2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w:t>
      </w:r>
    </w:p>
    <w:p w14:paraId="4798E11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授权代表：</w:t>
      </w:r>
      <w:r>
        <w:rPr>
          <w:rFonts w:ascii="Times New Roman" w:hAnsi="Times New Roman" w:eastAsia="宋体" w:cs="Times New Roman"/>
          <w:color w:val="auto"/>
          <w:szCs w:val="21"/>
          <w:highlight w:val="none"/>
        </w:rPr>
        <w:t>______________________________________________________________________________</w:t>
      </w:r>
    </w:p>
    <w:p w14:paraId="69462BB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______________________________________________________________________________</w:t>
      </w:r>
    </w:p>
    <w:p w14:paraId="4D43133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7F473C3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二、质疑项目基本情况：</w:t>
      </w:r>
    </w:p>
    <w:p w14:paraId="1F9096B9">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质疑项目的名称：</w:t>
      </w:r>
      <w:r>
        <w:rPr>
          <w:rFonts w:hint="eastAsia" w:ascii="宋体" w:hAnsi="宋体" w:eastAsia="宋体"/>
          <w:color w:val="auto"/>
          <w:szCs w:val="21"/>
          <w:highlight w:val="none"/>
          <w:u w:val="single"/>
        </w:rPr>
        <w:t>[项目采购-项目名称_16]</w:t>
      </w:r>
    </w:p>
    <w:p w14:paraId="70FCE6B0">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质疑项目的编号：</w:t>
      </w:r>
      <w:r>
        <w:rPr>
          <w:rFonts w:hint="eastAsia" w:ascii="宋体" w:hAnsi="宋体" w:eastAsia="宋体"/>
          <w:color w:val="auto"/>
          <w:szCs w:val="21"/>
          <w:highlight w:val="none"/>
          <w:u w:val="single"/>
        </w:rPr>
        <w:t>[项目采购-项目编号_13]</w:t>
      </w:r>
    </w:p>
    <w:p w14:paraId="7F609574">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采购人名称：</w:t>
      </w:r>
      <w:r>
        <w:rPr>
          <w:rFonts w:hint="eastAsia" w:ascii="宋体" w:hAnsi="宋体" w:eastAsia="宋体"/>
          <w:color w:val="auto"/>
          <w:szCs w:val="21"/>
          <w:highlight w:val="none"/>
          <w:u w:val="single"/>
        </w:rPr>
        <w:t>[项目采购-采购人_7]</w:t>
      </w:r>
    </w:p>
    <w:p w14:paraId="68E61C1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质疑事项：</w:t>
      </w:r>
    </w:p>
    <w:p w14:paraId="7D55C30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□采购文件，采购文件获取日期：</w:t>
      </w:r>
      <w:r>
        <w:rPr>
          <w:rFonts w:ascii="Times New Roman" w:hAnsi="Times New Roman" w:eastAsia="宋体" w:cs="Times New Roman"/>
          <w:color w:val="auto"/>
          <w:szCs w:val="21"/>
          <w:highlight w:val="none"/>
        </w:rPr>
        <w:t>__________________________________________________________</w:t>
      </w:r>
    </w:p>
    <w:p w14:paraId="45E4E9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□采购过程</w:t>
      </w:r>
    </w:p>
    <w:p w14:paraId="2E39CF3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□成交结果</w:t>
      </w:r>
    </w:p>
    <w:p w14:paraId="4EB3BDA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三、质疑事项具体内容</w:t>
      </w:r>
    </w:p>
    <w:p w14:paraId="0BB808C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质疑事项1：</w:t>
      </w:r>
      <w:r>
        <w:rPr>
          <w:rFonts w:ascii="Times New Roman" w:hAnsi="Times New Roman" w:eastAsia="宋体" w:cs="Times New Roman"/>
          <w:color w:val="auto"/>
          <w:szCs w:val="21"/>
          <w:highlight w:val="none"/>
        </w:rPr>
        <w:t>____________________________________________________________________________</w:t>
      </w:r>
    </w:p>
    <w:p w14:paraId="031D668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事实依据：</w:t>
      </w:r>
      <w:r>
        <w:rPr>
          <w:rFonts w:ascii="Times New Roman" w:hAnsi="Times New Roman" w:eastAsia="宋体" w:cs="Times New Roman"/>
          <w:color w:val="auto"/>
          <w:szCs w:val="21"/>
          <w:highlight w:val="none"/>
        </w:rPr>
        <w:t>______________________________________________________________________________</w:t>
      </w:r>
    </w:p>
    <w:p w14:paraId="08B54D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法律依据：</w:t>
      </w:r>
      <w:r>
        <w:rPr>
          <w:rFonts w:ascii="Times New Roman" w:hAnsi="Times New Roman" w:eastAsia="宋体" w:cs="Times New Roman"/>
          <w:color w:val="auto"/>
          <w:szCs w:val="21"/>
          <w:highlight w:val="none"/>
        </w:rPr>
        <w:t>______________________________________________________________________________</w:t>
      </w:r>
    </w:p>
    <w:p w14:paraId="50DF9A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质疑事项2：</w:t>
      </w:r>
      <w:r>
        <w:rPr>
          <w:rFonts w:ascii="Times New Roman" w:hAnsi="Times New Roman" w:eastAsia="宋体" w:cs="Times New Roman"/>
          <w:color w:val="auto"/>
          <w:szCs w:val="21"/>
          <w:highlight w:val="none"/>
        </w:rPr>
        <w:t>____________________________________________________________________________</w:t>
      </w:r>
    </w:p>
    <w:p w14:paraId="16D50B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4A2A546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四、与质疑事项相关的质疑请求：</w:t>
      </w:r>
    </w:p>
    <w:p w14:paraId="45597EA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请求：</w:t>
      </w:r>
      <w:r>
        <w:rPr>
          <w:rFonts w:ascii="Times New Roman" w:hAnsi="Times New Roman" w:eastAsia="宋体" w:cs="Times New Roman"/>
          <w:color w:val="auto"/>
          <w:szCs w:val="21"/>
          <w:highlight w:val="none"/>
        </w:rPr>
        <w:t>__________________________________________________________________________________</w:t>
      </w:r>
    </w:p>
    <w:p w14:paraId="0EBB861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签字（签章）：</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公章：</w:t>
      </w:r>
      <w:r>
        <w:rPr>
          <w:rFonts w:ascii="Times New Roman" w:hAnsi="Times New Roman" w:eastAsia="宋体" w:cs="Times New Roman"/>
          <w:color w:val="auto"/>
          <w:szCs w:val="21"/>
          <w:highlight w:val="none"/>
        </w:rPr>
        <w:t>___________________________________</w:t>
      </w:r>
    </w:p>
    <w:p w14:paraId="5108D98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日期：</w:t>
      </w:r>
    </w:p>
    <w:p w14:paraId="1B18572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说明：</w:t>
      </w:r>
    </w:p>
    <w:p w14:paraId="7906422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1.供应商提出质疑时，应提交质疑函和必要的证明材料。</w:t>
      </w:r>
    </w:p>
    <w:p w14:paraId="2C9ACA4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DF3A2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3.质疑函的质疑事项应具体、明确，并有必要的事实依据和法律依据。</w:t>
      </w:r>
    </w:p>
    <w:p w14:paraId="7D0A75E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4.质疑函的质疑请求应与质疑事项相关。</w:t>
      </w:r>
    </w:p>
    <w:p w14:paraId="33A3A99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5.质疑供应商为法人或者其他组织的，质疑函应由法定代表人、主要负责人，或者其授权代表签字或者盖章，并加盖公章。</w:t>
      </w:r>
    </w:p>
    <w:p w14:paraId="0309457D">
      <w:pPr>
        <w:spacing w:line="360" w:lineRule="auto"/>
        <w:ind w:firstLine="422" w:firstLineChars="200"/>
        <w:rPr>
          <w:rFonts w:ascii="宋体" w:hAnsi="宋体" w:eastAsia="宋体"/>
          <w:b/>
          <w:color w:val="auto"/>
          <w:szCs w:val="21"/>
          <w:highlight w:val="none"/>
        </w:rPr>
        <w:sectPr>
          <w:pgSz w:w="11906" w:h="16838"/>
          <w:pgMar w:top="1134" w:right="1134" w:bottom="1134" w:left="1134" w:header="851" w:footer="992" w:gutter="0"/>
          <w:pgNumType w:fmt="decimal"/>
          <w:cols w:space="425" w:num="1"/>
          <w:docGrid w:type="lines" w:linePitch="312" w:charSpace="0"/>
        </w:sectPr>
      </w:pPr>
    </w:p>
    <w:p w14:paraId="11CCDFF2">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投诉书（格式）</w:t>
      </w:r>
    </w:p>
    <w:p w14:paraId="05F5046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一、投诉相关主体基本情况：</w:t>
      </w:r>
    </w:p>
    <w:p w14:paraId="67077D9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w:t>
      </w:r>
      <w:r>
        <w:rPr>
          <w:rFonts w:ascii="Times New Roman" w:hAnsi="Times New Roman" w:eastAsia="宋体" w:cs="Times New Roman"/>
          <w:color w:val="auto"/>
          <w:szCs w:val="21"/>
          <w:highlight w:val="none"/>
        </w:rPr>
        <w:t>________________________________________________________________________________</w:t>
      </w:r>
    </w:p>
    <w:p w14:paraId="01BDD30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30ACE15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法定代表人/主要负责人：</w:t>
      </w:r>
      <w:r>
        <w:rPr>
          <w:rFonts w:ascii="Times New Roman" w:hAnsi="Times New Roman" w:eastAsia="宋体" w:cs="Times New Roman"/>
          <w:color w:val="auto"/>
          <w:szCs w:val="21"/>
          <w:highlight w:val="none"/>
        </w:rPr>
        <w:t>_________________________________________________________________</w:t>
      </w:r>
    </w:p>
    <w:p w14:paraId="6FF337B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______________________________________________________________________________</w:t>
      </w:r>
    </w:p>
    <w:p w14:paraId="039279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授权代表：</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w:t>
      </w:r>
    </w:p>
    <w:p w14:paraId="2B72B51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65DEE1D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__________________________________________________________________________________</w:t>
      </w:r>
    </w:p>
    <w:p w14:paraId="5C3F59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被投诉人1：</w:t>
      </w:r>
      <w:r>
        <w:rPr>
          <w:rFonts w:ascii="Times New Roman" w:hAnsi="Times New Roman" w:eastAsia="宋体" w:cs="Times New Roman"/>
          <w:color w:val="auto"/>
          <w:szCs w:val="21"/>
          <w:highlight w:val="none"/>
        </w:rPr>
        <w:t>_____________________________________________________________________________</w:t>
      </w:r>
    </w:p>
    <w:p w14:paraId="4D0A7CB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119F5C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__________________________________________________________________________________</w:t>
      </w:r>
    </w:p>
    <w:p w14:paraId="09F903D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w:t>
      </w:r>
    </w:p>
    <w:p w14:paraId="08693EF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被投诉人2：</w:t>
      </w:r>
      <w:r>
        <w:rPr>
          <w:rFonts w:ascii="Times New Roman" w:hAnsi="Times New Roman" w:eastAsia="宋体" w:cs="Times New Roman"/>
          <w:color w:val="auto"/>
          <w:szCs w:val="21"/>
          <w:highlight w:val="none"/>
        </w:rPr>
        <w:t>_____________________________________________________________________________</w:t>
      </w:r>
    </w:p>
    <w:p w14:paraId="44E0FF1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21B29C5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相关供应商：</w:t>
      </w:r>
      <w:r>
        <w:rPr>
          <w:rFonts w:ascii="Times New Roman" w:hAnsi="Times New Roman" w:eastAsia="宋体" w:cs="Times New Roman"/>
          <w:color w:val="auto"/>
          <w:szCs w:val="21"/>
          <w:highlight w:val="none"/>
        </w:rPr>
        <w:t>____________________________________________________________________________</w:t>
      </w:r>
    </w:p>
    <w:p w14:paraId="64C0D4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76D2A9B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w:t>
      </w:r>
    </w:p>
    <w:p w14:paraId="27F889E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二、投诉项目基本情况：</w:t>
      </w:r>
    </w:p>
    <w:p w14:paraId="0E6F470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采购项目的名称：</w:t>
      </w:r>
      <w:r>
        <w:rPr>
          <w:rFonts w:hint="eastAsia" w:ascii="宋体" w:hAnsi="宋体" w:eastAsia="宋体"/>
          <w:color w:val="auto"/>
          <w:szCs w:val="21"/>
          <w:highlight w:val="none"/>
          <w:u w:val="single"/>
        </w:rPr>
        <w:t>[项目采购-项目名称_17]</w:t>
      </w:r>
    </w:p>
    <w:p w14:paraId="774E359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采购项目的编号：</w:t>
      </w:r>
      <w:r>
        <w:rPr>
          <w:rFonts w:hint="eastAsia" w:ascii="宋体" w:hAnsi="宋体" w:eastAsia="宋体"/>
          <w:color w:val="auto"/>
          <w:szCs w:val="21"/>
          <w:highlight w:val="none"/>
          <w:u w:val="single"/>
        </w:rPr>
        <w:t>[项目采购-项目编号_14]</w:t>
      </w:r>
    </w:p>
    <w:p w14:paraId="5576D586">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采购人名称：</w:t>
      </w:r>
      <w:r>
        <w:rPr>
          <w:rFonts w:hint="eastAsia" w:ascii="宋体" w:hAnsi="宋体" w:eastAsia="宋体"/>
          <w:color w:val="auto"/>
          <w:szCs w:val="21"/>
          <w:highlight w:val="none"/>
          <w:u w:val="single"/>
        </w:rPr>
        <w:t>[项目采购-采购人_8]</w:t>
      </w:r>
    </w:p>
    <w:p w14:paraId="41D4E3BB">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代理机构名称：</w:t>
      </w:r>
      <w:r>
        <w:rPr>
          <w:rFonts w:hint="eastAsia" w:ascii="宋体" w:hAnsi="宋体" w:eastAsia="宋体"/>
          <w:color w:val="auto"/>
          <w:szCs w:val="21"/>
          <w:highlight w:val="none"/>
          <w:u w:val="single"/>
        </w:rPr>
        <w:t>[项目采购-采购组织机构_5]</w:t>
      </w:r>
    </w:p>
    <w:p w14:paraId="1A4835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招标文件公告：</w:t>
      </w:r>
      <w:r>
        <w:rPr>
          <w:rFonts w:hint="eastAsia" w:ascii="宋体" w:hAnsi="宋体" w:eastAsia="宋体"/>
          <w:color w:val="auto"/>
          <w:szCs w:val="21"/>
          <w:highlight w:val="none"/>
          <w:u w:val="single"/>
        </w:rPr>
        <w:t>是/否</w:t>
      </w:r>
      <w:r>
        <w:rPr>
          <w:rFonts w:hint="eastAsia" w:ascii="宋体" w:hAnsi="宋体" w:eastAsia="宋体"/>
          <w:color w:val="auto"/>
          <w:szCs w:val="21"/>
          <w:highlight w:val="none"/>
        </w:rPr>
        <w:t>公告期限：</w:t>
      </w:r>
      <w:r>
        <w:rPr>
          <w:rFonts w:ascii="Times New Roman" w:hAnsi="Times New Roman" w:eastAsia="宋体" w:cs="Times New Roman"/>
          <w:color w:val="auto"/>
          <w:szCs w:val="21"/>
          <w:highlight w:val="none"/>
        </w:rPr>
        <w:t>__________________________________________________________</w:t>
      </w:r>
    </w:p>
    <w:p w14:paraId="60AC9EF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采购结果公告：是/否公告期限：</w:t>
      </w:r>
      <w:r>
        <w:rPr>
          <w:rFonts w:ascii="Times New Roman" w:hAnsi="Times New Roman" w:eastAsia="宋体" w:cs="Times New Roman"/>
          <w:color w:val="auto"/>
          <w:szCs w:val="21"/>
          <w:highlight w:val="none"/>
        </w:rPr>
        <w:t>__________________________________________________________</w:t>
      </w:r>
    </w:p>
    <w:p w14:paraId="60EAFFB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三、质疑基本情况</w:t>
      </w:r>
    </w:p>
    <w:p w14:paraId="5FF47A0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投诉人于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日，向</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提出质疑，质疑事项为：</w:t>
      </w:r>
      <w:r>
        <w:rPr>
          <w:rFonts w:ascii="Times New Roman" w:hAnsi="Times New Roman" w:eastAsia="宋体" w:cs="Times New Roman"/>
          <w:color w:val="auto"/>
          <w:szCs w:val="21"/>
          <w:highlight w:val="none"/>
        </w:rPr>
        <w:t>_______________________</w:t>
      </w:r>
    </w:p>
    <w:p w14:paraId="7FA972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u w:val="single"/>
        </w:rPr>
        <w:t>采购人/代理机构</w:t>
      </w:r>
      <w:r>
        <w:rPr>
          <w:rFonts w:hint="eastAsia" w:ascii="宋体" w:hAnsi="宋体" w:eastAsia="宋体"/>
          <w:color w:val="auto"/>
          <w:szCs w:val="21"/>
          <w:highlight w:val="none"/>
        </w:rPr>
        <w:t>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日，就质疑事项作出了答复/没有在法定期限内作出答复。</w:t>
      </w:r>
    </w:p>
    <w:p w14:paraId="5AECD7A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四、投诉事项具体内容</w:t>
      </w:r>
    </w:p>
    <w:p w14:paraId="21A2D99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投诉事项1：</w:t>
      </w:r>
      <w:r>
        <w:rPr>
          <w:rFonts w:ascii="Times New Roman" w:hAnsi="Times New Roman" w:eastAsia="宋体" w:cs="Times New Roman"/>
          <w:color w:val="auto"/>
          <w:szCs w:val="21"/>
          <w:highlight w:val="none"/>
        </w:rPr>
        <w:t>_____________________________________________________________________________</w:t>
      </w:r>
    </w:p>
    <w:p w14:paraId="3EDF180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事实依据：</w:t>
      </w:r>
      <w:r>
        <w:rPr>
          <w:rFonts w:ascii="Times New Roman" w:hAnsi="Times New Roman" w:eastAsia="宋体" w:cs="Times New Roman"/>
          <w:color w:val="auto"/>
          <w:szCs w:val="21"/>
          <w:highlight w:val="none"/>
        </w:rPr>
        <w:t>______________________________________________________________________________</w:t>
      </w:r>
    </w:p>
    <w:p w14:paraId="06AF819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法律依据：</w:t>
      </w:r>
      <w:r>
        <w:rPr>
          <w:rFonts w:ascii="Times New Roman" w:hAnsi="Times New Roman" w:eastAsia="宋体" w:cs="Times New Roman"/>
          <w:color w:val="auto"/>
          <w:szCs w:val="21"/>
          <w:highlight w:val="none"/>
        </w:rPr>
        <w:t>______________________________________________________________________________</w:t>
      </w:r>
    </w:p>
    <w:p w14:paraId="6E3C5ED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投诉事项2：</w:t>
      </w:r>
      <w:r>
        <w:rPr>
          <w:rFonts w:ascii="Times New Roman" w:hAnsi="Times New Roman" w:eastAsia="宋体" w:cs="Times New Roman"/>
          <w:color w:val="auto"/>
          <w:szCs w:val="21"/>
          <w:highlight w:val="none"/>
        </w:rPr>
        <w:t>_____________________________________________________________________________</w:t>
      </w:r>
    </w:p>
    <w:p w14:paraId="77A672A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631A0E4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五、与投诉事项相关的投诉请求：</w:t>
      </w:r>
    </w:p>
    <w:p w14:paraId="363A56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请求：</w:t>
      </w:r>
      <w:r>
        <w:rPr>
          <w:rFonts w:ascii="Times New Roman" w:hAnsi="Times New Roman" w:eastAsia="宋体" w:cs="Times New Roman"/>
          <w:color w:val="auto"/>
          <w:szCs w:val="21"/>
          <w:highlight w:val="none"/>
        </w:rPr>
        <w:t>__________________________________________________________________________________</w:t>
      </w:r>
    </w:p>
    <w:p w14:paraId="2FD28B3F">
      <w:pPr>
        <w:spacing w:line="360" w:lineRule="auto"/>
        <w:ind w:firstLine="420" w:firstLineChars="200"/>
        <w:rPr>
          <w:rFonts w:ascii="宋体" w:hAnsi="宋体" w:eastAsia="宋体"/>
          <w:color w:val="auto"/>
          <w:szCs w:val="21"/>
          <w:highlight w:val="none"/>
        </w:rPr>
      </w:pPr>
    </w:p>
    <w:p w14:paraId="42D962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签字（签章）：</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公章：</w:t>
      </w:r>
      <w:r>
        <w:rPr>
          <w:rFonts w:ascii="Times New Roman" w:hAnsi="Times New Roman" w:eastAsia="宋体" w:cs="Times New Roman"/>
          <w:color w:val="auto"/>
          <w:szCs w:val="21"/>
          <w:highlight w:val="none"/>
        </w:rPr>
        <w:t>___________________________________</w:t>
      </w:r>
    </w:p>
    <w:p w14:paraId="3A86FA5C">
      <w:pPr>
        <w:spacing w:line="360" w:lineRule="auto"/>
        <w:ind w:firstLine="420" w:firstLineChars="200"/>
        <w:rPr>
          <w:rFonts w:ascii="宋体" w:hAnsi="宋体" w:eastAsia="宋体"/>
          <w:color w:val="auto"/>
          <w:szCs w:val="21"/>
          <w:highlight w:val="none"/>
        </w:rPr>
      </w:pPr>
    </w:p>
    <w:p w14:paraId="491849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日期：</w:t>
      </w:r>
    </w:p>
    <w:p w14:paraId="4E7744D8">
      <w:pPr>
        <w:spacing w:line="360" w:lineRule="auto"/>
        <w:ind w:firstLine="420" w:firstLineChars="200"/>
        <w:rPr>
          <w:rFonts w:ascii="宋体" w:hAnsi="宋体" w:eastAsia="宋体"/>
          <w:color w:val="auto"/>
          <w:szCs w:val="21"/>
          <w:highlight w:val="none"/>
        </w:rPr>
      </w:pPr>
    </w:p>
    <w:p w14:paraId="184BB011">
      <w:pPr>
        <w:spacing w:line="360" w:lineRule="auto"/>
        <w:ind w:firstLine="420" w:firstLineChars="200"/>
        <w:rPr>
          <w:rFonts w:ascii="宋体" w:hAnsi="宋体" w:eastAsia="宋体"/>
          <w:color w:val="auto"/>
          <w:szCs w:val="21"/>
          <w:highlight w:val="none"/>
        </w:rPr>
      </w:pPr>
    </w:p>
    <w:p w14:paraId="73A264C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说明：</w:t>
      </w:r>
    </w:p>
    <w:p w14:paraId="5E97FE1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1.投诉人提起投诉时，应当提交投诉书和必要的证明材料，并按照被投诉人和与投诉事项有关的供应商数量提供投诉书副本。</w:t>
      </w:r>
    </w:p>
    <w:p w14:paraId="0486884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B0D580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3.投诉书应简要列明质疑事项，质疑函、质疑答复等作为附件材料提供。</w:t>
      </w:r>
    </w:p>
    <w:p w14:paraId="6CD33CD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4.投诉书的投诉事项应具体、明确，并有必要的事实依据和法律依据。</w:t>
      </w:r>
    </w:p>
    <w:p w14:paraId="2E34FECC">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5.投诉书的投诉请求应与投诉事项相关。</w:t>
      </w:r>
    </w:p>
    <w:p w14:paraId="2F31D33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6.投诉人为法人或者其他组织的，投诉书应由法定代表人、主要负责人，或者其授权代表签字或者盖章，并加盖公章。</w:t>
      </w:r>
    </w:p>
    <w:p w14:paraId="2D0FD803">
      <w:pPr>
        <w:spacing w:line="360" w:lineRule="auto"/>
        <w:ind w:firstLine="420" w:firstLineChars="200"/>
        <w:rPr>
          <w:rFonts w:ascii="宋体" w:hAnsi="宋体" w:eastAsia="宋体"/>
          <w:color w:val="auto"/>
          <w:szCs w:val="21"/>
          <w:highlight w:val="none"/>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42D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094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0C094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ADA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F675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EF675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BF9D">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12</w:t>
    </w:r>
    <w:r>
      <w:fldChar w:fldCharType="end"/>
    </w:r>
  </w:p>
  <w:p w14:paraId="56314DF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4806">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南宁市政府采购竞争性磋商采购文件（项目编号：</w:t>
    </w:r>
    <w:r>
      <w:rPr>
        <w:rFonts w:hint="eastAsia"/>
        <w:color w:val="auto"/>
        <w:lang w:eastAsia="zh-CN"/>
      </w:rPr>
      <w:t>NNZC2025-C2-030177-KWZB</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DB65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2FFE2"/>
    <w:multiLevelType w:val="singleLevel"/>
    <w:tmpl w:val="95B2FFE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5"/>
    <w:rsid w:val="00001FDC"/>
    <w:rsid w:val="00007066"/>
    <w:rsid w:val="00007291"/>
    <w:rsid w:val="00012660"/>
    <w:rsid w:val="0001584E"/>
    <w:rsid w:val="000410D6"/>
    <w:rsid w:val="00041ABD"/>
    <w:rsid w:val="00044A00"/>
    <w:rsid w:val="000560FC"/>
    <w:rsid w:val="00091B03"/>
    <w:rsid w:val="000A0E58"/>
    <w:rsid w:val="000A72D1"/>
    <w:rsid w:val="000B3899"/>
    <w:rsid w:val="000C476B"/>
    <w:rsid w:val="000C6CF3"/>
    <w:rsid w:val="000D0D0B"/>
    <w:rsid w:val="000D6D47"/>
    <w:rsid w:val="000E03CC"/>
    <w:rsid w:val="000E7A63"/>
    <w:rsid w:val="000F0436"/>
    <w:rsid w:val="000F182D"/>
    <w:rsid w:val="000F6BD8"/>
    <w:rsid w:val="00111A3B"/>
    <w:rsid w:val="0011380E"/>
    <w:rsid w:val="001149E1"/>
    <w:rsid w:val="001308B5"/>
    <w:rsid w:val="00130A49"/>
    <w:rsid w:val="00132A41"/>
    <w:rsid w:val="00135F89"/>
    <w:rsid w:val="00141FA1"/>
    <w:rsid w:val="00144255"/>
    <w:rsid w:val="00150718"/>
    <w:rsid w:val="001531B8"/>
    <w:rsid w:val="0015750F"/>
    <w:rsid w:val="00161410"/>
    <w:rsid w:val="001643D3"/>
    <w:rsid w:val="00166B5C"/>
    <w:rsid w:val="00170285"/>
    <w:rsid w:val="001725A7"/>
    <w:rsid w:val="00175AFF"/>
    <w:rsid w:val="00185E30"/>
    <w:rsid w:val="00194F4E"/>
    <w:rsid w:val="00195083"/>
    <w:rsid w:val="00197714"/>
    <w:rsid w:val="001A469C"/>
    <w:rsid w:val="001B0F1B"/>
    <w:rsid w:val="001B1F4C"/>
    <w:rsid w:val="001C352C"/>
    <w:rsid w:val="001C45B3"/>
    <w:rsid w:val="001C4EA7"/>
    <w:rsid w:val="001D2E1D"/>
    <w:rsid w:val="001E272A"/>
    <w:rsid w:val="001F1886"/>
    <w:rsid w:val="00200771"/>
    <w:rsid w:val="0022001B"/>
    <w:rsid w:val="0023382A"/>
    <w:rsid w:val="00233A27"/>
    <w:rsid w:val="002451DF"/>
    <w:rsid w:val="002456C0"/>
    <w:rsid w:val="00251E6A"/>
    <w:rsid w:val="002526F1"/>
    <w:rsid w:val="002554B8"/>
    <w:rsid w:val="00256094"/>
    <w:rsid w:val="00256D97"/>
    <w:rsid w:val="00260D5B"/>
    <w:rsid w:val="002669E3"/>
    <w:rsid w:val="00266D78"/>
    <w:rsid w:val="00267861"/>
    <w:rsid w:val="002814B2"/>
    <w:rsid w:val="00282F03"/>
    <w:rsid w:val="002856E4"/>
    <w:rsid w:val="00286259"/>
    <w:rsid w:val="0029377A"/>
    <w:rsid w:val="00294000"/>
    <w:rsid w:val="002967F8"/>
    <w:rsid w:val="002A311B"/>
    <w:rsid w:val="002B5C01"/>
    <w:rsid w:val="002B744F"/>
    <w:rsid w:val="002D1928"/>
    <w:rsid w:val="002D3273"/>
    <w:rsid w:val="002E5E8E"/>
    <w:rsid w:val="002F5D3D"/>
    <w:rsid w:val="002F6708"/>
    <w:rsid w:val="00306465"/>
    <w:rsid w:val="00306B58"/>
    <w:rsid w:val="00320447"/>
    <w:rsid w:val="00322EC6"/>
    <w:rsid w:val="00323EDD"/>
    <w:rsid w:val="00327213"/>
    <w:rsid w:val="00327490"/>
    <w:rsid w:val="00335A0F"/>
    <w:rsid w:val="0033782A"/>
    <w:rsid w:val="003473DD"/>
    <w:rsid w:val="00351C58"/>
    <w:rsid w:val="00361D1A"/>
    <w:rsid w:val="00363868"/>
    <w:rsid w:val="003654FA"/>
    <w:rsid w:val="003704EA"/>
    <w:rsid w:val="00381523"/>
    <w:rsid w:val="003838F8"/>
    <w:rsid w:val="00387995"/>
    <w:rsid w:val="00390137"/>
    <w:rsid w:val="00394FF4"/>
    <w:rsid w:val="003A0741"/>
    <w:rsid w:val="003A1E49"/>
    <w:rsid w:val="003B03E1"/>
    <w:rsid w:val="003B0963"/>
    <w:rsid w:val="003C026F"/>
    <w:rsid w:val="003C28F0"/>
    <w:rsid w:val="003C6980"/>
    <w:rsid w:val="003D3E0C"/>
    <w:rsid w:val="003E0936"/>
    <w:rsid w:val="003E46CD"/>
    <w:rsid w:val="003E7BE8"/>
    <w:rsid w:val="003F0087"/>
    <w:rsid w:val="003F1E51"/>
    <w:rsid w:val="003F3FDA"/>
    <w:rsid w:val="003F6215"/>
    <w:rsid w:val="003F7A47"/>
    <w:rsid w:val="004019B5"/>
    <w:rsid w:val="00401DC5"/>
    <w:rsid w:val="00411D27"/>
    <w:rsid w:val="00431117"/>
    <w:rsid w:val="00431225"/>
    <w:rsid w:val="004468E3"/>
    <w:rsid w:val="004532F3"/>
    <w:rsid w:val="00456C80"/>
    <w:rsid w:val="00457AEF"/>
    <w:rsid w:val="00473A6E"/>
    <w:rsid w:val="00473BA3"/>
    <w:rsid w:val="004861FE"/>
    <w:rsid w:val="004A0921"/>
    <w:rsid w:val="004A25C7"/>
    <w:rsid w:val="004A6293"/>
    <w:rsid w:val="004D401F"/>
    <w:rsid w:val="004E4847"/>
    <w:rsid w:val="004E735F"/>
    <w:rsid w:val="004F20FC"/>
    <w:rsid w:val="004F3C0B"/>
    <w:rsid w:val="005057B6"/>
    <w:rsid w:val="00505B35"/>
    <w:rsid w:val="00506010"/>
    <w:rsid w:val="00511C56"/>
    <w:rsid w:val="005135C1"/>
    <w:rsid w:val="00520932"/>
    <w:rsid w:val="00524C0E"/>
    <w:rsid w:val="00526B96"/>
    <w:rsid w:val="005270B3"/>
    <w:rsid w:val="00527C1C"/>
    <w:rsid w:val="00542B2D"/>
    <w:rsid w:val="00551A94"/>
    <w:rsid w:val="005574ED"/>
    <w:rsid w:val="00563750"/>
    <w:rsid w:val="00572AB7"/>
    <w:rsid w:val="00581497"/>
    <w:rsid w:val="0058371D"/>
    <w:rsid w:val="00583B80"/>
    <w:rsid w:val="005878D3"/>
    <w:rsid w:val="00592828"/>
    <w:rsid w:val="00592948"/>
    <w:rsid w:val="0059414D"/>
    <w:rsid w:val="005A042A"/>
    <w:rsid w:val="005A1A75"/>
    <w:rsid w:val="005A2CBD"/>
    <w:rsid w:val="005A72FC"/>
    <w:rsid w:val="005B5622"/>
    <w:rsid w:val="005B5D5E"/>
    <w:rsid w:val="005C092B"/>
    <w:rsid w:val="005D22FC"/>
    <w:rsid w:val="005D5063"/>
    <w:rsid w:val="005F0303"/>
    <w:rsid w:val="005F742B"/>
    <w:rsid w:val="006017ED"/>
    <w:rsid w:val="00603063"/>
    <w:rsid w:val="00610F05"/>
    <w:rsid w:val="00611DD1"/>
    <w:rsid w:val="00642001"/>
    <w:rsid w:val="00642428"/>
    <w:rsid w:val="00643488"/>
    <w:rsid w:val="00651634"/>
    <w:rsid w:val="00656549"/>
    <w:rsid w:val="006778F9"/>
    <w:rsid w:val="006B12A3"/>
    <w:rsid w:val="006B3AF8"/>
    <w:rsid w:val="006B4B61"/>
    <w:rsid w:val="006C39D1"/>
    <w:rsid w:val="006C42F0"/>
    <w:rsid w:val="006C72E6"/>
    <w:rsid w:val="006D49EA"/>
    <w:rsid w:val="006D4B35"/>
    <w:rsid w:val="006E1099"/>
    <w:rsid w:val="006E17F6"/>
    <w:rsid w:val="006E6746"/>
    <w:rsid w:val="006F4D32"/>
    <w:rsid w:val="00714F10"/>
    <w:rsid w:val="007160E3"/>
    <w:rsid w:val="00717ED0"/>
    <w:rsid w:val="00722F6E"/>
    <w:rsid w:val="007257C2"/>
    <w:rsid w:val="00733428"/>
    <w:rsid w:val="0074002E"/>
    <w:rsid w:val="007447A6"/>
    <w:rsid w:val="007508A3"/>
    <w:rsid w:val="0075100E"/>
    <w:rsid w:val="00753392"/>
    <w:rsid w:val="00753C9D"/>
    <w:rsid w:val="00756F99"/>
    <w:rsid w:val="007655A2"/>
    <w:rsid w:val="00770CE0"/>
    <w:rsid w:val="00770F8E"/>
    <w:rsid w:val="00771AA7"/>
    <w:rsid w:val="00772759"/>
    <w:rsid w:val="007728DB"/>
    <w:rsid w:val="00774C08"/>
    <w:rsid w:val="00784CE4"/>
    <w:rsid w:val="007905AF"/>
    <w:rsid w:val="0079165A"/>
    <w:rsid w:val="007A58F7"/>
    <w:rsid w:val="007A61F9"/>
    <w:rsid w:val="007C1414"/>
    <w:rsid w:val="007C7E0B"/>
    <w:rsid w:val="007F5F3F"/>
    <w:rsid w:val="008010EE"/>
    <w:rsid w:val="008052CF"/>
    <w:rsid w:val="008124DA"/>
    <w:rsid w:val="00812B9D"/>
    <w:rsid w:val="00820F03"/>
    <w:rsid w:val="00826C3E"/>
    <w:rsid w:val="00827D91"/>
    <w:rsid w:val="008405D9"/>
    <w:rsid w:val="00845E9B"/>
    <w:rsid w:val="008833BC"/>
    <w:rsid w:val="008848CF"/>
    <w:rsid w:val="008A4870"/>
    <w:rsid w:val="008A52D1"/>
    <w:rsid w:val="008A560B"/>
    <w:rsid w:val="008B304B"/>
    <w:rsid w:val="008B604E"/>
    <w:rsid w:val="008C3090"/>
    <w:rsid w:val="008C5744"/>
    <w:rsid w:val="008E56E1"/>
    <w:rsid w:val="008F3AA8"/>
    <w:rsid w:val="009048CF"/>
    <w:rsid w:val="0091150C"/>
    <w:rsid w:val="00916AE0"/>
    <w:rsid w:val="0092383E"/>
    <w:rsid w:val="009336E4"/>
    <w:rsid w:val="009361F5"/>
    <w:rsid w:val="00955D51"/>
    <w:rsid w:val="009605B1"/>
    <w:rsid w:val="00962AF6"/>
    <w:rsid w:val="00965514"/>
    <w:rsid w:val="00972CC3"/>
    <w:rsid w:val="00974EE4"/>
    <w:rsid w:val="00991F4F"/>
    <w:rsid w:val="00992668"/>
    <w:rsid w:val="009A1664"/>
    <w:rsid w:val="009A181F"/>
    <w:rsid w:val="009A3B40"/>
    <w:rsid w:val="009B70E6"/>
    <w:rsid w:val="009C5C92"/>
    <w:rsid w:val="009E3693"/>
    <w:rsid w:val="009E4A09"/>
    <w:rsid w:val="009F108B"/>
    <w:rsid w:val="009F44DC"/>
    <w:rsid w:val="009F4C47"/>
    <w:rsid w:val="00A04958"/>
    <w:rsid w:val="00A06CAC"/>
    <w:rsid w:val="00A16A3D"/>
    <w:rsid w:val="00A27C85"/>
    <w:rsid w:val="00A35B48"/>
    <w:rsid w:val="00A45A46"/>
    <w:rsid w:val="00A570BC"/>
    <w:rsid w:val="00A649C6"/>
    <w:rsid w:val="00A671D4"/>
    <w:rsid w:val="00A71942"/>
    <w:rsid w:val="00A7305C"/>
    <w:rsid w:val="00A75301"/>
    <w:rsid w:val="00A777FC"/>
    <w:rsid w:val="00A82603"/>
    <w:rsid w:val="00A874F7"/>
    <w:rsid w:val="00AA2050"/>
    <w:rsid w:val="00AA584F"/>
    <w:rsid w:val="00AA7DD2"/>
    <w:rsid w:val="00AB2919"/>
    <w:rsid w:val="00AC6856"/>
    <w:rsid w:val="00AD1D7D"/>
    <w:rsid w:val="00AD2D3B"/>
    <w:rsid w:val="00AF1294"/>
    <w:rsid w:val="00AF30B4"/>
    <w:rsid w:val="00AF3C59"/>
    <w:rsid w:val="00AF5FB5"/>
    <w:rsid w:val="00B05197"/>
    <w:rsid w:val="00B205BE"/>
    <w:rsid w:val="00B2293A"/>
    <w:rsid w:val="00B23F99"/>
    <w:rsid w:val="00B25AD6"/>
    <w:rsid w:val="00B27101"/>
    <w:rsid w:val="00B45F5F"/>
    <w:rsid w:val="00B46D04"/>
    <w:rsid w:val="00B472D7"/>
    <w:rsid w:val="00B5039C"/>
    <w:rsid w:val="00B6234D"/>
    <w:rsid w:val="00B654C2"/>
    <w:rsid w:val="00B75E06"/>
    <w:rsid w:val="00B768C1"/>
    <w:rsid w:val="00B77C5A"/>
    <w:rsid w:val="00B8022E"/>
    <w:rsid w:val="00B80838"/>
    <w:rsid w:val="00B86CD5"/>
    <w:rsid w:val="00BA3D5B"/>
    <w:rsid w:val="00BA5A52"/>
    <w:rsid w:val="00BA79BD"/>
    <w:rsid w:val="00BB5BFD"/>
    <w:rsid w:val="00BB7163"/>
    <w:rsid w:val="00BC0782"/>
    <w:rsid w:val="00BC55A6"/>
    <w:rsid w:val="00BC6AF9"/>
    <w:rsid w:val="00BC7CBF"/>
    <w:rsid w:val="00BD294D"/>
    <w:rsid w:val="00BD70DA"/>
    <w:rsid w:val="00BE431C"/>
    <w:rsid w:val="00BF20E6"/>
    <w:rsid w:val="00BF621F"/>
    <w:rsid w:val="00BF789A"/>
    <w:rsid w:val="00C01095"/>
    <w:rsid w:val="00C04878"/>
    <w:rsid w:val="00C049AC"/>
    <w:rsid w:val="00C101BF"/>
    <w:rsid w:val="00C131D4"/>
    <w:rsid w:val="00C16BCE"/>
    <w:rsid w:val="00C17FD9"/>
    <w:rsid w:val="00C26BEC"/>
    <w:rsid w:val="00C30D1C"/>
    <w:rsid w:val="00C37131"/>
    <w:rsid w:val="00C37E4D"/>
    <w:rsid w:val="00C46E6F"/>
    <w:rsid w:val="00C52465"/>
    <w:rsid w:val="00C55F3C"/>
    <w:rsid w:val="00C57B8E"/>
    <w:rsid w:val="00C65E36"/>
    <w:rsid w:val="00C82FB3"/>
    <w:rsid w:val="00C86D49"/>
    <w:rsid w:val="00C90F84"/>
    <w:rsid w:val="00C92413"/>
    <w:rsid w:val="00C93068"/>
    <w:rsid w:val="00CB28F8"/>
    <w:rsid w:val="00CB5549"/>
    <w:rsid w:val="00CC4DB1"/>
    <w:rsid w:val="00CD3548"/>
    <w:rsid w:val="00CD59A9"/>
    <w:rsid w:val="00CE5367"/>
    <w:rsid w:val="00CF2B63"/>
    <w:rsid w:val="00CF4D30"/>
    <w:rsid w:val="00D06D9E"/>
    <w:rsid w:val="00D06EA5"/>
    <w:rsid w:val="00D176A4"/>
    <w:rsid w:val="00D206A5"/>
    <w:rsid w:val="00D22208"/>
    <w:rsid w:val="00D32344"/>
    <w:rsid w:val="00D37750"/>
    <w:rsid w:val="00D61BFD"/>
    <w:rsid w:val="00D65C0A"/>
    <w:rsid w:val="00D72987"/>
    <w:rsid w:val="00D80A6C"/>
    <w:rsid w:val="00D811DF"/>
    <w:rsid w:val="00D8582C"/>
    <w:rsid w:val="00D86F0E"/>
    <w:rsid w:val="00D878AF"/>
    <w:rsid w:val="00D93E40"/>
    <w:rsid w:val="00DA223D"/>
    <w:rsid w:val="00DA6E6E"/>
    <w:rsid w:val="00DB4A65"/>
    <w:rsid w:val="00DC13D2"/>
    <w:rsid w:val="00DD5D87"/>
    <w:rsid w:val="00DD7B0F"/>
    <w:rsid w:val="00DE0AE5"/>
    <w:rsid w:val="00DF1F54"/>
    <w:rsid w:val="00E0241E"/>
    <w:rsid w:val="00E10B14"/>
    <w:rsid w:val="00E26E03"/>
    <w:rsid w:val="00E27D7A"/>
    <w:rsid w:val="00E43644"/>
    <w:rsid w:val="00E45C36"/>
    <w:rsid w:val="00E612E3"/>
    <w:rsid w:val="00E62A1E"/>
    <w:rsid w:val="00E67FBC"/>
    <w:rsid w:val="00E71518"/>
    <w:rsid w:val="00E764C2"/>
    <w:rsid w:val="00E80037"/>
    <w:rsid w:val="00E90C4A"/>
    <w:rsid w:val="00E9430C"/>
    <w:rsid w:val="00E94908"/>
    <w:rsid w:val="00EA01D2"/>
    <w:rsid w:val="00EB06DB"/>
    <w:rsid w:val="00EC1640"/>
    <w:rsid w:val="00ED0EBC"/>
    <w:rsid w:val="00ED61B4"/>
    <w:rsid w:val="00ED77D6"/>
    <w:rsid w:val="00EE3A1E"/>
    <w:rsid w:val="00EF19F1"/>
    <w:rsid w:val="00EF1C30"/>
    <w:rsid w:val="00F02286"/>
    <w:rsid w:val="00F10CD1"/>
    <w:rsid w:val="00F11A27"/>
    <w:rsid w:val="00F25749"/>
    <w:rsid w:val="00F323C8"/>
    <w:rsid w:val="00F411DE"/>
    <w:rsid w:val="00F431A5"/>
    <w:rsid w:val="00F46965"/>
    <w:rsid w:val="00F61DE8"/>
    <w:rsid w:val="00F64239"/>
    <w:rsid w:val="00F73F5E"/>
    <w:rsid w:val="00F751A3"/>
    <w:rsid w:val="00F77A64"/>
    <w:rsid w:val="00F80010"/>
    <w:rsid w:val="00F87024"/>
    <w:rsid w:val="00F95CAA"/>
    <w:rsid w:val="00FA63E6"/>
    <w:rsid w:val="00FA72D4"/>
    <w:rsid w:val="00FB125E"/>
    <w:rsid w:val="00FB5AB4"/>
    <w:rsid w:val="00FB7CFC"/>
    <w:rsid w:val="00FB7FC3"/>
    <w:rsid w:val="00FC2E24"/>
    <w:rsid w:val="00FD3DB5"/>
    <w:rsid w:val="00FE3028"/>
    <w:rsid w:val="046565E0"/>
    <w:rsid w:val="054E0B63"/>
    <w:rsid w:val="066A43D1"/>
    <w:rsid w:val="098175B4"/>
    <w:rsid w:val="0D18110B"/>
    <w:rsid w:val="11F32455"/>
    <w:rsid w:val="134E0321"/>
    <w:rsid w:val="140C10C0"/>
    <w:rsid w:val="14307168"/>
    <w:rsid w:val="152F0DE0"/>
    <w:rsid w:val="16D67576"/>
    <w:rsid w:val="17156559"/>
    <w:rsid w:val="1799145B"/>
    <w:rsid w:val="17E62450"/>
    <w:rsid w:val="1C7D1BA4"/>
    <w:rsid w:val="1CBB6F4A"/>
    <w:rsid w:val="1E7F63E7"/>
    <w:rsid w:val="1E9B2C5A"/>
    <w:rsid w:val="1EE93820"/>
    <w:rsid w:val="256516E0"/>
    <w:rsid w:val="279A02B9"/>
    <w:rsid w:val="2A175C9D"/>
    <w:rsid w:val="2BE73055"/>
    <w:rsid w:val="2E3C5EB8"/>
    <w:rsid w:val="32243F77"/>
    <w:rsid w:val="32472638"/>
    <w:rsid w:val="35F33328"/>
    <w:rsid w:val="36A4650C"/>
    <w:rsid w:val="36B12CEE"/>
    <w:rsid w:val="38807CBE"/>
    <w:rsid w:val="392A4E9D"/>
    <w:rsid w:val="392D1B6C"/>
    <w:rsid w:val="3B7D661D"/>
    <w:rsid w:val="3D172A48"/>
    <w:rsid w:val="3D1967DF"/>
    <w:rsid w:val="3E413EEF"/>
    <w:rsid w:val="42E67EAC"/>
    <w:rsid w:val="4640544A"/>
    <w:rsid w:val="48620C38"/>
    <w:rsid w:val="4AC24C29"/>
    <w:rsid w:val="4B301E4F"/>
    <w:rsid w:val="4CB0342B"/>
    <w:rsid w:val="4FB45D2D"/>
    <w:rsid w:val="507E2F1B"/>
    <w:rsid w:val="55940829"/>
    <w:rsid w:val="55D57747"/>
    <w:rsid w:val="57FB7A59"/>
    <w:rsid w:val="583E218A"/>
    <w:rsid w:val="5954396A"/>
    <w:rsid w:val="5A482E87"/>
    <w:rsid w:val="5C736518"/>
    <w:rsid w:val="5E3E2946"/>
    <w:rsid w:val="61D957A0"/>
    <w:rsid w:val="62137E26"/>
    <w:rsid w:val="63790BD7"/>
    <w:rsid w:val="646D1E0A"/>
    <w:rsid w:val="68C315AF"/>
    <w:rsid w:val="6C2C4AC8"/>
    <w:rsid w:val="6D992397"/>
    <w:rsid w:val="6E320F3E"/>
    <w:rsid w:val="73D91440"/>
    <w:rsid w:val="75F51E6C"/>
    <w:rsid w:val="76D35583"/>
    <w:rsid w:val="7BB1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autoRedefine/>
    <w:unhideWhenUsed/>
    <w:qFormat/>
    <w:uiPriority w:val="39"/>
    <w:pPr>
      <w:spacing w:line="360" w:lineRule="auto"/>
      <w:ind w:left="840" w:leftChars="400"/>
    </w:pPr>
    <w:rPr>
      <w:rFonts w:eastAsia="宋体" w:asciiTheme="minorAscii" w:hAnsiTheme="minorAscii"/>
      <w:sz w:val="24"/>
    </w:rPr>
  </w:style>
  <w:style w:type="paragraph" w:styleId="8">
    <w:name w:val="Plain Text"/>
    <w:basedOn w:val="1"/>
    <w:next w:val="5"/>
    <w:qFormat/>
    <w:uiPriority w:val="0"/>
    <w:rPr>
      <w:rFonts w:ascii="宋体" w:hAnsi="Courier New" w:eastAsia="宋体"/>
      <w:sz w:val="21"/>
      <w:lang w:val="en-US" w:eastAsia="zh-CN" w:bidi="ar-SA"/>
    </w:rPr>
  </w:style>
  <w:style w:type="paragraph" w:styleId="9">
    <w:name w:val="Balloon Text"/>
    <w:basedOn w:val="1"/>
    <w:link w:val="2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spacing w:line="360" w:lineRule="auto"/>
    </w:pPr>
    <w:rPr>
      <w:rFonts w:asciiTheme="minorAscii" w:hAnsiTheme="minorAscii"/>
      <w:sz w:val="24"/>
    </w:rPr>
  </w:style>
  <w:style w:type="paragraph" w:styleId="13">
    <w:name w:val="toc 2"/>
    <w:basedOn w:val="1"/>
    <w:next w:val="1"/>
    <w:autoRedefine/>
    <w:unhideWhenUsed/>
    <w:qFormat/>
    <w:uiPriority w:val="39"/>
    <w:pPr>
      <w:spacing w:line="360" w:lineRule="auto"/>
      <w:ind w:left="420" w:leftChars="200"/>
    </w:pPr>
    <w:rPr>
      <w:rFonts w:eastAsia="宋体" w:asciiTheme="minorAscii" w:hAnsiTheme="minorAscii"/>
      <w:sz w:val="24"/>
    </w:rPr>
  </w:style>
  <w:style w:type="paragraph" w:styleId="14">
    <w:name w:val="annotation subject"/>
    <w:basedOn w:val="6"/>
    <w:next w:val="6"/>
    <w:link w:val="26"/>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annotation reference"/>
    <w:basedOn w:val="17"/>
    <w:semiHidden/>
    <w:unhideWhenUsed/>
    <w:qFormat/>
    <w:uiPriority w:val="99"/>
    <w:rPr>
      <w:sz w:val="21"/>
      <w:szCs w:val="21"/>
    </w:rPr>
  </w:style>
  <w:style w:type="character" w:customStyle="1" w:styleId="20">
    <w:name w:val="标题 1 Char"/>
    <w:basedOn w:val="17"/>
    <w:link w:val="2"/>
    <w:qFormat/>
    <w:uiPriority w:val="9"/>
    <w:rPr>
      <w:b/>
      <w:bCs/>
      <w:kern w:val="44"/>
      <w:sz w:val="44"/>
      <w:szCs w:val="44"/>
    </w:rPr>
  </w:style>
  <w:style w:type="character" w:customStyle="1" w:styleId="21">
    <w:name w:val="标题 2 Char"/>
    <w:basedOn w:val="17"/>
    <w:link w:val="3"/>
    <w:qFormat/>
    <w:uiPriority w:val="9"/>
    <w:rPr>
      <w:rFonts w:asciiTheme="majorHAnsi" w:hAnsiTheme="majorHAnsi" w:eastAsiaTheme="majorEastAsia" w:cstheme="majorBidi"/>
      <w:b/>
      <w:bCs/>
      <w:sz w:val="32"/>
      <w:szCs w:val="32"/>
    </w:rPr>
  </w:style>
  <w:style w:type="character" w:customStyle="1" w:styleId="22">
    <w:name w:val="页眉 Char"/>
    <w:basedOn w:val="17"/>
    <w:link w:val="11"/>
    <w:qFormat/>
    <w:uiPriority w:val="99"/>
    <w:rPr>
      <w:sz w:val="18"/>
      <w:szCs w:val="18"/>
    </w:rPr>
  </w:style>
  <w:style w:type="character" w:customStyle="1" w:styleId="23">
    <w:name w:val="页脚 Char"/>
    <w:basedOn w:val="17"/>
    <w:link w:val="10"/>
    <w:qFormat/>
    <w:uiPriority w:val="99"/>
    <w:rPr>
      <w:sz w:val="18"/>
      <w:szCs w:val="18"/>
    </w:rPr>
  </w:style>
  <w:style w:type="character" w:customStyle="1" w:styleId="24">
    <w:name w:val="标题 3 Char"/>
    <w:basedOn w:val="17"/>
    <w:link w:val="4"/>
    <w:qFormat/>
    <w:uiPriority w:val="9"/>
    <w:rPr>
      <w:b/>
      <w:bCs/>
      <w:sz w:val="32"/>
      <w:szCs w:val="32"/>
    </w:rPr>
  </w:style>
  <w:style w:type="character" w:customStyle="1" w:styleId="25">
    <w:name w:val="批注文字 Char"/>
    <w:basedOn w:val="17"/>
    <w:link w:val="6"/>
    <w:semiHidden/>
    <w:qFormat/>
    <w:uiPriority w:val="99"/>
  </w:style>
  <w:style w:type="character" w:customStyle="1" w:styleId="26">
    <w:name w:val="批注主题 Char"/>
    <w:basedOn w:val="25"/>
    <w:link w:val="14"/>
    <w:semiHidden/>
    <w:qFormat/>
    <w:uiPriority w:val="99"/>
    <w:rPr>
      <w:b/>
      <w:bCs/>
    </w:rPr>
  </w:style>
  <w:style w:type="character" w:customStyle="1" w:styleId="27">
    <w:name w:val="批注框文本 Char"/>
    <w:basedOn w:val="17"/>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FB0CC-FF27-41B4-B327-30637BDBC7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119</Pages>
  <Words>60571</Words>
  <Characters>68978</Characters>
  <Lines>848</Lines>
  <Paragraphs>238</Paragraphs>
  <TotalTime>0</TotalTime>
  <ScaleCrop>false</ScaleCrop>
  <LinksUpToDate>false</LinksUpToDate>
  <CharactersWithSpaces>70342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2024-08-02T03:56:00Z</dcterms:created>
  <dc:creator>刘</dc:creator>
  <cp:lastModifiedBy>栩.</cp:lastModifiedBy>
  <cp:lastPrinted>2025-11-10T12:00:00Z</cp:lastPrinted>
  <dcterms:modified xsi:type="dcterms:W3CDTF">2025-11-11T07:52:35Z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eyJoZGlkIjoiYmNmNzU3YmEyNjk5NTFjZjE0NGQ0YTYwYTBlNDQ4NDAiLCJ1c2VySWQiOiI2NjExMjAxOTUifQ==</vt:lpwstr>
  </property>
  <property fmtid="{D5CDD505-2E9C-101B-9397-08002B2CF9AE}" pid="3" name="KSOProductBuildVer">
    <vt:lpwstr>2052-12.1.0.23125</vt:lpwstr>
  </property>
  <property fmtid="{D5CDD505-2E9C-101B-9397-08002B2CF9AE}" pid="4" name="ICV">
    <vt:lpwstr>C44930EB404546F2BABF2B8A916291EC_12</vt:lpwstr>
  </property>
</Properties>
</file>