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E7B0">
      <w:pPr>
        <w:spacing w:line="600" w:lineRule="exact"/>
        <w:jc w:val="distribute"/>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永道工</w:t>
      </w:r>
      <w:bookmarkStart w:id="160" w:name="_GoBack"/>
      <w:bookmarkEnd w:id="160"/>
      <w:r>
        <w:rPr>
          <w:rFonts w:hint="eastAsia" w:ascii="宋体" w:hAnsi="宋体" w:cs="宋体"/>
          <w:b/>
          <w:color w:val="auto"/>
          <w:sz w:val="52"/>
          <w:szCs w:val="52"/>
          <w:highlight w:val="none"/>
          <w:lang w:eastAsia="zh-CN"/>
        </w:rPr>
        <w:t>程咨询（江苏）有限公司</w:t>
      </w:r>
      <w:r>
        <w:rPr>
          <w:rFonts w:hint="eastAsia" w:ascii="宋体" w:hAnsi="宋体" w:cs="宋体"/>
          <w:b/>
          <w:color w:val="auto"/>
          <w:sz w:val="52"/>
          <w:szCs w:val="52"/>
          <w:highlight w:val="none"/>
        </w:rPr>
        <w:cr/>
      </w:r>
    </w:p>
    <w:p w14:paraId="5E3596C8">
      <w:pPr>
        <w:pStyle w:val="21"/>
        <w:rPr>
          <w:rFonts w:hint="eastAsia" w:ascii="宋体" w:hAnsi="宋体" w:cs="宋体"/>
          <w:b/>
          <w:color w:val="auto"/>
          <w:sz w:val="52"/>
          <w:szCs w:val="52"/>
          <w:highlight w:val="none"/>
        </w:rPr>
      </w:pPr>
    </w:p>
    <w:p w14:paraId="68E0A1CB">
      <w:pPr>
        <w:pStyle w:val="21"/>
        <w:rPr>
          <w:rFonts w:hint="eastAsia" w:ascii="宋体" w:hAnsi="宋体" w:cs="宋体"/>
          <w:b/>
          <w:color w:val="auto"/>
          <w:sz w:val="52"/>
          <w:szCs w:val="52"/>
          <w:highlight w:val="none"/>
        </w:rPr>
      </w:pPr>
    </w:p>
    <w:p w14:paraId="3375843C">
      <w:pPr>
        <w:pStyle w:val="21"/>
        <w:rPr>
          <w:rFonts w:hint="eastAsia" w:ascii="宋体" w:hAnsi="宋体" w:cs="宋体"/>
          <w:b/>
          <w:color w:val="auto"/>
          <w:sz w:val="52"/>
          <w:szCs w:val="52"/>
          <w:highlight w:val="none"/>
        </w:rPr>
      </w:pPr>
    </w:p>
    <w:p w14:paraId="1DAFBF8F">
      <w:pPr>
        <w:jc w:val="center"/>
        <w:rPr>
          <w:rFonts w:hint="eastAsia" w:ascii="宋体" w:hAnsi="宋体" w:cs="宋体"/>
          <w:b/>
          <w:bCs/>
          <w:color w:val="auto"/>
          <w:kern w:val="0"/>
          <w:sz w:val="28"/>
          <w:szCs w:val="28"/>
          <w:highlight w:val="none"/>
        </w:rPr>
      </w:pPr>
      <w:r>
        <w:rPr>
          <w:rFonts w:hint="eastAsia" w:ascii="宋体" w:hAnsi="宋体" w:cs="宋体"/>
          <w:b/>
          <w:color w:val="auto"/>
          <w:sz w:val="72"/>
          <w:szCs w:val="72"/>
          <w:highlight w:val="none"/>
        </w:rPr>
        <w:t>竞争性磋商文件</w:t>
      </w:r>
      <w:r>
        <w:rPr>
          <w:rFonts w:hint="eastAsia" w:ascii="宋体" w:hAnsi="宋体" w:cs="宋体"/>
          <w:b/>
          <w:color w:val="auto"/>
          <w:sz w:val="84"/>
          <w:szCs w:val="84"/>
          <w:highlight w:val="none"/>
        </w:rPr>
        <w:cr/>
      </w:r>
    </w:p>
    <w:p w14:paraId="722D7BD7">
      <w:pPr>
        <w:jc w:val="center"/>
        <w:rPr>
          <w:rFonts w:hint="eastAsia" w:ascii="宋体" w:hAnsi="宋体" w:cs="宋体"/>
          <w:b/>
          <w:bCs/>
          <w:color w:val="auto"/>
          <w:kern w:val="0"/>
          <w:sz w:val="28"/>
          <w:szCs w:val="28"/>
          <w:highlight w:val="none"/>
        </w:rPr>
      </w:pPr>
    </w:p>
    <w:p w14:paraId="0A5749A1">
      <w:pPr>
        <w:pStyle w:val="12"/>
        <w:ind w:firstLine="0" w:firstLineChars="0"/>
        <w:rPr>
          <w:rFonts w:hint="eastAsia"/>
          <w:color w:val="auto"/>
          <w:highlight w:val="none"/>
        </w:rPr>
      </w:pPr>
    </w:p>
    <w:p w14:paraId="7E0E9BD7">
      <w:pPr>
        <w:pStyle w:val="12"/>
        <w:rPr>
          <w:rFonts w:hint="eastAsia"/>
          <w:color w:val="auto"/>
          <w:highlight w:val="none"/>
        </w:rPr>
      </w:pPr>
    </w:p>
    <w:p w14:paraId="756F53FA">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项目名称</w:t>
      </w:r>
      <w:r>
        <w:rPr>
          <w:rFonts w:hint="eastAsia" w:ascii="宋体" w:hAnsi="宋体"/>
          <w:b/>
          <w:bCs/>
          <w:color w:val="auto"/>
          <w:spacing w:val="40"/>
          <w:sz w:val="32"/>
          <w:szCs w:val="32"/>
          <w:highlight w:val="none"/>
          <w:lang w:eastAsia="zh-CN"/>
        </w:rPr>
        <w:t>：桂林高新区火炬统计服务（重）</w:t>
      </w:r>
    </w:p>
    <w:p w14:paraId="0100C94E">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项目编号：</w:t>
      </w:r>
      <w:r>
        <w:rPr>
          <w:rFonts w:hint="eastAsia" w:ascii="宋体" w:hAnsi="宋体"/>
          <w:b/>
          <w:bCs/>
          <w:color w:val="auto"/>
          <w:spacing w:val="40"/>
          <w:sz w:val="32"/>
          <w:szCs w:val="32"/>
          <w:highlight w:val="none"/>
          <w:lang w:eastAsia="zh-CN"/>
        </w:rPr>
        <w:t>GLZC2025-C3-990355-YDGC</w:t>
      </w:r>
    </w:p>
    <w:p w14:paraId="10DF8928">
      <w:pPr>
        <w:ind w:firstLine="0" w:firstLineChars="0"/>
        <w:rPr>
          <w:rFonts w:hint="eastAsia" w:ascii="宋体" w:hAnsi="宋体"/>
          <w:b/>
          <w:bCs/>
          <w:color w:val="auto"/>
          <w:sz w:val="32"/>
          <w:highlight w:val="none"/>
        </w:rPr>
      </w:pPr>
    </w:p>
    <w:p w14:paraId="624247A4">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  购  人：</w:t>
      </w:r>
      <w:r>
        <w:rPr>
          <w:rFonts w:hint="eastAsia" w:ascii="宋体" w:hAnsi="宋体"/>
          <w:b/>
          <w:bCs/>
          <w:color w:val="auto"/>
          <w:sz w:val="32"/>
          <w:highlight w:val="none"/>
          <w:lang w:eastAsia="zh-CN"/>
        </w:rPr>
        <w:t>桂林高新技术产业开发区管理委员会</w:t>
      </w:r>
    </w:p>
    <w:p w14:paraId="27CF2E30">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采购代理机构：</w:t>
      </w:r>
      <w:r>
        <w:rPr>
          <w:rFonts w:hint="eastAsia" w:ascii="宋体" w:hAnsi="宋体"/>
          <w:b/>
          <w:bCs/>
          <w:color w:val="auto"/>
          <w:sz w:val="32"/>
          <w:highlight w:val="none"/>
          <w:lang w:eastAsia="zh-CN"/>
        </w:rPr>
        <w:t>永道工程咨询（江苏）有限公司</w:t>
      </w:r>
    </w:p>
    <w:p w14:paraId="1C7CB358">
      <w:pPr>
        <w:jc w:val="center"/>
        <w:rPr>
          <w:rFonts w:hint="eastAsia" w:ascii="宋体" w:hAnsi="宋体"/>
          <w:b/>
          <w:bCs/>
          <w:color w:val="auto"/>
          <w:sz w:val="32"/>
          <w:highlight w:val="none"/>
        </w:rPr>
      </w:pPr>
    </w:p>
    <w:p w14:paraId="6DB97795">
      <w:pPr>
        <w:jc w:val="center"/>
        <w:rPr>
          <w:rFonts w:hint="eastAsia" w:ascii="宋体" w:hAnsi="宋体"/>
          <w:b/>
          <w:bCs/>
          <w:color w:val="auto"/>
          <w:sz w:val="32"/>
          <w:highlight w:val="none"/>
        </w:rPr>
      </w:pPr>
      <w:r>
        <w:rPr>
          <w:rFonts w:hint="eastAsia" w:ascii="宋体" w:hAnsi="宋体"/>
          <w:b/>
          <w:bCs/>
          <w:color w:val="auto"/>
          <w:sz w:val="32"/>
          <w:highlight w:val="none"/>
        </w:rPr>
        <w:t>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7</w:t>
      </w:r>
      <w:r>
        <w:rPr>
          <w:rFonts w:hint="eastAsia" w:ascii="宋体" w:hAnsi="宋体"/>
          <w:b/>
          <w:bCs/>
          <w:color w:val="auto"/>
          <w:sz w:val="32"/>
          <w:highlight w:val="none"/>
        </w:rPr>
        <w:t>月</w:t>
      </w:r>
    </w:p>
    <w:p w14:paraId="7164662A">
      <w:pPr>
        <w:pStyle w:val="12"/>
        <w:spacing w:line="420" w:lineRule="exact"/>
        <w:jc w:val="center"/>
        <w:rPr>
          <w:rFonts w:hint="eastAsia" w:ascii="隶书" w:eastAsia="隶书"/>
          <w:color w:val="auto"/>
          <w:sz w:val="44"/>
          <w:highlight w:val="none"/>
        </w:rPr>
      </w:pPr>
      <w:r>
        <w:rPr>
          <w:rFonts w:ascii="隶书" w:eastAsia="隶书"/>
          <w:color w:val="auto"/>
          <w:sz w:val="44"/>
          <w:highlight w:val="none"/>
        </w:rPr>
        <w:br w:type="page"/>
      </w:r>
    </w:p>
    <w:p w14:paraId="03DE1566">
      <w:pPr>
        <w:pStyle w:val="12"/>
        <w:spacing w:line="420" w:lineRule="exact"/>
        <w:jc w:val="center"/>
        <w:rPr>
          <w:rFonts w:hint="eastAsia" w:hAnsi="宋体" w:cs="宋体"/>
          <w:b/>
          <w:bCs/>
          <w:color w:val="auto"/>
          <w:sz w:val="44"/>
          <w:highlight w:val="none"/>
        </w:rPr>
      </w:pPr>
      <w:r>
        <w:rPr>
          <w:rFonts w:hint="eastAsia" w:hAnsi="宋体" w:cs="宋体"/>
          <w:b/>
          <w:bCs/>
          <w:color w:val="auto"/>
          <w:sz w:val="44"/>
          <w:highlight w:val="none"/>
        </w:rPr>
        <w:t>目     录</w:t>
      </w:r>
    </w:p>
    <w:p w14:paraId="7A258301">
      <w:pPr>
        <w:pStyle w:val="16"/>
        <w:tabs>
          <w:tab w:val="right" w:leader="dot" w:pos="8823"/>
        </w:tabs>
        <w:spacing w:line="480" w:lineRule="auto"/>
        <w:ind w:left="0" w:leftChars="0"/>
        <w:rPr>
          <w:rFonts w:hint="eastAsia"/>
          <w:color w:val="auto"/>
          <w:highlight w:val="none"/>
        </w:rPr>
      </w:pPr>
    </w:p>
    <w:p w14:paraId="56EFCB21">
      <w:pPr>
        <w:pStyle w:val="16"/>
        <w:tabs>
          <w:tab w:val="right" w:leader="dot" w:pos="8823"/>
        </w:tabs>
        <w:spacing w:line="480" w:lineRule="auto"/>
        <w:ind w:left="0" w:leftChars="0" w:firstLine="640" w:firstLineChars="200"/>
        <w:rPr>
          <w:rFonts w:ascii="宋体" w:cs="宋体"/>
          <w:color w:val="auto"/>
          <w:sz w:val="32"/>
          <w:szCs w:val="32"/>
          <w:highlight w:val="none"/>
        </w:rPr>
      </w:pPr>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r>
        <w:rPr>
          <w:rFonts w:hint="eastAsia" w:ascii="宋体" w:cs="宋体"/>
          <w:color w:val="auto"/>
          <w:sz w:val="32"/>
          <w:szCs w:val="32"/>
          <w:highlight w:val="none"/>
        </w:rPr>
        <w:t>…………………………………………</w:t>
      </w:r>
      <w:r>
        <w:rPr>
          <w:rFonts w:hint="eastAsia" w:ascii="宋体" w:hAnsi="宋体" w:cs="宋体"/>
          <w:color w:val="auto"/>
          <w:sz w:val="32"/>
          <w:szCs w:val="32"/>
          <w:highlight w:val="none"/>
        </w:rPr>
        <w:t>3</w:t>
      </w:r>
    </w:p>
    <w:p w14:paraId="16D7F151">
      <w:pPr>
        <w:pStyle w:val="14"/>
        <w:tabs>
          <w:tab w:val="right" w:leader="dot" w:pos="8823"/>
        </w:tabs>
        <w:spacing w:line="48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供应商须知</w:t>
      </w:r>
      <w:r>
        <w:rPr>
          <w:rFonts w:hint="eastAsia" w:ascii="宋体" w:cs="宋体"/>
          <w:color w:val="auto"/>
          <w:sz w:val="32"/>
          <w:szCs w:val="32"/>
          <w:highlight w:val="none"/>
        </w:rPr>
        <w:t>………………………………………………</w:t>
      </w:r>
      <w:r>
        <w:rPr>
          <w:rFonts w:hint="eastAsia" w:ascii="宋体" w:hAnsi="宋体" w:cs="宋体"/>
          <w:color w:val="auto"/>
          <w:sz w:val="32"/>
          <w:szCs w:val="32"/>
          <w:highlight w:val="none"/>
        </w:rPr>
        <w:t>6</w:t>
      </w:r>
    </w:p>
    <w:p w14:paraId="029989A5">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第三章　服务采购需求</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3</w:t>
      </w:r>
    </w:p>
    <w:p w14:paraId="59FFA258">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 评审办法</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5</w:t>
      </w:r>
    </w:p>
    <w:p w14:paraId="78CF70C2">
      <w:pPr>
        <w:pStyle w:val="16"/>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采购合同（合同主要条款及格式）</w:t>
      </w:r>
      <w:r>
        <w:rPr>
          <w:rFonts w:hint="eastAsia" w:ascii="宋体" w:cs="宋体"/>
          <w:color w:val="auto"/>
          <w:sz w:val="32"/>
          <w:szCs w:val="32"/>
          <w:highlight w:val="none"/>
        </w:rPr>
        <w:t>……………………</w:t>
      </w:r>
      <w:r>
        <w:rPr>
          <w:rFonts w:hint="eastAsia" w:ascii="宋体" w:hAnsi="宋体" w:cs="宋体"/>
          <w:color w:val="auto"/>
          <w:sz w:val="32"/>
          <w:szCs w:val="32"/>
          <w:highlight w:val="none"/>
        </w:rPr>
        <w:t>3</w:t>
      </w:r>
      <w:r>
        <w:rPr>
          <w:rFonts w:hint="eastAsia" w:ascii="宋体" w:hAnsi="宋体" w:cs="宋体"/>
          <w:color w:val="auto"/>
          <w:sz w:val="32"/>
          <w:szCs w:val="32"/>
          <w:highlight w:val="none"/>
          <w:lang w:val="en-US" w:eastAsia="zh-CN"/>
        </w:rPr>
        <w:t>2</w:t>
      </w:r>
    </w:p>
    <w:p w14:paraId="7F2685A8">
      <w:pPr>
        <w:spacing w:line="480" w:lineRule="auto"/>
        <w:ind w:firstLine="640" w:firstLineChars="200"/>
        <w:jc w:val="left"/>
        <w:rPr>
          <w:rFonts w:hint="default" w:ascii="宋体" w:hAnsi="宋体" w:eastAsia="宋体" w:cs="宋体"/>
          <w:snapToGrid w:val="0"/>
          <w:color w:val="auto"/>
          <w:kern w:val="0"/>
          <w:sz w:val="32"/>
          <w:szCs w:val="32"/>
          <w:highlight w:val="none"/>
          <w:lang w:val="en-US" w:eastAsia="zh-CN"/>
        </w:rPr>
      </w:pPr>
      <w:r>
        <w:rPr>
          <w:rFonts w:hint="eastAsia" w:ascii="宋体" w:hAnsi="宋体" w:cs="宋体"/>
          <w:snapToGrid w:val="0"/>
          <w:color w:val="auto"/>
          <w:kern w:val="0"/>
          <w:sz w:val="32"/>
          <w:szCs w:val="32"/>
          <w:highlight w:val="none"/>
        </w:rPr>
        <w:t>第六章</w:t>
      </w:r>
      <w:r>
        <w:rPr>
          <w:rFonts w:ascii="宋体" w:hAnsi="宋体" w:cs="宋体"/>
          <w:snapToGrid w:val="0"/>
          <w:color w:val="auto"/>
          <w:kern w:val="0"/>
          <w:sz w:val="32"/>
          <w:szCs w:val="32"/>
          <w:highlight w:val="none"/>
        </w:rPr>
        <w:t xml:space="preserve"> </w:t>
      </w:r>
      <w:r>
        <w:rPr>
          <w:rFonts w:hint="eastAsia" w:ascii="宋体" w:hAnsi="宋体" w:cs="宋体"/>
          <w:snapToGrid w:val="0"/>
          <w:color w:val="auto"/>
          <w:kern w:val="0"/>
          <w:sz w:val="32"/>
          <w:szCs w:val="32"/>
          <w:highlight w:val="none"/>
        </w:rPr>
        <w:t xml:space="preserve"> 磋商响应文件（格式）…………………………………</w:t>
      </w:r>
      <w:r>
        <w:rPr>
          <w:rFonts w:hint="eastAsia" w:ascii="宋体" w:hAnsi="宋体" w:cs="宋体"/>
          <w:snapToGrid w:val="0"/>
          <w:color w:val="auto"/>
          <w:kern w:val="0"/>
          <w:sz w:val="32"/>
          <w:szCs w:val="32"/>
          <w:highlight w:val="none"/>
          <w:lang w:val="en-US" w:eastAsia="zh-CN"/>
        </w:rPr>
        <w:t>36</w:t>
      </w:r>
    </w:p>
    <w:p w14:paraId="5B0A7060">
      <w:pPr>
        <w:spacing w:line="480" w:lineRule="auto"/>
        <w:jc w:val="left"/>
        <w:rPr>
          <w:rFonts w:hint="eastAsia" w:ascii="宋体" w:hAnsi="宋体" w:cs="宋体"/>
          <w:snapToGrid w:val="0"/>
          <w:color w:val="auto"/>
          <w:kern w:val="0"/>
          <w:sz w:val="32"/>
          <w:szCs w:val="32"/>
          <w:highlight w:val="none"/>
        </w:rPr>
      </w:pPr>
    </w:p>
    <w:p w14:paraId="59E0C8A6">
      <w:pPr>
        <w:spacing w:line="480" w:lineRule="auto"/>
        <w:jc w:val="left"/>
        <w:rPr>
          <w:rFonts w:hint="eastAsia" w:ascii="宋体" w:hAnsi="宋体" w:cs="宋体"/>
          <w:snapToGrid w:val="0"/>
          <w:color w:val="auto"/>
          <w:kern w:val="0"/>
          <w:sz w:val="32"/>
          <w:szCs w:val="32"/>
          <w:highlight w:val="none"/>
        </w:rPr>
      </w:pPr>
    </w:p>
    <w:p w14:paraId="5D7E9CD7">
      <w:pPr>
        <w:spacing w:line="480" w:lineRule="auto"/>
        <w:jc w:val="left"/>
        <w:rPr>
          <w:rFonts w:hint="eastAsia" w:ascii="宋体" w:hAnsi="宋体" w:cs="宋体"/>
          <w:snapToGrid w:val="0"/>
          <w:color w:val="auto"/>
          <w:kern w:val="0"/>
          <w:sz w:val="32"/>
          <w:szCs w:val="32"/>
          <w:highlight w:val="none"/>
        </w:rPr>
      </w:pPr>
    </w:p>
    <w:p w14:paraId="67BF6A0B">
      <w:pPr>
        <w:spacing w:line="480" w:lineRule="auto"/>
        <w:jc w:val="left"/>
        <w:rPr>
          <w:rFonts w:hint="eastAsia" w:ascii="宋体" w:hAnsi="宋体" w:cs="宋体"/>
          <w:snapToGrid w:val="0"/>
          <w:color w:val="auto"/>
          <w:kern w:val="0"/>
          <w:sz w:val="32"/>
          <w:szCs w:val="32"/>
          <w:highlight w:val="none"/>
        </w:rPr>
      </w:pPr>
    </w:p>
    <w:p w14:paraId="1E6D3566">
      <w:pPr>
        <w:spacing w:line="480" w:lineRule="auto"/>
        <w:jc w:val="left"/>
        <w:rPr>
          <w:rFonts w:hint="eastAsia" w:ascii="宋体" w:hAnsi="宋体" w:cs="宋体"/>
          <w:snapToGrid w:val="0"/>
          <w:color w:val="auto"/>
          <w:kern w:val="0"/>
          <w:sz w:val="32"/>
          <w:szCs w:val="32"/>
          <w:highlight w:val="none"/>
        </w:rPr>
      </w:pPr>
    </w:p>
    <w:p w14:paraId="3E414253">
      <w:pPr>
        <w:spacing w:line="480" w:lineRule="auto"/>
        <w:jc w:val="left"/>
        <w:rPr>
          <w:rFonts w:hint="eastAsia" w:ascii="宋体" w:hAnsi="宋体" w:cs="宋体"/>
          <w:snapToGrid w:val="0"/>
          <w:color w:val="auto"/>
          <w:kern w:val="0"/>
          <w:sz w:val="32"/>
          <w:szCs w:val="32"/>
          <w:highlight w:val="none"/>
        </w:rPr>
      </w:pPr>
    </w:p>
    <w:p w14:paraId="51C80889">
      <w:pPr>
        <w:pStyle w:val="6"/>
        <w:rPr>
          <w:rFonts w:hint="eastAsia" w:ascii="宋体" w:hAnsi="宋体" w:cs="宋体"/>
          <w:snapToGrid w:val="0"/>
          <w:color w:val="auto"/>
          <w:kern w:val="0"/>
          <w:highlight w:val="none"/>
        </w:rPr>
      </w:pPr>
    </w:p>
    <w:p w14:paraId="19D509CC">
      <w:pPr>
        <w:rPr>
          <w:rFonts w:hint="eastAsia" w:ascii="宋体" w:hAnsi="宋体" w:cs="宋体"/>
          <w:snapToGrid w:val="0"/>
          <w:color w:val="auto"/>
          <w:kern w:val="0"/>
          <w:sz w:val="32"/>
          <w:szCs w:val="32"/>
          <w:highlight w:val="none"/>
        </w:rPr>
      </w:pPr>
    </w:p>
    <w:p w14:paraId="01612544">
      <w:pPr>
        <w:pStyle w:val="6"/>
        <w:rPr>
          <w:rFonts w:hint="eastAsia"/>
          <w:color w:val="auto"/>
          <w:highlight w:val="none"/>
        </w:rPr>
      </w:pPr>
    </w:p>
    <w:p w14:paraId="4539DAE7">
      <w:pPr>
        <w:spacing w:line="480" w:lineRule="auto"/>
        <w:jc w:val="left"/>
        <w:rPr>
          <w:rFonts w:hint="eastAsia" w:ascii="宋体" w:hAnsi="宋体" w:cs="宋体"/>
          <w:snapToGrid w:val="0"/>
          <w:color w:val="auto"/>
          <w:kern w:val="0"/>
          <w:sz w:val="32"/>
          <w:szCs w:val="32"/>
          <w:highlight w:val="none"/>
        </w:rPr>
      </w:pPr>
    </w:p>
    <w:p w14:paraId="1BB81A77">
      <w:pPr>
        <w:spacing w:line="480" w:lineRule="auto"/>
        <w:jc w:val="left"/>
        <w:rPr>
          <w:rFonts w:hint="eastAsia" w:ascii="宋体" w:hAnsi="宋体" w:cs="宋体"/>
          <w:snapToGrid w:val="0"/>
          <w:color w:val="auto"/>
          <w:kern w:val="0"/>
          <w:sz w:val="32"/>
          <w:szCs w:val="32"/>
          <w:highlight w:val="none"/>
        </w:rPr>
      </w:pPr>
    </w:p>
    <w:p w14:paraId="6EDB8A59">
      <w:pPr>
        <w:spacing w:line="480" w:lineRule="auto"/>
        <w:jc w:val="left"/>
        <w:rPr>
          <w:rFonts w:hint="eastAsia" w:ascii="宋体" w:hAnsi="宋体" w:cs="宋体"/>
          <w:snapToGrid w:val="0"/>
          <w:color w:val="auto"/>
          <w:kern w:val="0"/>
          <w:sz w:val="32"/>
          <w:szCs w:val="32"/>
          <w:highlight w:val="none"/>
        </w:rPr>
      </w:pPr>
    </w:p>
    <w:p w14:paraId="4CD8DBAF">
      <w:pPr>
        <w:spacing w:line="480" w:lineRule="exact"/>
        <w:rPr>
          <w:rFonts w:hint="eastAsia" w:ascii="宋体" w:hAnsi="宋体"/>
          <w:b/>
          <w:color w:val="auto"/>
          <w:sz w:val="32"/>
          <w:szCs w:val="32"/>
          <w:highlight w:val="none"/>
        </w:rPr>
      </w:pPr>
    </w:p>
    <w:p w14:paraId="4BA5A4E9">
      <w:pPr>
        <w:numPr>
          <w:ilvl w:val="0"/>
          <w:numId w:val="1"/>
        </w:numPr>
        <w:spacing w:line="480" w:lineRule="exact"/>
        <w:jc w:val="center"/>
        <w:rPr>
          <w:rFonts w:hint="eastAsia"/>
          <w:b/>
          <w:color w:val="auto"/>
          <w:sz w:val="32"/>
          <w:szCs w:val="32"/>
          <w:highlight w:val="none"/>
        </w:rPr>
      </w:pPr>
      <w:r>
        <w:rPr>
          <w:rFonts w:hint="eastAsia" w:ascii="宋体" w:hAnsi="宋体"/>
          <w:b/>
          <w:color w:val="auto"/>
          <w:sz w:val="32"/>
          <w:szCs w:val="32"/>
          <w:highlight w:val="none"/>
        </w:rPr>
        <w:t>竞争性磋商公告</w:t>
      </w:r>
    </w:p>
    <w:tbl>
      <w:tblPr>
        <w:tblStyle w:val="18"/>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14:paraId="672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67" w:type="dxa"/>
            <w:noWrap w:val="0"/>
            <w:vAlign w:val="top"/>
          </w:tcPr>
          <w:p w14:paraId="1D2C7D2C">
            <w:pPr>
              <w:spacing w:line="38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23F552B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color w:val="auto"/>
                <w:highlight w:val="none"/>
                <w:u w:val="single"/>
                <w:lang w:eastAsia="zh-CN"/>
              </w:rPr>
              <w:t>桂林高新区火炬统计服务（重）</w:t>
            </w:r>
            <w:r>
              <w:rPr>
                <w:rFonts w:hint="eastAsia" w:ascii="宋体" w:hAnsi="宋体" w:cs="宋体"/>
                <w:color w:val="auto"/>
                <w:highlight w:val="none"/>
                <w:u w:val="single"/>
              </w:rPr>
              <w:t xml:space="preserve"> </w:t>
            </w:r>
            <w:r>
              <w:rPr>
                <w:rFonts w:hint="eastAsia"/>
                <w:color w:val="auto"/>
                <w:highlight w:val="none"/>
              </w:rPr>
              <w:t>采购</w:t>
            </w:r>
            <w:r>
              <w:rPr>
                <w:rFonts w:hint="eastAsia" w:ascii="宋体" w:hAnsi="宋体" w:cs="宋体"/>
                <w:color w:val="auto"/>
                <w:highlight w:val="none"/>
              </w:rPr>
              <w:t>项目的潜在供应商应在 “</w:t>
            </w:r>
            <w:r>
              <w:rPr>
                <w:rFonts w:hint="eastAsia" w:ascii="宋体" w:hAnsi="宋体" w:cs="宋体"/>
                <w:color w:val="auto"/>
                <w:highlight w:val="none"/>
                <w:lang w:eastAsia="zh-CN"/>
              </w:rPr>
              <w:t>广西政府采购云平台</w:t>
            </w:r>
            <w:r>
              <w:rPr>
                <w:rFonts w:hint="eastAsia" w:ascii="宋体" w:hAnsi="宋体" w:cs="宋体"/>
                <w:color w:val="auto"/>
                <w:highlight w:val="none"/>
              </w:rPr>
              <w:t>”平台（https://www.gcy.zfcg.gxzf.gov.cn/）下载</w:t>
            </w:r>
            <w:r>
              <w:rPr>
                <w:rFonts w:hint="eastAsia" w:ascii="宋体" w:hAnsi="宋体" w:cs="宋体"/>
                <w:color w:val="auto"/>
                <w:highlight w:val="none"/>
                <w:lang w:eastAsia="zh-CN"/>
              </w:rPr>
              <w:t>采购</w:t>
            </w:r>
            <w:r>
              <w:rPr>
                <w:rFonts w:hint="eastAsia" w:ascii="宋体" w:hAnsi="宋体" w:cs="宋体"/>
                <w:color w:val="auto"/>
                <w:highlight w:val="none"/>
              </w:rPr>
              <w:t>文件电子版，并于2</w:t>
            </w:r>
            <w:r>
              <w:rPr>
                <w:rFonts w:hint="eastAsia" w:ascii="宋体" w:hAnsi="宋体" w:cs="宋体"/>
                <w:color w:val="auto"/>
                <w:highlight w:val="none"/>
                <w:lang w:val="en-US" w:eastAsia="zh-CN"/>
              </w:rPr>
              <w:t>025</w:t>
            </w:r>
            <w:r>
              <w:rPr>
                <w:rFonts w:hint="eastAsia" w:ascii="宋体" w:hAnsi="宋体" w:cs="宋体"/>
                <w:color w:val="auto"/>
                <w:highlight w:val="none"/>
              </w:rPr>
              <w:t>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11</w:t>
            </w:r>
            <w:r>
              <w:rPr>
                <w:rFonts w:hint="eastAsia" w:ascii="宋体" w:hAnsi="宋体" w:cs="宋体"/>
                <w:color w:val="auto"/>
                <w:highlight w:val="none"/>
              </w:rPr>
              <w:t>日</w:t>
            </w:r>
            <w:r>
              <w:rPr>
                <w:rFonts w:hint="eastAsia" w:ascii="宋体" w:hAnsi="宋体" w:cs="宋体"/>
                <w:color w:val="auto"/>
                <w:highlight w:val="none"/>
                <w:lang w:val="en-US" w:eastAsia="zh-CN"/>
              </w:rPr>
              <w:t>09</w:t>
            </w:r>
            <w:r>
              <w:rPr>
                <w:rFonts w:hint="eastAsia" w:ascii="宋体" w:hAnsi="宋体" w:cs="宋体"/>
                <w:color w:val="auto"/>
                <w:highlight w:val="none"/>
              </w:rPr>
              <w:t>时30分（北京时间）前提交响应文件。</w:t>
            </w:r>
          </w:p>
        </w:tc>
      </w:tr>
    </w:tbl>
    <w:p w14:paraId="01554AE6">
      <w:pPr>
        <w:spacing w:line="380" w:lineRule="exact"/>
        <w:outlineLvl w:val="1"/>
        <w:rPr>
          <w:rFonts w:hint="eastAsia" w:ascii="宋体" w:hAnsi="宋体" w:cs="宋体"/>
          <w:color w:val="auto"/>
          <w:szCs w:val="21"/>
          <w:highlight w:val="none"/>
        </w:rPr>
      </w:pPr>
      <w:bookmarkStart w:id="0" w:name="_Toc28359012"/>
      <w:bookmarkStart w:id="1" w:name="_Toc35393629"/>
      <w:bookmarkStart w:id="2" w:name="_Toc28359089"/>
      <w:bookmarkStart w:id="3" w:name="_Toc35393798"/>
      <w:bookmarkStart w:id="4" w:name="_Toc16171"/>
      <w:r>
        <w:rPr>
          <w:rFonts w:hint="eastAsia" w:ascii="宋体" w:hAnsi="宋体" w:cs="宋体"/>
          <w:b/>
          <w:bCs/>
          <w:color w:val="auto"/>
          <w:szCs w:val="21"/>
          <w:highlight w:val="none"/>
        </w:rPr>
        <w:t>一、项目基本情况</w:t>
      </w:r>
      <w:bookmarkEnd w:id="0"/>
      <w:bookmarkEnd w:id="1"/>
      <w:bookmarkEnd w:id="2"/>
      <w:bookmarkEnd w:id="3"/>
      <w:bookmarkEnd w:id="4"/>
    </w:p>
    <w:p w14:paraId="68FA8FF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GLZC2025-C3-990355-YDGC</w:t>
      </w:r>
    </w:p>
    <w:p w14:paraId="25D6ABA6">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2、项目名称：</w:t>
      </w:r>
      <w:r>
        <w:rPr>
          <w:rFonts w:hint="eastAsia"/>
          <w:color w:val="auto"/>
          <w:highlight w:val="none"/>
          <w:lang w:eastAsia="zh-CN"/>
        </w:rPr>
        <w:t>桂林高新区火炬统计服务（重）</w:t>
      </w:r>
      <w:r>
        <w:rPr>
          <w:rFonts w:hint="eastAsia" w:ascii="宋体" w:hAnsi="宋体" w:cs="宋体"/>
          <w:color w:val="auto"/>
          <w:szCs w:val="21"/>
          <w:highlight w:val="none"/>
        </w:rPr>
        <w:t xml:space="preserve"> </w:t>
      </w:r>
    </w:p>
    <w:p w14:paraId="50DB523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olor w:val="auto"/>
          <w:szCs w:val="21"/>
          <w:highlight w:val="none"/>
        </w:rPr>
        <w:t xml:space="preserve">□ 竞争性谈判 ☑竞争性磋商 </w:t>
      </w:r>
      <w:r>
        <w:rPr>
          <w:rFonts w:hint="eastAsia" w:ascii="宋体" w:hAnsi="宋体"/>
          <w:color w:val="auto"/>
          <w:szCs w:val="21"/>
          <w:highlight w:val="none"/>
        </w:rPr>
        <w:sym w:font="Wingdings 2" w:char="00A3"/>
      </w:r>
      <w:r>
        <w:rPr>
          <w:rFonts w:hint="eastAsia" w:ascii="宋体" w:hAnsi="宋体"/>
          <w:color w:val="auto"/>
          <w:szCs w:val="21"/>
          <w:highlight w:val="none"/>
        </w:rPr>
        <w:t>询价</w:t>
      </w:r>
    </w:p>
    <w:p w14:paraId="472385E3">
      <w:pPr>
        <w:spacing w:line="380" w:lineRule="exact"/>
        <w:ind w:firstLine="420" w:firstLineChars="200"/>
        <w:rPr>
          <w:rFonts w:hint="default" w:ascii="宋体" w:hAnsi="宋体" w:eastAsia="宋体" w:cs="Times New Roman"/>
          <w:color w:val="auto"/>
          <w:szCs w:val="21"/>
          <w:highlight w:val="none"/>
          <w:lang w:val="en-US" w:eastAsia="zh-CN"/>
        </w:rPr>
      </w:pPr>
      <w:bookmarkStart w:id="5" w:name="_Toc22142"/>
      <w:bookmarkStart w:id="6" w:name="_Toc26032"/>
      <w:bookmarkStart w:id="7" w:name="_Toc15911"/>
      <w:bookmarkStart w:id="8" w:name="_Toc2148"/>
      <w:r>
        <w:rPr>
          <w:rFonts w:hint="eastAsia" w:ascii="宋体" w:hAnsi="宋体" w:cs="宋体"/>
          <w:color w:val="auto"/>
          <w:szCs w:val="21"/>
          <w:highlight w:val="none"/>
        </w:rPr>
        <w:t>4、采购预算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金额：</w:t>
      </w:r>
      <w:bookmarkEnd w:id="5"/>
      <w:bookmarkEnd w:id="6"/>
      <w:bookmarkEnd w:id="7"/>
      <w:bookmarkEnd w:id="8"/>
      <w:r>
        <w:rPr>
          <w:rFonts w:hint="eastAsia" w:ascii="宋体" w:hAnsi="宋体" w:cs="宋体"/>
          <w:color w:val="auto"/>
          <w:szCs w:val="21"/>
          <w:highlight w:val="none"/>
          <w:lang w:val="en-US" w:eastAsia="zh-CN"/>
        </w:rPr>
        <w:t>陆拾万元零角零分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600000.00</w:t>
      </w:r>
      <w:r>
        <w:rPr>
          <w:rFonts w:hint="eastAsia" w:ascii="宋体" w:hAnsi="宋体" w:cs="宋体"/>
          <w:color w:val="auto"/>
          <w:szCs w:val="21"/>
          <w:highlight w:val="none"/>
        </w:rPr>
        <w:t>元）</w:t>
      </w:r>
      <w:r>
        <w:rPr>
          <w:rFonts w:hint="eastAsia" w:ascii="宋体" w:hAnsi="宋体" w:eastAsia="宋体" w:cs="Times New Roman"/>
          <w:color w:val="auto"/>
          <w:szCs w:val="21"/>
          <w:highlight w:val="none"/>
        </w:rPr>
        <w:t>。</w:t>
      </w:r>
    </w:p>
    <w:p w14:paraId="19AF6C25">
      <w:pPr>
        <w:spacing w:line="380" w:lineRule="exact"/>
        <w:ind w:firstLine="420" w:firstLineChars="200"/>
        <w:outlineLvl w:val="2"/>
        <w:rPr>
          <w:rFonts w:hint="eastAsia" w:ascii="宋体" w:hAnsi="宋体" w:cs="宋体"/>
          <w:color w:val="auto"/>
          <w:szCs w:val="21"/>
          <w:highlight w:val="none"/>
        </w:rPr>
      </w:pPr>
      <w:bookmarkStart w:id="9" w:name="_Toc27692"/>
      <w:bookmarkStart w:id="10" w:name="_Toc4369"/>
      <w:bookmarkStart w:id="11" w:name="_Toc5166"/>
      <w:r>
        <w:rPr>
          <w:rFonts w:hint="eastAsia" w:ascii="宋体" w:hAnsi="宋体" w:cs="宋体"/>
          <w:color w:val="auto"/>
          <w:szCs w:val="21"/>
          <w:highlight w:val="none"/>
        </w:rPr>
        <w:t>5、采购需求：</w:t>
      </w:r>
      <w:bookmarkEnd w:id="9"/>
      <w:bookmarkEnd w:id="10"/>
      <w:bookmarkEnd w:id="11"/>
    </w:p>
    <w:tbl>
      <w:tblPr>
        <w:tblStyle w:val="18"/>
        <w:tblW w:w="0" w:type="auto"/>
        <w:tblInd w:w="5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375"/>
        <w:gridCol w:w="688"/>
        <w:gridCol w:w="675"/>
        <w:gridCol w:w="3613"/>
      </w:tblGrid>
      <w:tr w14:paraId="72296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3BDE5E8D">
            <w:pPr>
              <w:snapToGrid w:val="0"/>
              <w:spacing w:line="380" w:lineRule="exact"/>
              <w:jc w:val="center"/>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标项号</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A9224B3">
            <w:pPr>
              <w:snapToGrid w:val="0"/>
              <w:spacing w:line="380" w:lineRule="exact"/>
              <w:jc w:val="center"/>
              <w:rPr>
                <w:rFonts w:hint="eastAsia" w:hAnsi="宋体" w:cs="宋体"/>
                <w:color w:val="auto"/>
                <w:szCs w:val="21"/>
                <w:highlight w:val="none"/>
              </w:rPr>
            </w:pPr>
            <w:r>
              <w:rPr>
                <w:rFonts w:hint="eastAsia"/>
                <w:b/>
                <w:bCs/>
                <w:color w:val="auto"/>
                <w:szCs w:val="21"/>
                <w:highlight w:val="none"/>
                <w:lang w:val="en-US" w:eastAsia="zh-CN"/>
              </w:rPr>
              <w:t>标项</w:t>
            </w:r>
            <w:r>
              <w:rPr>
                <w:b/>
                <w:bCs/>
                <w:color w:val="auto"/>
                <w:szCs w:val="21"/>
                <w:highlight w:val="none"/>
              </w:rPr>
              <w:t>名称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7C58CA7">
            <w:pPr>
              <w:snapToGrid w:val="0"/>
              <w:spacing w:line="380" w:lineRule="exact"/>
              <w:jc w:val="center"/>
              <w:rPr>
                <w:rFonts w:hint="eastAsia" w:ascii="宋体" w:hAnsi="宋体" w:cs="宋体"/>
                <w:color w:val="auto"/>
                <w:kern w:val="0"/>
                <w:szCs w:val="21"/>
                <w:highlight w:val="none"/>
              </w:rPr>
            </w:pPr>
            <w:r>
              <w:rPr>
                <w:b/>
                <w:bCs/>
                <w:color w:val="auto"/>
                <w:szCs w:val="21"/>
                <w:highlight w:val="none"/>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E845CF">
            <w:pPr>
              <w:snapToGrid w:val="0"/>
              <w:spacing w:line="380" w:lineRule="exact"/>
              <w:jc w:val="center"/>
              <w:rPr>
                <w:rFonts w:hint="eastAsia" w:ascii="宋体" w:hAnsi="宋体" w:cs="宋体"/>
                <w:color w:val="auto"/>
                <w:kern w:val="0"/>
                <w:szCs w:val="21"/>
                <w:highlight w:val="none"/>
              </w:rPr>
            </w:pPr>
            <w:r>
              <w:rPr>
                <w:b/>
                <w:bCs/>
                <w:color w:val="auto"/>
                <w:szCs w:val="21"/>
                <w:highlight w:val="none"/>
              </w:rPr>
              <w:t>单位</w:t>
            </w:r>
          </w:p>
        </w:tc>
        <w:tc>
          <w:tcPr>
            <w:tcW w:w="3613" w:type="dxa"/>
            <w:tcBorders>
              <w:top w:val="single" w:color="auto" w:sz="4" w:space="0"/>
              <w:left w:val="single" w:color="auto" w:sz="4" w:space="0"/>
              <w:right w:val="single" w:color="auto" w:sz="4" w:space="0"/>
            </w:tcBorders>
            <w:noWrap w:val="0"/>
            <w:vAlign w:val="center"/>
          </w:tcPr>
          <w:p w14:paraId="5AB49C76">
            <w:pPr>
              <w:snapToGrid w:val="0"/>
              <w:spacing w:line="380" w:lineRule="exact"/>
              <w:jc w:val="center"/>
              <w:rPr>
                <w:color w:val="auto"/>
                <w:szCs w:val="21"/>
                <w:highlight w:val="none"/>
                <w:u w:val="single"/>
              </w:rPr>
            </w:pPr>
            <w:r>
              <w:rPr>
                <w:b/>
                <w:bCs/>
                <w:color w:val="auto"/>
                <w:szCs w:val="21"/>
                <w:highlight w:val="none"/>
              </w:rPr>
              <w:t>简要技术需求或者服务要求</w:t>
            </w:r>
          </w:p>
        </w:tc>
      </w:tr>
      <w:tr w14:paraId="62D97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1D807297">
            <w:pPr>
              <w:widowControl/>
              <w:spacing w:line="380" w:lineRule="exact"/>
              <w:jc w:val="center"/>
              <w:rPr>
                <w:rFonts w:hint="eastAsia" w:eastAsia="宋体"/>
                <w:color w:val="auto"/>
                <w:szCs w:val="21"/>
                <w:highlight w:val="none"/>
                <w:lang w:eastAsia="zh-CN"/>
              </w:rPr>
            </w:pPr>
            <w:r>
              <w:rPr>
                <w:rFonts w:hint="eastAsia" w:ascii="宋体" w:hAnsi="宋体" w:cs="宋体"/>
                <w:color w:val="auto"/>
                <w:kern w:val="0"/>
                <w:szCs w:val="21"/>
                <w:highlight w:val="none"/>
                <w:lang w:val="en-US" w:eastAsia="zh-CN"/>
              </w:rPr>
              <w:t>1</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0B329169">
            <w:pPr>
              <w:widowControl/>
              <w:spacing w:line="380" w:lineRule="exact"/>
              <w:jc w:val="center"/>
              <w:rPr>
                <w:rFonts w:hint="default" w:eastAsia="宋体"/>
                <w:color w:val="auto"/>
                <w:szCs w:val="21"/>
                <w:highlight w:val="none"/>
                <w:lang w:val="en-US" w:eastAsia="zh-CN"/>
              </w:rPr>
            </w:pPr>
            <w:r>
              <w:rPr>
                <w:rFonts w:hint="eastAsia"/>
                <w:color w:val="auto"/>
                <w:szCs w:val="21"/>
                <w:highlight w:val="none"/>
                <w:lang w:val="en-US" w:eastAsia="zh-CN"/>
              </w:rPr>
              <w:t>桂林高新区火炬统计服务（重）</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1538E69">
            <w:pPr>
              <w:widowControl/>
              <w:spacing w:line="380" w:lineRule="exact"/>
              <w:jc w:val="center"/>
              <w:rPr>
                <w:rFonts w:hint="eastAsia"/>
                <w:color w:val="auto"/>
                <w:szCs w:val="21"/>
                <w:highlight w:val="none"/>
              </w:rPr>
            </w:pPr>
            <w:r>
              <w:rPr>
                <w:rFonts w:hint="eastAsia" w:ascii="宋体" w:hAnsi="宋体" w:cs="宋体"/>
                <w:color w:val="auto"/>
                <w:kern w:val="0"/>
                <w:szCs w:val="21"/>
                <w:highlight w:val="none"/>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C27EC2">
            <w:pPr>
              <w:widowControl/>
              <w:spacing w:line="380" w:lineRule="exact"/>
              <w:jc w:val="center"/>
              <w:rPr>
                <w:rFonts w:hint="eastAsia"/>
                <w:color w:val="auto"/>
                <w:szCs w:val="21"/>
                <w:highlight w:val="none"/>
                <w:u w:val="single"/>
              </w:rPr>
            </w:pPr>
            <w:r>
              <w:rPr>
                <w:rFonts w:hint="eastAsia" w:ascii="宋体" w:hAnsi="宋体" w:cs="宋体"/>
                <w:color w:val="auto"/>
                <w:kern w:val="0"/>
                <w:szCs w:val="21"/>
                <w:highlight w:val="none"/>
              </w:rPr>
              <w:t>项</w:t>
            </w:r>
          </w:p>
        </w:tc>
        <w:tc>
          <w:tcPr>
            <w:tcW w:w="3613" w:type="dxa"/>
            <w:tcBorders>
              <w:top w:val="single" w:color="auto" w:sz="4" w:space="0"/>
              <w:left w:val="single" w:color="auto" w:sz="4" w:space="0"/>
              <w:bottom w:val="single" w:color="auto" w:sz="4" w:space="0"/>
              <w:right w:val="single" w:color="auto" w:sz="4" w:space="0"/>
            </w:tcBorders>
            <w:noWrap w:val="0"/>
            <w:vAlign w:val="center"/>
          </w:tcPr>
          <w:p w14:paraId="7BB2C387">
            <w:pPr>
              <w:widowControl/>
              <w:spacing w:line="380" w:lineRule="exact"/>
              <w:jc w:val="center"/>
              <w:rPr>
                <w:color w:val="auto"/>
                <w:highlight w:val="none"/>
              </w:rPr>
            </w:pPr>
            <w:r>
              <w:rPr>
                <w:rFonts w:hint="eastAsia"/>
                <w:color w:val="auto"/>
                <w:highlight w:val="none"/>
                <w:lang w:val="en-US" w:eastAsia="zh-CN"/>
              </w:rPr>
              <w:t>详见采购需求</w:t>
            </w:r>
          </w:p>
        </w:tc>
      </w:tr>
    </w:tbl>
    <w:p w14:paraId="5D2BFFC7">
      <w:pPr>
        <w:spacing w:line="380" w:lineRule="exact"/>
        <w:ind w:left="420" w:leftChars="0"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采购需求的详细内容，</w:t>
      </w:r>
      <w:r>
        <w:rPr>
          <w:color w:val="auto"/>
          <w:szCs w:val="21"/>
          <w:highlight w:val="none"/>
        </w:rPr>
        <w:t>具体详见</w:t>
      </w:r>
      <w:r>
        <w:rPr>
          <w:rFonts w:hint="eastAsia"/>
          <w:color w:val="auto"/>
          <w:szCs w:val="21"/>
          <w:highlight w:val="none"/>
        </w:rPr>
        <w:t>竞争性磋商文件。</w:t>
      </w:r>
    </w:p>
    <w:p w14:paraId="54AE5AC1">
      <w:pPr>
        <w:spacing w:line="3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6、合同履行期限：自合同签订之日起至202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年12月31日</w:t>
      </w:r>
      <w:r>
        <w:rPr>
          <w:rFonts w:hint="eastAsia" w:ascii="宋体" w:hAnsi="宋体" w:cs="宋体"/>
          <w:color w:val="auto"/>
          <w:szCs w:val="21"/>
          <w:highlight w:val="none"/>
          <w:lang w:eastAsia="zh-CN"/>
        </w:rPr>
        <w:t>。</w:t>
      </w:r>
    </w:p>
    <w:p w14:paraId="6E499155">
      <w:pPr>
        <w:spacing w:line="380" w:lineRule="exact"/>
        <w:ind w:firstLine="420" w:firstLineChars="200"/>
        <w:rPr>
          <w:rFonts w:hint="eastAsia" w:ascii="宋体" w:hAnsi="宋体" w:cs="宋体"/>
          <w:color w:val="auto"/>
          <w:szCs w:val="21"/>
          <w:highlight w:val="none"/>
        </w:rPr>
      </w:pPr>
      <w:bookmarkStart w:id="12" w:name="_Toc17242"/>
      <w:bookmarkStart w:id="13" w:name="_Toc3678"/>
      <w:bookmarkStart w:id="14" w:name="_Toc849"/>
      <w:r>
        <w:rPr>
          <w:rFonts w:hint="eastAsia" w:ascii="宋体" w:hAnsi="宋体" w:cs="宋体"/>
          <w:color w:val="auto"/>
          <w:szCs w:val="21"/>
          <w:highlight w:val="none"/>
        </w:rPr>
        <w:t>7、本项目不接受联合体磋商。</w:t>
      </w:r>
      <w:bookmarkEnd w:id="12"/>
      <w:bookmarkEnd w:id="13"/>
      <w:bookmarkEnd w:id="14"/>
    </w:p>
    <w:p w14:paraId="64322DC3">
      <w:pPr>
        <w:spacing w:line="380" w:lineRule="exact"/>
        <w:outlineLvl w:val="1"/>
        <w:rPr>
          <w:rFonts w:hint="eastAsia" w:ascii="宋体" w:hAnsi="宋体" w:cs="宋体"/>
          <w:b/>
          <w:bCs/>
          <w:color w:val="auto"/>
          <w:szCs w:val="21"/>
          <w:highlight w:val="none"/>
        </w:rPr>
      </w:pPr>
      <w:bookmarkStart w:id="15" w:name="_Toc28359013"/>
      <w:bookmarkStart w:id="16" w:name="_Toc35393799"/>
      <w:bookmarkStart w:id="17" w:name="_Toc29128"/>
      <w:bookmarkStart w:id="18" w:name="_Toc28359090"/>
      <w:bookmarkStart w:id="19" w:name="_Toc35393630"/>
      <w:r>
        <w:rPr>
          <w:rFonts w:hint="eastAsia" w:ascii="宋体" w:hAnsi="宋体" w:cs="宋体"/>
          <w:b/>
          <w:bCs/>
          <w:color w:val="auto"/>
          <w:szCs w:val="21"/>
          <w:highlight w:val="none"/>
        </w:rPr>
        <w:t>二、申请人的资格要求：</w:t>
      </w:r>
      <w:bookmarkEnd w:id="15"/>
      <w:bookmarkEnd w:id="16"/>
      <w:bookmarkEnd w:id="17"/>
      <w:bookmarkEnd w:id="18"/>
      <w:bookmarkEnd w:id="19"/>
    </w:p>
    <w:p w14:paraId="11174A0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EC2E10C">
      <w:pPr>
        <w:spacing w:line="380" w:lineRule="exact"/>
        <w:ind w:firstLine="420" w:firstLineChars="200"/>
        <w:rPr>
          <w:rFonts w:hint="eastAsia" w:ascii="宋体" w:hAnsi="宋体" w:cs="宋体"/>
          <w:color w:val="auto"/>
          <w:szCs w:val="21"/>
          <w:highlight w:val="none"/>
        </w:rPr>
      </w:pPr>
      <w:bookmarkStart w:id="20" w:name="_Toc28359014"/>
      <w:bookmarkStart w:id="21" w:name="_Toc28359091"/>
      <w:r>
        <w:rPr>
          <w:rFonts w:hint="eastAsia" w:ascii="宋体" w:hAnsi="宋体" w:cs="宋体"/>
          <w:color w:val="auto"/>
          <w:szCs w:val="21"/>
          <w:highlight w:val="none"/>
        </w:rPr>
        <w:t>2、落实政府采购政策需满足的资格要求：供应商为中小企业/小微企业。</w:t>
      </w:r>
    </w:p>
    <w:p w14:paraId="740F8A5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bookmarkStart w:id="22" w:name="_Toc35393800"/>
      <w:bookmarkStart w:id="23" w:name="_Toc35393631"/>
      <w:r>
        <w:rPr>
          <w:rFonts w:hint="eastAsia" w:ascii="宋体" w:hAnsi="宋体" w:cs="宋体"/>
          <w:color w:val="auto"/>
          <w:szCs w:val="21"/>
          <w:highlight w:val="none"/>
        </w:rPr>
        <w:t>无。</w:t>
      </w:r>
    </w:p>
    <w:p w14:paraId="4E0C90F3">
      <w:pPr>
        <w:spacing w:line="380" w:lineRule="exact"/>
        <w:ind w:firstLine="420" w:firstLineChars="200"/>
        <w:rPr>
          <w:color w:val="auto"/>
          <w:szCs w:val="21"/>
          <w:highlight w:val="none"/>
        </w:rPr>
      </w:pPr>
      <w:r>
        <w:rPr>
          <w:rFonts w:hint="eastAsia"/>
          <w:color w:val="auto"/>
          <w:szCs w:val="21"/>
          <w:highlight w:val="none"/>
        </w:rPr>
        <w:t>4、</w:t>
      </w:r>
      <w:r>
        <w:rPr>
          <w:rFonts w:ascii="宋体" w:hAnsi="宋体" w:cs="宋体"/>
          <w:color w:val="auto"/>
          <w:szCs w:val="21"/>
          <w:highlight w:val="none"/>
        </w:rPr>
        <w:t>单位负责人为同一人或者存在直接控股、管理关系的不同供应商</w:t>
      </w:r>
      <w:r>
        <w:rPr>
          <w:rFonts w:hint="eastAsia"/>
          <w:color w:val="auto"/>
          <w:szCs w:val="21"/>
          <w:highlight w:val="none"/>
        </w:rPr>
        <w:t>以及同一单位不同的分支机构</w:t>
      </w:r>
      <w:r>
        <w:rPr>
          <w:rFonts w:ascii="宋体" w:hAnsi="宋体" w:cs="宋体"/>
          <w:color w:val="auto"/>
          <w:szCs w:val="21"/>
          <w:highlight w:val="none"/>
        </w:rPr>
        <w:t>，不得参加同一合同项下的政府采购活动。</w:t>
      </w:r>
    </w:p>
    <w:p w14:paraId="49B9D59A">
      <w:pPr>
        <w:pStyle w:val="22"/>
        <w:spacing w:before="0" w:after="0" w:line="380" w:lineRule="exact"/>
        <w:ind w:firstLine="420" w:firstLineChars="200"/>
        <w:rPr>
          <w:rFonts w:hint="eastAsia"/>
          <w:b w:val="0"/>
          <w:bCs w:val="0"/>
          <w:color w:val="auto"/>
          <w:sz w:val="21"/>
          <w:szCs w:val="21"/>
          <w:highlight w:val="none"/>
        </w:rPr>
      </w:pPr>
      <w:r>
        <w:rPr>
          <w:rFonts w:hint="eastAsia" w:ascii="宋体" w:hAnsi="宋体" w:cs="宋体"/>
          <w:b w:val="0"/>
          <w:bCs w:val="0"/>
          <w:color w:val="auto"/>
          <w:sz w:val="21"/>
          <w:szCs w:val="21"/>
          <w:highlight w:val="none"/>
        </w:rPr>
        <w:t>5</w:t>
      </w:r>
      <w:r>
        <w:rPr>
          <w:rFonts w:hint="eastAsia" w:ascii="宋体" w:hAnsi="宋体" w:eastAsia="宋体" w:cs="宋体"/>
          <w:b w:val="0"/>
          <w:bCs w:val="0"/>
          <w:color w:val="auto"/>
          <w:sz w:val="21"/>
          <w:szCs w:val="21"/>
          <w:highlight w:val="none"/>
        </w:rPr>
        <w:t>、对在“信用中国”网站(www.creditchina.gov.cn)、中国政府采购网(www.ccgp.gov.cn)等渠道列入失信被执行人、</w:t>
      </w:r>
      <w:r>
        <w:rPr>
          <w:rFonts w:hint="eastAsia" w:ascii="宋体" w:hAnsi="宋体" w:eastAsia="宋体" w:cs="宋体"/>
          <w:b w:val="0"/>
          <w:bCs w:val="0"/>
          <w:color w:val="auto"/>
          <w:sz w:val="21"/>
          <w:szCs w:val="21"/>
          <w:highlight w:val="none"/>
          <w:lang w:eastAsia="zh-CN"/>
        </w:rPr>
        <w:t>重大税收违法失信主体</w:t>
      </w:r>
      <w:r>
        <w:rPr>
          <w:rFonts w:hint="eastAsia" w:ascii="宋体" w:hAnsi="宋体" w:eastAsia="宋体" w:cs="宋体"/>
          <w:b w:val="0"/>
          <w:bCs w:val="0"/>
          <w:color w:val="auto"/>
          <w:sz w:val="21"/>
          <w:szCs w:val="21"/>
          <w:highlight w:val="none"/>
        </w:rPr>
        <w:t>、政府采购严重违法失信行为记录名单及其他不符合《中华人民共和国政府采购法》第二十二条规定条件的供应商，不得参与政府采购活动。</w:t>
      </w:r>
    </w:p>
    <w:bookmarkEnd w:id="20"/>
    <w:bookmarkEnd w:id="21"/>
    <w:bookmarkEnd w:id="22"/>
    <w:bookmarkEnd w:id="23"/>
    <w:p w14:paraId="4EE4F34E">
      <w:pPr>
        <w:spacing w:line="380" w:lineRule="exact"/>
        <w:outlineLvl w:val="1"/>
        <w:rPr>
          <w:rFonts w:hint="eastAsia" w:ascii="宋体" w:hAnsi="宋体" w:cs="宋体"/>
          <w:b/>
          <w:bCs/>
          <w:color w:val="auto"/>
          <w:szCs w:val="21"/>
          <w:highlight w:val="none"/>
        </w:rPr>
      </w:pPr>
      <w:bookmarkStart w:id="24" w:name="_Toc35393792"/>
      <w:bookmarkStart w:id="25" w:name="_Toc35393623"/>
      <w:bookmarkStart w:id="26" w:name="_Toc23376"/>
      <w:bookmarkStart w:id="27" w:name="_Toc35393805"/>
      <w:bookmarkStart w:id="28" w:name="_Toc28359095"/>
      <w:bookmarkStart w:id="29" w:name="_Toc35393636"/>
      <w:bookmarkStart w:id="30" w:name="_Toc28359018"/>
      <w:r>
        <w:rPr>
          <w:rFonts w:hint="eastAsia" w:ascii="宋体" w:hAnsi="宋体" w:cs="宋体"/>
          <w:b/>
          <w:bCs/>
          <w:color w:val="auto"/>
          <w:szCs w:val="21"/>
          <w:highlight w:val="none"/>
        </w:rPr>
        <w:t>三、获取采购文件</w:t>
      </w:r>
      <w:bookmarkEnd w:id="24"/>
      <w:bookmarkEnd w:id="25"/>
      <w:r>
        <w:rPr>
          <w:rFonts w:hint="eastAsia" w:ascii="宋体" w:hAnsi="宋体" w:cs="宋体"/>
          <w:b/>
          <w:bCs/>
          <w:color w:val="auto"/>
          <w:szCs w:val="21"/>
          <w:highlight w:val="none"/>
        </w:rPr>
        <w:t>：</w:t>
      </w:r>
      <w:bookmarkEnd w:id="26"/>
    </w:p>
    <w:p w14:paraId="6C548F14">
      <w:pPr>
        <w:spacing w:line="380" w:lineRule="exact"/>
        <w:ind w:firstLine="434"/>
        <w:rPr>
          <w:rFonts w:hint="eastAsia" w:ascii="宋体" w:hAnsi="宋体" w:cs="宋体"/>
          <w:color w:val="auto"/>
          <w:szCs w:val="21"/>
          <w:highlight w:val="none"/>
          <w:lang w:eastAsia="zh-CN"/>
        </w:rPr>
      </w:pPr>
      <w:bookmarkStart w:id="31" w:name="_Toc28359005"/>
      <w:bookmarkStart w:id="32" w:name="_Toc28359082"/>
      <w:bookmarkStart w:id="33" w:name="_Toc35393793"/>
      <w:bookmarkStart w:id="34" w:name="_Toc35393624"/>
      <w:bookmarkStart w:id="35" w:name="_Toc14194"/>
      <w:r>
        <w:rPr>
          <w:rFonts w:hint="eastAsia" w:ascii="宋体" w:hAnsi="宋体" w:cs="宋体"/>
          <w:color w:val="auto"/>
          <w:szCs w:val="21"/>
          <w:highlight w:val="none"/>
        </w:rPr>
        <w:t>时间：公告发布时间</w:t>
      </w:r>
      <w:r>
        <w:rPr>
          <w:rFonts w:hint="eastAsia" w:ascii="宋体" w:hAnsi="宋体" w:cs="宋体"/>
          <w:color w:val="auto"/>
          <w:szCs w:val="21"/>
          <w:highlight w:val="none"/>
          <w:lang w:eastAsia="zh-CN"/>
        </w:rPr>
        <w:t>起</w:t>
      </w:r>
      <w:r>
        <w:rPr>
          <w:rFonts w:hint="eastAsia" w:ascii="宋体" w:hAnsi="宋体" w:cs="宋体"/>
          <w:color w:val="auto"/>
          <w:szCs w:val="21"/>
          <w:highlight w:val="none"/>
        </w:rPr>
        <w:t>至</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止。</w:t>
      </w:r>
    </w:p>
    <w:p w14:paraId="6A4D0A2A">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p>
    <w:p w14:paraId="74AC3A42">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方式：潜在供应商在“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）网上免费下载</w:t>
      </w:r>
      <w:r>
        <w:rPr>
          <w:rFonts w:hint="eastAsia" w:ascii="宋体" w:hAnsi="宋体" w:cs="宋体"/>
          <w:color w:val="auto"/>
          <w:szCs w:val="21"/>
          <w:highlight w:val="none"/>
          <w:lang w:eastAsia="zh-CN"/>
        </w:rPr>
        <w:t>竞争性磋商采购文件</w:t>
      </w:r>
      <w:r>
        <w:rPr>
          <w:rFonts w:hint="eastAsia" w:ascii="宋体" w:hAnsi="宋体" w:cs="宋体"/>
          <w:color w:val="auto"/>
          <w:szCs w:val="21"/>
          <w:highlight w:val="none"/>
        </w:rPr>
        <w:t>电子版。供应商登录“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”平台，应进行“申请获取采购文件”操作，否则，有可能导致无法在线编制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文件并参与</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，其不利后果由供应商自行承担。</w:t>
      </w:r>
    </w:p>
    <w:p w14:paraId="5796F6E2">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四、响应文件</w:t>
      </w:r>
      <w:bookmarkEnd w:id="31"/>
      <w:bookmarkEnd w:id="32"/>
      <w:r>
        <w:rPr>
          <w:rFonts w:hint="eastAsia" w:ascii="宋体" w:hAnsi="宋体" w:cs="宋体"/>
          <w:b/>
          <w:bCs/>
          <w:color w:val="auto"/>
          <w:szCs w:val="21"/>
          <w:highlight w:val="none"/>
        </w:rPr>
        <w:t>提交时间和地点</w:t>
      </w:r>
      <w:bookmarkEnd w:id="33"/>
      <w:bookmarkEnd w:id="34"/>
      <w:bookmarkEnd w:id="35"/>
      <w:bookmarkStart w:id="36" w:name="_Toc4557"/>
    </w:p>
    <w:p w14:paraId="60235331">
      <w:pPr>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8月11日9</w:t>
      </w:r>
      <w:r>
        <w:rPr>
          <w:rFonts w:hint="eastAsia" w:ascii="宋体" w:hAnsi="宋体" w:cs="宋体"/>
          <w:color w:val="auto"/>
          <w:szCs w:val="21"/>
          <w:highlight w:val="none"/>
        </w:rPr>
        <w:t>时30分</w:t>
      </w:r>
      <w:r>
        <w:rPr>
          <w:rFonts w:hint="eastAsia" w:ascii="宋体" w:hAnsi="宋体" w:cs="宋体"/>
          <w:bCs/>
          <w:color w:val="auto"/>
          <w:szCs w:val="21"/>
          <w:highlight w:val="none"/>
        </w:rPr>
        <w:t>（北京时间）。</w:t>
      </w:r>
    </w:p>
    <w:p w14:paraId="0EC978C7">
      <w:pPr>
        <w:spacing w:line="3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地点：通过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实行在线响应。</w:t>
      </w:r>
    </w:p>
    <w:p w14:paraId="103571D9">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五、开启</w:t>
      </w:r>
      <w:bookmarkEnd w:id="36"/>
    </w:p>
    <w:p w14:paraId="27538CC6">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8月11日09</w:t>
      </w:r>
      <w:r>
        <w:rPr>
          <w:rFonts w:hint="eastAsia" w:ascii="宋体" w:hAnsi="宋体" w:cs="宋体"/>
          <w:color w:val="auto"/>
          <w:szCs w:val="21"/>
          <w:highlight w:val="none"/>
        </w:rPr>
        <w:t>时30分（北京时间）截标后。</w:t>
      </w:r>
    </w:p>
    <w:p w14:paraId="4F2098A2">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实行在线解密开启。</w:t>
      </w:r>
    </w:p>
    <w:p w14:paraId="062812C6">
      <w:pPr>
        <w:spacing w:line="380" w:lineRule="exact"/>
        <w:outlineLvl w:val="1"/>
        <w:rPr>
          <w:rFonts w:hint="eastAsia" w:ascii="宋体" w:hAnsi="宋体" w:cs="宋体"/>
          <w:b/>
          <w:bCs/>
          <w:color w:val="auto"/>
          <w:szCs w:val="21"/>
          <w:highlight w:val="none"/>
        </w:rPr>
      </w:pPr>
      <w:bookmarkStart w:id="37" w:name="_Toc28359084"/>
      <w:bookmarkStart w:id="38" w:name="_Toc35393625"/>
      <w:bookmarkStart w:id="39" w:name="_Toc35393794"/>
      <w:bookmarkStart w:id="40" w:name="_Toc28359007"/>
      <w:bookmarkStart w:id="41" w:name="_Toc19362"/>
      <w:r>
        <w:rPr>
          <w:rFonts w:hint="eastAsia" w:ascii="宋体" w:hAnsi="宋体" w:cs="宋体"/>
          <w:b/>
          <w:bCs/>
          <w:color w:val="auto"/>
          <w:szCs w:val="21"/>
          <w:highlight w:val="none"/>
        </w:rPr>
        <w:t>六、公告期限</w:t>
      </w:r>
      <w:bookmarkEnd w:id="37"/>
      <w:bookmarkEnd w:id="38"/>
      <w:bookmarkEnd w:id="39"/>
      <w:bookmarkEnd w:id="40"/>
      <w:bookmarkEnd w:id="41"/>
    </w:p>
    <w:p w14:paraId="437AF434">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ABD23FC">
      <w:pPr>
        <w:spacing w:line="380" w:lineRule="exact"/>
        <w:outlineLvl w:val="1"/>
        <w:rPr>
          <w:rFonts w:hint="eastAsia" w:ascii="宋体" w:hAnsi="宋体" w:cs="宋体"/>
          <w:b/>
          <w:bCs/>
          <w:color w:val="auto"/>
          <w:szCs w:val="21"/>
          <w:highlight w:val="none"/>
        </w:rPr>
      </w:pPr>
      <w:bookmarkStart w:id="42" w:name="_Toc17380"/>
      <w:bookmarkStart w:id="43" w:name="_Toc35393626"/>
      <w:bookmarkStart w:id="44" w:name="_Toc35393795"/>
      <w:r>
        <w:rPr>
          <w:rFonts w:hint="eastAsia" w:ascii="宋体" w:hAnsi="宋体" w:cs="宋体"/>
          <w:b/>
          <w:bCs/>
          <w:color w:val="auto"/>
          <w:szCs w:val="21"/>
          <w:highlight w:val="none"/>
        </w:rPr>
        <w:t>七、其他补充事宜</w:t>
      </w:r>
      <w:bookmarkEnd w:id="42"/>
      <w:bookmarkEnd w:id="43"/>
      <w:bookmarkEnd w:id="44"/>
    </w:p>
    <w:p w14:paraId="1F1E6A26">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（一）本项目无需缴纳磋商保证金。</w:t>
      </w:r>
    </w:p>
    <w:p w14:paraId="5D588DCA">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（二）信息公告发布媒体：中国政府采购网（www.ccgp.gov.cn）、</w:t>
      </w:r>
      <w:r>
        <w:rPr>
          <w:rFonts w:hint="eastAsia" w:ascii="宋体" w:hAnsi="宋体" w:cs="宋体"/>
          <w:color w:val="auto"/>
          <w:szCs w:val="21"/>
          <w:highlight w:val="none"/>
          <w:lang w:eastAsia="zh-CN"/>
        </w:rPr>
        <w:t>广西壮族自治区政府采购网</w:t>
      </w:r>
      <w:r>
        <w:rPr>
          <w:rFonts w:hint="eastAsia" w:ascii="宋体" w:hAnsi="宋体" w:cs="宋体"/>
          <w:color w:val="auto"/>
          <w:szCs w:val="21"/>
          <w:highlight w:val="none"/>
        </w:rPr>
        <w:t>（zfcg.gxzf.gov.cn）、桂林市政府采购网（zfcg.czj.guilin.gov.cn）、http://glggzy.org.cn（桂林市公共资源交易中心网站）。</w:t>
      </w:r>
    </w:p>
    <w:p w14:paraId="37383E1C">
      <w:pPr>
        <w:pStyle w:val="3"/>
        <w:spacing w:line="380" w:lineRule="exact"/>
        <w:ind w:firstLine="210" w:firstLineChars="100"/>
        <w:jc w:val="both"/>
        <w:rPr>
          <w:rFonts w:hint="eastAsia" w:hAnsi="宋体" w:cs="宋体"/>
          <w:color w:val="auto"/>
          <w:sz w:val="21"/>
          <w:szCs w:val="21"/>
          <w:highlight w:val="none"/>
        </w:rPr>
      </w:pPr>
      <w:r>
        <w:rPr>
          <w:rFonts w:hint="eastAsia" w:hAnsi="宋体" w:eastAsia="宋体" w:cs="宋体"/>
          <w:color w:val="auto"/>
          <w:sz w:val="21"/>
          <w:szCs w:val="21"/>
          <w:highlight w:val="none"/>
        </w:rPr>
        <w:t>（三）</w:t>
      </w:r>
      <w:r>
        <w:rPr>
          <w:rFonts w:hint="eastAsia" w:hAnsi="宋体" w:cs="宋体"/>
          <w:color w:val="auto"/>
          <w:sz w:val="21"/>
          <w:szCs w:val="21"/>
          <w:highlight w:val="none"/>
        </w:rPr>
        <w:t>本项目需要落实的政府采购政策：</w:t>
      </w:r>
    </w:p>
    <w:p w14:paraId="2A60E0D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1.《政府采购促进中小企业发展管理办法》（财库[2020]46 号）。</w:t>
      </w:r>
    </w:p>
    <w:p w14:paraId="5A80B56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 号）。</w:t>
      </w:r>
    </w:p>
    <w:p w14:paraId="4F18F65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752921BF">
      <w:pPr>
        <w:autoSpaceDE w:val="0"/>
        <w:autoSpaceDN w:val="0"/>
        <w:adjustRightInd w:val="0"/>
        <w:spacing w:line="380" w:lineRule="exact"/>
        <w:ind w:left="411" w:left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ascii="宋体" w:hAnsi="宋体"/>
          <w:color w:val="auto"/>
          <w:szCs w:val="21"/>
          <w:highlight w:val="none"/>
        </w:rPr>
        <w:t>本项目采购内容不涉及政府强制采购节能产品；</w:t>
      </w:r>
    </w:p>
    <w:p w14:paraId="151F1F79">
      <w:pPr>
        <w:autoSpaceDE w:val="0"/>
        <w:autoSpaceDN w:val="0"/>
        <w:adjustRightInd w:val="0"/>
        <w:spacing w:line="380" w:lineRule="exact"/>
        <w:ind w:left="411" w:leftChars="196"/>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优先采购节能产品、环境标志产品。</w:t>
      </w:r>
    </w:p>
    <w:p w14:paraId="1246AE97">
      <w:pPr>
        <w:autoSpaceDE w:val="0"/>
        <w:autoSpaceDN w:val="0"/>
        <w:adjustRightInd w:val="0"/>
        <w:spacing w:line="380" w:lineRule="exact"/>
        <w:ind w:left="411" w:leftChars="196"/>
        <w:jc w:val="left"/>
        <w:rPr>
          <w:rFonts w:hint="eastAsia" w:ascii="宋体" w:hAnsi="宋体" w:cs="Arial"/>
          <w:color w:val="auto"/>
          <w:szCs w:val="21"/>
          <w:highlight w:val="none"/>
        </w:rPr>
      </w:pPr>
      <w:r>
        <w:rPr>
          <w:rFonts w:hint="eastAsia" w:ascii="宋体" w:hAnsi="宋体" w:cs="Arial"/>
          <w:color w:val="auto"/>
          <w:szCs w:val="21"/>
          <w:highlight w:val="none"/>
        </w:rPr>
        <w:t>6．</w:t>
      </w:r>
      <w:r>
        <w:rPr>
          <w:rStyle w:val="23"/>
          <w:rFonts w:ascii="Arial" w:hAnsi="Arial" w:cs="Arial"/>
          <w:color w:val="auto"/>
          <w:highlight w:val="none"/>
        </w:rPr>
        <w:t>本项目专门面向中小企业采购</w:t>
      </w:r>
      <w:r>
        <w:rPr>
          <w:rStyle w:val="23"/>
          <w:rFonts w:hint="eastAsia" w:ascii="Arial" w:hAnsi="Arial" w:cs="Arial"/>
          <w:color w:val="auto"/>
          <w:highlight w:val="none"/>
        </w:rPr>
        <w:t>，</w:t>
      </w:r>
      <w:r>
        <w:rPr>
          <w:color w:val="auto"/>
          <w:szCs w:val="21"/>
          <w:highlight w:val="none"/>
        </w:rPr>
        <w:t>本项目</w:t>
      </w:r>
      <w:r>
        <w:rPr>
          <w:rFonts w:ascii="仿宋" w:hAnsi="仿宋"/>
          <w:color w:val="auto"/>
          <w:szCs w:val="21"/>
          <w:highlight w:val="none"/>
        </w:rPr>
        <w:t>中小企业划分标准</w:t>
      </w:r>
      <w:r>
        <w:rPr>
          <w:color w:val="auto"/>
          <w:szCs w:val="21"/>
          <w:highlight w:val="none"/>
        </w:rPr>
        <w:t>所属行业为</w:t>
      </w:r>
      <w:r>
        <w:rPr>
          <w:rFonts w:hint="eastAsia"/>
          <w:color w:val="auto"/>
          <w:szCs w:val="21"/>
          <w:highlight w:val="none"/>
        </w:rPr>
        <w:t>：</w:t>
      </w:r>
      <w:r>
        <w:rPr>
          <w:rFonts w:hint="eastAsia" w:ascii="宋体" w:hAnsi="宋体" w:cs="宋体"/>
          <w:color w:val="auto"/>
          <w:kern w:val="0"/>
          <w:szCs w:val="21"/>
          <w:highlight w:val="none"/>
          <w:u w:val="single"/>
        </w:rPr>
        <w:t xml:space="preserve"> 软件和信息技术服务业  </w:t>
      </w:r>
      <w:r>
        <w:rPr>
          <w:color w:val="auto"/>
          <w:szCs w:val="21"/>
          <w:highlight w:val="none"/>
        </w:rPr>
        <w:t>。</w:t>
      </w:r>
      <w:r>
        <w:rPr>
          <w:rFonts w:ascii="宋体" w:hAnsi="宋体" w:cs="Arial"/>
          <w:color w:val="auto"/>
          <w:szCs w:val="21"/>
          <w:highlight w:val="none"/>
        </w:rPr>
        <w:t> </w:t>
      </w:r>
    </w:p>
    <w:p w14:paraId="59A65C41">
      <w:pPr>
        <w:pStyle w:val="3"/>
        <w:spacing w:line="380" w:lineRule="exact"/>
        <w:ind w:firstLine="294" w:firstLineChars="14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（四）磋商响应文件解密时间：</w:t>
      </w:r>
    </w:p>
    <w:p w14:paraId="68F4C35B">
      <w:pPr>
        <w:pStyle w:val="3"/>
        <w:spacing w:line="38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截标时间后30分钟内（20</w:t>
      </w:r>
      <w:r>
        <w:rPr>
          <w:rFonts w:hint="eastAsia" w:hAnsi="宋体" w:eastAsia="宋体" w:cs="宋体"/>
          <w:color w:val="auto"/>
          <w:sz w:val="21"/>
          <w:szCs w:val="21"/>
          <w:highlight w:val="none"/>
          <w:lang w:val="en-US" w:eastAsia="zh-CN"/>
        </w:rPr>
        <w:t>25</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8月11日09</w:t>
      </w:r>
      <w:r>
        <w:rPr>
          <w:rFonts w:hint="eastAsia" w:hAnsi="宋体" w:eastAsia="宋体" w:cs="宋体"/>
          <w:color w:val="auto"/>
          <w:sz w:val="21"/>
          <w:szCs w:val="21"/>
          <w:highlight w:val="none"/>
        </w:rPr>
        <w:t>时30分至1</w:t>
      </w:r>
      <w:r>
        <w:rPr>
          <w:rFonts w:hint="eastAsia" w:hAnsi="宋体" w:eastAsia="宋体" w:cs="宋体"/>
          <w:color w:val="auto"/>
          <w:sz w:val="21"/>
          <w:szCs w:val="21"/>
          <w:highlight w:val="none"/>
          <w:lang w:val="en-US" w:eastAsia="zh-CN"/>
        </w:rPr>
        <w:t>0</w:t>
      </w:r>
      <w:r>
        <w:rPr>
          <w:rFonts w:hint="eastAsia" w:hAnsi="宋体" w:eastAsia="宋体" w:cs="宋体"/>
          <w:color w:val="auto"/>
          <w:sz w:val="21"/>
          <w:szCs w:val="21"/>
          <w:highlight w:val="none"/>
        </w:rPr>
        <w:t>时00分)磋商供应商可以登录</w:t>
      </w:r>
      <w:r>
        <w:rPr>
          <w:rFonts w:hint="eastAsia" w:hAnsi="宋体" w:eastAsia="宋体" w:cs="宋体"/>
          <w:color w:val="auto"/>
          <w:sz w:val="21"/>
          <w:szCs w:val="21"/>
          <w:highlight w:val="none"/>
          <w:lang w:eastAsia="zh-CN"/>
        </w:rPr>
        <w:t>广西政府采购云平台</w:t>
      </w:r>
      <w:r>
        <w:rPr>
          <w:rFonts w:hint="eastAsia" w:hAnsi="宋体" w:eastAsia="宋体" w:cs="宋体"/>
          <w:color w:val="auto"/>
          <w:sz w:val="21"/>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70D5F78D">
      <w:pPr>
        <w:pStyle w:val="3"/>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（五）</w:t>
      </w:r>
      <w:r>
        <w:rPr>
          <w:rFonts w:hint="eastAsia" w:hAnsi="宋体" w:eastAsia="宋体" w:cs="宋体"/>
          <w:color w:val="auto"/>
          <w:sz w:val="21"/>
          <w:szCs w:val="21"/>
          <w:highlight w:val="none"/>
        </w:rPr>
        <w:t>资格要求特别说明：</w:t>
      </w:r>
    </w:p>
    <w:p w14:paraId="3BA42347">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5B251C">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497D94">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（六）“广西政府采购云平台”平台电子磋商相关事宜：</w:t>
      </w:r>
    </w:p>
    <w:p w14:paraId="214FCA36">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本项目实行全流程电子化采购，磋商供应商通过“广西政府采购云平台”平台参与电子磋商，并应做好以下相关准备工作：①在“广西政府采购云平台”平台注册成为正式供应商（操作方法详见广西壮族自治区政府采购网—办事服务—办事指南）；②完成CA认证证书申领和绑定（费用由磋商供应商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磋商供应商应当在响应文件提交截止时间前在“广西政府采购云平台”平台完成的身份认证，确保能够对相关数据电文进行加密和使用电子签章；④自备计算机和网络设备并确保能接入互联网（费用由磋商供应商自行承担，设备确保可进行视频通话和读取广西政府采购云平台CA认证证书）。因磋商供应商未做好相关准备工作等自身原因导致无法参加本项目电子磋商或磋商失败的，造成的一切后果，由磋商供应商自行承担。</w:t>
      </w:r>
    </w:p>
    <w:p w14:paraId="1C8E32B0">
      <w:pPr>
        <w:pStyle w:val="3"/>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（2）电子磋商具体操作流程参考《政府采购项目电子交易管理操作指南-供应商》（详见桂林市政府采购网—采购资讯—重要通知）；如遇平台技术问题详询95763。</w:t>
      </w:r>
    </w:p>
    <w:p w14:paraId="6B7BC2A2">
      <w:pPr>
        <w:pStyle w:val="3"/>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（3）电子响应文件的制作、加密、提交、解密等相关事宜详见第二章 “磋商供应商须知”。</w:t>
      </w:r>
    </w:p>
    <w:p w14:paraId="50E82D94">
      <w:pPr>
        <w:spacing w:line="380" w:lineRule="exact"/>
        <w:outlineLvl w:val="1"/>
        <w:rPr>
          <w:rFonts w:hint="eastAsia" w:ascii="宋体" w:hAnsi="宋体" w:cs="宋体"/>
          <w:b/>
          <w:bCs/>
          <w:color w:val="auto"/>
          <w:szCs w:val="21"/>
          <w:highlight w:val="none"/>
        </w:rPr>
      </w:pPr>
      <w:bookmarkStart w:id="45" w:name="_Toc5677"/>
      <w:r>
        <w:rPr>
          <w:rFonts w:hint="eastAsia" w:ascii="宋体" w:hAnsi="宋体" w:cs="宋体"/>
          <w:b/>
          <w:bCs/>
          <w:color w:val="auto"/>
          <w:szCs w:val="21"/>
          <w:highlight w:val="none"/>
        </w:rPr>
        <w:t>八、凡对本次采购提出询问，请按以下方式联系。</w:t>
      </w:r>
      <w:bookmarkEnd w:id="27"/>
      <w:bookmarkEnd w:id="28"/>
      <w:bookmarkEnd w:id="29"/>
      <w:bookmarkEnd w:id="30"/>
      <w:bookmarkEnd w:id="45"/>
    </w:p>
    <w:p w14:paraId="26AAD6D2">
      <w:pPr>
        <w:pStyle w:val="24"/>
        <w:spacing w:line="380" w:lineRule="exact"/>
        <w:ind w:firstLine="420" w:firstLineChars="200"/>
        <w:outlineLvl w:val="2"/>
        <w:rPr>
          <w:b/>
          <w:bCs/>
          <w:color w:val="auto"/>
          <w:sz w:val="21"/>
          <w:szCs w:val="21"/>
          <w:highlight w:val="none"/>
        </w:rPr>
      </w:pPr>
      <w:bookmarkStart w:id="46" w:name="_Toc28750"/>
      <w:bookmarkStart w:id="47" w:name="_Toc13906"/>
      <w:bookmarkStart w:id="48" w:name="_Toc11940"/>
      <w:bookmarkStart w:id="49" w:name="_Toc19796"/>
      <w:bookmarkStart w:id="50" w:name="_Toc14195"/>
      <w:r>
        <w:rPr>
          <w:b/>
          <w:bCs/>
          <w:color w:val="auto"/>
          <w:sz w:val="21"/>
          <w:szCs w:val="21"/>
          <w:highlight w:val="none"/>
        </w:rPr>
        <w:t>1</w:t>
      </w:r>
      <w:r>
        <w:rPr>
          <w:rFonts w:hint="eastAsia"/>
          <w:b/>
          <w:bCs/>
          <w:color w:val="auto"/>
          <w:sz w:val="21"/>
          <w:szCs w:val="21"/>
          <w:highlight w:val="none"/>
        </w:rPr>
        <w:t>、</w:t>
      </w:r>
      <w:r>
        <w:rPr>
          <w:b/>
          <w:bCs/>
          <w:color w:val="auto"/>
          <w:sz w:val="21"/>
          <w:szCs w:val="21"/>
          <w:highlight w:val="none"/>
        </w:rPr>
        <w:t>采购人信息</w:t>
      </w:r>
      <w:bookmarkEnd w:id="46"/>
      <w:bookmarkEnd w:id="47"/>
      <w:bookmarkEnd w:id="48"/>
      <w:bookmarkEnd w:id="49"/>
      <w:bookmarkEnd w:id="50"/>
    </w:p>
    <w:p w14:paraId="1C374EF8">
      <w:pPr>
        <w:pStyle w:val="24"/>
        <w:spacing w:line="380" w:lineRule="exact"/>
        <w:ind w:firstLine="420" w:firstLineChars="200"/>
        <w:rPr>
          <w:rFonts w:hint="default" w:eastAsia="宋体"/>
          <w:color w:val="auto"/>
          <w:sz w:val="21"/>
          <w:szCs w:val="21"/>
          <w:highlight w:val="none"/>
          <w:lang w:val="en-US" w:eastAsia="zh-CN"/>
        </w:rPr>
      </w:pPr>
      <w:r>
        <w:rPr>
          <w:color w:val="auto"/>
          <w:sz w:val="21"/>
          <w:szCs w:val="21"/>
          <w:highlight w:val="none"/>
        </w:rPr>
        <w:t>名称：</w:t>
      </w:r>
      <w:r>
        <w:rPr>
          <w:rFonts w:hint="eastAsia"/>
          <w:color w:val="auto"/>
          <w:sz w:val="21"/>
          <w:szCs w:val="21"/>
          <w:highlight w:val="none"/>
          <w:lang w:val="en-US" w:eastAsia="zh-CN"/>
        </w:rPr>
        <w:t>桂林高新技术产业开发区管理委员会</w:t>
      </w:r>
    </w:p>
    <w:p w14:paraId="7A3AF3F7">
      <w:pPr>
        <w:pStyle w:val="24"/>
        <w:spacing w:line="380" w:lineRule="exact"/>
        <w:ind w:firstLine="420" w:firstLineChars="200"/>
        <w:rPr>
          <w:rFonts w:hint="default"/>
          <w:color w:val="auto"/>
          <w:sz w:val="21"/>
          <w:szCs w:val="21"/>
          <w:highlight w:val="none"/>
          <w:lang w:val="en-US" w:eastAsia="zh-CN"/>
        </w:rPr>
      </w:pPr>
      <w:r>
        <w:rPr>
          <w:color w:val="auto"/>
          <w:sz w:val="21"/>
          <w:szCs w:val="21"/>
          <w:highlight w:val="none"/>
        </w:rPr>
        <w:t>地址</w:t>
      </w:r>
      <w:r>
        <w:rPr>
          <w:rFonts w:hint="eastAsia"/>
          <w:color w:val="auto"/>
          <w:sz w:val="21"/>
          <w:szCs w:val="21"/>
          <w:highlight w:val="none"/>
          <w:lang w:val="en-US" w:eastAsia="zh-CN"/>
        </w:rPr>
        <w:t>：桂林市七星区桂磨路创意大厦</w:t>
      </w:r>
    </w:p>
    <w:p w14:paraId="5B0BCEDB">
      <w:pPr>
        <w:pStyle w:val="24"/>
        <w:spacing w:line="380" w:lineRule="exact"/>
        <w:ind w:firstLine="420" w:firstLineChars="200"/>
        <w:rPr>
          <w:rFonts w:hint="eastAsia" w:eastAsia="宋体"/>
          <w:color w:val="auto"/>
          <w:sz w:val="21"/>
          <w:szCs w:val="21"/>
          <w:highlight w:val="none"/>
          <w:u w:val="single"/>
          <w:lang w:val="en-US" w:eastAsia="zh-CN"/>
        </w:rPr>
      </w:pPr>
      <w:r>
        <w:rPr>
          <w:rFonts w:hint="eastAsia"/>
          <w:color w:val="auto"/>
          <w:sz w:val="21"/>
          <w:szCs w:val="21"/>
          <w:highlight w:val="none"/>
          <w:lang w:val="en-US" w:eastAsia="zh-CN"/>
        </w:rPr>
        <w:t>联系人及</w:t>
      </w:r>
      <w:r>
        <w:rPr>
          <w:color w:val="auto"/>
          <w:sz w:val="21"/>
          <w:szCs w:val="21"/>
          <w:highlight w:val="none"/>
        </w:rPr>
        <w:t>联系方式：</w:t>
      </w:r>
      <w:r>
        <w:rPr>
          <w:rFonts w:hint="eastAsia"/>
          <w:color w:val="auto"/>
          <w:sz w:val="21"/>
          <w:szCs w:val="21"/>
          <w:highlight w:val="none"/>
          <w:lang w:val="en-US" w:eastAsia="zh-CN"/>
        </w:rPr>
        <w:t>汤占宇</w:t>
      </w:r>
      <w:r>
        <w:rPr>
          <w:rFonts w:hint="eastAsia"/>
          <w:color w:val="auto"/>
          <w:sz w:val="21"/>
          <w:szCs w:val="21"/>
          <w:highlight w:val="none"/>
        </w:rPr>
        <w:t xml:space="preserve"> </w:t>
      </w:r>
      <w:r>
        <w:rPr>
          <w:rFonts w:hint="eastAsia"/>
          <w:color w:val="auto"/>
          <w:sz w:val="21"/>
          <w:szCs w:val="21"/>
          <w:highlight w:val="none"/>
          <w:lang w:eastAsia="zh-CN"/>
        </w:rPr>
        <w:t>0773-2285103</w:t>
      </w:r>
    </w:p>
    <w:p w14:paraId="45F6F5F5">
      <w:pPr>
        <w:pStyle w:val="24"/>
        <w:spacing w:line="380" w:lineRule="exact"/>
        <w:ind w:firstLine="420" w:firstLineChars="200"/>
        <w:outlineLvl w:val="2"/>
        <w:rPr>
          <w:b/>
          <w:bCs/>
          <w:color w:val="auto"/>
          <w:sz w:val="21"/>
          <w:szCs w:val="21"/>
          <w:highlight w:val="none"/>
        </w:rPr>
      </w:pPr>
      <w:bookmarkStart w:id="51" w:name="_Toc20363"/>
      <w:bookmarkStart w:id="52" w:name="_Toc12451"/>
      <w:bookmarkStart w:id="53" w:name="_Toc12722"/>
      <w:bookmarkStart w:id="54" w:name="_Toc25786"/>
      <w:bookmarkStart w:id="55" w:name="_Toc2568"/>
      <w:bookmarkStart w:id="56" w:name="_Toc23917"/>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采购代理机构信息</w:t>
      </w:r>
      <w:bookmarkEnd w:id="51"/>
      <w:bookmarkEnd w:id="52"/>
      <w:bookmarkEnd w:id="53"/>
      <w:bookmarkEnd w:id="54"/>
      <w:bookmarkEnd w:id="55"/>
      <w:bookmarkEnd w:id="56"/>
    </w:p>
    <w:p w14:paraId="7045FB9A">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名称：</w:t>
      </w:r>
      <w:r>
        <w:rPr>
          <w:rFonts w:hint="eastAsia"/>
          <w:color w:val="auto"/>
          <w:sz w:val="21"/>
          <w:szCs w:val="21"/>
          <w:highlight w:val="none"/>
          <w:lang w:eastAsia="zh-CN"/>
        </w:rPr>
        <w:t>永道工程咨询（江苏）有限公司</w:t>
      </w:r>
    </w:p>
    <w:p w14:paraId="34737CE1">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地址：</w:t>
      </w:r>
      <w:r>
        <w:rPr>
          <w:rFonts w:hint="eastAsia"/>
          <w:color w:val="auto"/>
          <w:sz w:val="21"/>
          <w:szCs w:val="21"/>
          <w:highlight w:val="none"/>
          <w:lang w:eastAsia="zh-CN"/>
        </w:rPr>
        <w:t>桂林市七星区穿山东路28号彰泰春天北苑8栋1、2-01号商铺</w:t>
      </w:r>
    </w:p>
    <w:p w14:paraId="23CB4459">
      <w:pPr>
        <w:pStyle w:val="24"/>
        <w:spacing w:line="380" w:lineRule="exact"/>
        <w:ind w:firstLine="420" w:firstLineChars="200"/>
        <w:rPr>
          <w:color w:val="auto"/>
          <w:sz w:val="21"/>
          <w:szCs w:val="21"/>
          <w:highlight w:val="none"/>
        </w:rPr>
      </w:pPr>
      <w:r>
        <w:rPr>
          <w:color w:val="auto"/>
          <w:sz w:val="21"/>
          <w:szCs w:val="21"/>
          <w:highlight w:val="none"/>
        </w:rPr>
        <w:t>联系方式：</w:t>
      </w:r>
      <w:r>
        <w:rPr>
          <w:rFonts w:hint="eastAsia"/>
          <w:color w:val="auto"/>
          <w:sz w:val="21"/>
          <w:szCs w:val="21"/>
          <w:highlight w:val="none"/>
          <w:lang w:eastAsia="zh-CN"/>
        </w:rPr>
        <w:t>0773-3285698</w:t>
      </w:r>
      <w:r>
        <w:rPr>
          <w:rFonts w:hint="eastAsia"/>
          <w:color w:val="auto"/>
          <w:sz w:val="21"/>
          <w:szCs w:val="21"/>
          <w:highlight w:val="none"/>
        </w:rPr>
        <w:t xml:space="preserve"> </w:t>
      </w:r>
    </w:p>
    <w:p w14:paraId="67C22692">
      <w:pPr>
        <w:pStyle w:val="24"/>
        <w:spacing w:line="380" w:lineRule="exact"/>
        <w:ind w:firstLine="420" w:firstLineChars="200"/>
        <w:outlineLvl w:val="2"/>
        <w:rPr>
          <w:b/>
          <w:bCs/>
          <w:color w:val="auto"/>
          <w:sz w:val="21"/>
          <w:szCs w:val="21"/>
          <w:highlight w:val="none"/>
          <w:u w:val="single"/>
        </w:rPr>
      </w:pPr>
      <w:bookmarkStart w:id="57" w:name="_Toc6585"/>
      <w:bookmarkStart w:id="58" w:name="_Toc9649"/>
      <w:bookmarkStart w:id="59" w:name="_Toc10144"/>
      <w:bookmarkStart w:id="60" w:name="_Toc10410"/>
      <w:bookmarkStart w:id="61" w:name="_Toc30971"/>
      <w:bookmarkStart w:id="62" w:name="_Toc20662"/>
      <w:r>
        <w:rPr>
          <w:b/>
          <w:bCs/>
          <w:color w:val="auto"/>
          <w:sz w:val="21"/>
          <w:szCs w:val="21"/>
          <w:highlight w:val="none"/>
        </w:rPr>
        <w:t>3</w:t>
      </w:r>
      <w:r>
        <w:rPr>
          <w:rFonts w:hint="eastAsia"/>
          <w:b/>
          <w:bCs/>
          <w:color w:val="auto"/>
          <w:sz w:val="21"/>
          <w:szCs w:val="21"/>
          <w:highlight w:val="none"/>
        </w:rPr>
        <w:t>、</w:t>
      </w:r>
      <w:r>
        <w:rPr>
          <w:b/>
          <w:bCs/>
          <w:color w:val="auto"/>
          <w:sz w:val="21"/>
          <w:szCs w:val="21"/>
          <w:highlight w:val="none"/>
        </w:rPr>
        <w:t>项目联系方式</w:t>
      </w:r>
      <w:bookmarkEnd w:id="57"/>
      <w:bookmarkEnd w:id="58"/>
      <w:bookmarkEnd w:id="59"/>
      <w:bookmarkEnd w:id="60"/>
      <w:bookmarkEnd w:id="61"/>
      <w:bookmarkEnd w:id="62"/>
    </w:p>
    <w:p w14:paraId="4433C0DC">
      <w:pPr>
        <w:pStyle w:val="24"/>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项目联系人：</w:t>
      </w:r>
      <w:r>
        <w:rPr>
          <w:rFonts w:hint="eastAsia"/>
          <w:color w:val="auto"/>
          <w:sz w:val="21"/>
          <w:szCs w:val="21"/>
          <w:highlight w:val="none"/>
          <w:lang w:val="en-US" w:eastAsia="zh-CN"/>
        </w:rPr>
        <w:t>李翔</w:t>
      </w:r>
    </w:p>
    <w:p w14:paraId="15C1DA46">
      <w:pPr>
        <w:spacing w:line="380" w:lineRule="exact"/>
        <w:ind w:firstLine="420" w:firstLineChars="200"/>
        <w:rPr>
          <w:rFonts w:hint="eastAsia" w:ascii="宋体" w:hAnsi="宋体" w:cs="宋体"/>
          <w:color w:val="auto"/>
          <w:szCs w:val="21"/>
          <w:highlight w:val="none"/>
        </w:rPr>
      </w:pPr>
      <w:r>
        <w:rPr>
          <w:color w:val="auto"/>
          <w:szCs w:val="21"/>
          <w:highlight w:val="none"/>
        </w:rPr>
        <w:t>电话：</w:t>
      </w:r>
      <w:r>
        <w:rPr>
          <w:rFonts w:hint="eastAsia"/>
          <w:color w:val="auto"/>
          <w:szCs w:val="21"/>
          <w:highlight w:val="none"/>
          <w:lang w:eastAsia="zh-CN"/>
        </w:rPr>
        <w:t>0773-3285698</w:t>
      </w:r>
      <w:r>
        <w:rPr>
          <w:color w:val="auto"/>
          <w:szCs w:val="21"/>
          <w:highlight w:val="none"/>
        </w:rPr>
        <w:t xml:space="preserve"> </w:t>
      </w:r>
    </w:p>
    <w:p w14:paraId="3E9FAAC6">
      <w:pPr>
        <w:spacing w:line="380" w:lineRule="exact"/>
        <w:ind w:firstLine="426"/>
        <w:rPr>
          <w:rFonts w:ascii="宋体" w:hAnsi="宋体" w:cs="宋体"/>
          <w:b/>
          <w:color w:val="auto"/>
          <w:szCs w:val="21"/>
          <w:highlight w:val="none"/>
        </w:rPr>
      </w:pPr>
      <w:r>
        <w:rPr>
          <w:rFonts w:hint="eastAsia" w:ascii="宋体" w:hAnsi="宋体" w:cs="宋体"/>
          <w:b/>
          <w:color w:val="auto"/>
          <w:szCs w:val="21"/>
          <w:highlight w:val="none"/>
        </w:rPr>
        <w:t>4.政府采购监督管理机构</w:t>
      </w:r>
    </w:p>
    <w:p w14:paraId="05BD72B8">
      <w:pPr>
        <w:spacing w:line="380" w:lineRule="exact"/>
        <w:ind w:firstLine="424" w:firstLineChars="202"/>
        <w:rPr>
          <w:rFonts w:hint="default" w:eastAsia="宋体"/>
          <w:color w:val="auto"/>
          <w:szCs w:val="21"/>
          <w:highlight w:val="none"/>
          <w:lang w:val="en-US" w:eastAsia="zh-CN"/>
        </w:rPr>
      </w:pPr>
      <w:r>
        <w:rPr>
          <w:rFonts w:hint="eastAsia" w:ascii="宋体" w:hAnsi="宋体" w:cs="宋体"/>
          <w:color w:val="auto"/>
          <w:szCs w:val="21"/>
          <w:highlight w:val="none"/>
        </w:rPr>
        <w:t>名 称：</w:t>
      </w:r>
      <w:r>
        <w:rPr>
          <w:rFonts w:hint="eastAsia"/>
          <w:color w:val="auto"/>
          <w:szCs w:val="21"/>
          <w:highlight w:val="none"/>
          <w:lang w:val="en-US" w:eastAsia="zh-CN"/>
        </w:rPr>
        <w:t>桂林市财政局</w:t>
      </w:r>
    </w:p>
    <w:p w14:paraId="02454FFC">
      <w:pPr>
        <w:spacing w:line="380" w:lineRule="exact"/>
        <w:ind w:firstLine="424" w:firstLineChars="20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olor w:val="auto"/>
          <w:szCs w:val="21"/>
          <w:highlight w:val="none"/>
          <w:lang w:eastAsia="zh-CN"/>
        </w:rPr>
        <w:t>0773-2862142</w:t>
      </w:r>
    </w:p>
    <w:p w14:paraId="2D8EC35E">
      <w:pPr>
        <w:spacing w:line="360" w:lineRule="atLeast"/>
        <w:jc w:val="center"/>
        <w:rPr>
          <w:rFonts w:hint="eastAsia"/>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第二章 供应商须知</w:t>
      </w:r>
    </w:p>
    <w:p w14:paraId="2EA7A5A9">
      <w:pPr>
        <w:tabs>
          <w:tab w:val="left" w:pos="1065"/>
          <w:tab w:val="center" w:pos="4411"/>
        </w:tabs>
        <w:spacing w:before="156" w:beforeLines="50" w:after="156" w:afterLines="50" w:line="320" w:lineRule="exact"/>
        <w:jc w:val="center"/>
        <w:rPr>
          <w:rFonts w:hint="eastAsia"/>
          <w:b/>
          <w:color w:val="auto"/>
          <w:sz w:val="24"/>
          <w:highlight w:val="none"/>
        </w:rPr>
      </w:pPr>
      <w:r>
        <w:rPr>
          <w:rFonts w:hint="eastAsia"/>
          <w:b/>
          <w:color w:val="auto"/>
          <w:sz w:val="24"/>
          <w:highlight w:val="none"/>
        </w:rPr>
        <w:t>供 应 商 须 知 前 附 表</w:t>
      </w:r>
    </w:p>
    <w:tbl>
      <w:tblPr>
        <w:tblStyle w:val="18"/>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82"/>
        <w:gridCol w:w="2006"/>
        <w:gridCol w:w="6649"/>
      </w:tblGrid>
      <w:tr w14:paraId="079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2" w:type="dxa"/>
            <w:noWrap w:val="0"/>
            <w:vAlign w:val="center"/>
          </w:tcPr>
          <w:p w14:paraId="3CFE2AAC">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 w:type="dxa"/>
            <w:noWrap w:val="0"/>
            <w:vAlign w:val="center"/>
          </w:tcPr>
          <w:p w14:paraId="0222A935">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2006" w:type="dxa"/>
            <w:noWrap w:val="0"/>
            <w:vAlign w:val="center"/>
          </w:tcPr>
          <w:p w14:paraId="7A88D5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条款名称</w:t>
            </w:r>
          </w:p>
        </w:tc>
        <w:tc>
          <w:tcPr>
            <w:tcW w:w="6649" w:type="dxa"/>
            <w:noWrap w:val="0"/>
            <w:vAlign w:val="center"/>
          </w:tcPr>
          <w:p w14:paraId="534B5D7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14:paraId="1628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2" w:type="dxa"/>
            <w:noWrap w:val="0"/>
            <w:vAlign w:val="center"/>
          </w:tcPr>
          <w:p w14:paraId="716C1E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882" w:type="dxa"/>
            <w:noWrap w:val="0"/>
            <w:vAlign w:val="center"/>
          </w:tcPr>
          <w:p w14:paraId="720121DF">
            <w:pPr>
              <w:spacing w:line="32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2006" w:type="dxa"/>
            <w:noWrap w:val="0"/>
            <w:vAlign w:val="center"/>
          </w:tcPr>
          <w:p w14:paraId="378314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项目名称及项目编号</w:t>
            </w:r>
          </w:p>
        </w:tc>
        <w:tc>
          <w:tcPr>
            <w:tcW w:w="6649" w:type="dxa"/>
            <w:noWrap w:val="0"/>
            <w:vAlign w:val="center"/>
          </w:tcPr>
          <w:p w14:paraId="200BB79D">
            <w:pPr>
              <w:spacing w:line="42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color w:val="auto"/>
                <w:highlight w:val="none"/>
                <w:lang w:eastAsia="zh-CN"/>
              </w:rPr>
              <w:t>桂林高新区火炬统计服务（重）</w:t>
            </w:r>
          </w:p>
          <w:p w14:paraId="7AE70AA2">
            <w:pPr>
              <w:spacing w:line="420" w:lineRule="exact"/>
              <w:rPr>
                <w:rFonts w:hint="eastAsia" w:eastAsia="宋体"/>
                <w:color w:val="auto"/>
                <w:szCs w:val="21"/>
                <w:highlight w:val="none"/>
                <w:lang w:eastAsia="zh-CN"/>
              </w:rPr>
            </w:pPr>
            <w:r>
              <w:rPr>
                <w:rFonts w:hint="eastAsia"/>
                <w:color w:val="auto"/>
                <w:szCs w:val="21"/>
                <w:highlight w:val="none"/>
              </w:rPr>
              <w:t>项目编号：</w:t>
            </w:r>
            <w:r>
              <w:rPr>
                <w:rFonts w:hint="eastAsia" w:ascii="宋体" w:hAnsi="宋体" w:cs="宋体"/>
                <w:color w:val="auto"/>
                <w:szCs w:val="21"/>
                <w:highlight w:val="none"/>
                <w:lang w:eastAsia="zh-CN"/>
              </w:rPr>
              <w:t>GLZC2025-C3-990355-YDGC</w:t>
            </w:r>
          </w:p>
        </w:tc>
      </w:tr>
      <w:tr w14:paraId="1063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682" w:type="dxa"/>
            <w:noWrap w:val="0"/>
            <w:vAlign w:val="center"/>
          </w:tcPr>
          <w:p w14:paraId="5EE0891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 w:type="dxa"/>
            <w:noWrap w:val="0"/>
            <w:vAlign w:val="center"/>
          </w:tcPr>
          <w:p w14:paraId="2E752AEC">
            <w:pPr>
              <w:spacing w:line="3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006" w:type="dxa"/>
            <w:noWrap w:val="0"/>
            <w:vAlign w:val="center"/>
          </w:tcPr>
          <w:p w14:paraId="7DBD7281">
            <w:pPr>
              <w:spacing w:line="320" w:lineRule="exact"/>
              <w:jc w:val="center"/>
              <w:rPr>
                <w:rFonts w:hint="eastAsia" w:ascii="宋体" w:hAnsi="宋体"/>
                <w:color w:val="auto"/>
                <w:szCs w:val="21"/>
                <w:highlight w:val="none"/>
              </w:rPr>
            </w:pPr>
            <w:r>
              <w:rPr>
                <w:rFonts w:hint="eastAsia" w:ascii="宋体" w:hAnsi="宋体"/>
                <w:color w:val="auto"/>
                <w:szCs w:val="21"/>
                <w:highlight w:val="none"/>
              </w:rPr>
              <w:t>供应商资格</w:t>
            </w:r>
          </w:p>
        </w:tc>
        <w:tc>
          <w:tcPr>
            <w:tcW w:w="6649" w:type="dxa"/>
            <w:noWrap w:val="0"/>
            <w:vAlign w:val="center"/>
          </w:tcPr>
          <w:p w14:paraId="464D90F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55B7210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AF9D95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3.3本项目的特定资格要求：无。</w:t>
            </w:r>
          </w:p>
          <w:p w14:paraId="433241A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714A17D7">
            <w:pPr>
              <w:spacing w:line="420" w:lineRule="exact"/>
              <w:rPr>
                <w:rFonts w:hint="eastAsia"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tc>
      </w:tr>
      <w:tr w14:paraId="5994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682" w:type="dxa"/>
            <w:noWrap w:val="0"/>
            <w:vAlign w:val="center"/>
          </w:tcPr>
          <w:p w14:paraId="1DA09BC8">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882" w:type="dxa"/>
            <w:noWrap w:val="0"/>
            <w:vAlign w:val="center"/>
          </w:tcPr>
          <w:p w14:paraId="5C7DCD59">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006" w:type="dxa"/>
            <w:noWrap w:val="0"/>
            <w:vAlign w:val="center"/>
          </w:tcPr>
          <w:p w14:paraId="3C78BFEF">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参与电子</w:t>
            </w:r>
            <w:r>
              <w:rPr>
                <w:rFonts w:hint="eastAsia" w:ascii="宋体" w:hAnsi="宋体"/>
                <w:color w:val="auto"/>
                <w:szCs w:val="21"/>
                <w:highlight w:val="none"/>
                <w:lang w:eastAsia="zh-CN"/>
              </w:rPr>
              <w:t>磋商</w:t>
            </w:r>
            <w:r>
              <w:rPr>
                <w:rFonts w:hint="eastAsia" w:ascii="宋体" w:hAnsi="宋体"/>
                <w:color w:val="auto"/>
                <w:szCs w:val="21"/>
                <w:highlight w:val="none"/>
              </w:rPr>
              <w:t>的准备工作</w:t>
            </w:r>
          </w:p>
        </w:tc>
        <w:tc>
          <w:tcPr>
            <w:tcW w:w="6649" w:type="dxa"/>
            <w:noWrap w:val="0"/>
            <w:vAlign w:val="center"/>
          </w:tcPr>
          <w:p w14:paraId="7023DE56">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.1本项目实行全流程电子化采购，</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”平台参与电子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，并应做好以下相关准备工作：①在“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”平台注册成为正式供应商（操作方法详见广西壮族自治区政府采购网—办事服务—办事指南）；②完成CA认证证书申领和绑定（费用由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电子投标客户端”）并安装成功，</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应当在</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文件提交截止时间前在“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”平台完成的身份认证，确保能够对相关数据电文进行加密和使用电子签章；④自备计算机和网络设备并确保能接入互联网（费用由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自行承担，设备确保可进行视频通话和读取</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CA认证证书）。因</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未做好相关准备工作等自身原因导致无法参加本项目电子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失败的，造成的一切后果，由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w:t>
            </w:r>
          </w:p>
          <w:p w14:paraId="725F9971">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具体操作流程参考《政府采购项目电子交易管理操作指南-供应商》（详见桂林市政府采购网—采购资讯—重要通知）；如遇平台技术问题详询95763。</w:t>
            </w:r>
          </w:p>
          <w:p w14:paraId="5F649E37">
            <w:pPr>
              <w:spacing w:line="440" w:lineRule="exact"/>
              <w:rPr>
                <w:rFonts w:hint="eastAsia" w:ascii="宋体" w:hAnsi="宋体" w:cs="宋体"/>
                <w:color w:val="auto"/>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.3不论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结果如何，</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均应自行承担所有与</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有关的全部费用。</w:t>
            </w:r>
          </w:p>
        </w:tc>
      </w:tr>
      <w:tr w14:paraId="7E7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109B1EDB">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82" w:type="dxa"/>
            <w:noWrap w:val="0"/>
            <w:vAlign w:val="center"/>
          </w:tcPr>
          <w:p w14:paraId="4BA20570">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006" w:type="dxa"/>
            <w:noWrap w:val="0"/>
            <w:vAlign w:val="center"/>
          </w:tcPr>
          <w:p w14:paraId="293D539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磋商费用</w:t>
            </w:r>
          </w:p>
        </w:tc>
        <w:tc>
          <w:tcPr>
            <w:tcW w:w="6649" w:type="dxa"/>
            <w:noWrap w:val="0"/>
            <w:vAlign w:val="top"/>
          </w:tcPr>
          <w:p w14:paraId="7CD10599">
            <w:pPr>
              <w:spacing w:line="420" w:lineRule="exact"/>
              <w:rPr>
                <w:rFonts w:hint="eastAsia" w:ascii="宋体" w:hAnsi="宋体"/>
                <w:color w:val="auto"/>
                <w:szCs w:val="21"/>
                <w:highlight w:val="none"/>
              </w:rPr>
            </w:pPr>
            <w:r>
              <w:rPr>
                <w:rFonts w:hint="eastAsia" w:ascii="宋体" w:hAnsi="宋体"/>
                <w:color w:val="auto"/>
                <w:szCs w:val="21"/>
                <w:highlight w:val="none"/>
              </w:rPr>
              <w:t xml:space="preserve">不论磋商结果如何，供应商均应自行承担所有与磋商有关的全部费用。 </w:t>
            </w:r>
          </w:p>
        </w:tc>
      </w:tr>
      <w:tr w14:paraId="7A4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48EF2E0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82" w:type="dxa"/>
            <w:noWrap w:val="0"/>
            <w:vAlign w:val="center"/>
          </w:tcPr>
          <w:p w14:paraId="74CB83D4">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4</w:t>
            </w:r>
          </w:p>
        </w:tc>
        <w:tc>
          <w:tcPr>
            <w:tcW w:w="2006" w:type="dxa"/>
            <w:noWrap w:val="0"/>
            <w:vAlign w:val="center"/>
          </w:tcPr>
          <w:p w14:paraId="4AFCEE2A">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磋商报价及采购预算金额</w:t>
            </w:r>
          </w:p>
        </w:tc>
        <w:tc>
          <w:tcPr>
            <w:tcW w:w="6649" w:type="dxa"/>
            <w:noWrap w:val="0"/>
            <w:vAlign w:val="center"/>
          </w:tcPr>
          <w:p w14:paraId="611E769D">
            <w:pPr>
              <w:spacing w:line="420" w:lineRule="exact"/>
              <w:outlineLvl w:val="2"/>
              <w:rPr>
                <w:rFonts w:hint="default" w:hAnsi="宋体" w:eastAsia="宋体"/>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.1采购预算</w:t>
            </w:r>
            <w:r>
              <w:rPr>
                <w:rFonts w:hint="eastAsia" w:hAnsi="宋体"/>
                <w:color w:val="auto"/>
                <w:szCs w:val="21"/>
                <w:highlight w:val="none"/>
                <w:lang w:val="en-US" w:eastAsia="zh-CN"/>
              </w:rPr>
              <w:t>总</w:t>
            </w:r>
            <w:r>
              <w:rPr>
                <w:rFonts w:hint="eastAsia" w:hAnsi="宋体"/>
                <w:color w:val="auto"/>
                <w:szCs w:val="21"/>
                <w:highlight w:val="none"/>
              </w:rPr>
              <w:t>金额：</w:t>
            </w:r>
            <w:r>
              <w:rPr>
                <w:rFonts w:hint="eastAsia" w:hAnsi="宋体"/>
                <w:color w:val="auto"/>
                <w:szCs w:val="21"/>
                <w:highlight w:val="none"/>
                <w:lang w:val="en-US" w:eastAsia="zh-CN"/>
              </w:rPr>
              <w:t>陆拾万元零角零分</w:t>
            </w:r>
            <w:r>
              <w:rPr>
                <w:rFonts w:hint="eastAsia" w:hAnsi="宋体"/>
                <w:color w:val="auto"/>
                <w:szCs w:val="21"/>
                <w:highlight w:val="none"/>
              </w:rPr>
              <w:t>（¥</w:t>
            </w:r>
            <w:r>
              <w:rPr>
                <w:rFonts w:hint="eastAsia" w:hAnsi="宋体"/>
                <w:color w:val="auto"/>
                <w:szCs w:val="21"/>
                <w:highlight w:val="none"/>
                <w:lang w:val="en-US" w:eastAsia="zh-CN"/>
              </w:rPr>
              <w:t>600000.00</w:t>
            </w:r>
            <w:r>
              <w:rPr>
                <w:rFonts w:hint="eastAsia" w:hAnsi="宋体"/>
                <w:color w:val="auto"/>
                <w:szCs w:val="21"/>
                <w:highlight w:val="none"/>
              </w:rPr>
              <w:t>元）</w:t>
            </w:r>
            <w:r>
              <w:rPr>
                <w:rFonts w:hint="eastAsia"/>
                <w:color w:val="auto"/>
                <w:szCs w:val="21"/>
                <w:highlight w:val="none"/>
              </w:rPr>
              <w:t>。</w:t>
            </w:r>
          </w:p>
          <w:p w14:paraId="1F2CAAB4">
            <w:pPr>
              <w:spacing w:line="420" w:lineRule="exact"/>
              <w:outlineLvl w:val="2"/>
              <w:rPr>
                <w:rFonts w:hint="eastAsia"/>
                <w:color w:val="auto"/>
                <w:highlight w:val="none"/>
              </w:rPr>
            </w:pPr>
            <w:r>
              <w:rPr>
                <w:rFonts w:hint="eastAsia" w:hAnsi="宋体" w:eastAsia="宋体"/>
                <w:szCs w:val="21"/>
                <w:highlight w:val="none"/>
                <w:lang w:val="en-US" w:eastAsia="zh-CN"/>
              </w:rPr>
              <w:t>响应报</w:t>
            </w:r>
            <w:r>
              <w:rPr>
                <w:rFonts w:hint="eastAsia"/>
                <w:color w:val="auto"/>
                <w:highlight w:val="none"/>
                <w:lang w:val="en-US" w:eastAsia="zh-CN"/>
              </w:rPr>
              <w:t>价超出最高限价的，响应文件按无效</w:t>
            </w:r>
            <w:r>
              <w:rPr>
                <w:rFonts w:hint="eastAsia"/>
                <w:color w:val="auto"/>
                <w:highlight w:val="none"/>
              </w:rPr>
              <w:t>处理。</w:t>
            </w:r>
          </w:p>
          <w:p w14:paraId="555B234B">
            <w:pPr>
              <w:spacing w:line="420" w:lineRule="exact"/>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274D72CA">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供应商必须就“项目需求”中的所有内容作完整唯一报价，否则，其响应将被拒绝。响应文件只允许有一个报价，有选择的或有条件的报价将不予接受。</w:t>
            </w:r>
          </w:p>
          <w:p w14:paraId="7DDEC2AE">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w:t>
            </w:r>
            <w:r>
              <w:rPr>
                <w:rFonts w:hint="eastAsia" w:ascii="宋体" w:hAnsi="宋体" w:cs="宋体"/>
                <w:color w:val="auto"/>
                <w:kern w:val="0"/>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kern w:val="0"/>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736B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3C34162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882" w:type="dxa"/>
            <w:noWrap w:val="0"/>
            <w:vAlign w:val="center"/>
          </w:tcPr>
          <w:p w14:paraId="4344049C">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15</w:t>
            </w:r>
            <w:r>
              <w:rPr>
                <w:rFonts w:hint="eastAsia" w:ascii="宋体" w:hAnsi="宋体"/>
                <w:color w:val="auto"/>
                <w:position w:val="-2"/>
                <w:szCs w:val="21"/>
                <w:highlight w:val="none"/>
              </w:rPr>
              <w:t>.1</w:t>
            </w:r>
          </w:p>
        </w:tc>
        <w:tc>
          <w:tcPr>
            <w:tcW w:w="2006" w:type="dxa"/>
            <w:noWrap w:val="0"/>
            <w:vAlign w:val="center"/>
          </w:tcPr>
          <w:p w14:paraId="524EB862">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响应文件有效期</w:t>
            </w:r>
          </w:p>
        </w:tc>
        <w:tc>
          <w:tcPr>
            <w:tcW w:w="6649" w:type="dxa"/>
            <w:noWrap w:val="0"/>
            <w:vAlign w:val="top"/>
          </w:tcPr>
          <w:p w14:paraId="5959C567">
            <w:pPr>
              <w:tabs>
                <w:tab w:val="left" w:pos="1305"/>
              </w:tabs>
              <w:spacing w:line="420" w:lineRule="exact"/>
              <w:rPr>
                <w:rFonts w:hint="eastAsia" w:ascii="宋体" w:hAnsi="宋体"/>
                <w:color w:val="auto"/>
                <w:szCs w:val="21"/>
                <w:highlight w:val="none"/>
              </w:rPr>
            </w:pPr>
            <w:r>
              <w:rPr>
                <w:rFonts w:hint="eastAsia" w:ascii="宋体" w:hAnsi="宋体"/>
                <w:color w:val="auto"/>
                <w:szCs w:val="21"/>
                <w:highlight w:val="none"/>
              </w:rPr>
              <w:t>自响应文件递交截止时间之日起90天，有效期不足的响应文件将被拒绝。</w:t>
            </w:r>
          </w:p>
        </w:tc>
      </w:tr>
      <w:tr w14:paraId="2190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64BC416E">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882" w:type="dxa"/>
            <w:noWrap w:val="0"/>
            <w:vAlign w:val="center"/>
          </w:tcPr>
          <w:p w14:paraId="40E7A3A5">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6</w:t>
            </w:r>
          </w:p>
        </w:tc>
        <w:tc>
          <w:tcPr>
            <w:tcW w:w="2006" w:type="dxa"/>
            <w:noWrap w:val="0"/>
            <w:vAlign w:val="center"/>
          </w:tcPr>
          <w:p w14:paraId="44B1F3F5">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rPr>
              <w:t>磋商保证金</w:t>
            </w:r>
          </w:p>
        </w:tc>
        <w:tc>
          <w:tcPr>
            <w:tcW w:w="6649" w:type="dxa"/>
            <w:noWrap w:val="0"/>
            <w:vAlign w:val="top"/>
          </w:tcPr>
          <w:p w14:paraId="650EAD57">
            <w:pPr>
              <w:pStyle w:val="12"/>
              <w:spacing w:line="420" w:lineRule="exact"/>
              <w:rPr>
                <w:rFonts w:hint="eastAsia" w:hAnsi="宋体"/>
                <w:color w:val="auto"/>
                <w:szCs w:val="21"/>
                <w:highlight w:val="none"/>
              </w:rPr>
            </w:pPr>
            <w:r>
              <w:rPr>
                <w:rFonts w:hint="eastAsia" w:hAnsi="宋体" w:cs="宋体"/>
                <w:color w:val="auto"/>
                <w:szCs w:val="21"/>
                <w:highlight w:val="none"/>
              </w:rPr>
              <w:t>本项目无需缴纳磋商保证金。</w:t>
            </w:r>
          </w:p>
        </w:tc>
      </w:tr>
      <w:tr w14:paraId="3FD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82" w:type="dxa"/>
            <w:noWrap w:val="0"/>
            <w:vAlign w:val="center"/>
          </w:tcPr>
          <w:p w14:paraId="64ADF46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882" w:type="dxa"/>
            <w:noWrap w:val="0"/>
            <w:vAlign w:val="center"/>
          </w:tcPr>
          <w:p w14:paraId="48487D9C">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2006" w:type="dxa"/>
            <w:noWrap w:val="0"/>
            <w:vAlign w:val="center"/>
          </w:tcPr>
          <w:p w14:paraId="1B2CB053">
            <w:pPr>
              <w:spacing w:line="320" w:lineRule="exact"/>
              <w:jc w:val="center"/>
              <w:rPr>
                <w:rFonts w:ascii="宋体" w:hAnsi="宋体"/>
                <w:color w:val="auto"/>
                <w:szCs w:val="21"/>
                <w:highlight w:val="none"/>
              </w:rPr>
            </w:pPr>
            <w:r>
              <w:rPr>
                <w:rFonts w:hint="eastAsia" w:ascii="宋体" w:hAnsi="宋体"/>
                <w:color w:val="auto"/>
                <w:szCs w:val="21"/>
                <w:highlight w:val="none"/>
              </w:rPr>
              <w:t>竞争性磋商响应文件的制作</w:t>
            </w:r>
          </w:p>
        </w:tc>
        <w:tc>
          <w:tcPr>
            <w:tcW w:w="6649" w:type="dxa"/>
            <w:noWrap w:val="0"/>
            <w:vAlign w:val="center"/>
          </w:tcPr>
          <w:p w14:paraId="5989316F">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27CF2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.2供应商法人（负责人）或授权代表持有</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个人CA签章的，应在响应文件中涉及到签字的位置使用个人CA签章，没有办理</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个人CA签章的可在响应文件中涉及到签字的位置手写签字后扫描或者拍照做成 PDF 的格式上传即可。</w:t>
            </w:r>
          </w:p>
          <w:p w14:paraId="20A2663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.3 磋商响应文件不得涂改，若有修改错漏处，须法定代表人（负责人）或授权委托人签字</w:t>
            </w:r>
            <w:r>
              <w:rPr>
                <w:rFonts w:hint="eastAsia" w:ascii="宋体" w:hAnsi="宋体" w:eastAsia="宋体" w:cs="宋体"/>
                <w:sz w:val="21"/>
                <w:szCs w:val="21"/>
                <w:highlight w:val="none"/>
              </w:rPr>
              <w:t>（或个人CA签章）</w:t>
            </w:r>
            <w:r>
              <w:rPr>
                <w:rFonts w:hint="eastAsia" w:ascii="宋体" w:hAnsi="宋体" w:eastAsia="宋体" w:cs="宋体"/>
                <w:color w:val="000000"/>
                <w:sz w:val="21"/>
                <w:szCs w:val="21"/>
                <w:highlight w:val="none"/>
              </w:rPr>
              <w:t>。磋商响应文件因字迹潦草或表达不清所引起的后果由供应商负责。</w:t>
            </w:r>
          </w:p>
          <w:p w14:paraId="3C38AA5B">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.4磋商前准备 </w:t>
            </w:r>
          </w:p>
          <w:p w14:paraId="7B2B0E8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.4.1本项目实行在线磋商，采用电子磋商响应文件。若供应商参与磋商，自行承担磋商一切费用。 </w:t>
            </w:r>
          </w:p>
          <w:p w14:paraId="596069C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.4.2各供应商应在截标前应确保成为</w:t>
            </w:r>
            <w:r>
              <w:rPr>
                <w:rFonts w:hint="eastAsia" w:ascii="宋体" w:hAnsi="宋体" w:eastAsia="宋体" w:cs="宋体"/>
                <w:color w:val="000000"/>
                <w:sz w:val="21"/>
                <w:szCs w:val="21"/>
                <w:highlight w:val="none"/>
                <w:lang w:eastAsia="zh-CN"/>
              </w:rPr>
              <w:t>广西政府采购云</w:t>
            </w:r>
            <w:r>
              <w:rPr>
                <w:rFonts w:hint="eastAsia" w:ascii="宋体" w:hAnsi="宋体" w:eastAsia="宋体" w:cs="宋体"/>
                <w:color w:val="000000"/>
                <w:sz w:val="21"/>
                <w:szCs w:val="21"/>
                <w:highlight w:val="none"/>
              </w:rPr>
              <w:t xml:space="preserve">平台正式注册入库供应商，并完成 CA 数字证书申领。因未注册入库、未办理 CA 数字证书等原因造成无法磋商或磋商失败等后果由供应商自行承担。 </w:t>
            </w:r>
          </w:p>
          <w:p w14:paraId="5217743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.4.3供应商将</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客户服务热线 95763进行咨询。</w:t>
            </w:r>
          </w:p>
        </w:tc>
      </w:tr>
      <w:tr w14:paraId="574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noWrap w:val="0"/>
            <w:vAlign w:val="center"/>
          </w:tcPr>
          <w:p w14:paraId="7F32B55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882" w:type="dxa"/>
            <w:noWrap w:val="0"/>
            <w:vAlign w:val="center"/>
          </w:tcPr>
          <w:p w14:paraId="51C8F5A0">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.1</w:t>
            </w:r>
          </w:p>
        </w:tc>
        <w:tc>
          <w:tcPr>
            <w:tcW w:w="2006" w:type="dxa"/>
            <w:noWrap w:val="0"/>
            <w:vAlign w:val="center"/>
          </w:tcPr>
          <w:p w14:paraId="15794B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响应文件递交起止时间及截止时间</w:t>
            </w:r>
          </w:p>
        </w:tc>
        <w:tc>
          <w:tcPr>
            <w:tcW w:w="6649" w:type="dxa"/>
            <w:noWrap w:val="0"/>
            <w:vAlign w:val="center"/>
          </w:tcPr>
          <w:p w14:paraId="377F48FB">
            <w:pPr>
              <w:spacing w:line="420" w:lineRule="exact"/>
              <w:rPr>
                <w:rFonts w:hint="eastAsia" w:ascii="宋体" w:hAnsi="宋体"/>
                <w:color w:val="auto"/>
                <w:szCs w:val="21"/>
                <w:highlight w:val="none"/>
              </w:rPr>
            </w:pP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8月11日09</w:t>
            </w:r>
            <w:r>
              <w:rPr>
                <w:rFonts w:hint="eastAsia" w:ascii="宋体" w:hAnsi="宋体" w:cs="宋体"/>
                <w:color w:val="auto"/>
                <w:szCs w:val="21"/>
                <w:highlight w:val="none"/>
              </w:rPr>
              <w:t>时30分之前将电子磋商响应文件上传到</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tc>
      </w:tr>
      <w:tr w14:paraId="4F64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2" w:type="dxa"/>
            <w:noWrap w:val="0"/>
            <w:vAlign w:val="center"/>
          </w:tcPr>
          <w:p w14:paraId="2E7AC6C9">
            <w:pPr>
              <w:spacing w:line="320" w:lineRule="exact"/>
              <w:jc w:val="center"/>
              <w:rPr>
                <w:rFonts w:hint="default" w:ascii="宋体" w:hAnsi="宋体" w:eastAsia="宋体"/>
                <w:color w:val="auto"/>
                <w:position w:val="-2"/>
                <w:szCs w:val="21"/>
                <w:highlight w:val="none"/>
                <w:lang w:val="en-US" w:eastAsia="zh-CN"/>
              </w:rPr>
            </w:pPr>
            <w:r>
              <w:rPr>
                <w:rFonts w:hint="eastAsia" w:ascii="宋体" w:hAnsi="宋体"/>
                <w:color w:val="auto"/>
                <w:position w:val="-2"/>
                <w:szCs w:val="21"/>
                <w:highlight w:val="none"/>
                <w:lang w:val="en-US" w:eastAsia="zh-CN"/>
              </w:rPr>
              <w:t>10</w:t>
            </w:r>
          </w:p>
        </w:tc>
        <w:tc>
          <w:tcPr>
            <w:tcW w:w="882" w:type="dxa"/>
            <w:noWrap w:val="0"/>
            <w:vAlign w:val="center"/>
          </w:tcPr>
          <w:p w14:paraId="0F69BE7A">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19</w:t>
            </w:r>
            <w:r>
              <w:rPr>
                <w:rFonts w:hint="eastAsia" w:ascii="宋体" w:hAnsi="宋体"/>
                <w:color w:val="auto"/>
                <w:position w:val="-2"/>
                <w:szCs w:val="21"/>
                <w:highlight w:val="none"/>
              </w:rPr>
              <w:t>.2</w:t>
            </w:r>
          </w:p>
        </w:tc>
        <w:tc>
          <w:tcPr>
            <w:tcW w:w="2006" w:type="dxa"/>
            <w:noWrap w:val="0"/>
            <w:vAlign w:val="center"/>
          </w:tcPr>
          <w:p w14:paraId="4289BB2B">
            <w:pPr>
              <w:spacing w:line="440" w:lineRule="exact"/>
              <w:jc w:val="center"/>
              <w:rPr>
                <w:rFonts w:hint="eastAsia" w:ascii="宋体" w:hAnsi="宋体"/>
                <w:color w:val="auto"/>
                <w:position w:val="-2"/>
                <w:szCs w:val="21"/>
                <w:highlight w:val="none"/>
              </w:rPr>
            </w:pPr>
            <w:r>
              <w:rPr>
                <w:rFonts w:hint="eastAsia" w:ascii="宋体" w:hAnsi="宋体" w:cs="宋体"/>
                <w:color w:val="auto"/>
                <w:szCs w:val="21"/>
                <w:highlight w:val="none"/>
              </w:rPr>
              <w:t>磋商响应文件解密时间</w:t>
            </w:r>
          </w:p>
        </w:tc>
        <w:tc>
          <w:tcPr>
            <w:tcW w:w="6649" w:type="dxa"/>
            <w:noWrap w:val="0"/>
            <w:vAlign w:val="center"/>
          </w:tcPr>
          <w:p w14:paraId="1BD7FB27">
            <w:pPr>
              <w:pStyle w:val="9"/>
              <w:spacing w:line="420" w:lineRule="exact"/>
              <w:rPr>
                <w:rFonts w:hint="eastAsia" w:ascii="宋体" w:hAnsi="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w:t>
            </w:r>
            <w:r>
              <w:rPr>
                <w:rFonts w:hint="eastAsia" w:ascii="宋体" w:hAnsi="宋体" w:cs="宋体"/>
                <w:color w:val="auto"/>
                <w:szCs w:val="21"/>
                <w:highlight w:val="none"/>
              </w:rPr>
              <w:t>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8月11日09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tc>
      </w:tr>
      <w:tr w14:paraId="7DCF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2" w:type="dxa"/>
            <w:noWrap w:val="0"/>
            <w:vAlign w:val="center"/>
          </w:tcPr>
          <w:p w14:paraId="58F1E1A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882" w:type="dxa"/>
            <w:noWrap w:val="0"/>
            <w:vAlign w:val="center"/>
          </w:tcPr>
          <w:p w14:paraId="1A405654">
            <w:pPr>
              <w:spacing w:line="320" w:lineRule="exact"/>
              <w:ind w:firstLine="105" w:firstLineChars="50"/>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20</w:t>
            </w:r>
            <w:r>
              <w:rPr>
                <w:rFonts w:hint="eastAsia" w:ascii="宋体" w:hAnsi="宋体"/>
                <w:color w:val="auto"/>
                <w:position w:val="-2"/>
                <w:szCs w:val="21"/>
                <w:highlight w:val="none"/>
              </w:rPr>
              <w:t>.1</w:t>
            </w:r>
          </w:p>
        </w:tc>
        <w:tc>
          <w:tcPr>
            <w:tcW w:w="2006" w:type="dxa"/>
            <w:noWrap w:val="0"/>
            <w:vAlign w:val="center"/>
          </w:tcPr>
          <w:p w14:paraId="15766DE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磋商小组组成</w:t>
            </w:r>
          </w:p>
        </w:tc>
        <w:tc>
          <w:tcPr>
            <w:tcW w:w="6649" w:type="dxa"/>
            <w:noWrap w:val="0"/>
            <w:vAlign w:val="center"/>
          </w:tcPr>
          <w:p w14:paraId="0906798E">
            <w:pPr>
              <w:spacing w:line="420" w:lineRule="exact"/>
              <w:rPr>
                <w:rFonts w:hint="eastAsia" w:ascii="宋体" w:hAnsi="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14:paraId="527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2" w:type="dxa"/>
            <w:noWrap w:val="0"/>
            <w:vAlign w:val="center"/>
          </w:tcPr>
          <w:p w14:paraId="2400E133">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882" w:type="dxa"/>
            <w:noWrap w:val="0"/>
            <w:vAlign w:val="center"/>
          </w:tcPr>
          <w:p w14:paraId="35435207">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w:t>
            </w:r>
          </w:p>
        </w:tc>
        <w:tc>
          <w:tcPr>
            <w:tcW w:w="2006" w:type="dxa"/>
            <w:noWrap w:val="0"/>
            <w:vAlign w:val="center"/>
          </w:tcPr>
          <w:p w14:paraId="20B9E679">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磋商时间、地点、  人员</w:t>
            </w:r>
          </w:p>
        </w:tc>
        <w:tc>
          <w:tcPr>
            <w:tcW w:w="6649" w:type="dxa"/>
            <w:noWrap w:val="0"/>
            <w:vAlign w:val="top"/>
          </w:tcPr>
          <w:p w14:paraId="1CB01936">
            <w:pPr>
              <w:spacing w:line="420" w:lineRule="exact"/>
              <w:ind w:left="315" w:hanging="315" w:hangingChars="15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p>
          <w:p w14:paraId="41334B88">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等候在线磋商。</w:t>
            </w:r>
          </w:p>
          <w:p w14:paraId="389C7106">
            <w:pPr>
              <w:spacing w:line="420" w:lineRule="exact"/>
              <w:ind w:left="15" w:hanging="14" w:hangingChars="7"/>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.2.3磋商参加人员：供应商法定代表人或相应的委托代理人参加磋商。请供应商实时登录广西政府采购云平台等候在线磋商。</w:t>
            </w:r>
          </w:p>
          <w:p w14:paraId="4BEE413E">
            <w:pPr>
              <w:tabs>
                <w:tab w:val="left" w:pos="1140"/>
              </w:tabs>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.2.4响应文件递交截止时间后，由磋商小组在评标室内线上开启响应文件。</w:t>
            </w:r>
          </w:p>
          <w:p w14:paraId="445DAE8A">
            <w:pPr>
              <w:tabs>
                <w:tab w:val="left" w:pos="1140"/>
              </w:tabs>
              <w:spacing w:line="420" w:lineRule="exact"/>
              <w:rPr>
                <w:rFonts w:ascii="宋体"/>
                <w:b/>
                <w:color w:val="auto"/>
                <w:szCs w:val="21"/>
                <w:highlight w:val="none"/>
              </w:rPr>
            </w:pPr>
            <w:r>
              <w:rPr>
                <w:rFonts w:hint="eastAsia" w:ascii="宋体" w:hAnsi="宋体"/>
                <w:b/>
                <w:color w:val="auto"/>
                <w:szCs w:val="21"/>
                <w:highlight w:val="none"/>
              </w:rPr>
              <w:t>本项目需要供应商代表在响应文件提交截止时间当天，按磋商小组要求及时登陆“</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”平台等候在线磋商及提交最后报价。</w:t>
            </w:r>
          </w:p>
        </w:tc>
      </w:tr>
      <w:tr w14:paraId="751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684E74DD">
            <w:pPr>
              <w:spacing w:line="320" w:lineRule="exact"/>
              <w:jc w:val="center"/>
              <w:rPr>
                <w:rFonts w:hint="eastAsia" w:ascii="宋体" w:hAnsi="宋体" w:eastAsia="宋体"/>
                <w:color w:val="auto"/>
                <w:szCs w:val="21"/>
                <w:highlight w:val="none"/>
                <w:lang w:eastAsia="zh-CN"/>
              </w:rPr>
            </w:pPr>
            <w:r>
              <w:rPr>
                <w:rFonts w:hint="eastAsia" w:ascii="宋体" w:hAnsi="宋体" w:cs="Arial"/>
                <w:color w:val="auto"/>
                <w:kern w:val="0"/>
                <w:szCs w:val="21"/>
                <w:highlight w:val="none"/>
              </w:rPr>
              <w:t>1</w:t>
            </w:r>
            <w:r>
              <w:rPr>
                <w:rFonts w:hint="eastAsia" w:ascii="宋体" w:hAnsi="宋体" w:cs="Arial"/>
                <w:color w:val="auto"/>
                <w:kern w:val="0"/>
                <w:szCs w:val="21"/>
                <w:highlight w:val="none"/>
                <w:lang w:val="en-US" w:eastAsia="zh-CN"/>
              </w:rPr>
              <w:t>3</w:t>
            </w:r>
          </w:p>
        </w:tc>
        <w:tc>
          <w:tcPr>
            <w:tcW w:w="882" w:type="dxa"/>
            <w:noWrap w:val="0"/>
            <w:vAlign w:val="center"/>
          </w:tcPr>
          <w:p w14:paraId="38B8B8C7">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2006" w:type="dxa"/>
            <w:noWrap w:val="0"/>
            <w:vAlign w:val="center"/>
          </w:tcPr>
          <w:p w14:paraId="1A6B3B51">
            <w:pPr>
              <w:pStyle w:val="12"/>
              <w:spacing w:line="320" w:lineRule="exact"/>
              <w:ind w:left="29" w:leftChars="14" w:firstLine="420" w:firstLineChars="200"/>
              <w:rPr>
                <w:rFonts w:hint="eastAsia" w:hAnsi="宋体" w:cs="Arial"/>
                <w:color w:val="auto"/>
                <w:kern w:val="0"/>
                <w:szCs w:val="21"/>
                <w:highlight w:val="none"/>
              </w:rPr>
            </w:pPr>
            <w:r>
              <w:rPr>
                <w:rFonts w:hint="eastAsia" w:hAnsi="宋体" w:cs="Arial"/>
                <w:color w:val="auto"/>
                <w:kern w:val="0"/>
                <w:szCs w:val="21"/>
                <w:highlight w:val="none"/>
              </w:rPr>
              <w:t>评审办法</w:t>
            </w:r>
          </w:p>
        </w:tc>
        <w:tc>
          <w:tcPr>
            <w:tcW w:w="6649" w:type="dxa"/>
            <w:noWrap w:val="0"/>
            <w:vAlign w:val="center"/>
          </w:tcPr>
          <w:p w14:paraId="5BAB853D">
            <w:pPr>
              <w:tabs>
                <w:tab w:val="left" w:pos="1140"/>
              </w:tabs>
              <w:spacing w:line="420" w:lineRule="exact"/>
              <w:rPr>
                <w:rFonts w:hint="eastAsia" w:ascii="宋体" w:hAnsi="宋体"/>
                <w:color w:val="auto"/>
                <w:szCs w:val="21"/>
                <w:highlight w:val="none"/>
              </w:rPr>
            </w:pPr>
            <w:r>
              <w:rPr>
                <w:rFonts w:hint="eastAsia" w:ascii="宋体" w:hAnsi="宋体"/>
                <w:color w:val="auto"/>
                <w:szCs w:val="21"/>
                <w:highlight w:val="none"/>
              </w:rPr>
              <w:t>具体详见第四章评审办法。</w:t>
            </w:r>
          </w:p>
        </w:tc>
      </w:tr>
      <w:tr w14:paraId="333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684D6F9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882" w:type="dxa"/>
            <w:noWrap w:val="0"/>
            <w:vAlign w:val="center"/>
          </w:tcPr>
          <w:p w14:paraId="0968C53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2006" w:type="dxa"/>
            <w:noWrap w:val="0"/>
            <w:vAlign w:val="center"/>
          </w:tcPr>
          <w:p w14:paraId="220B58D0">
            <w:pPr>
              <w:spacing w:line="320" w:lineRule="exact"/>
              <w:jc w:val="center"/>
              <w:rPr>
                <w:rFonts w:hint="eastAsia" w:ascii="宋体" w:hAnsi="宋体"/>
                <w:color w:val="auto"/>
                <w:szCs w:val="21"/>
                <w:highlight w:val="none"/>
              </w:rPr>
            </w:pPr>
            <w:r>
              <w:rPr>
                <w:rFonts w:hint="eastAsia" w:ascii="宋体" w:hAnsi="宋体"/>
                <w:color w:val="auto"/>
                <w:szCs w:val="21"/>
                <w:highlight w:val="none"/>
              </w:rPr>
              <w:t>信用查询</w:t>
            </w:r>
          </w:p>
        </w:tc>
        <w:tc>
          <w:tcPr>
            <w:tcW w:w="6649" w:type="dxa"/>
            <w:noWrap w:val="0"/>
            <w:vAlign w:val="center"/>
          </w:tcPr>
          <w:p w14:paraId="0F9FB7F2">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263FA4F">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3DAA0FB6">
            <w:pPr>
              <w:spacing w:line="420" w:lineRule="exact"/>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⑵查询时间：成交通知书发出前；</w:t>
            </w:r>
          </w:p>
          <w:p w14:paraId="4BE956AC">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2B5A3F9B">
            <w:pPr>
              <w:spacing w:line="420" w:lineRule="exact"/>
              <w:rPr>
                <w:rFonts w:hint="eastAsia" w:ascii="宋体" w:hAnsi="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02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448D7CF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82" w:type="dxa"/>
            <w:noWrap w:val="0"/>
            <w:vAlign w:val="center"/>
          </w:tcPr>
          <w:p w14:paraId="2BE13D0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2006" w:type="dxa"/>
            <w:noWrap w:val="0"/>
            <w:vAlign w:val="center"/>
          </w:tcPr>
          <w:p w14:paraId="6562C0A1">
            <w:pPr>
              <w:spacing w:line="320" w:lineRule="exact"/>
              <w:jc w:val="center"/>
              <w:rPr>
                <w:rFonts w:hint="eastAsia" w:ascii="宋体" w:hAnsi="宋体"/>
                <w:color w:val="auto"/>
                <w:szCs w:val="21"/>
                <w:highlight w:val="none"/>
              </w:rPr>
            </w:pPr>
            <w:r>
              <w:rPr>
                <w:rFonts w:hint="eastAsia" w:ascii="宋体" w:hAnsi="宋体"/>
                <w:color w:val="auto"/>
                <w:szCs w:val="21"/>
                <w:highlight w:val="none"/>
              </w:rPr>
              <w:t>成交公告</w:t>
            </w:r>
          </w:p>
          <w:p w14:paraId="796C3500">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及成交通知书</w:t>
            </w:r>
          </w:p>
        </w:tc>
        <w:tc>
          <w:tcPr>
            <w:tcW w:w="6649" w:type="dxa"/>
            <w:noWrap w:val="0"/>
            <w:vAlign w:val="top"/>
          </w:tcPr>
          <w:p w14:paraId="2BA4B99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A901E0E">
            <w:pPr>
              <w:spacing w:line="420" w:lineRule="exact"/>
              <w:rPr>
                <w:rFonts w:hint="eastAsia"/>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.2在发布成交公告的同时，采购代理机构向成交供应商发出成交通知书。成交供应商自接到通知之日起七个工作日内，办理成交通知书领取手续。</w:t>
            </w:r>
          </w:p>
        </w:tc>
      </w:tr>
      <w:tr w14:paraId="233B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2" w:type="dxa"/>
            <w:noWrap w:val="0"/>
            <w:vAlign w:val="center"/>
          </w:tcPr>
          <w:p w14:paraId="7AA99AD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882" w:type="dxa"/>
            <w:noWrap w:val="0"/>
            <w:vAlign w:val="center"/>
          </w:tcPr>
          <w:p w14:paraId="5EA75445">
            <w:pPr>
              <w:spacing w:line="320" w:lineRule="exact"/>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2006" w:type="dxa"/>
            <w:noWrap w:val="0"/>
            <w:vAlign w:val="center"/>
          </w:tcPr>
          <w:p w14:paraId="5B8E0AEA">
            <w:pPr>
              <w:spacing w:line="320" w:lineRule="exac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6649" w:type="dxa"/>
            <w:noWrap w:val="0"/>
            <w:vAlign w:val="center"/>
          </w:tcPr>
          <w:p w14:paraId="56078C7C">
            <w:pPr>
              <w:spacing w:line="420" w:lineRule="exact"/>
              <w:rPr>
                <w:rFonts w:hint="eastAsia" w:ascii="宋体" w:hAnsi="宋体"/>
                <w:color w:val="auto"/>
                <w:highlight w:val="none"/>
              </w:rPr>
            </w:pPr>
            <w:r>
              <w:rPr>
                <w:rFonts w:hint="eastAsia" w:hAnsi="宋体" w:cs="宋体"/>
                <w:color w:val="auto"/>
                <w:szCs w:val="21"/>
                <w:highlight w:val="none"/>
              </w:rPr>
              <w:t>无</w:t>
            </w:r>
          </w:p>
        </w:tc>
      </w:tr>
      <w:tr w14:paraId="33A8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restart"/>
            <w:noWrap w:val="0"/>
            <w:vAlign w:val="center"/>
          </w:tcPr>
          <w:p w14:paraId="207DD96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882" w:type="dxa"/>
            <w:noWrap w:val="0"/>
            <w:vAlign w:val="center"/>
          </w:tcPr>
          <w:p w14:paraId="11B69F86">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.1</w:t>
            </w:r>
          </w:p>
        </w:tc>
        <w:tc>
          <w:tcPr>
            <w:tcW w:w="2006" w:type="dxa"/>
            <w:noWrap w:val="0"/>
            <w:vAlign w:val="center"/>
          </w:tcPr>
          <w:p w14:paraId="2A4B0E0C">
            <w:pPr>
              <w:spacing w:line="320" w:lineRule="exact"/>
              <w:jc w:val="center"/>
              <w:rPr>
                <w:rFonts w:hint="eastAsia" w:ascii="宋体" w:hAnsi="宋体"/>
                <w:color w:val="auto"/>
                <w:szCs w:val="21"/>
                <w:highlight w:val="none"/>
              </w:rPr>
            </w:pPr>
            <w:r>
              <w:rPr>
                <w:rFonts w:hint="eastAsia" w:ascii="宋体" w:hAnsi="宋体"/>
                <w:color w:val="auto"/>
                <w:szCs w:val="21"/>
                <w:highlight w:val="none"/>
              </w:rPr>
              <w:t>签订合同</w:t>
            </w:r>
          </w:p>
        </w:tc>
        <w:tc>
          <w:tcPr>
            <w:tcW w:w="6649" w:type="dxa"/>
            <w:noWrap w:val="0"/>
            <w:vAlign w:val="top"/>
          </w:tcPr>
          <w:p w14:paraId="03EFF555">
            <w:pPr>
              <w:spacing w:line="420" w:lineRule="exact"/>
              <w:rPr>
                <w:rFonts w:hint="eastAsia" w:ascii="宋体" w:hAnsi="宋体"/>
                <w:color w:val="auto"/>
                <w:szCs w:val="21"/>
                <w:highlight w:val="none"/>
              </w:rPr>
            </w:pPr>
            <w:r>
              <w:rPr>
                <w:rFonts w:hint="eastAsia" w:ascii="宋体" w:hAnsi="宋体" w:cs="宋体"/>
                <w:bCs/>
                <w:color w:val="auto"/>
                <w:kern w:val="0"/>
                <w:szCs w:val="21"/>
                <w:highlight w:val="none"/>
              </w:rPr>
              <w:t>成交通知书发出之日起二十五日内签订合同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4A2F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continue"/>
            <w:noWrap w:val="0"/>
            <w:vAlign w:val="center"/>
          </w:tcPr>
          <w:p w14:paraId="1FB5035D">
            <w:pPr>
              <w:spacing w:line="320" w:lineRule="exact"/>
              <w:jc w:val="center"/>
              <w:rPr>
                <w:rFonts w:hint="eastAsia" w:ascii="宋体" w:hAnsi="宋体"/>
                <w:color w:val="auto"/>
                <w:szCs w:val="21"/>
                <w:highlight w:val="none"/>
              </w:rPr>
            </w:pPr>
          </w:p>
        </w:tc>
        <w:tc>
          <w:tcPr>
            <w:tcW w:w="882" w:type="dxa"/>
            <w:noWrap w:val="0"/>
            <w:vAlign w:val="center"/>
          </w:tcPr>
          <w:p w14:paraId="335849D8">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.3</w:t>
            </w:r>
          </w:p>
        </w:tc>
        <w:tc>
          <w:tcPr>
            <w:tcW w:w="2006" w:type="dxa"/>
            <w:noWrap w:val="0"/>
            <w:vAlign w:val="center"/>
          </w:tcPr>
          <w:p w14:paraId="25DA5204">
            <w:pPr>
              <w:spacing w:line="320" w:lineRule="exact"/>
              <w:jc w:val="center"/>
              <w:rPr>
                <w:rFonts w:hint="eastAsia" w:ascii="宋体" w:hAnsi="宋体"/>
                <w:color w:val="auto"/>
                <w:szCs w:val="21"/>
                <w:highlight w:val="none"/>
              </w:rPr>
            </w:pPr>
            <w:r>
              <w:rPr>
                <w:rFonts w:hint="eastAsia" w:ascii="宋体" w:hAnsi="宋体"/>
                <w:color w:val="auto"/>
                <w:szCs w:val="21"/>
                <w:highlight w:val="none"/>
              </w:rPr>
              <w:t>合同备案存档</w:t>
            </w:r>
          </w:p>
        </w:tc>
        <w:tc>
          <w:tcPr>
            <w:tcW w:w="6649" w:type="dxa"/>
            <w:noWrap w:val="0"/>
            <w:vAlign w:val="center"/>
          </w:tcPr>
          <w:p w14:paraId="2FAD2737">
            <w:pPr>
              <w:spacing w:line="420" w:lineRule="exact"/>
              <w:rPr>
                <w:rFonts w:hint="eastAsia" w:ascii="宋体" w:hAnsi="宋体"/>
                <w:color w:val="auto"/>
                <w:szCs w:val="21"/>
                <w:highlight w:val="none"/>
              </w:rPr>
            </w:pPr>
            <w:r>
              <w:rPr>
                <w:rFonts w:hint="eastAsia" w:ascii="宋体" w:hAnsi="宋体"/>
                <w:color w:val="auto"/>
                <w:highlight w:val="none"/>
              </w:rPr>
              <w:t>政府采购合同双方自签订之日起1个工作日内将合同原件一份交采购代理机构。采购代理机构将政府采购合同在省级以上人民政府财政部门指定媒体上公告</w:t>
            </w:r>
          </w:p>
        </w:tc>
      </w:tr>
      <w:tr w14:paraId="3DF7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noWrap w:val="0"/>
            <w:vAlign w:val="center"/>
          </w:tcPr>
          <w:p w14:paraId="6A4A64F0">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882" w:type="dxa"/>
            <w:noWrap w:val="0"/>
            <w:vAlign w:val="center"/>
          </w:tcPr>
          <w:p w14:paraId="0D4997A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p>
        </w:tc>
        <w:tc>
          <w:tcPr>
            <w:tcW w:w="2006" w:type="dxa"/>
            <w:noWrap w:val="0"/>
            <w:vAlign w:val="center"/>
          </w:tcPr>
          <w:p w14:paraId="5E82A347">
            <w:pPr>
              <w:spacing w:line="320" w:lineRule="exact"/>
              <w:jc w:val="center"/>
              <w:rPr>
                <w:rFonts w:hint="eastAsia" w:ascii="宋体" w:hAnsi="宋体"/>
                <w:color w:val="auto"/>
                <w:szCs w:val="21"/>
                <w:highlight w:val="none"/>
              </w:rPr>
            </w:pPr>
            <w:r>
              <w:rPr>
                <w:rFonts w:hint="eastAsia" w:ascii="宋体" w:hAnsi="宋体"/>
                <w:color w:val="auto"/>
                <w:szCs w:val="21"/>
                <w:highlight w:val="none"/>
              </w:rPr>
              <w:t>采购代理服务费</w:t>
            </w:r>
          </w:p>
        </w:tc>
        <w:tc>
          <w:tcPr>
            <w:tcW w:w="6649" w:type="dxa"/>
            <w:noWrap w:val="0"/>
            <w:vAlign w:val="top"/>
          </w:tcPr>
          <w:p w14:paraId="25A8CF4C">
            <w:pPr>
              <w:spacing w:line="420" w:lineRule="exact"/>
              <w:rPr>
                <w:rFonts w:hint="eastAsia" w:ascii="宋体" w:hAnsi="宋体"/>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tc>
      </w:tr>
      <w:tr w14:paraId="4679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355F3662">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882" w:type="dxa"/>
            <w:noWrap w:val="0"/>
            <w:vAlign w:val="center"/>
          </w:tcPr>
          <w:p w14:paraId="4EE55360">
            <w:pPr>
              <w:spacing w:line="440" w:lineRule="exact"/>
              <w:jc w:val="center"/>
              <w:rPr>
                <w:rFonts w:ascii="宋体" w:hAnsi="宋体"/>
                <w:color w:val="auto"/>
                <w:szCs w:val="21"/>
                <w:highlight w:val="none"/>
              </w:rPr>
            </w:pPr>
            <w:r>
              <w:rPr>
                <w:rFonts w:hint="eastAsia" w:ascii="宋体" w:hAnsi="宋体" w:cs="宋体"/>
                <w:color w:val="auto"/>
                <w:szCs w:val="21"/>
                <w:highlight w:val="none"/>
              </w:rPr>
              <w:t>32</w:t>
            </w:r>
          </w:p>
        </w:tc>
        <w:tc>
          <w:tcPr>
            <w:tcW w:w="2006" w:type="dxa"/>
            <w:noWrap w:val="0"/>
            <w:vAlign w:val="center"/>
          </w:tcPr>
          <w:p w14:paraId="70A42C51">
            <w:pPr>
              <w:spacing w:line="440" w:lineRule="exact"/>
              <w:jc w:val="center"/>
              <w:rPr>
                <w:rFonts w:hint="eastAsia" w:ascii="宋体" w:hAnsi="宋体"/>
                <w:color w:val="auto"/>
                <w:szCs w:val="21"/>
                <w:highlight w:val="none"/>
              </w:rPr>
            </w:pPr>
            <w:r>
              <w:rPr>
                <w:rFonts w:hint="eastAsia" w:ascii="宋体" w:hAnsi="宋体" w:cs="宋体"/>
                <w:color w:val="auto"/>
                <w:szCs w:val="21"/>
                <w:highlight w:val="none"/>
              </w:rPr>
              <w:t>编制依据</w:t>
            </w:r>
          </w:p>
        </w:tc>
        <w:tc>
          <w:tcPr>
            <w:tcW w:w="6649" w:type="dxa"/>
            <w:noWrap w:val="0"/>
            <w:vAlign w:val="top"/>
          </w:tcPr>
          <w:p w14:paraId="58205E36">
            <w:pPr>
              <w:spacing w:line="420" w:lineRule="exact"/>
              <w:rPr>
                <w:rFonts w:hint="eastAsia" w:ascii="宋体" w:hAnsi="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本竞争性磋商文件是根据《中华人民共和国政府采购法》《中华人民共和国政府采购法实施条例》《政府采购竞争性磋商采购方式管理暂行办法》和政府采购管理有关规定编制。</w:t>
            </w:r>
          </w:p>
        </w:tc>
      </w:tr>
      <w:tr w14:paraId="2E14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2" w:type="dxa"/>
            <w:noWrap w:val="0"/>
            <w:vAlign w:val="center"/>
          </w:tcPr>
          <w:p w14:paraId="6E41AE29">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882" w:type="dxa"/>
            <w:noWrap w:val="0"/>
            <w:vAlign w:val="center"/>
          </w:tcPr>
          <w:p w14:paraId="456CF77E">
            <w:pPr>
              <w:spacing w:line="320" w:lineRule="exact"/>
              <w:jc w:val="center"/>
              <w:rPr>
                <w:rFonts w:ascii="宋体" w:hAnsi="宋体"/>
                <w:color w:val="auto"/>
                <w:szCs w:val="21"/>
                <w:highlight w:val="none"/>
              </w:rPr>
            </w:pPr>
            <w:r>
              <w:rPr>
                <w:rFonts w:hint="eastAsia" w:ascii="宋体" w:hAnsi="宋体"/>
                <w:color w:val="auto"/>
                <w:szCs w:val="21"/>
                <w:highlight w:val="none"/>
              </w:rPr>
              <w:t>33</w:t>
            </w:r>
          </w:p>
        </w:tc>
        <w:tc>
          <w:tcPr>
            <w:tcW w:w="2006" w:type="dxa"/>
            <w:noWrap w:val="0"/>
            <w:vAlign w:val="center"/>
          </w:tcPr>
          <w:p w14:paraId="3EF9D026">
            <w:pPr>
              <w:spacing w:line="320" w:lineRule="exact"/>
              <w:jc w:val="center"/>
              <w:rPr>
                <w:rFonts w:hint="eastAsia" w:ascii="宋体" w:hAnsi="宋体"/>
                <w:color w:val="auto"/>
                <w:szCs w:val="21"/>
                <w:highlight w:val="none"/>
              </w:rPr>
            </w:pPr>
            <w:r>
              <w:rPr>
                <w:rFonts w:hint="eastAsia" w:ascii="宋体" w:hAnsi="宋体"/>
                <w:color w:val="auto"/>
                <w:szCs w:val="21"/>
                <w:highlight w:val="none"/>
              </w:rPr>
              <w:t>监督管理机构</w:t>
            </w:r>
          </w:p>
        </w:tc>
        <w:tc>
          <w:tcPr>
            <w:tcW w:w="6649" w:type="dxa"/>
            <w:noWrap w:val="0"/>
            <w:vAlign w:val="center"/>
          </w:tcPr>
          <w:p w14:paraId="6F49BFA2">
            <w:pPr>
              <w:spacing w:line="420" w:lineRule="exact"/>
              <w:rPr>
                <w:rFonts w:hint="eastAsia" w:ascii="宋体" w:hAnsi="宋体" w:eastAsia="宋体"/>
                <w:color w:val="auto"/>
                <w:szCs w:val="21"/>
                <w:highlight w:val="none"/>
                <w:lang w:eastAsia="zh-CN"/>
              </w:rPr>
            </w:pPr>
            <w:r>
              <w:rPr>
                <w:rFonts w:hint="eastAsia"/>
                <w:color w:val="auto"/>
                <w:szCs w:val="21"/>
                <w:highlight w:val="none"/>
                <w:lang w:eastAsia="zh-CN"/>
              </w:rPr>
              <w:t>桂林市财政局</w:t>
            </w:r>
            <w:r>
              <w:rPr>
                <w:rFonts w:hint="eastAsia"/>
                <w:color w:val="auto"/>
                <w:szCs w:val="21"/>
                <w:highlight w:val="none"/>
              </w:rPr>
              <w:t xml:space="preserve">     电话:</w:t>
            </w:r>
            <w:r>
              <w:rPr>
                <w:rFonts w:hint="eastAsia"/>
                <w:color w:val="auto"/>
                <w:szCs w:val="21"/>
                <w:highlight w:val="none"/>
                <w:lang w:eastAsia="zh-CN"/>
              </w:rPr>
              <w:t>0773-2862142</w:t>
            </w:r>
          </w:p>
        </w:tc>
      </w:tr>
    </w:tbl>
    <w:p w14:paraId="59E5CA0B">
      <w:pPr>
        <w:spacing w:line="360" w:lineRule="exact"/>
        <w:jc w:val="center"/>
        <w:rPr>
          <w:rFonts w:hint="eastAsia" w:ascii="宋体" w:hAnsi="宋体"/>
          <w:b/>
          <w:color w:val="auto"/>
          <w:sz w:val="28"/>
          <w:szCs w:val="28"/>
          <w:highlight w:val="none"/>
        </w:rPr>
      </w:pPr>
    </w:p>
    <w:p w14:paraId="5F103B09">
      <w:pPr>
        <w:spacing w:line="360" w:lineRule="exact"/>
        <w:rPr>
          <w:rFonts w:hint="eastAsia" w:ascii="宋体" w:hAnsi="宋体"/>
          <w:b/>
          <w:color w:val="auto"/>
          <w:sz w:val="28"/>
          <w:szCs w:val="28"/>
          <w:highlight w:val="none"/>
        </w:rPr>
      </w:pPr>
    </w:p>
    <w:p w14:paraId="7CE7E1FD">
      <w:pPr>
        <w:spacing w:line="360" w:lineRule="exact"/>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一、总则</w:t>
      </w:r>
    </w:p>
    <w:p w14:paraId="50301FE5">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1.适应范围</w:t>
      </w:r>
    </w:p>
    <w:p w14:paraId="2923DEE0">
      <w:pPr>
        <w:spacing w:line="400" w:lineRule="exact"/>
        <w:ind w:firstLine="435"/>
        <w:rPr>
          <w:rFonts w:hint="eastAsia"/>
          <w:color w:val="auto"/>
          <w:szCs w:val="21"/>
          <w:highlight w:val="none"/>
        </w:rPr>
      </w:pPr>
      <w:r>
        <w:rPr>
          <w:rFonts w:hint="eastAsia" w:ascii="宋体" w:hAnsi="宋体"/>
          <w:color w:val="auto"/>
          <w:szCs w:val="21"/>
          <w:highlight w:val="none"/>
        </w:rPr>
        <w:t xml:space="preserve">1.1 </w:t>
      </w:r>
      <w:r>
        <w:rPr>
          <w:rFonts w:hint="eastAsia"/>
          <w:color w:val="auto"/>
          <w:szCs w:val="21"/>
          <w:highlight w:val="none"/>
        </w:rPr>
        <w:t>项目名称及项目编号：</w:t>
      </w:r>
    </w:p>
    <w:p w14:paraId="02DC2264">
      <w:pPr>
        <w:spacing w:line="400" w:lineRule="exact"/>
        <w:rPr>
          <w:rFonts w:hint="eastAsia" w:ascii="宋体" w:hAnsi="宋体" w:eastAsia="宋体"/>
          <w:color w:val="auto"/>
          <w:highlight w:val="none"/>
          <w:lang w:eastAsia="zh-CN"/>
        </w:rPr>
      </w:pPr>
      <w:r>
        <w:rPr>
          <w:rFonts w:hint="eastAsia"/>
          <w:color w:val="auto"/>
          <w:szCs w:val="21"/>
          <w:highlight w:val="none"/>
        </w:rPr>
        <w:t xml:space="preserve">    </w:t>
      </w:r>
      <w:r>
        <w:rPr>
          <w:rFonts w:hint="eastAsia" w:ascii="宋体" w:hAnsi="宋体"/>
          <w:color w:val="auto"/>
          <w:szCs w:val="21"/>
          <w:highlight w:val="none"/>
        </w:rPr>
        <w:t>项目名称：</w:t>
      </w:r>
      <w:r>
        <w:rPr>
          <w:rFonts w:hint="eastAsia"/>
          <w:color w:val="auto"/>
          <w:highlight w:val="none"/>
          <w:lang w:eastAsia="zh-CN"/>
        </w:rPr>
        <w:t>桂林高新区火炬统计服务（重）</w:t>
      </w:r>
    </w:p>
    <w:p w14:paraId="3CCA64F6">
      <w:pPr>
        <w:spacing w:line="400" w:lineRule="exact"/>
        <w:ind w:firstLine="420" w:firstLineChars="200"/>
        <w:rPr>
          <w:rFonts w:hint="eastAsia" w:ascii="宋体" w:hAnsi="宋体"/>
          <w:color w:val="auto"/>
          <w:szCs w:val="21"/>
          <w:highlight w:val="none"/>
        </w:rPr>
      </w:pPr>
      <w:r>
        <w:rPr>
          <w:rFonts w:hint="eastAsia"/>
          <w:color w:val="auto"/>
          <w:szCs w:val="21"/>
          <w:highlight w:val="none"/>
        </w:rPr>
        <w:t>项目编号：</w:t>
      </w:r>
      <w:r>
        <w:rPr>
          <w:rFonts w:hint="eastAsia"/>
          <w:color w:val="auto"/>
          <w:szCs w:val="21"/>
          <w:highlight w:val="none"/>
          <w:lang w:eastAsia="zh-CN"/>
        </w:rPr>
        <w:t>GLZC2025-C3-990355-YDGC</w:t>
      </w:r>
      <w:r>
        <w:rPr>
          <w:rFonts w:hint="eastAsia" w:ascii="宋体" w:hAnsi="宋体"/>
          <w:color w:val="auto"/>
          <w:szCs w:val="21"/>
          <w:highlight w:val="none"/>
        </w:rPr>
        <w:t xml:space="preserve"> </w:t>
      </w:r>
    </w:p>
    <w:p w14:paraId="19B8BD5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 本竞争性磋商文件（以下简称磋商文件）适用于本磋商项目的磋商、评审、合同履约、验收、付款等行为（法律、法规另有规定的，从其规定）。</w:t>
      </w:r>
    </w:p>
    <w:p w14:paraId="50CBB02F">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2.定义</w:t>
      </w:r>
    </w:p>
    <w:p w14:paraId="69F8AFDB">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14:paraId="6031ECE0">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14:paraId="0AE7CFD5">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14:paraId="64C26039">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14:paraId="5FE62E1E">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2.5“书面形式”包括信函、传真、电报等。</w:t>
      </w:r>
    </w:p>
    <w:p w14:paraId="75325DBB">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3.供应商资格</w:t>
      </w:r>
    </w:p>
    <w:p w14:paraId="63EDE7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29D69F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C34A74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3.3本项目的特定资格要求：无。</w:t>
      </w:r>
    </w:p>
    <w:p w14:paraId="6BFFED9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，不得参加同一合同项下的政府采购活动。除单一来源采购项目外，为本项目提供过整体设计、规范编制或者项目管理、监理、检测等服务的供应商，不得再参加本项目上述服务以外的其他采购活动。</w:t>
      </w:r>
    </w:p>
    <w:p w14:paraId="66110412">
      <w:pPr>
        <w:spacing w:line="400" w:lineRule="exact"/>
        <w:ind w:firstLine="420" w:firstLineChars="200"/>
        <w:rPr>
          <w:rFonts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p w14:paraId="18452C0C">
      <w:pPr>
        <w:spacing w:line="400" w:lineRule="exact"/>
        <w:ind w:firstLine="435"/>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4.参与电子磋商的准备工作</w:t>
      </w:r>
    </w:p>
    <w:p w14:paraId="5A9D6414">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.1本项目实行全流程电子化采购，</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”平台参与电子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，并应做好以下相关准备工作：①在“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”平台注册成为正式供应商（操作方法详见广西壮族自治区政府采购网—办事服务—办事指南）；②完成CA认证证书申领和绑定（费用由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电子投标客户端”）并安装成功，</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应当在</w:t>
      </w:r>
      <w:r>
        <w:rPr>
          <w:rFonts w:hint="eastAsia" w:ascii="宋体" w:hAnsi="宋体" w:cs="Arial"/>
          <w:color w:val="auto"/>
          <w:szCs w:val="21"/>
          <w:highlight w:val="none"/>
          <w:lang w:eastAsia="zh-CN"/>
        </w:rPr>
        <w:t>响应</w:t>
      </w:r>
      <w:r>
        <w:rPr>
          <w:rFonts w:hint="eastAsia" w:ascii="宋体" w:hAnsi="宋体" w:cs="Arial"/>
          <w:color w:val="auto"/>
          <w:szCs w:val="21"/>
          <w:highlight w:val="none"/>
        </w:rPr>
        <w:t>文件提交截止时间前在“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”平台完成的身份认证，确保能够对相关数据电文进行加密和使用电子签章；④自备计算机和网络设备并确保能接入互联网（费用由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自行承担，设备确保可进行视频通话和读取</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CA认证证书）。因</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未做好相关准备工作等自身原因导致无法参加本项目电子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或</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失败的，造成的一切后果，由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w:t>
      </w:r>
    </w:p>
    <w:p w14:paraId="38A4B199">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.2电子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具体操作流程参考《政府采购项目电子交易管理操作指南-供应商》（详见桂林市政府采购网—采购资讯—重要通知）；如遇平台技术问题详询95763。</w:t>
      </w:r>
    </w:p>
    <w:p w14:paraId="510DE72B">
      <w:pPr>
        <w:spacing w:line="400" w:lineRule="exact"/>
        <w:ind w:firstLine="435"/>
        <w:rPr>
          <w:rFonts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.3不论</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结果如何，</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均应自行承担所有与</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有关的全部费用。</w:t>
      </w:r>
    </w:p>
    <w:p w14:paraId="02D25873">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.磋商费用</w:t>
      </w:r>
    </w:p>
    <w:p w14:paraId="096391B6">
      <w:pPr>
        <w:tabs>
          <w:tab w:val="left" w:pos="1635"/>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不论磋商结果如何，供应商均应自行承担所有与磋商有关的全部费用。</w:t>
      </w:r>
    </w:p>
    <w:p w14:paraId="6558FBF1">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.联合体要求：</w:t>
      </w:r>
    </w:p>
    <w:p w14:paraId="2A9241D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联合体磋商。</w:t>
      </w:r>
    </w:p>
    <w:p w14:paraId="5031F4D8">
      <w:pPr>
        <w:tabs>
          <w:tab w:val="left" w:pos="2190"/>
        </w:tabs>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lang w:val="en-US" w:eastAsia="zh-CN"/>
        </w:rPr>
        <w:t>7</w:t>
      </w:r>
      <w:r>
        <w:rPr>
          <w:rFonts w:hint="eastAsia" w:ascii="宋体" w:hAnsi="宋体"/>
          <w:b/>
          <w:color w:val="auto"/>
          <w:szCs w:val="21"/>
          <w:highlight w:val="none"/>
        </w:rPr>
        <w:t>.质疑和投诉</w:t>
      </w:r>
      <w:r>
        <w:rPr>
          <w:rFonts w:ascii="宋体" w:hAnsi="宋体"/>
          <w:b/>
          <w:color w:val="auto"/>
          <w:szCs w:val="21"/>
          <w:highlight w:val="none"/>
        </w:rPr>
        <w:tab/>
      </w:r>
    </w:p>
    <w:p w14:paraId="0B65C397">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认为磋商文件使自己的合法权益受到损害的，应当在公告期限结束之日起7个工作日内以书面形式向采购代理机构提出质疑；供应商认为磋商过程或中标结果使自己的合法权益受到损害的，应当在各采购程序环节结束之日或中标公告期限届满之日起七个工作日内，以书面形式向采购代理机构提出质疑。采购代理机构应认真做好质疑处理工作。供应商在法定质疑期内应一次性提出与项目相关的质疑，供应商在提出与项目相关的质疑前应当做好全面且详细的工作，代理机构不再受理供应商针对同一采购程序环节的再次质疑（“质疑函”格式见附表1）。</w:t>
      </w:r>
    </w:p>
    <w:p w14:paraId="4C7C7923">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.2供应商对采购代理机构的答复不满意或者采购代理机构未在规定的时间内作出答复的，可以在答复期满后十五个工作日内向</w:t>
      </w:r>
      <w:r>
        <w:rPr>
          <w:rFonts w:hint="eastAsia" w:hAnsi="宋体"/>
          <w:color w:val="auto"/>
          <w:szCs w:val="21"/>
          <w:highlight w:val="none"/>
        </w:rPr>
        <w:t>本级</w:t>
      </w:r>
      <w:r>
        <w:rPr>
          <w:rFonts w:hint="eastAsia" w:ascii="宋体" w:hAnsi="宋体" w:cs="宋体"/>
          <w:color w:val="auto"/>
          <w:szCs w:val="21"/>
          <w:highlight w:val="none"/>
        </w:rPr>
        <w:t>政府采购监督管理机构投诉（“投诉书”格式见附表2）。</w:t>
      </w:r>
    </w:p>
    <w:p w14:paraId="3BE6C9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.3质疑、投诉应当采用书面形式，质疑书、投诉书实行实名制，均应明确阐述磋商文件、磋商过程或中标结果中使自己合法权益受到损害的实质性内容，并提供必要的证明材料。</w:t>
      </w:r>
    </w:p>
    <w:p w14:paraId="5837DD75">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供应商提出质疑应当提交质疑函和必要的证明材料，针对同一采购程序环节的质疑必须在法定质疑期内一次性提出。质疑函应当包括下列内容：</w:t>
      </w:r>
    </w:p>
    <w:p w14:paraId="66D4CAF1">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244C1AA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01F291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0369DA32">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（4）事实依据；</w:t>
      </w:r>
    </w:p>
    <w:p w14:paraId="227C611A">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756E041D">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7136ADFF">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14:paraId="4E6E1EF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4E7B5907">
      <w:pPr>
        <w:spacing w:line="40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永道工程咨询（江苏）有限公司</w:t>
      </w:r>
      <w:r>
        <w:rPr>
          <w:rFonts w:hint="eastAsia" w:ascii="宋体" w:hAnsi="宋体"/>
          <w:color w:val="auto"/>
          <w:szCs w:val="21"/>
          <w:highlight w:val="none"/>
        </w:rPr>
        <w:t>，联系人：</w:t>
      </w:r>
      <w:r>
        <w:rPr>
          <w:rFonts w:hint="eastAsia" w:ascii="宋体" w:hAnsi="宋体"/>
          <w:color w:val="auto"/>
          <w:szCs w:val="21"/>
          <w:highlight w:val="none"/>
          <w:lang w:eastAsia="zh-CN"/>
        </w:rPr>
        <w:t>李翔</w:t>
      </w:r>
      <w:r>
        <w:rPr>
          <w:rFonts w:hint="eastAsia" w:ascii="宋体" w:hAnsi="宋体"/>
          <w:color w:val="auto"/>
          <w:szCs w:val="21"/>
          <w:highlight w:val="none"/>
        </w:rPr>
        <w:t>，联系电话：</w:t>
      </w:r>
      <w:r>
        <w:rPr>
          <w:rFonts w:hint="eastAsia" w:ascii="宋体" w:hAnsi="宋体"/>
          <w:color w:val="auto"/>
          <w:szCs w:val="21"/>
          <w:highlight w:val="none"/>
          <w:lang w:eastAsia="zh-CN"/>
        </w:rPr>
        <w:t>0773-3285698</w:t>
      </w:r>
      <w:r>
        <w:rPr>
          <w:rFonts w:hint="eastAsia" w:ascii="宋体" w:hAnsi="宋体"/>
          <w:color w:val="auto"/>
          <w:szCs w:val="21"/>
          <w:highlight w:val="none"/>
        </w:rPr>
        <w:t>。通讯地址：</w:t>
      </w:r>
      <w:r>
        <w:rPr>
          <w:rFonts w:hint="eastAsia" w:ascii="宋体" w:hAnsi="宋体"/>
          <w:color w:val="auto"/>
          <w:szCs w:val="21"/>
          <w:highlight w:val="none"/>
          <w:lang w:eastAsia="zh-CN"/>
        </w:rPr>
        <w:t>桂林市七星区穿山东路28号彰泰春天北苑8栋1、2-01号商铺</w:t>
      </w:r>
      <w:r>
        <w:rPr>
          <w:rFonts w:hint="eastAsia" w:ascii="宋体" w:hAnsi="宋体"/>
          <w:color w:val="auto"/>
          <w:szCs w:val="21"/>
          <w:highlight w:val="none"/>
        </w:rPr>
        <w:t>。</w:t>
      </w:r>
    </w:p>
    <w:p w14:paraId="3C63F0C8">
      <w:pPr>
        <w:tabs>
          <w:tab w:val="left" w:pos="2190"/>
        </w:tabs>
        <w:spacing w:line="400" w:lineRule="exact"/>
        <w:ind w:firstLine="435"/>
        <w:rPr>
          <w:rFonts w:hint="eastAsia"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.转包与分包</w:t>
      </w:r>
    </w:p>
    <w:p w14:paraId="7679FE2A">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 本项目不允许转包。</w:t>
      </w:r>
    </w:p>
    <w:p w14:paraId="79781708">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 本项目不可以分包。</w:t>
      </w:r>
    </w:p>
    <w:p w14:paraId="1A261549">
      <w:pPr>
        <w:pStyle w:val="7"/>
        <w:spacing w:before="0" w:after="0" w:line="400" w:lineRule="exact"/>
        <w:ind w:firstLine="420" w:firstLineChars="200"/>
        <w:rPr>
          <w:rFonts w:hint="eastAsia" w:ascii="宋体" w:hAnsi="宋体" w:cs="宋体"/>
          <w:color w:val="auto"/>
          <w:sz w:val="21"/>
          <w:szCs w:val="21"/>
          <w:highlight w:val="none"/>
        </w:rPr>
      </w:pPr>
      <w:bookmarkStart w:id="63" w:name="_Toc3368"/>
      <w:bookmarkStart w:id="64" w:name="_Toc28010"/>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特别说明</w:t>
      </w:r>
      <w:bookmarkEnd w:id="63"/>
      <w:bookmarkEnd w:id="64"/>
    </w:p>
    <w:p w14:paraId="3D2F5C39">
      <w:pPr>
        <w:tabs>
          <w:tab w:val="left" w:pos="163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.1关联供应商不得参加同一合同项下政府采购活动，否则响应文件将被视为无效：</w:t>
      </w:r>
    </w:p>
    <w:p w14:paraId="44FDB58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25AE45C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2186FD51">
      <w:pPr>
        <w:spacing w:line="394" w:lineRule="exact"/>
        <w:ind w:firstLine="457" w:firstLineChars="218"/>
        <w:jc w:val="left"/>
        <w:rPr>
          <w:rFonts w:hint="eastAsia" w:ascii="宋体" w:hAnsi="宋体"/>
          <w:color w:val="auto"/>
          <w:szCs w:val="21"/>
          <w:highlight w:val="none"/>
        </w:rPr>
      </w:pPr>
      <w:r>
        <w:rPr>
          <w:rFonts w:hint="eastAsia" w:ascii="宋体" w:hAnsi="宋体"/>
          <w:color w:val="auto"/>
          <w:szCs w:val="21"/>
          <w:highlight w:val="none"/>
        </w:rPr>
        <w:t>（3）生产厂商授权给投标人后自己不得参加同一合同项下的政府采购活动；生产厂商对同一品牌同一型号的货物，仅能委托一个代理商参加投标。</w:t>
      </w:r>
    </w:p>
    <w:p w14:paraId="5C264E87">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（4）供应商应仔细阅读招标文件的所有内容，按照招标文件的要求提交投标文件，并对所提供的全部资料的真实性承担法律责任。</w:t>
      </w:r>
    </w:p>
    <w:p w14:paraId="721FD58B">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5）供应商在投标活动中提供任何虚假材料，其投标无效，并报监管部门查处；中标后发现的，中标人须依照《中华人民共和国消费者权益保护法》赔偿采购人，且民事赔偿并不免除违法供应商的行政与刑事责任。</w:t>
      </w:r>
    </w:p>
    <w:p w14:paraId="25670E56">
      <w:pPr>
        <w:tabs>
          <w:tab w:val="left" w:pos="1635"/>
        </w:tabs>
        <w:spacing w:line="394" w:lineRule="exact"/>
        <w:ind w:firstLine="0"/>
        <w:rPr>
          <w:rFonts w:hint="eastAsia" w:ascii="宋体" w:hAnsi="宋体"/>
          <w:color w:val="auto"/>
          <w:szCs w:val="21"/>
          <w:highlight w:val="none"/>
        </w:rPr>
      </w:pPr>
    </w:p>
    <w:p w14:paraId="6C704A1C">
      <w:pPr>
        <w:tabs>
          <w:tab w:val="left" w:pos="1635"/>
        </w:tabs>
        <w:spacing w:line="394"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二、磋商文件</w:t>
      </w:r>
    </w:p>
    <w:p w14:paraId="22F75B18">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lang w:val="en-US" w:eastAsia="zh-CN"/>
        </w:rPr>
        <w:t>10</w:t>
      </w:r>
      <w:r>
        <w:rPr>
          <w:rFonts w:hint="eastAsia" w:ascii="宋体" w:hAnsi="宋体"/>
          <w:b/>
          <w:color w:val="auto"/>
          <w:szCs w:val="21"/>
          <w:highlight w:val="none"/>
        </w:rPr>
        <w:t>.磋商文件的构成</w:t>
      </w:r>
    </w:p>
    <w:p w14:paraId="35868CB9">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（1）竞争性磋商公告；</w:t>
      </w:r>
    </w:p>
    <w:p w14:paraId="35E36DF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（2）供应商须知；</w:t>
      </w:r>
    </w:p>
    <w:p w14:paraId="5367A6E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（3）项目需求；</w:t>
      </w:r>
    </w:p>
    <w:p w14:paraId="17DBF00D">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（4）评审办法；</w:t>
      </w:r>
    </w:p>
    <w:p w14:paraId="1852CAC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（5）采购合同（合同主要条款及格式）；</w:t>
      </w:r>
    </w:p>
    <w:p w14:paraId="2166AE8A">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（6）响应文件（格式）。</w:t>
      </w:r>
    </w:p>
    <w:p w14:paraId="7639444A">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1</w:t>
      </w:r>
      <w:r>
        <w:rPr>
          <w:rFonts w:hint="eastAsia" w:ascii="宋体" w:hAnsi="宋体"/>
          <w:b/>
          <w:color w:val="auto"/>
          <w:szCs w:val="21"/>
          <w:highlight w:val="none"/>
        </w:rPr>
        <w:t>.磋商文件的澄清与修改</w:t>
      </w:r>
    </w:p>
    <w:p w14:paraId="1E5AAAE9">
      <w:pPr>
        <w:tabs>
          <w:tab w:val="left" w:pos="2190"/>
        </w:tabs>
        <w:spacing w:line="360" w:lineRule="exact"/>
        <w:ind w:firstLine="437"/>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.1、供应商应认真阅读磋商文件，发现其中有误或有不合理要求的，应在磋商截止日期三日前以书面形式要求采购代理机构澄清。</w:t>
      </w:r>
    </w:p>
    <w:p w14:paraId="2A8E582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.2提交首次响应文件截止之日前，采购代理机构可以对已发出的磋商文件进行必要澄清、答复、</w:t>
      </w:r>
    </w:p>
    <w:p w14:paraId="781C9DD1">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highlight w:val="none"/>
        </w:rPr>
        <w:t>五日</w:t>
      </w:r>
      <w:r>
        <w:rPr>
          <w:rFonts w:hint="eastAsia" w:ascii="宋体" w:hAnsi="宋体" w:cs="宋体"/>
          <w:color w:val="auto"/>
          <w:szCs w:val="21"/>
          <w:highlight w:val="none"/>
        </w:rPr>
        <w:t>前在本项目竞争性磋商公告发布的同一媒体上发布更正公告，不足</w:t>
      </w:r>
      <w:r>
        <w:rPr>
          <w:rFonts w:hint="eastAsia" w:ascii="宋体" w:hAnsi="宋体" w:cs="宋体"/>
          <w:b/>
          <w:bCs/>
          <w:color w:val="auto"/>
          <w:szCs w:val="21"/>
          <w:highlight w:val="none"/>
        </w:rPr>
        <w:t>五日</w:t>
      </w:r>
      <w:r>
        <w:rPr>
          <w:rFonts w:hint="eastAsia" w:ascii="宋体" w:hAnsi="宋体" w:cs="宋体"/>
          <w:color w:val="auto"/>
          <w:szCs w:val="21"/>
          <w:highlight w:val="none"/>
        </w:rPr>
        <w:t>的，应当顺延首次响应文件递交截止时间。</w:t>
      </w:r>
    </w:p>
    <w:p w14:paraId="38BC7CF1">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61F3E03">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.4澄清或者修改的内容为磋商文件的组成部分。当澄清或者修改通知就同一内容的表述不一致时，以最后发出的文件为准。</w:t>
      </w:r>
    </w:p>
    <w:p w14:paraId="312B953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磋商文件的澄清或者修改都应该通过本项目采购代理机构以法定形式发布，采购人非通过本机构，不得擅自澄清或者修改磋商文件。</w:t>
      </w:r>
    </w:p>
    <w:p w14:paraId="219407E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.6采购单位可以视采购具体情况，延长响应文件截止时间和磋商时间，在本项目竞争性磋商公告发布的同一媒体上发布变更公告。</w:t>
      </w:r>
    </w:p>
    <w:p w14:paraId="3EF8F2B2">
      <w:pPr>
        <w:tabs>
          <w:tab w:val="left" w:pos="2190"/>
        </w:tabs>
        <w:spacing w:line="400" w:lineRule="exact"/>
        <w:ind w:firstLine="435"/>
        <w:jc w:val="center"/>
        <w:rPr>
          <w:rFonts w:hint="eastAsia" w:ascii="宋体" w:hAnsi="宋体"/>
          <w:b/>
          <w:color w:val="auto"/>
          <w:sz w:val="28"/>
          <w:szCs w:val="28"/>
          <w:highlight w:val="none"/>
        </w:rPr>
      </w:pPr>
      <w:r>
        <w:rPr>
          <w:rFonts w:hint="eastAsia" w:ascii="宋体" w:hAnsi="宋体"/>
          <w:b/>
          <w:color w:val="auto"/>
          <w:sz w:val="28"/>
          <w:szCs w:val="28"/>
          <w:highlight w:val="none"/>
        </w:rPr>
        <w:t>三、竞争性磋商响应文件的编制</w:t>
      </w:r>
    </w:p>
    <w:p w14:paraId="55582EB1">
      <w:pPr>
        <w:pStyle w:val="7"/>
        <w:spacing w:before="0" w:after="0" w:line="400" w:lineRule="exact"/>
        <w:ind w:firstLine="420" w:firstLineChars="200"/>
        <w:rPr>
          <w:rFonts w:hint="eastAsia" w:ascii="宋体" w:hAnsi="宋体" w:cs="宋体"/>
          <w:color w:val="auto"/>
          <w:sz w:val="21"/>
          <w:szCs w:val="21"/>
          <w:highlight w:val="none"/>
        </w:rPr>
      </w:pPr>
      <w:bookmarkStart w:id="65" w:name="_Toc1347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.竞争性磋商响应文件编制基本要求</w:t>
      </w:r>
      <w:bookmarkEnd w:id="65"/>
    </w:p>
    <w:p w14:paraId="3AB091A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 本项目实行电子响应，供应商应准备电子磋商响应文件：</w:t>
      </w:r>
    </w:p>
    <w:p w14:paraId="31707098">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.1.1 电子响应文件按</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要求及本磋商文件要求制作、加密并递交。具体操作流程可参考《政府采购项目电子交易管理操作指南-供应商》，指南可在“http://www.ccgp-guangxi.gov.cn/PurchaseAdvisory/ImportantNotice/2866753.html”下载。</w:t>
      </w:r>
    </w:p>
    <w:p w14:paraId="347B6098">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.2竞争性磋商响应文件（以下简称响应文件）的组成及要求</w:t>
      </w:r>
    </w:p>
    <w:p w14:paraId="2C859961">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.2.1响应文件组成【格式见第六章“响应文件（格式）”】</w:t>
      </w:r>
    </w:p>
    <w:p w14:paraId="2718C670">
      <w:pPr>
        <w:spacing w:line="400" w:lineRule="exact"/>
        <w:ind w:firstLine="420" w:firstLineChars="200"/>
        <w:rPr>
          <w:rFonts w:hint="eastAsia"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.2.1.1资格性响应证明材料：</w:t>
      </w:r>
    </w:p>
    <w:p w14:paraId="0BBCC7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6EE83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4442ADF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70F83F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1C1C3F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019A068C">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2FD8771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56FFEF6F">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78C512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0075EC4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8B6B9F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075A379A">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031CCD17">
      <w:pPr>
        <w:pStyle w:val="17"/>
        <w:spacing w:after="0" w:line="400" w:lineRule="exact"/>
        <w:ind w:left="0" w:leftChars="0" w:firstLine="422"/>
        <w:rPr>
          <w:rFonts w:hint="eastAsia" w:ascii="宋体" w:hAnsi="宋体" w:cs="宋体"/>
          <w:color w:val="auto"/>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.2.1.2符合性响应证明材料：</w:t>
      </w:r>
    </w:p>
    <w:p w14:paraId="38BFEF9B">
      <w:pPr>
        <w:spacing w:line="400" w:lineRule="exact"/>
        <w:ind w:firstLine="420" w:firstLineChars="200"/>
        <w:rPr>
          <w:rFonts w:hint="eastAsia" w:ascii="宋体" w:hAnsi="宋体" w:cs="宋体"/>
          <w:color w:val="auto"/>
          <w:szCs w:val="21"/>
          <w:highlight w:val="none"/>
        </w:rPr>
      </w:pPr>
      <w:bookmarkStart w:id="66" w:name="_Toc16312"/>
      <w:bookmarkStart w:id="67" w:name="_Toc2809"/>
      <w:bookmarkStart w:id="68" w:name="_Toc28932"/>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66"/>
      <w:r>
        <w:rPr>
          <w:rFonts w:hint="eastAsia" w:ascii="宋体" w:hAnsi="宋体" w:cs="宋体"/>
          <w:color w:val="auto"/>
          <w:szCs w:val="21"/>
          <w:highlight w:val="none"/>
        </w:rPr>
        <w:t>；</w:t>
      </w:r>
      <w:bookmarkEnd w:id="67"/>
      <w:bookmarkEnd w:id="68"/>
    </w:p>
    <w:p w14:paraId="53C576F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3A2F250A">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27E64E1E">
      <w:pPr>
        <w:pStyle w:val="17"/>
        <w:spacing w:after="0" w:line="400" w:lineRule="exact"/>
        <w:ind w:left="0" w:leftChars="0" w:firstLine="422"/>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.2.1.3其他有效证明材料</w:t>
      </w:r>
    </w:p>
    <w:p w14:paraId="5744D8B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064DA36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w:t>
      </w:r>
      <w:r>
        <w:rPr>
          <w:rFonts w:hint="eastAsia" w:ascii="宋体" w:hAnsi="宋体" w:cs="宋体"/>
          <w:szCs w:val="21"/>
          <w:highlight w:val="none"/>
        </w:rPr>
        <w:t>技术服务方案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60533EC0">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p>
    <w:p w14:paraId="22325F89">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74707E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5FE464D9">
      <w:pPr>
        <w:spacing w:line="40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6C75F1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 供应商应按竞争性磋商文件第六章“响应文件（格式）”编制响应文件。</w:t>
      </w:r>
    </w:p>
    <w:p w14:paraId="1102ED32">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14:paraId="5DBB1C52">
      <w:p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18B650FC">
      <w:pPr>
        <w:numPr>
          <w:ilvl w:val="0"/>
          <w:numId w:val="2"/>
        </w:num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磋商文件要求法定代表人（负责人）或委托代理人签字的部分必须签字然后扫描或者拍照做成.pdf格式上传（签字可以以加盖个人CA签章代替），无签字的视为响应无效。</w:t>
      </w:r>
    </w:p>
    <w:p w14:paraId="426054EB">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3</w:t>
      </w:r>
      <w:r>
        <w:rPr>
          <w:rFonts w:hint="eastAsia" w:ascii="宋体" w:hAnsi="宋体"/>
          <w:b/>
          <w:color w:val="auto"/>
          <w:szCs w:val="21"/>
          <w:highlight w:val="none"/>
        </w:rPr>
        <w:t>.响应文件的语言及计量</w:t>
      </w:r>
    </w:p>
    <w:p w14:paraId="673D7C6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019FF4EB">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 响应计量单位，磋商文件已有明确规定的，使用磋商文件规定的计量单位；磋商文件没有规定的，应采用中华人民共和国法定计量单位（货币单位：人民币元），否则视同未响应。</w:t>
      </w:r>
    </w:p>
    <w:p w14:paraId="724247A8">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4</w:t>
      </w:r>
      <w:r>
        <w:rPr>
          <w:rFonts w:hint="eastAsia" w:ascii="宋体" w:hAnsi="宋体"/>
          <w:b/>
          <w:color w:val="auto"/>
          <w:szCs w:val="21"/>
          <w:highlight w:val="none"/>
        </w:rPr>
        <w:t>.磋商报价及采购预算金额</w:t>
      </w:r>
    </w:p>
    <w:p w14:paraId="42B88BEE">
      <w:pPr>
        <w:spacing w:line="420" w:lineRule="exact"/>
        <w:ind w:firstLine="420" w:firstLineChars="200"/>
        <w:outlineLvl w:val="2"/>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w:t>
      </w:r>
      <w:r>
        <w:rPr>
          <w:rFonts w:hint="eastAsia" w:hAnsi="宋体"/>
          <w:color w:val="auto"/>
          <w:szCs w:val="21"/>
          <w:highlight w:val="none"/>
          <w:lang w:val="en-US" w:eastAsia="zh-CN"/>
        </w:rPr>
        <w:t>响应报价超出最高限价的，响应文件按无效</w:t>
      </w:r>
      <w:r>
        <w:rPr>
          <w:rFonts w:hint="eastAsia" w:hAnsi="宋体"/>
          <w:color w:val="auto"/>
          <w:szCs w:val="21"/>
          <w:highlight w:val="none"/>
        </w:rPr>
        <w:t>处理。</w:t>
      </w:r>
    </w:p>
    <w:p w14:paraId="47172C62">
      <w:pPr>
        <w:spacing w:line="380" w:lineRule="exact"/>
        <w:ind w:firstLine="420" w:firstLineChars="200"/>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70A1EE4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供应商必须就“项目需求”中的所有内容作完整唯一报价，否则，其响应将被拒绝。响应文件只允许有一个报价，有选择的或有条件的报价将不予接受。</w:t>
      </w:r>
    </w:p>
    <w:p w14:paraId="1B91FDD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xml:space="preserve"> 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p w14:paraId="4441E0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s="宋体"/>
          <w:color w:val="auto"/>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5683D42C">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5</w:t>
      </w:r>
      <w:r>
        <w:rPr>
          <w:rFonts w:hint="eastAsia" w:ascii="宋体" w:hAnsi="宋体"/>
          <w:b/>
          <w:color w:val="auto"/>
          <w:szCs w:val="21"/>
          <w:highlight w:val="none"/>
        </w:rPr>
        <w:t>.响应文件有效期</w:t>
      </w:r>
    </w:p>
    <w:p w14:paraId="48782CEE">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.1响应文件有效期：自响应文件递交截止时间之日起90天，有效期不足的响应文件将被拒绝。</w:t>
      </w:r>
    </w:p>
    <w:p w14:paraId="2ECFF020">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14:paraId="599DAA57">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6</w:t>
      </w:r>
      <w:r>
        <w:rPr>
          <w:rFonts w:hint="eastAsia" w:ascii="宋体" w:hAnsi="宋体"/>
          <w:b/>
          <w:color w:val="auto"/>
          <w:szCs w:val="21"/>
          <w:highlight w:val="none"/>
        </w:rPr>
        <w:t>.磋商保证金</w:t>
      </w:r>
    </w:p>
    <w:p w14:paraId="60102B7B">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本项目无需缴纳磋商保证金。</w:t>
      </w:r>
    </w:p>
    <w:p w14:paraId="302FAE51">
      <w:pPr>
        <w:pStyle w:val="7"/>
        <w:spacing w:before="0" w:after="0" w:line="400" w:lineRule="exact"/>
        <w:ind w:firstLine="420" w:firstLineChars="200"/>
        <w:rPr>
          <w:rFonts w:hint="eastAsia" w:ascii="宋体" w:hAnsi="宋体" w:cs="宋体"/>
          <w:color w:val="auto"/>
          <w:sz w:val="21"/>
          <w:szCs w:val="21"/>
          <w:highlight w:val="none"/>
        </w:rPr>
      </w:pPr>
      <w:bookmarkStart w:id="69" w:name="_Toc387"/>
      <w:bookmarkStart w:id="70" w:name="_Toc2636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竞争性磋商响应文件的</w:t>
      </w:r>
      <w:bookmarkEnd w:id="69"/>
      <w:r>
        <w:rPr>
          <w:rFonts w:hint="eastAsia" w:ascii="宋体" w:hAnsi="宋体" w:cs="宋体"/>
          <w:color w:val="auto"/>
          <w:sz w:val="21"/>
          <w:szCs w:val="21"/>
          <w:highlight w:val="none"/>
        </w:rPr>
        <w:t>制作</w:t>
      </w:r>
      <w:bookmarkEnd w:id="70"/>
    </w:p>
    <w:p w14:paraId="428AD9EB">
      <w:pPr>
        <w:pStyle w:val="7"/>
        <w:spacing w:before="0" w:after="0" w:line="400" w:lineRule="exact"/>
        <w:ind w:firstLine="420" w:firstLineChars="200"/>
        <w:rPr>
          <w:rFonts w:hint="eastAsia" w:ascii="宋体" w:hAnsi="宋体" w:cs="宋体"/>
          <w:b w:val="0"/>
          <w:bCs w:val="0"/>
          <w:color w:val="auto"/>
          <w:sz w:val="21"/>
          <w:szCs w:val="21"/>
          <w:highlight w:val="none"/>
        </w:rPr>
      </w:pPr>
      <w:bookmarkStart w:id="71" w:name="_Toc12"/>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9D7542">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.2供应商法人（负责人）或授权代表持有</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个人CA签章的，应在响应文件中涉及到签字的位置使用个人CA签章，没有办理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个人CA签章的可在响应文件中涉及到签字的位置手写签字后扫描或者拍照做成 PDF 的格式上传即可。</w:t>
      </w:r>
    </w:p>
    <w:p w14:paraId="303F4B98">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.3 磋商响应文件不得涂改，若有修改错漏处，须法定代表人（负责人）或授权委托人签字（或个人CA签章）。磋商响应文件因字迹潦草或表达不清所引起的后果由供应商负责。</w:t>
      </w:r>
    </w:p>
    <w:p w14:paraId="0ABBF96C">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.4磋商前准备 </w:t>
      </w:r>
    </w:p>
    <w:p w14:paraId="69A69BC6">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.4.1本项目实行在线磋商，采用电子磋商响应文件。若供应商参与磋商，自行承担磋商一切费用。 </w:t>
      </w:r>
    </w:p>
    <w:p w14:paraId="5908288A">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.4.2各供应商应在截标前应确保成为</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正式注册入库供应商，并完成 CA 数字证书申领。因未注册入库、未办理 CA 数字证书等原因造成无法磋商或磋商失败等后果由供应商自行承担。 </w:t>
      </w:r>
    </w:p>
    <w:p w14:paraId="1004AFAB">
      <w:pPr>
        <w:pStyle w:val="7"/>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.4.3供应商将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客户服务热线 </w:t>
      </w:r>
      <w:r>
        <w:rPr>
          <w:rFonts w:hint="eastAsia" w:ascii="宋体" w:hAnsi="宋体" w:cs="宋体"/>
          <w:b w:val="0"/>
          <w:bCs w:val="0"/>
          <w:color w:val="auto"/>
          <w:sz w:val="21"/>
          <w:szCs w:val="21"/>
          <w:highlight w:val="none"/>
          <w:lang w:eastAsia="zh-CN"/>
        </w:rPr>
        <w:t>95763</w:t>
      </w:r>
      <w:r>
        <w:rPr>
          <w:rFonts w:hint="eastAsia" w:ascii="宋体" w:hAnsi="宋体" w:cs="宋体"/>
          <w:b w:val="0"/>
          <w:bCs w:val="0"/>
          <w:color w:val="auto"/>
          <w:sz w:val="21"/>
          <w:szCs w:val="21"/>
          <w:highlight w:val="none"/>
        </w:rPr>
        <w:t xml:space="preserve"> 进行咨询。</w:t>
      </w:r>
    </w:p>
    <w:p w14:paraId="2B1FE7D4">
      <w:pPr>
        <w:pStyle w:val="7"/>
        <w:spacing w:before="0"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响应文件的修改和撤回</w:t>
      </w:r>
      <w:bookmarkEnd w:id="71"/>
    </w:p>
    <w:p w14:paraId="0A9FAC5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8DA1D9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在响应文件递交截止时间后的响应文件有效期内，供应商不得撤回其响应文件。</w:t>
      </w:r>
    </w:p>
    <w:p w14:paraId="3AC570F1">
      <w:pPr>
        <w:pStyle w:val="7"/>
        <w:spacing w:before="0" w:after="0" w:line="400" w:lineRule="exact"/>
        <w:ind w:firstLine="420" w:firstLineChars="200"/>
        <w:rPr>
          <w:rFonts w:hint="eastAsia" w:ascii="宋体" w:hAnsi="宋体" w:cs="宋体"/>
          <w:color w:val="auto"/>
          <w:sz w:val="21"/>
          <w:szCs w:val="21"/>
          <w:highlight w:val="none"/>
        </w:rPr>
      </w:pPr>
      <w:bookmarkStart w:id="72" w:name="_Toc26434"/>
      <w:bookmarkStart w:id="73" w:name="_Toc3015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响应文件的递交和解密</w:t>
      </w:r>
      <w:bookmarkEnd w:id="72"/>
      <w:bookmarkEnd w:id="73"/>
    </w:p>
    <w:p w14:paraId="5815E0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.1响应文件递交截止时间：于</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8月11日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14:paraId="7E95B4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.2磋商响应文件解密时间：截标时间后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8月11日09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167A14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除竞争性磋商文件另有规定外，供应商所递交的响应文件不予退还。</w:t>
      </w:r>
    </w:p>
    <w:p w14:paraId="633BB8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电子响应文件的相关说明</w:t>
      </w:r>
    </w:p>
    <w:p w14:paraId="5A76697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EFEDB1D">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2FE7F4EA">
      <w:pPr>
        <w:tabs>
          <w:tab w:val="left" w:pos="1305"/>
        </w:tabs>
        <w:spacing w:line="400" w:lineRule="exact"/>
        <w:ind w:firstLine="560" w:firstLineChars="200"/>
        <w:jc w:val="center"/>
        <w:rPr>
          <w:rFonts w:hint="eastAsia" w:ascii="宋体" w:hAnsi="宋体"/>
          <w:b/>
          <w:color w:val="auto"/>
          <w:sz w:val="28"/>
          <w:szCs w:val="28"/>
          <w:highlight w:val="none"/>
        </w:rPr>
      </w:pPr>
    </w:p>
    <w:p w14:paraId="79F7E352">
      <w:pPr>
        <w:tabs>
          <w:tab w:val="left" w:pos="1305"/>
        </w:tabs>
        <w:spacing w:line="400" w:lineRule="exact"/>
        <w:ind w:firstLine="560"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四、竞争性磋商（简称磋商）与评审</w:t>
      </w:r>
    </w:p>
    <w:p w14:paraId="7263904D">
      <w:pPr>
        <w:tabs>
          <w:tab w:val="center" w:pos="4411"/>
          <w:tab w:val="left" w:pos="5475"/>
        </w:tabs>
        <w:spacing w:line="400" w:lineRule="exact"/>
        <w:ind w:firstLine="420" w:firstLineChars="200"/>
        <w:jc w:val="left"/>
        <w:rPr>
          <w:rFonts w:hint="eastAsia" w:ascii="宋体" w:hAnsi="宋体"/>
          <w:b/>
          <w:color w:val="auto"/>
          <w:szCs w:val="21"/>
          <w:highlight w:val="none"/>
        </w:rPr>
      </w:pPr>
      <w:r>
        <w:rPr>
          <w:rFonts w:hint="eastAsia" w:ascii="宋体" w:hAnsi="宋体"/>
          <w:b/>
          <w:color w:val="auto"/>
          <w:szCs w:val="21"/>
          <w:highlight w:val="none"/>
          <w:lang w:val="en-US" w:eastAsia="zh-CN"/>
        </w:rPr>
        <w:t>20</w:t>
      </w:r>
      <w:r>
        <w:rPr>
          <w:rFonts w:hint="eastAsia" w:ascii="宋体" w:hAnsi="宋体"/>
          <w:b/>
          <w:color w:val="auto"/>
          <w:szCs w:val="21"/>
          <w:highlight w:val="none"/>
        </w:rPr>
        <w:t>.磋商小组组成及磋商时间、地点、人员</w:t>
      </w:r>
    </w:p>
    <w:p w14:paraId="682CA5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 磋商小组组成：</w:t>
      </w:r>
    </w:p>
    <w:p w14:paraId="2D0504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 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p w14:paraId="5B523A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 磋商时间、地点、人员：</w:t>
      </w:r>
    </w:p>
    <w:p w14:paraId="37447B09">
      <w:pPr>
        <w:spacing w:line="400" w:lineRule="exact"/>
        <w:ind w:firstLine="420" w:firstLineChars="200"/>
        <w:rPr>
          <w:rFonts w:hint="eastAsia" w:ascii="宋体" w:hAnsi="宋体" w:cs="宋体"/>
          <w:color w:val="auto"/>
          <w:szCs w:val="21"/>
          <w:highlight w:val="none"/>
        </w:rPr>
      </w:pPr>
      <w:bookmarkStart w:id="74" w:name="_Toc987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bookmarkEnd w:id="74"/>
    </w:p>
    <w:p w14:paraId="31196DAE">
      <w:pPr>
        <w:spacing w:line="400" w:lineRule="exact"/>
        <w:ind w:firstLine="420" w:firstLineChars="200"/>
        <w:rPr>
          <w:rFonts w:hint="eastAsia" w:ascii="宋体" w:hAnsi="宋体" w:cs="宋体"/>
          <w:color w:val="auto"/>
          <w:szCs w:val="21"/>
          <w:highlight w:val="none"/>
        </w:rPr>
      </w:pPr>
      <w:bookmarkStart w:id="75" w:name="_Toc2926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w:t>
      </w:r>
      <w:bookmarkEnd w:id="75"/>
      <w:r>
        <w:rPr>
          <w:rFonts w:hint="eastAsia" w:ascii="宋体" w:hAnsi="宋体" w:cs="宋体"/>
          <w:color w:val="auto"/>
          <w:szCs w:val="21"/>
          <w:highlight w:val="none"/>
        </w:rPr>
        <w:t>本项目需要磋商供应商代表在截标当天截标后，按磋商小组要求及时登陆</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等候在线磋商。</w:t>
      </w:r>
    </w:p>
    <w:p w14:paraId="0E74B669">
      <w:pPr>
        <w:spacing w:line="400" w:lineRule="exact"/>
        <w:ind w:firstLine="420" w:firstLineChars="200"/>
        <w:rPr>
          <w:rFonts w:hint="eastAsia" w:ascii="宋体" w:hAnsi="宋体" w:cs="宋体"/>
          <w:bCs/>
          <w:color w:val="auto"/>
          <w:szCs w:val="21"/>
          <w:highlight w:val="none"/>
        </w:rPr>
      </w:pPr>
      <w:bookmarkStart w:id="76" w:name="_Toc21307"/>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.2.3磋商参加人员：</w:t>
      </w:r>
      <w:bookmarkEnd w:id="76"/>
      <w:r>
        <w:rPr>
          <w:rFonts w:hint="eastAsia" w:ascii="宋体" w:hAnsi="宋体" w:cs="宋体"/>
          <w:b/>
          <w:bCs/>
          <w:color w:val="auto"/>
          <w:szCs w:val="21"/>
          <w:highlight w:val="none"/>
        </w:rPr>
        <w:t>法定代表人或负责人或委托代理人参加磋商。</w:t>
      </w:r>
    </w:p>
    <w:p w14:paraId="220D9C33">
      <w:pPr>
        <w:spacing w:line="400" w:lineRule="exact"/>
        <w:ind w:firstLine="420" w:firstLineChars="200"/>
        <w:rPr>
          <w:rFonts w:hint="eastAsia" w:ascii="宋体" w:hAnsi="宋体" w:cs="宋体"/>
          <w:bCs/>
          <w:color w:val="auto"/>
          <w:szCs w:val="21"/>
          <w:highlight w:val="none"/>
        </w:rPr>
      </w:pPr>
      <w:bookmarkStart w:id="77" w:name="_Toc6288"/>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.2.4响应文件递交截止时间后，由磋商小组在评标室内线上开启响应文件。</w:t>
      </w:r>
      <w:bookmarkEnd w:id="77"/>
    </w:p>
    <w:p w14:paraId="59B6B6B1">
      <w:pPr>
        <w:tabs>
          <w:tab w:val="left" w:pos="1140"/>
        </w:tabs>
        <w:spacing w:line="400" w:lineRule="exact"/>
        <w:ind w:left="59"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1</w:t>
      </w:r>
      <w:r>
        <w:rPr>
          <w:rFonts w:hint="eastAsia" w:ascii="宋体" w:hAnsi="宋体"/>
          <w:b/>
          <w:color w:val="auto"/>
          <w:szCs w:val="21"/>
          <w:highlight w:val="none"/>
        </w:rPr>
        <w:t>.评审原则和评审办法</w:t>
      </w:r>
    </w:p>
    <w:p w14:paraId="1DA99DE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磋商小组必须坚持公平、公正、科学和择优的原则。</w:t>
      </w:r>
    </w:p>
    <w:p w14:paraId="6EA6C8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评审办法：综合评分法，具体详见第四章评审办法。</w:t>
      </w:r>
    </w:p>
    <w:p w14:paraId="519745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磋商小组应按磋商文件进行评审，不得擅自更改评审办法。</w:t>
      </w:r>
    </w:p>
    <w:p w14:paraId="2A8CEB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 在评审过程中，磋商小组任何人不得对某个供应商发表任何倾向性意见，不得向其他磋商小组成员明示或者暗示自己的评审意见。</w:t>
      </w:r>
    </w:p>
    <w:p w14:paraId="4DA84C6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磋商小组成员对需要共同认定的事项存在争议的，按照少数服从多数的原则作出结论。持不同意见的磋商小组成员应当在评审报告上签署不同意见并说明理由，否则视为同意。</w:t>
      </w:r>
    </w:p>
    <w:p w14:paraId="414976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 响应文件最后报价出现前后不一致的，除竞争性磋商文件另有规定外，按照下列规定修正：</w:t>
      </w:r>
    </w:p>
    <w:p w14:paraId="5B29B394">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14:paraId="089E1583">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14:paraId="1C92BFBB">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14:paraId="392BB2F2">
      <w:pPr>
        <w:pStyle w:val="25"/>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14:paraId="1ED8272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A5DB4EC">
      <w:pPr>
        <w:tabs>
          <w:tab w:val="left" w:pos="1140"/>
        </w:tabs>
        <w:spacing w:line="400" w:lineRule="exact"/>
        <w:ind w:left="58" w:leftChars="28"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.评审程序及磋商要求</w:t>
      </w:r>
    </w:p>
    <w:p w14:paraId="2DB6F41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.1磋商小组成员的通讯工具或相关电子设备交由桂林市公共资源交易中心统一保管后到达评标室，采购代理机构核实磋商小组成员身份，告知回避要求，宣布评审工作纪律和程序，推选磋商小组组长。</w:t>
      </w:r>
    </w:p>
    <w:p w14:paraId="26370AA5">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2</w:t>
      </w:r>
      <w:r>
        <w:rPr>
          <w:rFonts w:hint="eastAsia" w:hAnsi="宋体" w:cs="宋体"/>
          <w:color w:val="auto"/>
          <w:szCs w:val="21"/>
          <w:highlight w:val="none"/>
        </w:rPr>
        <w:t>.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6BB8D8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C2E15B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EBA8CC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.4.1 查询渠道：《国家企业信用信息公示系统》（网址：www.gsxt.gov.cn/index.html）</w:t>
      </w:r>
    </w:p>
    <w:p w14:paraId="22F5F3D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.4.2 审查流程：</w:t>
      </w:r>
    </w:p>
    <w:p w14:paraId="608B9AE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673C65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7969DCB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1F1D337E">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461AF16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.5 磋商小组如发现供应商提供的证明文件不齐全或不符合规定格式的，应一次性告知供应商，供应商应在规定的时间内线上补正或更正。</w:t>
      </w:r>
    </w:p>
    <w:p w14:paraId="5DCBBB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7E66AB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根据磋商文件规定的程序、评定成交的标准等事项与实质性响应竞争性磋商文件要求的供应商进行磋商。</w:t>
      </w:r>
    </w:p>
    <w:p w14:paraId="0A486D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未实质性响应磋商文件的响应文件按无效处理，磋商小组应当告知有关供应商。 </w:t>
      </w:r>
    </w:p>
    <w:p w14:paraId="05EC28B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磋商小组所有成员应当按已确定的磋商顺序集中与单一供应商分别进行磋商，并给予所有实质性响应竞争性磋商文件要求的供应商平等的磋商机会。</w:t>
      </w:r>
    </w:p>
    <w:p w14:paraId="7B93CB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磋商中，磋商小组不得透露与磋商有关的其他供应商的技术资料、价格和其他信息。 </w:t>
      </w:r>
    </w:p>
    <w:p w14:paraId="417E76F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磋商小组对磋商过程和重要磋商内容进行记录，磋商双方在记录上签字确认。 </w:t>
      </w:r>
    </w:p>
    <w:p w14:paraId="1D65E6A8">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D941F3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.8 在磋商过程中，磋商小组可以根据磋商文件和磋商情况实质性变动项目需求中的技术、服务要求以及合同草案条款，但不得变动磋商文件中的其他内容。实质性变动的内容，须经采购人代表确认。 </w:t>
      </w:r>
    </w:p>
    <w:p w14:paraId="72BAAF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 xml:space="preserve">同时通知所有参加磋商的供应商。 </w:t>
      </w:r>
    </w:p>
    <w:p w14:paraId="70C4C1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680731F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.9 第二轮磋商</w:t>
      </w:r>
    </w:p>
    <w:p w14:paraId="1AE9866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0CA45B3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磋商后，供应商根据磋商小组统一整理的书面磋商记录要求做出书面承诺，并由其法定代表人或授权代表签字或者加盖公章（CA签章）后按时线上提交。</w:t>
      </w:r>
    </w:p>
    <w:p w14:paraId="09EEB9F9">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63D041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.10 在采购过程中符合竞争要求的供应商或者报价未超过采购预算的供应商不足3家的，采购人或者采购代理机构应当终止竞争性磋商采购活动。 </w:t>
      </w:r>
    </w:p>
    <w:p w14:paraId="3BD60A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 最后报价 </w:t>
      </w:r>
    </w:p>
    <w:p w14:paraId="7AB3F9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.11.1 磋商文件能够详细列明采购标的的技术、服务要求的，磋商结束后，磋商小组应当要求所有继续参加磋商的供应商在规定时间内线上提交最后报价，提交最后报价的供应商不得少于3家。 </w:t>
      </w:r>
    </w:p>
    <w:p w14:paraId="0842B40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7FF20FB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9AB823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.11.4 根据《政府采购竞争性磋商采购方式管理暂行办法》(财库〔2014〕214号)的规定：</w:t>
      </w:r>
      <w:r>
        <w:rPr>
          <w:rFonts w:hint="eastAsia" w:ascii="宋体" w:hAnsi="宋体" w:cs="宋体"/>
          <w:b/>
          <w:bCs/>
          <w:color w:val="auto"/>
          <w:szCs w:val="21"/>
          <w:highlight w:val="none"/>
        </w:rPr>
        <w:t>最后报价是供应商响应文件的有效组成部分。</w:t>
      </w:r>
      <w:r>
        <w:rPr>
          <w:rFonts w:hint="eastAsia" w:ascii="宋体" w:hAnsi="宋体" w:cs="宋体"/>
          <w:color w:val="auto"/>
          <w:szCs w:val="21"/>
          <w:highlight w:val="none"/>
        </w:rPr>
        <w:t>符合本办法(财库〔2014〕214号文)第三条第四项情形的，提交最后报价的供应商可以为2家。</w:t>
      </w:r>
      <w:r>
        <w:rPr>
          <w:rFonts w:hint="eastAsia" w:ascii="宋体" w:hAnsi="宋体" w:cs="宋体"/>
          <w:b/>
          <w:bCs/>
          <w:color w:val="auto"/>
          <w:szCs w:val="21"/>
          <w:highlight w:val="none"/>
        </w:rPr>
        <w:t>（财库〔2014〕214号文第三条第四项：市场竞争不充分的科研项目，以及需要扶持的科技成果转化项目。）</w:t>
      </w:r>
    </w:p>
    <w:p w14:paraId="5F30DB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.12 已提交响应文件的供应商，在提交最后报价之前，可以根据磋商情况书面退出磋商。</w:t>
      </w:r>
    </w:p>
    <w:p w14:paraId="65C73F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未书面退出磋商的供应商在规定时间内线上提交最后报价，其最后报价超出采购预算导致已通过评审的响应文件无效的，按供应商在提交响应文件截止时间后撤回响应文件处理。</w:t>
      </w:r>
    </w:p>
    <w:p w14:paraId="2FFBB62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.13 评审报告</w:t>
      </w:r>
    </w:p>
    <w:p w14:paraId="5041A0D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磋商小组应当从质量和服务均能满足磋商文件全部实质性响应要求的供应商中，按照最后综合得分由高到低的顺序提出3名以上（含3名）成交候选人，并编写评审报告。</w:t>
      </w:r>
    </w:p>
    <w:p w14:paraId="6DEF99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.14 在评审过程中出现法律法规和磋商文件均没有明确规定的情形时，由磋商小组现场协商解决，协商不一致的，由全体磋商小组投票表决，以得票率二分之一以上磋商小组成员的意见为准。</w:t>
      </w:r>
    </w:p>
    <w:p w14:paraId="5E98D0D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.15 采购代理机构发现磋商小组有明显的违规倾向或歧视现象，或不按评审办法进行，或其他不正常行为的，应当及时制止。如制止无效，应及时向本级政府采购监督管理机构报告。</w:t>
      </w:r>
    </w:p>
    <w:p w14:paraId="512A7D25">
      <w:pPr>
        <w:spacing w:line="400" w:lineRule="exact"/>
        <w:ind w:firstLine="420" w:firstLineChars="200"/>
        <w:rPr>
          <w:rFonts w:hint="eastAsia" w:hAnsi="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.16 本采购项目的评审依据为竞争性磋商文件和竞争性磋商响应文件，采用的评审方法为</w:t>
      </w:r>
      <w:r>
        <w:rPr>
          <w:rFonts w:hint="eastAsia" w:ascii="宋体" w:hAnsi="宋体" w:cs="宋体"/>
          <w:b/>
          <w:bCs/>
          <w:color w:val="auto"/>
          <w:szCs w:val="21"/>
          <w:highlight w:val="none"/>
        </w:rPr>
        <w:t>综合评分法。</w:t>
      </w:r>
    </w:p>
    <w:p w14:paraId="1BF2537E">
      <w:pPr>
        <w:pStyle w:val="12"/>
        <w:spacing w:line="400" w:lineRule="exact"/>
        <w:ind w:firstLine="420" w:firstLineChars="200"/>
        <w:rPr>
          <w:rFonts w:hint="eastAsia" w:hAnsi="宋体"/>
          <w:b/>
          <w:bCs/>
          <w:color w:val="auto"/>
          <w:szCs w:val="21"/>
          <w:highlight w:val="none"/>
        </w:rPr>
      </w:pPr>
      <w:r>
        <w:rPr>
          <w:rFonts w:hint="eastAsia" w:hAnsi="宋体"/>
          <w:b/>
          <w:bCs/>
          <w:color w:val="auto"/>
          <w:szCs w:val="21"/>
          <w:highlight w:val="none"/>
        </w:rPr>
        <w:t>2</w:t>
      </w:r>
      <w:r>
        <w:rPr>
          <w:rFonts w:hint="eastAsia" w:hAnsi="宋体"/>
          <w:b/>
          <w:bCs/>
          <w:color w:val="auto"/>
          <w:szCs w:val="21"/>
          <w:highlight w:val="none"/>
          <w:lang w:val="en-US" w:eastAsia="zh-CN"/>
        </w:rPr>
        <w:t>3</w:t>
      </w:r>
      <w:r>
        <w:rPr>
          <w:rFonts w:hint="eastAsia" w:hAnsi="宋体"/>
          <w:b/>
          <w:bCs/>
          <w:color w:val="auto"/>
          <w:szCs w:val="21"/>
          <w:highlight w:val="none"/>
        </w:rPr>
        <w:t>.</w:t>
      </w:r>
      <w:r>
        <w:rPr>
          <w:rFonts w:hint="eastAsia" w:hAnsi="宋体"/>
          <w:b/>
          <w:color w:val="auto"/>
          <w:highlight w:val="none"/>
        </w:rPr>
        <w:t>推荐成交候选供应商原则</w:t>
      </w:r>
    </w:p>
    <w:p w14:paraId="43FB8AA2">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olor w:val="auto"/>
          <w:szCs w:val="21"/>
          <w:highlight w:val="none"/>
        </w:rPr>
        <w:t>磋商小组根据综合得分由高到低排列次序，若得分相同时，以评审报价由低到高顺序排列；若得分相同且评审报价相同的，以磋商最后报价由低到高顺序排列；若仍相同的，分别依次按项目实施方案分、综合能力分由高到低顺序排列，若仍相同的，由</w:t>
      </w:r>
      <w:r>
        <w:rPr>
          <w:rFonts w:hint="eastAsia" w:ascii="宋体" w:hAnsi="宋体" w:cs="宋体"/>
          <w:color w:val="auto"/>
          <w:szCs w:val="21"/>
          <w:highlight w:val="none"/>
        </w:rPr>
        <w:t>磋商小组按照抽签的方式</w:t>
      </w:r>
      <w:r>
        <w:rPr>
          <w:rFonts w:hint="eastAsia" w:ascii="宋体" w:hAnsi="宋体"/>
          <w:color w:val="auto"/>
          <w:szCs w:val="21"/>
          <w:highlight w:val="none"/>
        </w:rPr>
        <w:t xml:space="preserve">确认，并推荐成交候选供应商。  </w:t>
      </w:r>
    </w:p>
    <w:p w14:paraId="7A4FBA8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6C317A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.4排名第二的成交候选人因前款规定的同样原因不能签订合同的，采购单位可以依法确定排名第三的成交候选人为成交供应商。</w:t>
      </w:r>
    </w:p>
    <w:p w14:paraId="2753A236">
      <w:pPr>
        <w:widowControl/>
        <w:shd w:val="clear" w:color="auto" w:fill="FFFFFF"/>
        <w:spacing w:line="40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r>
        <w:rPr>
          <w:rFonts w:hint="eastAsia" w:ascii="宋体" w:hAnsi="宋体"/>
          <w:b/>
          <w:color w:val="auto"/>
          <w:szCs w:val="21"/>
          <w:highlight w:val="none"/>
        </w:rPr>
        <w:t>属于下列情况之一者，响应文件无效：</w:t>
      </w:r>
    </w:p>
    <w:p w14:paraId="2ACBD37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14:paraId="5DCCE3B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（2）不具备磋商文件规定的资格要求的；</w:t>
      </w:r>
    </w:p>
    <w:p w14:paraId="1BB7B4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14:paraId="3B1A9F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（4）响应文件有效期、交货时间、免费保修期（升级、维护）期/维护期、售后服务不能满足磋商文件要求的；</w:t>
      </w:r>
    </w:p>
    <w:p w14:paraId="6FBD2BB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（5）供应商未就“采购需求”中的所有内容作完整唯一报价的，或报价超出采购最高限价金额的；</w:t>
      </w:r>
    </w:p>
    <w:p w14:paraId="0CC8698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14:paraId="74246BE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14:paraId="147AE0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14:paraId="79F0F35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（9）响应文件实质性要求未做变动，供应商最后报价高于第一次报价的；</w:t>
      </w:r>
    </w:p>
    <w:p w14:paraId="469850B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（10）不符合法律、法规和磋商文件规定的其他实质性要求和条件的。</w:t>
      </w:r>
    </w:p>
    <w:p w14:paraId="50858502">
      <w:pPr>
        <w:snapToGrid w:val="0"/>
        <w:spacing w:line="400" w:lineRule="exact"/>
        <w:ind w:firstLine="102" w:firstLineChars="49"/>
        <w:outlineLvl w:val="4"/>
        <w:rPr>
          <w:rFonts w:hint="eastAsia" w:ascii="宋体" w:hAnsi="宋体"/>
          <w:b/>
          <w:color w:val="auto"/>
          <w:szCs w:val="21"/>
          <w:highlight w:val="none"/>
        </w:rPr>
      </w:pPr>
      <w:r>
        <w:rPr>
          <w:rFonts w:hint="eastAsia" w:ascii="宋体" w:hAnsi="宋体"/>
          <w:b/>
          <w:color w:val="auto"/>
          <w:szCs w:val="21"/>
          <w:highlight w:val="none"/>
        </w:rPr>
        <w:t>供应商有下列情形之一的，视为串通参与磋商，响应文件将被视为无效：</w:t>
      </w:r>
    </w:p>
    <w:p w14:paraId="46A653DF">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（1）不同供应商的响庆文件由同一单位或者个人编制；或不同供应商报名的IP地址一致的；</w:t>
      </w:r>
    </w:p>
    <w:p w14:paraId="7FD337E6">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（2）不同供应商委托同一单位或者个人办理磋商事宜；</w:t>
      </w:r>
    </w:p>
    <w:p w14:paraId="26D143FA">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（3）不同的供应商的响应文件载明的项目管理员为同一个人；</w:t>
      </w:r>
    </w:p>
    <w:p w14:paraId="50481F5E">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 xml:space="preserve">（4）不同供应商的响应文件异常一致或最后报价呈规律性差异； </w:t>
      </w:r>
    </w:p>
    <w:p w14:paraId="07630D2B">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（5）不同供应商的响应文件相互混装；</w:t>
      </w:r>
    </w:p>
    <w:p w14:paraId="64570C65">
      <w:pPr>
        <w:snapToGrid w:val="0"/>
        <w:spacing w:line="400" w:lineRule="exact"/>
        <w:ind w:firstLine="462" w:firstLineChars="220"/>
        <w:outlineLvl w:val="4"/>
        <w:rPr>
          <w:rFonts w:hint="eastAsia" w:ascii="宋体" w:hAnsi="宋体"/>
          <w:color w:val="auto"/>
          <w:highlight w:val="none"/>
        </w:rPr>
      </w:pPr>
      <w:r>
        <w:rPr>
          <w:rFonts w:hint="eastAsia"/>
          <w:color w:val="auto"/>
          <w:highlight w:val="none"/>
        </w:rPr>
        <w:t>（6）磋商文件未做实质性变动，供应商最后报价高于首次报价的。</w:t>
      </w:r>
    </w:p>
    <w:p w14:paraId="07268840">
      <w:pPr>
        <w:snapToGrid w:val="0"/>
        <w:spacing w:line="400" w:lineRule="exact"/>
        <w:ind w:firstLine="411" w:firstLineChars="196"/>
        <w:outlineLvl w:val="4"/>
        <w:rPr>
          <w:rFonts w:hint="eastAsia" w:ascii="宋体" w:hAnsi="宋体"/>
          <w:b/>
          <w:color w:val="auto"/>
          <w:szCs w:val="21"/>
          <w:highlight w:val="none"/>
        </w:rPr>
      </w:pPr>
      <w:r>
        <w:rPr>
          <w:rFonts w:hint="eastAsia" w:ascii="宋体" w:hAnsi="宋体"/>
          <w:b/>
          <w:color w:val="auto"/>
          <w:szCs w:val="21"/>
          <w:highlight w:val="none"/>
          <w:lang w:val="en-US" w:eastAsia="zh-CN"/>
        </w:rPr>
        <w:t>25</w:t>
      </w:r>
      <w:r>
        <w:rPr>
          <w:rFonts w:hint="eastAsia" w:ascii="宋体" w:hAnsi="宋体"/>
          <w:b/>
          <w:color w:val="auto"/>
          <w:szCs w:val="21"/>
          <w:highlight w:val="none"/>
        </w:rPr>
        <w:t>.</w:t>
      </w:r>
      <w:r>
        <w:rPr>
          <w:rFonts w:ascii="宋体" w:hAnsi="宋体"/>
          <w:b/>
          <w:color w:val="auto"/>
          <w:szCs w:val="21"/>
          <w:highlight w:val="none"/>
        </w:rPr>
        <w:t>出现下列情形之一的，采购人或者采购代理机构应当终止竞争性磋商采购活动，发布项目终止公告并说明原因，重新开展采购活动：</w:t>
      </w:r>
    </w:p>
    <w:p w14:paraId="7770240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409AF90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6A02C697">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w:t>
      </w:r>
      <w:r>
        <w:rPr>
          <w:rFonts w:hint="eastAsia" w:ascii="宋体" w:hAnsi="宋体"/>
          <w:b/>
          <w:color w:val="auto"/>
          <w:szCs w:val="21"/>
          <w:highlight w:val="none"/>
        </w:rPr>
        <w:t>除本须知第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.11.3</w:t>
      </w:r>
      <w:r>
        <w:rPr>
          <w:rFonts w:hint="eastAsia" w:ascii="宋体" w:hAnsi="宋体"/>
          <w:b/>
          <w:color w:val="auto"/>
          <w:szCs w:val="21"/>
          <w:highlight w:val="none"/>
        </w:rPr>
        <w:t>条、第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.11.4</w:t>
      </w:r>
      <w:r>
        <w:rPr>
          <w:rFonts w:hint="eastAsia" w:ascii="宋体" w:hAnsi="宋体"/>
          <w:b/>
          <w:color w:val="auto"/>
          <w:szCs w:val="21"/>
          <w:highlight w:val="none"/>
        </w:rPr>
        <w:t>条及法律法规规定的情形外</w:t>
      </w:r>
      <w:r>
        <w:rPr>
          <w:rFonts w:hint="eastAsia" w:ascii="宋体" w:hAnsi="宋体" w:cs="宋体"/>
          <w:b/>
          <w:bCs/>
          <w:color w:val="auto"/>
          <w:szCs w:val="21"/>
          <w:highlight w:val="none"/>
        </w:rPr>
        <w:t xml:space="preserve">） </w:t>
      </w:r>
    </w:p>
    <w:p w14:paraId="59F20FD0">
      <w:pPr>
        <w:snapToGrid w:val="0"/>
        <w:spacing w:line="400" w:lineRule="exact"/>
        <w:ind w:firstLine="411" w:firstLineChars="196"/>
        <w:outlineLvl w:val="4"/>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6</w:t>
      </w:r>
      <w:r>
        <w:rPr>
          <w:rFonts w:hint="eastAsia" w:ascii="宋体" w:hAnsi="宋体"/>
          <w:b/>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64A5E6CF">
      <w:pPr>
        <w:autoSpaceDE w:val="0"/>
        <w:autoSpaceDN w:val="0"/>
        <w:snapToGrid w:val="0"/>
        <w:spacing w:line="400" w:lineRule="exact"/>
        <w:ind w:firstLine="420" w:firstLineChars="200"/>
        <w:textAlignment w:val="bottom"/>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7</w:t>
      </w:r>
      <w:r>
        <w:rPr>
          <w:rFonts w:hint="eastAsia" w:hAnsi="宋体"/>
          <w:b/>
          <w:color w:val="auto"/>
          <w:highlight w:val="none"/>
        </w:rPr>
        <w:t>. 信用查询</w:t>
      </w:r>
    </w:p>
    <w:p w14:paraId="480D43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根据《关于做好政府采购有关信用主体标识码登记及在政府采购活动中查询使用信用记录有关问题的通知》桂财采〔2016〕37号的通知，采购代理机构对成交供应商的成交资格进行信用查询：</w:t>
      </w:r>
    </w:p>
    <w:p w14:paraId="50E3C638">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14:paraId="16FEA194">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（2）查询时间：成交通知书发出前；</w:t>
      </w:r>
    </w:p>
    <w:p w14:paraId="53B0BDB7">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4F2CD902">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6EAF2669">
      <w:pPr>
        <w:pStyle w:val="12"/>
        <w:spacing w:line="400" w:lineRule="exact"/>
        <w:ind w:firstLine="411" w:firstLineChars="196"/>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8</w:t>
      </w:r>
      <w:r>
        <w:rPr>
          <w:rFonts w:hint="eastAsia" w:hAnsi="宋体"/>
          <w:b/>
          <w:color w:val="auto"/>
          <w:szCs w:val="21"/>
          <w:highlight w:val="none"/>
        </w:rPr>
        <w:t>.</w:t>
      </w:r>
      <w:r>
        <w:rPr>
          <w:rFonts w:hint="eastAsia" w:hAnsi="宋体"/>
          <w:b/>
          <w:color w:val="auto"/>
          <w:szCs w:val="24"/>
          <w:highlight w:val="none"/>
        </w:rPr>
        <w:t>成交公告及成交通知书</w:t>
      </w:r>
    </w:p>
    <w:p w14:paraId="6C5472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59A5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在发布成交公告的同时，采购代理机构向成交供应商发出成交通知书。成交供应商自接到通知之日起七个工作日内，办理成交通知书领取手续。</w:t>
      </w:r>
    </w:p>
    <w:p w14:paraId="1AF52BA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 采购代理机构无义务向未成交的供应商解释未成交原因和退还响应文件。</w:t>
      </w:r>
    </w:p>
    <w:p w14:paraId="23E5ABBA">
      <w:pPr>
        <w:pStyle w:val="12"/>
        <w:spacing w:line="400" w:lineRule="exact"/>
        <w:jc w:val="center"/>
        <w:rPr>
          <w:rFonts w:hint="eastAsia" w:hAnsi="宋体"/>
          <w:b/>
          <w:color w:val="auto"/>
          <w:sz w:val="28"/>
          <w:szCs w:val="28"/>
          <w:highlight w:val="none"/>
        </w:rPr>
      </w:pPr>
      <w:r>
        <w:rPr>
          <w:rFonts w:hint="eastAsia" w:hAnsi="宋体"/>
          <w:b/>
          <w:color w:val="auto"/>
          <w:sz w:val="28"/>
          <w:szCs w:val="28"/>
          <w:highlight w:val="none"/>
        </w:rPr>
        <w:t>五、签订合同</w:t>
      </w:r>
    </w:p>
    <w:p w14:paraId="2B9BFF8B">
      <w:pPr>
        <w:ind w:firstLine="411" w:firstLineChars="196"/>
        <w:rPr>
          <w:rFonts w:hint="eastAsia" w:hAnsi="宋体"/>
          <w:color w:val="auto"/>
          <w:highlight w:val="none"/>
        </w:rPr>
      </w:pPr>
      <w:r>
        <w:rPr>
          <w:rFonts w:hint="eastAsia" w:ascii="宋体" w:hAnsi="宋体"/>
          <w:b/>
          <w:color w:val="auto"/>
          <w:highlight w:val="none"/>
        </w:rPr>
        <w:t>2</w:t>
      </w:r>
      <w:r>
        <w:rPr>
          <w:rFonts w:hint="eastAsia" w:ascii="宋体" w:hAnsi="宋体"/>
          <w:b/>
          <w:color w:val="auto"/>
          <w:highlight w:val="none"/>
          <w:lang w:val="en-US" w:eastAsia="zh-CN"/>
        </w:rPr>
        <w:t>9</w:t>
      </w:r>
      <w:r>
        <w:rPr>
          <w:rFonts w:hint="eastAsia" w:ascii="宋体" w:hAnsi="宋体"/>
          <w:b/>
          <w:color w:val="auto"/>
          <w:szCs w:val="21"/>
          <w:highlight w:val="none"/>
        </w:rPr>
        <w:t>.</w:t>
      </w:r>
      <w:r>
        <w:rPr>
          <w:rFonts w:hint="eastAsia" w:ascii="宋体" w:hAnsi="宋体"/>
          <w:b/>
          <w:color w:val="auto"/>
          <w:highlight w:val="none"/>
        </w:rPr>
        <w:t>履约保证金</w:t>
      </w:r>
      <w:r>
        <w:rPr>
          <w:rFonts w:hint="eastAsia" w:ascii="宋体" w:hAnsi="宋体"/>
          <w:b/>
          <w:color w:val="auto"/>
          <w:highlight w:val="none"/>
          <w:lang w:eastAsia="zh-CN"/>
        </w:rPr>
        <w:t>：</w:t>
      </w:r>
      <w:r>
        <w:rPr>
          <w:rFonts w:hint="eastAsia" w:ascii="宋体" w:hAnsi="宋体"/>
          <w:b/>
          <w:color w:val="auto"/>
          <w:highlight w:val="none"/>
          <w:lang w:val="en-US" w:eastAsia="zh-CN"/>
        </w:rPr>
        <w:t>无</w:t>
      </w:r>
    </w:p>
    <w:p w14:paraId="77F77B52">
      <w:pPr>
        <w:tabs>
          <w:tab w:val="left" w:pos="1140"/>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30</w:t>
      </w:r>
      <w:r>
        <w:rPr>
          <w:rFonts w:hint="eastAsia" w:ascii="宋体" w:hAnsi="宋体"/>
          <w:b/>
          <w:color w:val="auto"/>
          <w:szCs w:val="21"/>
          <w:highlight w:val="none"/>
        </w:rPr>
        <w:t>.签订合同</w:t>
      </w:r>
    </w:p>
    <w:p w14:paraId="292A750F">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.1 签订合同时间：成交通知书发出之日起二十五日内签订合同。成交供应商领取成交通知书后，应按规定与采购人签订合同。</w:t>
      </w:r>
    </w:p>
    <w:p w14:paraId="0B38CA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0C960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05C93058">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2174E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44580178">
      <w:pPr>
        <w:ind w:firstLine="420" w:firstLineChars="200"/>
        <w:rPr>
          <w:rFonts w:hint="eastAsia" w:hAnsi="宋体"/>
          <w:b/>
          <w:color w:val="auto"/>
          <w:sz w:val="28"/>
          <w:szCs w:val="28"/>
          <w:highlight w:val="none"/>
        </w:rPr>
      </w:pP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.3 合同备案存档：政府采购合同双方自签订之日起1个工作日内将合同原件壹份交采购代理机构。采购代理机构将政府采购合同在省级以上人民政府财政部门指定媒体上公告。</w:t>
      </w:r>
    </w:p>
    <w:p w14:paraId="1A3E9B0E">
      <w:pPr>
        <w:pStyle w:val="12"/>
        <w:numPr>
          <w:ilvl w:val="0"/>
          <w:numId w:val="3"/>
        </w:numPr>
        <w:spacing w:line="400" w:lineRule="exact"/>
        <w:jc w:val="center"/>
        <w:rPr>
          <w:rFonts w:hint="eastAsia" w:hAnsi="宋体"/>
          <w:b/>
          <w:color w:val="auto"/>
          <w:sz w:val="28"/>
          <w:szCs w:val="28"/>
          <w:highlight w:val="none"/>
        </w:rPr>
      </w:pPr>
      <w:r>
        <w:rPr>
          <w:rFonts w:hint="eastAsia" w:hAnsi="宋体"/>
          <w:b/>
          <w:color w:val="auto"/>
          <w:sz w:val="28"/>
          <w:szCs w:val="28"/>
          <w:highlight w:val="none"/>
        </w:rPr>
        <w:t>其他事项</w:t>
      </w:r>
    </w:p>
    <w:p w14:paraId="7C8D4A9D">
      <w:pPr>
        <w:spacing w:line="400" w:lineRule="exact"/>
        <w:ind w:firstLine="514" w:firstLineChars="245"/>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1</w:t>
      </w:r>
      <w:r>
        <w:rPr>
          <w:rFonts w:hint="eastAsia" w:ascii="宋体" w:hAnsi="宋体"/>
          <w:b/>
          <w:color w:val="auto"/>
          <w:szCs w:val="21"/>
          <w:highlight w:val="none"/>
        </w:rPr>
        <w:t>.</w:t>
      </w:r>
      <w:r>
        <w:rPr>
          <w:rFonts w:hint="eastAsia" w:ascii="宋体" w:hAnsi="宋体"/>
          <w:b/>
          <w:color w:val="auto"/>
          <w:highlight w:val="none"/>
        </w:rPr>
        <w:t>采购代理服务费</w:t>
      </w:r>
    </w:p>
    <w:p w14:paraId="7EB0BDAF">
      <w:pPr>
        <w:spacing w:line="380" w:lineRule="exact"/>
        <w:ind w:firstLine="420" w:firstLineChars="200"/>
        <w:rPr>
          <w:rFonts w:hint="eastAsia"/>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p w14:paraId="30FBE10D">
      <w:pPr>
        <w:spacing w:line="380" w:lineRule="exact"/>
        <w:jc w:val="center"/>
        <w:rPr>
          <w:rFonts w:hint="eastAsia" w:ascii="宋体" w:hAnsi="宋体"/>
          <w:color w:val="auto"/>
          <w:szCs w:val="21"/>
          <w:highlight w:val="none"/>
        </w:rPr>
      </w:pPr>
      <w:r>
        <w:rPr>
          <w:rFonts w:hint="eastAsia" w:ascii="宋体" w:hAnsi="宋体"/>
          <w:color w:val="auto"/>
          <w:szCs w:val="21"/>
          <w:highlight w:val="none"/>
        </w:rPr>
        <w:t>采购代理服务收费标准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C35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noWrap w:val="0"/>
            <w:vAlign w:val="top"/>
          </w:tcPr>
          <w:p w14:paraId="654967A6">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A+RXUAAAACAEAAA8AAAAAAAAAAQAgAAAAIgAAAGRycy9kb3ducmV2LnhtbFBL&#10;AQIUABQAAAAIAIdO4kB3QA4N+gEAAOkDAAAOAAAAAAAAAAEAIAAAACMBAABkcnMvZTJvRG9jLnht&#10;bFBLBQYAAAAABgAGAFkBAACP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02F047F7">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028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APL1ga/AEAAOkDAAAOAAAAAAAAAAEAIAAAACcBAABkcnMvZTJv&#10;RG9jLnhtbFBLBQYAAAAABgAGAFkBAACVBQAAAAA=&#10;">
                      <v:fill on="f" focussize="0,0"/>
                      <v:stroke color="#000000" joinstyle="round"/>
                      <v:imagedata o:title=""/>
                      <o:lock v:ext="edit" aspectratio="f"/>
                    </v:line>
                  </w:pict>
                </mc:Fallback>
              </mc:AlternateContent>
            </w:r>
          </w:p>
          <w:p w14:paraId="52E2FFD8">
            <w:pPr>
              <w:pStyle w:val="12"/>
              <w:spacing w:line="380" w:lineRule="exact"/>
              <w:rPr>
                <w:rFonts w:hint="eastAsia" w:hAnsi="宋体"/>
                <w:color w:val="auto"/>
                <w:highlight w:val="none"/>
              </w:rPr>
            </w:pPr>
            <w:r>
              <w:rPr>
                <w:rFonts w:hint="eastAsia" w:hAnsi="宋体"/>
                <w:color w:val="auto"/>
                <w:highlight w:val="none"/>
              </w:rPr>
              <w:t>中标金额（万元）</w:t>
            </w:r>
          </w:p>
        </w:tc>
        <w:tc>
          <w:tcPr>
            <w:tcW w:w="2002" w:type="dxa"/>
            <w:noWrap w:val="0"/>
            <w:vAlign w:val="center"/>
          </w:tcPr>
          <w:p w14:paraId="6CB3D383">
            <w:pPr>
              <w:pStyle w:val="12"/>
              <w:spacing w:line="380" w:lineRule="exact"/>
              <w:jc w:val="center"/>
              <w:rPr>
                <w:rFonts w:hint="eastAsia" w:hAnsi="宋体"/>
                <w:color w:val="auto"/>
                <w:highlight w:val="none"/>
              </w:rPr>
            </w:pPr>
            <w:r>
              <w:rPr>
                <w:rFonts w:hint="eastAsia" w:hAnsi="宋体"/>
                <w:color w:val="auto"/>
                <w:highlight w:val="none"/>
              </w:rPr>
              <w:t>货物招标</w:t>
            </w:r>
          </w:p>
        </w:tc>
        <w:tc>
          <w:tcPr>
            <w:tcW w:w="1992" w:type="dxa"/>
            <w:noWrap w:val="0"/>
            <w:vAlign w:val="center"/>
          </w:tcPr>
          <w:p w14:paraId="5AA5243C">
            <w:pPr>
              <w:pStyle w:val="12"/>
              <w:spacing w:line="380" w:lineRule="exact"/>
              <w:jc w:val="center"/>
              <w:rPr>
                <w:rFonts w:hint="eastAsia" w:hAnsi="宋体"/>
                <w:color w:val="auto"/>
                <w:highlight w:val="none"/>
              </w:rPr>
            </w:pPr>
            <w:r>
              <w:rPr>
                <w:rFonts w:hint="eastAsia" w:hAnsi="宋体"/>
                <w:color w:val="auto"/>
                <w:highlight w:val="none"/>
              </w:rPr>
              <w:t>服务招标</w:t>
            </w:r>
          </w:p>
        </w:tc>
        <w:tc>
          <w:tcPr>
            <w:tcW w:w="2293" w:type="dxa"/>
            <w:noWrap w:val="0"/>
            <w:vAlign w:val="center"/>
          </w:tcPr>
          <w:p w14:paraId="46D16C4E">
            <w:pPr>
              <w:pStyle w:val="12"/>
              <w:spacing w:line="380" w:lineRule="exact"/>
              <w:jc w:val="center"/>
              <w:rPr>
                <w:rFonts w:hint="eastAsia" w:hAnsi="宋体"/>
                <w:color w:val="auto"/>
                <w:highlight w:val="none"/>
              </w:rPr>
            </w:pPr>
            <w:r>
              <w:rPr>
                <w:rFonts w:hint="eastAsia" w:hAnsi="宋体"/>
                <w:color w:val="auto"/>
                <w:highlight w:val="none"/>
              </w:rPr>
              <w:t>工程招标</w:t>
            </w:r>
          </w:p>
        </w:tc>
      </w:tr>
      <w:tr w14:paraId="3C7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19" w:type="dxa"/>
            <w:noWrap w:val="0"/>
            <w:vAlign w:val="top"/>
          </w:tcPr>
          <w:p w14:paraId="27290990">
            <w:pPr>
              <w:pStyle w:val="12"/>
              <w:spacing w:line="380" w:lineRule="exact"/>
              <w:rPr>
                <w:rFonts w:hint="eastAsia" w:hAnsi="宋体"/>
                <w:color w:val="auto"/>
                <w:highlight w:val="none"/>
              </w:rPr>
            </w:pPr>
            <w:r>
              <w:rPr>
                <w:rFonts w:hint="eastAsia" w:hAnsi="宋体"/>
                <w:color w:val="auto"/>
                <w:highlight w:val="none"/>
              </w:rPr>
              <w:t>100以下</w:t>
            </w:r>
          </w:p>
        </w:tc>
        <w:tc>
          <w:tcPr>
            <w:tcW w:w="2002" w:type="dxa"/>
            <w:noWrap w:val="0"/>
            <w:vAlign w:val="top"/>
          </w:tcPr>
          <w:p w14:paraId="1DDA5987">
            <w:pPr>
              <w:pStyle w:val="12"/>
              <w:spacing w:line="380" w:lineRule="exact"/>
              <w:jc w:val="center"/>
              <w:rPr>
                <w:rFonts w:hint="eastAsia" w:hAnsi="宋体"/>
                <w:color w:val="auto"/>
                <w:highlight w:val="none"/>
              </w:rPr>
            </w:pPr>
            <w:r>
              <w:rPr>
                <w:rFonts w:hint="eastAsia" w:hAnsi="宋体"/>
                <w:color w:val="auto"/>
                <w:highlight w:val="none"/>
              </w:rPr>
              <w:t>1.5%</w:t>
            </w:r>
          </w:p>
        </w:tc>
        <w:tc>
          <w:tcPr>
            <w:tcW w:w="1992" w:type="dxa"/>
            <w:noWrap w:val="0"/>
            <w:vAlign w:val="top"/>
          </w:tcPr>
          <w:p w14:paraId="7473B167">
            <w:pPr>
              <w:pStyle w:val="12"/>
              <w:spacing w:line="380" w:lineRule="exact"/>
              <w:jc w:val="center"/>
              <w:rPr>
                <w:rFonts w:hint="eastAsia" w:hAnsi="宋体"/>
                <w:color w:val="auto"/>
                <w:highlight w:val="none"/>
              </w:rPr>
            </w:pPr>
            <w:r>
              <w:rPr>
                <w:rFonts w:hint="eastAsia" w:hAnsi="宋体"/>
                <w:color w:val="auto"/>
                <w:highlight w:val="none"/>
              </w:rPr>
              <w:t>1.5%</w:t>
            </w:r>
          </w:p>
        </w:tc>
        <w:tc>
          <w:tcPr>
            <w:tcW w:w="2293" w:type="dxa"/>
            <w:noWrap w:val="0"/>
            <w:vAlign w:val="top"/>
          </w:tcPr>
          <w:p w14:paraId="19265045">
            <w:pPr>
              <w:pStyle w:val="12"/>
              <w:spacing w:line="380" w:lineRule="exact"/>
              <w:jc w:val="center"/>
              <w:rPr>
                <w:rFonts w:hint="eastAsia" w:hAnsi="宋体"/>
                <w:color w:val="auto"/>
                <w:highlight w:val="none"/>
              </w:rPr>
            </w:pPr>
            <w:r>
              <w:rPr>
                <w:rFonts w:hint="eastAsia" w:hAnsi="宋体"/>
                <w:color w:val="auto"/>
                <w:highlight w:val="none"/>
              </w:rPr>
              <w:t>1.0%</w:t>
            </w:r>
          </w:p>
        </w:tc>
      </w:tr>
      <w:tr w14:paraId="6520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noWrap w:val="0"/>
            <w:vAlign w:val="top"/>
          </w:tcPr>
          <w:p w14:paraId="086168FE">
            <w:pPr>
              <w:pStyle w:val="12"/>
              <w:spacing w:line="380" w:lineRule="exact"/>
              <w:rPr>
                <w:rFonts w:hint="eastAsia" w:hAnsi="宋体"/>
                <w:color w:val="auto"/>
                <w:highlight w:val="none"/>
              </w:rPr>
            </w:pPr>
            <w:r>
              <w:rPr>
                <w:rFonts w:hint="eastAsia" w:hAnsi="宋体"/>
                <w:color w:val="auto"/>
                <w:highlight w:val="none"/>
              </w:rPr>
              <w:t>100-500</w:t>
            </w:r>
          </w:p>
        </w:tc>
        <w:tc>
          <w:tcPr>
            <w:tcW w:w="2002" w:type="dxa"/>
            <w:noWrap w:val="0"/>
            <w:vAlign w:val="top"/>
          </w:tcPr>
          <w:p w14:paraId="65ACDFA4">
            <w:pPr>
              <w:pStyle w:val="12"/>
              <w:spacing w:line="380" w:lineRule="exact"/>
              <w:jc w:val="center"/>
              <w:rPr>
                <w:rFonts w:hint="eastAsia" w:hAnsi="宋体"/>
                <w:color w:val="auto"/>
                <w:highlight w:val="none"/>
              </w:rPr>
            </w:pPr>
            <w:r>
              <w:rPr>
                <w:rFonts w:hint="eastAsia" w:hAnsi="宋体"/>
                <w:color w:val="auto"/>
                <w:highlight w:val="none"/>
              </w:rPr>
              <w:t>1.1%</w:t>
            </w:r>
          </w:p>
        </w:tc>
        <w:tc>
          <w:tcPr>
            <w:tcW w:w="1992" w:type="dxa"/>
            <w:noWrap w:val="0"/>
            <w:vAlign w:val="top"/>
          </w:tcPr>
          <w:p w14:paraId="0F9AAC49">
            <w:pPr>
              <w:pStyle w:val="12"/>
              <w:spacing w:line="380" w:lineRule="exact"/>
              <w:jc w:val="center"/>
              <w:rPr>
                <w:rFonts w:hint="eastAsia" w:hAnsi="宋体"/>
                <w:color w:val="auto"/>
                <w:highlight w:val="none"/>
              </w:rPr>
            </w:pPr>
            <w:r>
              <w:rPr>
                <w:rFonts w:hint="eastAsia" w:hAnsi="宋体"/>
                <w:color w:val="auto"/>
                <w:highlight w:val="none"/>
              </w:rPr>
              <w:t>0.8%</w:t>
            </w:r>
          </w:p>
        </w:tc>
        <w:tc>
          <w:tcPr>
            <w:tcW w:w="2293" w:type="dxa"/>
            <w:noWrap w:val="0"/>
            <w:vAlign w:val="top"/>
          </w:tcPr>
          <w:p w14:paraId="0A3BB9BB">
            <w:pPr>
              <w:pStyle w:val="12"/>
              <w:spacing w:line="380" w:lineRule="exact"/>
              <w:jc w:val="center"/>
              <w:rPr>
                <w:rFonts w:hint="eastAsia" w:hAnsi="宋体"/>
                <w:color w:val="auto"/>
                <w:highlight w:val="none"/>
              </w:rPr>
            </w:pPr>
            <w:r>
              <w:rPr>
                <w:rFonts w:hint="eastAsia" w:hAnsi="宋体"/>
                <w:color w:val="auto"/>
                <w:highlight w:val="none"/>
              </w:rPr>
              <w:t>0.7%</w:t>
            </w:r>
          </w:p>
        </w:tc>
      </w:tr>
      <w:tr w14:paraId="6C04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7413576E">
            <w:pPr>
              <w:pStyle w:val="12"/>
              <w:spacing w:line="380" w:lineRule="exact"/>
              <w:rPr>
                <w:rFonts w:hint="eastAsia" w:hAnsi="宋体"/>
                <w:color w:val="auto"/>
                <w:highlight w:val="none"/>
              </w:rPr>
            </w:pPr>
            <w:r>
              <w:rPr>
                <w:rFonts w:hint="eastAsia" w:hAnsi="宋体"/>
                <w:color w:val="auto"/>
                <w:highlight w:val="none"/>
              </w:rPr>
              <w:t>500-1000</w:t>
            </w:r>
          </w:p>
        </w:tc>
        <w:tc>
          <w:tcPr>
            <w:tcW w:w="2002" w:type="dxa"/>
            <w:noWrap w:val="0"/>
            <w:vAlign w:val="top"/>
          </w:tcPr>
          <w:p w14:paraId="08D00B83">
            <w:pPr>
              <w:pStyle w:val="12"/>
              <w:spacing w:line="380" w:lineRule="exact"/>
              <w:jc w:val="center"/>
              <w:rPr>
                <w:rFonts w:hint="eastAsia" w:hAnsi="宋体"/>
                <w:color w:val="auto"/>
                <w:highlight w:val="none"/>
              </w:rPr>
            </w:pPr>
            <w:r>
              <w:rPr>
                <w:rFonts w:hint="eastAsia" w:hAnsi="宋体"/>
                <w:color w:val="auto"/>
                <w:highlight w:val="none"/>
              </w:rPr>
              <w:t>0.8%</w:t>
            </w:r>
          </w:p>
        </w:tc>
        <w:tc>
          <w:tcPr>
            <w:tcW w:w="1992" w:type="dxa"/>
            <w:noWrap w:val="0"/>
            <w:vAlign w:val="top"/>
          </w:tcPr>
          <w:p w14:paraId="375CEF41">
            <w:pPr>
              <w:pStyle w:val="12"/>
              <w:spacing w:line="380" w:lineRule="exact"/>
              <w:jc w:val="center"/>
              <w:rPr>
                <w:rFonts w:hint="eastAsia" w:hAnsi="宋体"/>
                <w:color w:val="auto"/>
                <w:highlight w:val="none"/>
              </w:rPr>
            </w:pPr>
            <w:r>
              <w:rPr>
                <w:rFonts w:hint="eastAsia" w:hAnsi="宋体"/>
                <w:color w:val="auto"/>
                <w:highlight w:val="none"/>
              </w:rPr>
              <w:t>0.45%</w:t>
            </w:r>
          </w:p>
        </w:tc>
        <w:tc>
          <w:tcPr>
            <w:tcW w:w="2293" w:type="dxa"/>
            <w:noWrap w:val="0"/>
            <w:vAlign w:val="top"/>
          </w:tcPr>
          <w:p w14:paraId="1BFFFA0A">
            <w:pPr>
              <w:pStyle w:val="12"/>
              <w:spacing w:line="380" w:lineRule="exact"/>
              <w:jc w:val="center"/>
              <w:rPr>
                <w:rFonts w:hint="eastAsia" w:hAnsi="宋体"/>
                <w:color w:val="auto"/>
                <w:highlight w:val="none"/>
              </w:rPr>
            </w:pPr>
            <w:r>
              <w:rPr>
                <w:rFonts w:hint="eastAsia" w:hAnsi="宋体"/>
                <w:color w:val="auto"/>
                <w:highlight w:val="none"/>
              </w:rPr>
              <w:t>0.55%</w:t>
            </w:r>
          </w:p>
        </w:tc>
      </w:tr>
      <w:tr w14:paraId="686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3566209A">
            <w:pPr>
              <w:pStyle w:val="12"/>
              <w:spacing w:line="380" w:lineRule="exact"/>
              <w:rPr>
                <w:rFonts w:hint="eastAsia" w:hAnsi="宋体"/>
                <w:color w:val="auto"/>
                <w:highlight w:val="none"/>
              </w:rPr>
            </w:pPr>
            <w:r>
              <w:rPr>
                <w:rFonts w:hint="eastAsia" w:hAnsi="宋体"/>
                <w:color w:val="auto"/>
                <w:highlight w:val="none"/>
              </w:rPr>
              <w:t>1000-5000</w:t>
            </w:r>
          </w:p>
        </w:tc>
        <w:tc>
          <w:tcPr>
            <w:tcW w:w="2002" w:type="dxa"/>
            <w:noWrap w:val="0"/>
            <w:vAlign w:val="top"/>
          </w:tcPr>
          <w:p w14:paraId="3819E340">
            <w:pPr>
              <w:pStyle w:val="12"/>
              <w:spacing w:line="380" w:lineRule="exact"/>
              <w:jc w:val="center"/>
              <w:rPr>
                <w:rFonts w:hint="eastAsia" w:hAnsi="宋体"/>
                <w:color w:val="auto"/>
                <w:highlight w:val="none"/>
              </w:rPr>
            </w:pPr>
            <w:r>
              <w:rPr>
                <w:rFonts w:hint="eastAsia" w:hAnsi="宋体"/>
                <w:color w:val="auto"/>
                <w:highlight w:val="none"/>
              </w:rPr>
              <w:t>0.5%</w:t>
            </w:r>
          </w:p>
        </w:tc>
        <w:tc>
          <w:tcPr>
            <w:tcW w:w="1992" w:type="dxa"/>
            <w:noWrap w:val="0"/>
            <w:vAlign w:val="top"/>
          </w:tcPr>
          <w:p w14:paraId="64B16DA4">
            <w:pPr>
              <w:pStyle w:val="12"/>
              <w:spacing w:line="380" w:lineRule="exact"/>
              <w:jc w:val="center"/>
              <w:rPr>
                <w:rFonts w:hint="eastAsia" w:hAnsi="宋体"/>
                <w:color w:val="auto"/>
                <w:highlight w:val="none"/>
              </w:rPr>
            </w:pPr>
            <w:r>
              <w:rPr>
                <w:rFonts w:hint="eastAsia" w:hAnsi="宋体"/>
                <w:color w:val="auto"/>
                <w:highlight w:val="none"/>
              </w:rPr>
              <w:t>0.25%</w:t>
            </w:r>
          </w:p>
        </w:tc>
        <w:tc>
          <w:tcPr>
            <w:tcW w:w="2293" w:type="dxa"/>
            <w:noWrap w:val="0"/>
            <w:vAlign w:val="top"/>
          </w:tcPr>
          <w:p w14:paraId="2E14035E">
            <w:pPr>
              <w:pStyle w:val="12"/>
              <w:spacing w:line="380" w:lineRule="exact"/>
              <w:jc w:val="center"/>
              <w:rPr>
                <w:rFonts w:hint="eastAsia" w:hAnsi="宋体"/>
                <w:color w:val="auto"/>
                <w:highlight w:val="none"/>
              </w:rPr>
            </w:pPr>
            <w:r>
              <w:rPr>
                <w:rFonts w:hint="eastAsia" w:hAnsi="宋体"/>
                <w:color w:val="auto"/>
                <w:highlight w:val="none"/>
              </w:rPr>
              <w:t>0.35%</w:t>
            </w:r>
          </w:p>
        </w:tc>
      </w:tr>
      <w:tr w14:paraId="042C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01AA49F4">
            <w:pPr>
              <w:pStyle w:val="12"/>
              <w:spacing w:line="380" w:lineRule="exact"/>
              <w:rPr>
                <w:rFonts w:hint="eastAsia" w:hAnsi="宋体"/>
                <w:color w:val="auto"/>
                <w:highlight w:val="none"/>
              </w:rPr>
            </w:pPr>
            <w:r>
              <w:rPr>
                <w:rFonts w:hint="eastAsia" w:hAnsi="宋体"/>
                <w:color w:val="auto"/>
                <w:highlight w:val="none"/>
              </w:rPr>
              <w:t>5000-10000</w:t>
            </w:r>
          </w:p>
        </w:tc>
        <w:tc>
          <w:tcPr>
            <w:tcW w:w="2002" w:type="dxa"/>
            <w:noWrap w:val="0"/>
            <w:vAlign w:val="top"/>
          </w:tcPr>
          <w:p w14:paraId="0C957B2C">
            <w:pPr>
              <w:pStyle w:val="12"/>
              <w:spacing w:line="380" w:lineRule="exact"/>
              <w:jc w:val="center"/>
              <w:rPr>
                <w:rFonts w:hint="eastAsia" w:hAnsi="宋体"/>
                <w:color w:val="auto"/>
                <w:highlight w:val="none"/>
              </w:rPr>
            </w:pPr>
            <w:r>
              <w:rPr>
                <w:rFonts w:hint="eastAsia" w:hAnsi="宋体"/>
                <w:color w:val="auto"/>
                <w:highlight w:val="none"/>
              </w:rPr>
              <w:t>0.25%</w:t>
            </w:r>
          </w:p>
        </w:tc>
        <w:tc>
          <w:tcPr>
            <w:tcW w:w="1992" w:type="dxa"/>
            <w:noWrap w:val="0"/>
            <w:vAlign w:val="top"/>
          </w:tcPr>
          <w:p w14:paraId="5B53A504">
            <w:pPr>
              <w:pStyle w:val="12"/>
              <w:spacing w:line="380" w:lineRule="exact"/>
              <w:jc w:val="center"/>
              <w:rPr>
                <w:rFonts w:hint="eastAsia" w:hAnsi="宋体"/>
                <w:color w:val="auto"/>
                <w:highlight w:val="none"/>
              </w:rPr>
            </w:pPr>
            <w:r>
              <w:rPr>
                <w:rFonts w:hint="eastAsia" w:hAnsi="宋体"/>
                <w:color w:val="auto"/>
                <w:highlight w:val="none"/>
              </w:rPr>
              <w:t>0.1%</w:t>
            </w:r>
          </w:p>
        </w:tc>
        <w:tc>
          <w:tcPr>
            <w:tcW w:w="2293" w:type="dxa"/>
            <w:noWrap w:val="0"/>
            <w:vAlign w:val="top"/>
          </w:tcPr>
          <w:p w14:paraId="08629C00">
            <w:pPr>
              <w:pStyle w:val="12"/>
              <w:spacing w:line="380" w:lineRule="exact"/>
              <w:jc w:val="center"/>
              <w:rPr>
                <w:rFonts w:hint="eastAsia" w:hAnsi="宋体"/>
                <w:color w:val="auto"/>
                <w:highlight w:val="none"/>
              </w:rPr>
            </w:pPr>
            <w:r>
              <w:rPr>
                <w:rFonts w:hint="eastAsia" w:hAnsi="宋体"/>
                <w:color w:val="auto"/>
                <w:highlight w:val="none"/>
              </w:rPr>
              <w:t>0.2%</w:t>
            </w:r>
          </w:p>
        </w:tc>
      </w:tr>
    </w:tbl>
    <w:p w14:paraId="2BB1403B">
      <w:pPr>
        <w:pStyle w:val="12"/>
        <w:spacing w:line="380" w:lineRule="exact"/>
        <w:ind w:firstLine="420" w:firstLineChars="200"/>
        <w:rPr>
          <w:rFonts w:hint="eastAsia" w:hAnsi="宋体"/>
          <w:color w:val="auto"/>
          <w:highlight w:val="none"/>
        </w:rPr>
      </w:pPr>
      <w:r>
        <w:rPr>
          <w:rFonts w:hint="eastAsia" w:hAnsi="宋体"/>
          <w:color w:val="auto"/>
          <w:highlight w:val="none"/>
        </w:rPr>
        <w:t>注：采购代理服务收费按差额定率累进法计算。</w:t>
      </w:r>
    </w:p>
    <w:p w14:paraId="78D38706">
      <w:pPr>
        <w:spacing w:line="380" w:lineRule="exact"/>
        <w:ind w:firstLine="420" w:firstLineChars="200"/>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2</w:t>
      </w:r>
      <w:r>
        <w:rPr>
          <w:rFonts w:hint="eastAsia" w:ascii="宋体" w:hAnsi="宋体"/>
          <w:b/>
          <w:color w:val="auto"/>
          <w:highlight w:val="none"/>
        </w:rPr>
        <w:t>.交纳采购代理服务费的采购代理机构银行账户：</w:t>
      </w:r>
    </w:p>
    <w:p w14:paraId="20D10B62">
      <w:pPr>
        <w:spacing w:line="34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账户名称：</w:t>
      </w:r>
      <w:r>
        <w:rPr>
          <w:rFonts w:hint="eastAsia" w:ascii="宋体" w:hAnsi="宋体"/>
          <w:szCs w:val="21"/>
          <w:highlight w:val="none"/>
          <w:lang w:val="en-US" w:eastAsia="zh-CN"/>
        </w:rPr>
        <w:t>永道工程咨询（江苏）有限公司桂林分公司</w:t>
      </w:r>
    </w:p>
    <w:p w14:paraId="0CBF007C">
      <w:pPr>
        <w:spacing w:line="380" w:lineRule="exact"/>
        <w:ind w:firstLine="420" w:firstLineChars="200"/>
        <w:rPr>
          <w:rFonts w:hint="default"/>
          <w:color w:val="auto"/>
          <w:highlight w:val="none"/>
          <w:lang w:val="en-US" w:eastAsia="zh-CN"/>
        </w:rPr>
      </w:pPr>
      <w:r>
        <w:rPr>
          <w:rFonts w:hint="eastAsia"/>
          <w:color w:val="auto"/>
          <w:highlight w:val="none"/>
          <w:lang w:val="en-US" w:eastAsia="zh-CN"/>
        </w:rPr>
        <w:t>开户行：中国建设银行股份有限公司桂林高新技术产业开发区支行</w:t>
      </w:r>
    </w:p>
    <w:p w14:paraId="2E0D1505">
      <w:pPr>
        <w:spacing w:line="380" w:lineRule="exact"/>
        <w:ind w:firstLine="420" w:firstLineChars="200"/>
        <w:rPr>
          <w:rFonts w:hint="eastAsia" w:ascii="宋体" w:hAnsi="宋体"/>
          <w:color w:val="auto"/>
          <w:szCs w:val="21"/>
          <w:highlight w:val="none"/>
        </w:rPr>
      </w:pPr>
      <w:r>
        <w:rPr>
          <w:rFonts w:hint="eastAsia"/>
          <w:color w:val="auto"/>
          <w:highlight w:val="none"/>
          <w:lang w:val="en-US" w:eastAsia="zh-CN"/>
        </w:rPr>
        <w:t>账号：45050163520700001346</w:t>
      </w:r>
      <w:r>
        <w:rPr>
          <w:rFonts w:hint="eastAsia"/>
          <w:color w:val="auto"/>
          <w:highlight w:val="none"/>
        </w:rPr>
        <w:t xml:space="preserve">                     </w:t>
      </w:r>
    </w:p>
    <w:p w14:paraId="5C4A260E">
      <w:pPr>
        <w:spacing w:line="380" w:lineRule="exact"/>
        <w:ind w:firstLine="420" w:firstLineChars="200"/>
        <w:rPr>
          <w:rFonts w:hint="eastAsia" w:ascii="宋体" w:hAnsi="宋体" w:cs="宋体"/>
          <w:color w:val="auto"/>
          <w:szCs w:val="21"/>
          <w:highlight w:val="none"/>
        </w:rPr>
      </w:pPr>
      <w:r>
        <w:rPr>
          <w:rFonts w:hint="eastAsia" w:ascii="宋体" w:hAnsi="宋体"/>
          <w:b/>
          <w:color w:val="auto"/>
          <w:highlight w:val="none"/>
        </w:rPr>
        <w:t>3</w:t>
      </w:r>
      <w:r>
        <w:rPr>
          <w:rFonts w:hint="eastAsia" w:ascii="宋体" w:hAnsi="宋体"/>
          <w:b/>
          <w:color w:val="auto"/>
          <w:highlight w:val="none"/>
          <w:lang w:val="en-US" w:eastAsia="zh-CN"/>
        </w:rPr>
        <w:t>3</w:t>
      </w:r>
      <w:r>
        <w:rPr>
          <w:rFonts w:hint="eastAsia" w:ascii="宋体" w:hAnsi="宋体"/>
          <w:b/>
          <w:color w:val="auto"/>
          <w:highlight w:val="none"/>
        </w:rPr>
        <w:t>.编制依据：</w:t>
      </w:r>
      <w:r>
        <w:rPr>
          <w:rFonts w:hint="eastAsia" w:ascii="宋体" w:hAnsi="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w:t>
      </w:r>
    </w:p>
    <w:p w14:paraId="08C1E323">
      <w:pPr>
        <w:spacing w:line="380" w:lineRule="exact"/>
        <w:ind w:firstLine="420" w:firstLineChars="200"/>
        <w:rPr>
          <w:rFonts w:hint="eastAsia" w:ascii="宋体" w:hAnsi="宋体" w:eastAsia="宋体"/>
          <w:color w:val="auto"/>
          <w:szCs w:val="21"/>
          <w:highlight w:val="none"/>
          <w:shd w:val="clear" w:color="auto" w:fill="FFFFFF"/>
          <w:lang w:eastAsia="zh-CN"/>
        </w:rPr>
      </w:pPr>
      <w:r>
        <w:rPr>
          <w:rFonts w:hint="eastAsia" w:ascii="宋体" w:hAnsi="宋体"/>
          <w:b/>
          <w:color w:val="auto"/>
          <w:highlight w:val="none"/>
        </w:rPr>
        <w:t>3</w:t>
      </w:r>
      <w:r>
        <w:rPr>
          <w:rFonts w:hint="eastAsia" w:ascii="宋体" w:hAnsi="宋体"/>
          <w:b/>
          <w:color w:val="auto"/>
          <w:highlight w:val="none"/>
          <w:lang w:val="en-US" w:eastAsia="zh-CN"/>
        </w:rPr>
        <w:t>4</w:t>
      </w:r>
      <w:r>
        <w:rPr>
          <w:rFonts w:hint="eastAsia" w:ascii="宋体" w:hAnsi="宋体"/>
          <w:b/>
          <w:color w:val="auto"/>
          <w:highlight w:val="none"/>
        </w:rPr>
        <w:t>.监督管理机构：</w:t>
      </w:r>
      <w:r>
        <w:rPr>
          <w:rFonts w:hint="eastAsia"/>
          <w:color w:val="auto"/>
          <w:szCs w:val="21"/>
          <w:highlight w:val="none"/>
          <w:lang w:eastAsia="zh-CN"/>
        </w:rPr>
        <w:t>桂林市财政局</w:t>
      </w:r>
      <w:r>
        <w:rPr>
          <w:rFonts w:hint="eastAsia"/>
          <w:color w:val="auto"/>
          <w:szCs w:val="21"/>
          <w:highlight w:val="none"/>
        </w:rPr>
        <w:t xml:space="preserve">   </w:t>
      </w:r>
      <w:r>
        <w:rPr>
          <w:rFonts w:hint="eastAsia" w:ascii="宋体" w:hAnsi="宋体"/>
          <w:color w:val="auto"/>
          <w:szCs w:val="21"/>
          <w:highlight w:val="none"/>
        </w:rPr>
        <w:t>联系电话：</w:t>
      </w:r>
      <w:bookmarkStart w:id="78" w:name="_Toc25044"/>
      <w:r>
        <w:rPr>
          <w:rFonts w:hint="eastAsia"/>
          <w:color w:val="auto"/>
          <w:szCs w:val="21"/>
          <w:highlight w:val="none"/>
          <w:lang w:eastAsia="zh-CN"/>
        </w:rPr>
        <w:t>0773-2862142</w:t>
      </w:r>
    </w:p>
    <w:p w14:paraId="22CC1475">
      <w:pPr>
        <w:spacing w:line="360" w:lineRule="exact"/>
        <w:jc w:val="center"/>
        <w:rPr>
          <w:rFonts w:hint="eastAsia"/>
          <w:b/>
          <w:bCs/>
          <w:color w:val="auto"/>
          <w:sz w:val="30"/>
          <w:szCs w:val="30"/>
          <w:highlight w:val="none"/>
        </w:rPr>
      </w:pPr>
      <w:r>
        <w:rPr>
          <w:rFonts w:hint="eastAsia" w:ascii="宋体"/>
          <w:b/>
          <w:color w:val="auto"/>
          <w:sz w:val="32"/>
          <w:szCs w:val="32"/>
          <w:highlight w:val="none"/>
        </w:rPr>
        <w:br w:type="page"/>
      </w:r>
      <w:r>
        <w:rPr>
          <w:rFonts w:hint="eastAsia" w:ascii="宋体"/>
          <w:b/>
          <w:color w:val="auto"/>
          <w:sz w:val="32"/>
          <w:szCs w:val="32"/>
          <w:highlight w:val="none"/>
        </w:rPr>
        <w:t>第三章</w:t>
      </w:r>
      <w:r>
        <w:rPr>
          <w:rFonts w:ascii="宋体"/>
          <w:b/>
          <w:color w:val="auto"/>
          <w:sz w:val="32"/>
          <w:szCs w:val="32"/>
          <w:highlight w:val="none"/>
        </w:rPr>
        <w:t xml:space="preserve">  </w:t>
      </w:r>
      <w:bookmarkEnd w:id="78"/>
      <w:r>
        <w:rPr>
          <w:rFonts w:hint="eastAsia"/>
          <w:b/>
          <w:bCs/>
          <w:color w:val="auto"/>
          <w:sz w:val="30"/>
          <w:szCs w:val="30"/>
          <w:highlight w:val="none"/>
        </w:rPr>
        <w:t>服务采购需求</w:t>
      </w:r>
    </w:p>
    <w:p w14:paraId="30180566">
      <w:pPr>
        <w:tabs>
          <w:tab w:val="left" w:pos="690"/>
        </w:tabs>
        <w:spacing w:line="400" w:lineRule="exact"/>
        <w:ind w:right="104" w:firstLine="378" w:firstLineChars="180"/>
        <w:rPr>
          <w:rFonts w:hint="eastAsia" w:ascii="宋体" w:hAnsi="宋体" w:cs="宋体"/>
          <w:b/>
          <w:color w:val="auto"/>
          <w:sz w:val="21"/>
          <w:szCs w:val="21"/>
          <w:highlight w:val="none"/>
          <w:lang w:val="en-US" w:eastAsia="zh-CN" w:bidi="ar"/>
        </w:rPr>
      </w:pPr>
    </w:p>
    <w:p w14:paraId="198635EF">
      <w:pPr>
        <w:pStyle w:val="6"/>
        <w:pageBreakBefore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Times New Roman"/>
          <w:b/>
          <w:bCs/>
          <w:kern w:val="2"/>
          <w:sz w:val="24"/>
          <w:szCs w:val="24"/>
          <w:highlight w:val="none"/>
          <w:lang w:val="en-US" w:eastAsia="zh-CN" w:bidi="ar-SA"/>
        </w:rPr>
        <w:t>一、项目背景</w:t>
      </w:r>
    </w:p>
    <w:p w14:paraId="38182193">
      <w:pPr>
        <w:pStyle w:val="30"/>
        <w:pageBreakBefore w:val="0"/>
        <w:kinsoku/>
        <w:wordWrap/>
        <w:overflowPunct/>
        <w:topLinePunct w:val="0"/>
        <w:autoSpaceDE/>
        <w:autoSpaceDN/>
        <w:bidi w:val="0"/>
        <w:adjustRightInd/>
        <w:snapToGrid/>
        <w:spacing w:line="360" w:lineRule="auto"/>
        <w:ind w:right="0" w:firstLine="480"/>
        <w:textAlignment w:val="auto"/>
        <w:rPr>
          <w:rFonts w:ascii="宋体" w:hAnsi="宋体" w:cs="宋体"/>
          <w:b/>
          <w:sz w:val="22"/>
          <w:szCs w:val="22"/>
          <w:highlight w:val="none"/>
        </w:rPr>
      </w:pPr>
      <w:r>
        <w:rPr>
          <w:rFonts w:hint="eastAsia" w:ascii="宋体" w:hAnsi="宋体"/>
          <w:sz w:val="24"/>
          <w:highlight w:val="none"/>
        </w:rPr>
        <w:t>为科学、有效地完成桂林高新技术产业开发区火炬统计及相关调查工作，按照科技部《国家统计局关于批准执行科学研究和技术服务业科技活动等十三项统计制度的函》（国统制[2014]154号）和《科技部科技统计工作管理办法》（国科发计字[2007]620号）的规定，结合桂林高新技术产业开发区实际情况，对桂林 高新区内火炬工作涉及的高新技术产业化及环境建设各相关单位科技活动和经济活动状况进行定量综合考察，全面了解和跟踪研究区内高新技术产业化发展情况。</w:t>
      </w:r>
    </w:p>
    <w:p w14:paraId="0F08FBEC">
      <w:pPr>
        <w:pStyle w:val="6"/>
        <w:pageBreakBefore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Times New Roman"/>
          <w:b/>
          <w:bCs/>
          <w:kern w:val="2"/>
          <w:sz w:val="24"/>
          <w:szCs w:val="24"/>
          <w:highlight w:val="none"/>
          <w:lang w:val="en-US" w:eastAsia="zh-CN" w:bidi="ar-SA"/>
        </w:rPr>
        <w:t>二、技术需求</w:t>
      </w:r>
    </w:p>
    <w:p w14:paraId="7A82D241">
      <w:pPr>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sz w:val="24"/>
          <w:highlight w:val="none"/>
        </w:rPr>
      </w:pPr>
      <w:r>
        <w:rPr>
          <w:rFonts w:hint="eastAsia" w:ascii="宋体" w:hAnsi="宋体"/>
          <w:sz w:val="24"/>
          <w:highlight w:val="none"/>
          <w:lang w:val="en-US" w:eastAsia="zh-CN"/>
        </w:rPr>
        <w:t>1.</w:t>
      </w:r>
      <w:r>
        <w:rPr>
          <w:rFonts w:ascii="宋体" w:hAnsi="宋体"/>
          <w:sz w:val="24"/>
          <w:highlight w:val="none"/>
        </w:rPr>
        <w:t>服务</w:t>
      </w:r>
      <w:r>
        <w:rPr>
          <w:rFonts w:hint="eastAsia" w:ascii="宋体" w:hAnsi="宋体"/>
          <w:sz w:val="24"/>
          <w:highlight w:val="none"/>
        </w:rPr>
        <w:t>内容</w:t>
      </w:r>
      <w:r>
        <w:rPr>
          <w:rFonts w:ascii="宋体" w:hAnsi="宋体"/>
          <w:sz w:val="24"/>
          <w:highlight w:val="none"/>
        </w:rPr>
        <w:t>：</w:t>
      </w:r>
      <w:r>
        <w:rPr>
          <w:rFonts w:hint="eastAsia" w:ascii="宋体" w:hAnsi="宋体"/>
          <w:sz w:val="24"/>
          <w:highlight w:val="none"/>
        </w:rPr>
        <w:t>完成</w:t>
      </w:r>
      <w:r>
        <w:rPr>
          <w:rFonts w:hint="eastAsia" w:ascii="宋体" w:hAnsi="宋体"/>
          <w:b w:val="0"/>
          <w:bCs w:val="0"/>
          <w:sz w:val="24"/>
          <w:highlight w:val="none"/>
        </w:rPr>
        <w:t>202</w:t>
      </w:r>
      <w:r>
        <w:rPr>
          <w:rFonts w:hint="eastAsia" w:ascii="宋体" w:hAnsi="宋体"/>
          <w:b w:val="0"/>
          <w:bCs w:val="0"/>
          <w:sz w:val="24"/>
          <w:highlight w:val="none"/>
          <w:lang w:val="en-US" w:eastAsia="zh-CN"/>
        </w:rPr>
        <w:t>4年度</w:t>
      </w:r>
      <w:r>
        <w:rPr>
          <w:rFonts w:hint="eastAsia" w:ascii="宋体" w:hAnsi="宋体"/>
          <w:sz w:val="24"/>
          <w:highlight w:val="none"/>
        </w:rPr>
        <w:t>桂林高新区科技经济与火炬统计咨询工作，并提高科技经济数据质量；</w:t>
      </w:r>
    </w:p>
    <w:p w14:paraId="07DD50AF">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2.制定202</w:t>
      </w:r>
      <w:r>
        <w:rPr>
          <w:rFonts w:hint="eastAsia" w:ascii="宋体" w:hAnsi="宋体"/>
          <w:b w:val="0"/>
          <w:bCs w:val="0"/>
          <w:sz w:val="24"/>
          <w:highlight w:val="none"/>
          <w:lang w:val="en-US" w:eastAsia="zh-CN"/>
        </w:rPr>
        <w:t>4年度</w:t>
      </w:r>
      <w:r>
        <w:rPr>
          <w:rFonts w:hint="eastAsia" w:ascii="宋体" w:hAnsi="宋体"/>
          <w:b w:val="0"/>
          <w:bCs w:val="0"/>
          <w:sz w:val="24"/>
          <w:highlight w:val="none"/>
        </w:rPr>
        <w:t>火炬统计服务实施方案及火炬工作开展计划；</w:t>
      </w:r>
    </w:p>
    <w:p w14:paraId="1ED51D8C">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3.202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年度火炬统计企业名录库整顿；</w:t>
      </w:r>
    </w:p>
    <w:p w14:paraId="21CF1348">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4.202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年度火炬统计综合快报测算、数据变动说明；</w:t>
      </w:r>
    </w:p>
    <w:p w14:paraId="1A218015">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5.202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年度火炬统计企业年报培训课件制定、企业培训；</w:t>
      </w:r>
    </w:p>
    <w:p w14:paraId="35E4B17A">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6.通知企业填报企业年报和创投年报、实时跟进企业上报进度、为火炬统计企业答疑、指导、报表催报；</w:t>
      </w:r>
    </w:p>
    <w:p w14:paraId="49AA1383">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7.202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年度火炬统计企业年报数据审核、联系企业核实修改异常数据、数据汇总、数据评估；</w:t>
      </w:r>
    </w:p>
    <w:p w14:paraId="3EB57158">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8.202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年度火炬统计综合年报数据审核、数据评估；</w:t>
      </w:r>
    </w:p>
    <w:p w14:paraId="3707F956">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9.202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年度火炬统计创投年报数据审核、数据评估；</w:t>
      </w:r>
    </w:p>
    <w:p w14:paraId="5D5999E9">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10.202</w:t>
      </w:r>
      <w:r>
        <w:rPr>
          <w:rFonts w:hint="eastAsia" w:ascii="宋体" w:hAnsi="宋体"/>
          <w:b w:val="0"/>
          <w:bCs w:val="0"/>
          <w:sz w:val="24"/>
          <w:highlight w:val="none"/>
          <w:lang w:val="en-US" w:eastAsia="zh-CN"/>
        </w:rPr>
        <w:t>4年度</w:t>
      </w:r>
      <w:r>
        <w:rPr>
          <w:rFonts w:hint="eastAsia" w:ascii="宋体" w:hAnsi="宋体"/>
          <w:b w:val="0"/>
          <w:bCs w:val="0"/>
          <w:sz w:val="24"/>
          <w:highlight w:val="none"/>
        </w:rPr>
        <w:t>各项年审材料准备、火炬中心下返数据核实说明；</w:t>
      </w:r>
    </w:p>
    <w:p w14:paraId="05313391">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11.202</w:t>
      </w:r>
      <w:r>
        <w:rPr>
          <w:rFonts w:hint="eastAsia" w:ascii="宋体" w:hAnsi="宋体"/>
          <w:b w:val="0"/>
          <w:bCs w:val="0"/>
          <w:sz w:val="24"/>
          <w:highlight w:val="none"/>
          <w:lang w:val="en-US" w:eastAsia="zh-CN"/>
        </w:rPr>
        <w:t>4年度</w:t>
      </w:r>
      <w:r>
        <w:rPr>
          <w:rFonts w:hint="eastAsia" w:ascii="宋体" w:hAnsi="宋体"/>
          <w:b w:val="0"/>
          <w:bCs w:val="0"/>
          <w:sz w:val="24"/>
          <w:highlight w:val="none"/>
        </w:rPr>
        <w:t>火炬统计每月月报数据测算、变动说明；</w:t>
      </w:r>
    </w:p>
    <w:p w14:paraId="18547241">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12.撰写202</w:t>
      </w:r>
      <w:r>
        <w:rPr>
          <w:rFonts w:hint="eastAsia" w:ascii="宋体" w:hAnsi="宋体"/>
          <w:b w:val="0"/>
          <w:bCs w:val="0"/>
          <w:sz w:val="24"/>
          <w:highlight w:val="none"/>
          <w:lang w:val="en-US" w:eastAsia="zh-CN"/>
        </w:rPr>
        <w:t>4</w:t>
      </w:r>
      <w:r>
        <w:rPr>
          <w:rFonts w:hint="eastAsia" w:ascii="宋体" w:hAnsi="宋体"/>
          <w:b w:val="0"/>
          <w:bCs w:val="0"/>
          <w:sz w:val="24"/>
          <w:highlight w:val="none"/>
        </w:rPr>
        <w:t>年度火炬统计工作总结及分析报告、制作火炬统计小册子；</w:t>
      </w:r>
    </w:p>
    <w:p w14:paraId="720B57B9">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13.宣传火炬统计相关制度、政策；</w:t>
      </w:r>
    </w:p>
    <w:p w14:paraId="5A7CA58C">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14.筛选企业纳入创新积分制，统计报送企业创新积分数据、完成相关总结材料报送工作；</w:t>
      </w:r>
    </w:p>
    <w:p w14:paraId="4E6BA526">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15.完成桂林高新区临时安排的其他火炬相关工作、提供专业化咨询服务。</w:t>
      </w:r>
    </w:p>
    <w:p w14:paraId="007F7EA2">
      <w:pPr>
        <w:pStyle w:val="2"/>
        <w:pageBreakBefore w:val="0"/>
        <w:kinsoku/>
        <w:wordWrap/>
        <w:overflowPunct/>
        <w:topLinePunct w:val="0"/>
        <w:autoSpaceDE/>
        <w:autoSpaceDN/>
        <w:bidi w:val="0"/>
        <w:adjustRightInd/>
        <w:snapToGrid/>
        <w:spacing w:line="360" w:lineRule="auto"/>
        <w:textAlignment w:val="auto"/>
        <w:rPr>
          <w:rFonts w:hint="eastAsia" w:ascii="宋体" w:hAnsi="宋体"/>
          <w:b w:val="0"/>
          <w:bCs w:val="0"/>
          <w:sz w:val="24"/>
          <w:highlight w:val="none"/>
        </w:rPr>
      </w:pPr>
      <w:r>
        <w:rPr>
          <w:rFonts w:hint="eastAsia" w:ascii="宋体" w:hAnsi="宋体"/>
          <w:b w:val="0"/>
          <w:bCs w:val="0"/>
          <w:sz w:val="24"/>
          <w:highlight w:val="none"/>
        </w:rPr>
        <w:t>16.保密协议：中标后，中标单位须与采购人签订保密协议。</w:t>
      </w:r>
    </w:p>
    <w:p w14:paraId="4E18471A">
      <w:pPr>
        <w:pStyle w:val="2"/>
        <w:rPr>
          <w:rFonts w:ascii="宋体" w:hAnsi="宋体"/>
          <w:b/>
          <w:bCs/>
          <w:sz w:val="24"/>
          <w:highlight w:val="none"/>
        </w:rPr>
      </w:pPr>
      <w:r>
        <w:rPr>
          <w:rFonts w:hint="eastAsia" w:ascii="宋体" w:hAnsi="宋体"/>
          <w:b/>
          <w:bCs/>
          <w:sz w:val="24"/>
          <w:highlight w:val="none"/>
        </w:rPr>
        <w:t>三、商务需求</w:t>
      </w:r>
    </w:p>
    <w:p w14:paraId="147D5A67">
      <w:pPr>
        <w:pStyle w:val="17"/>
        <w:ind w:left="0" w:leftChars="0" w:firstLine="240" w:firstLineChars="100"/>
        <w:rPr>
          <w:rFonts w:hint="default" w:ascii="宋体" w:hAnsi="宋体"/>
          <w:b/>
          <w:bCs/>
          <w:sz w:val="24"/>
          <w:highlight w:val="none"/>
          <w:lang w:val="en-US" w:eastAsia="zh-CN"/>
        </w:rPr>
      </w:pPr>
      <w:r>
        <w:rPr>
          <w:rFonts w:hint="eastAsia" w:ascii="宋体" w:hAnsi="宋体"/>
          <w:b/>
          <w:bCs/>
          <w:sz w:val="24"/>
          <w:highlight w:val="none"/>
        </w:rPr>
        <w:t>1、付款方式：</w:t>
      </w:r>
      <w:r>
        <w:rPr>
          <w:rFonts w:hint="eastAsia" w:ascii="宋体" w:hAnsi="宋体"/>
          <w:b/>
          <w:bCs/>
          <w:sz w:val="24"/>
          <w:highlight w:val="none"/>
          <w:lang w:eastAsia="zh-CN"/>
        </w:rPr>
        <w:t>（</w:t>
      </w:r>
      <w:r>
        <w:rPr>
          <w:rFonts w:hint="eastAsia" w:ascii="宋体" w:hAnsi="宋体"/>
          <w:b/>
          <w:bCs/>
          <w:sz w:val="24"/>
          <w:highlight w:val="none"/>
          <w:lang w:val="en-US" w:eastAsia="zh-CN"/>
        </w:rPr>
        <w:t>1）、合同签订后5天内，甲方支付乙方合同总价90%的预付款。（2）、2026年2月28日前，甲方向乙方支付余下合同款。</w:t>
      </w:r>
    </w:p>
    <w:p w14:paraId="31C7635D">
      <w:pPr>
        <w:ind w:firstLine="240" w:firstLineChars="100"/>
        <w:rPr>
          <w:highlight w:val="none"/>
        </w:rPr>
      </w:pPr>
      <w:r>
        <w:rPr>
          <w:rFonts w:hint="eastAsia" w:ascii="宋体" w:hAnsi="宋体"/>
          <w:b/>
          <w:bCs/>
          <w:sz w:val="24"/>
          <w:highlight w:val="none"/>
        </w:rPr>
        <w:t>2、合同履约期：自合同签订之日起至</w:t>
      </w:r>
      <w:r>
        <w:rPr>
          <w:rFonts w:hint="eastAsia" w:ascii="宋体" w:hAnsi="宋体"/>
          <w:b/>
          <w:bCs/>
          <w:color w:val="auto"/>
          <w:sz w:val="24"/>
          <w:highlight w:val="none"/>
        </w:rPr>
        <w:t>202</w:t>
      </w:r>
      <w:r>
        <w:rPr>
          <w:rFonts w:hint="eastAsia" w:ascii="宋体" w:hAnsi="宋体"/>
          <w:b/>
          <w:bCs/>
          <w:color w:val="auto"/>
          <w:sz w:val="24"/>
          <w:highlight w:val="none"/>
          <w:lang w:val="en-US" w:eastAsia="zh-CN"/>
        </w:rPr>
        <w:t>5</w:t>
      </w:r>
      <w:r>
        <w:rPr>
          <w:rFonts w:hint="eastAsia" w:ascii="宋体" w:hAnsi="宋体"/>
          <w:b/>
          <w:bCs/>
          <w:sz w:val="24"/>
          <w:highlight w:val="none"/>
        </w:rPr>
        <w:t>年12月31日。</w:t>
      </w:r>
    </w:p>
    <w:p w14:paraId="470ED664">
      <w:pPr>
        <w:pStyle w:val="17"/>
        <w:ind w:left="0" w:leftChars="0" w:firstLine="240" w:firstLineChars="100"/>
        <w:rPr>
          <w:rFonts w:ascii="宋体" w:hAnsi="宋体"/>
          <w:b/>
          <w:bCs/>
          <w:sz w:val="24"/>
          <w:highlight w:val="none"/>
        </w:rPr>
      </w:pPr>
    </w:p>
    <w:p w14:paraId="19B8EFB9">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70958CC">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A3492A0">
      <w:pPr>
        <w:tabs>
          <w:tab w:val="left" w:pos="690"/>
        </w:tabs>
        <w:spacing w:line="400" w:lineRule="exact"/>
        <w:ind w:right="104" w:firstLine="420" w:firstLineChars="200"/>
        <w:rPr>
          <w:rFonts w:hint="eastAsia" w:ascii="宋体" w:hAnsi="宋体" w:eastAsia="宋体" w:cs="宋体"/>
          <w:b/>
          <w:bCs/>
          <w:color w:val="auto"/>
          <w:sz w:val="21"/>
          <w:szCs w:val="21"/>
          <w:highlight w:val="none"/>
          <w:lang w:val="en-US" w:eastAsia="zh-CN"/>
        </w:rPr>
      </w:pPr>
    </w:p>
    <w:p w14:paraId="49C5469B">
      <w:pPr>
        <w:pStyle w:val="2"/>
        <w:spacing w:line="400" w:lineRule="exact"/>
        <w:ind w:firstLine="420" w:firstLineChars="200"/>
        <w:rPr>
          <w:rFonts w:hint="eastAsia"/>
          <w:b/>
          <w:color w:val="auto"/>
          <w:sz w:val="32"/>
          <w:szCs w:val="32"/>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r>
        <w:rPr>
          <w:rFonts w:hint="eastAsia"/>
          <w:b/>
          <w:color w:val="auto"/>
          <w:sz w:val="32"/>
          <w:highlight w:val="none"/>
        </w:rPr>
        <w:t xml:space="preserve">第四章 </w:t>
      </w:r>
      <w:r>
        <w:rPr>
          <w:rFonts w:hint="eastAsia"/>
          <w:b/>
          <w:color w:val="auto"/>
          <w:sz w:val="32"/>
          <w:szCs w:val="32"/>
          <w:highlight w:val="none"/>
        </w:rPr>
        <w:t>评审办法</w:t>
      </w:r>
    </w:p>
    <w:p w14:paraId="1995633F">
      <w:pPr>
        <w:pStyle w:val="12"/>
        <w:spacing w:line="400" w:lineRule="exact"/>
        <w:ind w:firstLine="411" w:firstLineChars="196"/>
        <w:rPr>
          <w:rFonts w:hAnsi="宋体"/>
          <w:b/>
          <w:bCs/>
          <w:color w:val="auto"/>
          <w:szCs w:val="21"/>
          <w:highlight w:val="none"/>
        </w:rPr>
      </w:pPr>
      <w:r>
        <w:rPr>
          <w:rFonts w:hint="eastAsia" w:hAnsi="宋体"/>
          <w:b/>
          <w:bCs/>
          <w:color w:val="auto"/>
          <w:szCs w:val="21"/>
          <w:highlight w:val="none"/>
        </w:rPr>
        <w:t>一、评审依据及方式</w:t>
      </w:r>
    </w:p>
    <w:p w14:paraId="46C9234E">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1.评审依据：磋商小组以竞争性磋商文件和响应文件为评审依据。</w:t>
      </w:r>
    </w:p>
    <w:p w14:paraId="202EC522">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2.评审方式：以封闭方式进行评审。</w:t>
      </w:r>
    </w:p>
    <w:p w14:paraId="64C8FEE6">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3.根据财库〔2012〕69号文规定，采购人和采购代理机构，磋商小组成员要严格遵守政府采购相关法律制度，依法履行各自职责，公正、客观、审慎地组织和参与评审工作。</w:t>
      </w:r>
    </w:p>
    <w:p w14:paraId="63F94934">
      <w:pPr>
        <w:pStyle w:val="12"/>
        <w:spacing w:line="400" w:lineRule="exact"/>
        <w:ind w:firstLine="420" w:firstLineChars="200"/>
        <w:rPr>
          <w:rFonts w:hint="eastAsia"/>
          <w:b/>
          <w:bCs/>
          <w:color w:val="auto"/>
          <w:szCs w:val="21"/>
          <w:highlight w:val="none"/>
        </w:rPr>
      </w:pPr>
      <w:r>
        <w:rPr>
          <w:rFonts w:hint="eastAsia"/>
          <w:b/>
          <w:bCs/>
          <w:color w:val="auto"/>
          <w:szCs w:val="21"/>
          <w:highlight w:val="none"/>
        </w:rPr>
        <w:t>二、评审办法</w:t>
      </w:r>
    </w:p>
    <w:p w14:paraId="0F841E64">
      <w:pPr>
        <w:pStyle w:val="12"/>
        <w:spacing w:line="400" w:lineRule="exact"/>
        <w:ind w:firstLine="420" w:firstLineChars="200"/>
        <w:rPr>
          <w:rFonts w:hint="eastAsia"/>
          <w:bCs/>
          <w:color w:val="auto"/>
          <w:szCs w:val="21"/>
          <w:highlight w:val="none"/>
        </w:rPr>
      </w:pPr>
      <w:r>
        <w:rPr>
          <w:rFonts w:hint="eastAsia"/>
          <w:bCs/>
          <w:color w:val="auto"/>
          <w:szCs w:val="21"/>
          <w:highlight w:val="none"/>
        </w:rPr>
        <w:t>（一）对进入详评的，采用综合评分法。</w:t>
      </w:r>
    </w:p>
    <w:p w14:paraId="1A47D130">
      <w:pPr>
        <w:pStyle w:val="12"/>
        <w:spacing w:line="400" w:lineRule="exact"/>
        <w:ind w:firstLine="420" w:firstLineChars="200"/>
        <w:rPr>
          <w:rFonts w:hint="eastAsia" w:hAnsi="宋体"/>
          <w:b/>
          <w:bCs/>
          <w:color w:val="auto"/>
          <w:szCs w:val="21"/>
          <w:highlight w:val="none"/>
        </w:rPr>
      </w:pPr>
      <w:r>
        <w:rPr>
          <w:rFonts w:hint="eastAsia"/>
          <w:bCs/>
          <w:color w:val="auto"/>
          <w:szCs w:val="21"/>
          <w:highlight w:val="none"/>
        </w:rPr>
        <w:t>（二）计分办法（按四舍五入取至小数点后二位）</w:t>
      </w:r>
    </w:p>
    <w:p w14:paraId="59A2A8CD">
      <w:pPr>
        <w:spacing w:line="360" w:lineRule="auto"/>
        <w:ind w:firstLine="422"/>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0分</w:t>
      </w:r>
    </w:p>
    <w:p w14:paraId="4DCC68F0">
      <w:pPr>
        <w:spacing w:line="360" w:lineRule="auto"/>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（1）以进入综合评分环节的最低的最后报价为基准价，基准价报价得分为</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02F5978F">
      <w:pPr>
        <w:numPr>
          <w:ilvl w:val="0"/>
          <w:numId w:val="0"/>
        </w:numPr>
        <w:spacing w:line="500" w:lineRule="exact"/>
        <w:ind w:firstLine="420" w:firstLineChars="200"/>
        <w:rPr>
          <w:rFonts w:hint="eastAsia" w:ascii="宋体" w:hAnsi="宋体" w:cs="宋体"/>
          <w:b/>
          <w:color w:val="auto"/>
          <w:kern w:val="0"/>
          <w:szCs w:val="21"/>
          <w:highlight w:val="none"/>
          <w:lang w:val="en-US" w:eastAsia="zh-CN" w:bidi="ar"/>
        </w:rPr>
      </w:pPr>
      <w:r>
        <w:rPr>
          <w:rFonts w:hint="eastAsia" w:ascii="宋体" w:hAnsi="宋体" w:eastAsia="宋体" w:cs="宋体"/>
          <w:sz w:val="21"/>
          <w:szCs w:val="21"/>
          <w:highlight w:val="none"/>
        </w:rPr>
        <w:t>（2）供应商磋商报价得分=（磋商基准价/供应商的最后报价）×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3DA19CED">
      <w:pPr>
        <w:pStyle w:val="12"/>
        <w:spacing w:line="360" w:lineRule="exact"/>
        <w:ind w:firstLine="420" w:firstLineChars="200"/>
        <w:outlineLvl w:val="0"/>
        <w:rPr>
          <w:rFonts w:hAnsi="宋体" w:cs="宋体"/>
          <w:szCs w:val="21"/>
          <w:highlight w:val="none"/>
        </w:rPr>
      </w:pPr>
      <w:bookmarkStart w:id="79" w:name="_Toc17369"/>
      <w:r>
        <w:rPr>
          <w:rFonts w:hint="eastAsia" w:hAnsi="宋体" w:cs="宋体"/>
          <w:b/>
          <w:szCs w:val="21"/>
          <w:highlight w:val="none"/>
          <w:lang w:val="en-US" w:eastAsia="zh-CN"/>
        </w:rPr>
        <w:t>2</w:t>
      </w:r>
      <w:r>
        <w:rPr>
          <w:rFonts w:hint="eastAsia" w:hAnsi="宋体" w:cs="宋体"/>
          <w:b/>
          <w:szCs w:val="21"/>
          <w:highlight w:val="none"/>
        </w:rPr>
        <w:t>.技术服务方案分</w:t>
      </w:r>
      <w:r>
        <w:rPr>
          <w:rFonts w:hint="eastAsia" w:ascii="宋体" w:hAnsi="宋体" w:eastAsia="宋体" w:cs="宋体"/>
          <w:bCs/>
          <w:color w:val="auto"/>
          <w:sz w:val="21"/>
          <w:szCs w:val="21"/>
          <w:highlight w:val="none"/>
        </w:rPr>
        <w:t>………………………………………………………………………………</w:t>
      </w:r>
      <w:r>
        <w:rPr>
          <w:rFonts w:hint="eastAsia" w:hAnsi="宋体" w:cs="宋体"/>
          <w:b/>
          <w:szCs w:val="21"/>
          <w:highlight w:val="none"/>
          <w:lang w:val="en-US" w:eastAsia="zh-CN"/>
        </w:rPr>
        <w:t>55</w:t>
      </w:r>
      <w:r>
        <w:rPr>
          <w:rFonts w:hint="eastAsia" w:hAnsi="宋体" w:cs="宋体"/>
          <w:b/>
          <w:szCs w:val="21"/>
          <w:highlight w:val="none"/>
        </w:rPr>
        <w:t xml:space="preserve">分    </w:t>
      </w:r>
      <w:r>
        <w:rPr>
          <w:rFonts w:hint="eastAsia" w:hAnsi="宋体" w:cs="宋体"/>
          <w:szCs w:val="21"/>
          <w:highlight w:val="none"/>
        </w:rPr>
        <w:t xml:space="preserve"> </w:t>
      </w:r>
    </w:p>
    <w:p w14:paraId="2578B026">
      <w:pPr>
        <w:pStyle w:val="12"/>
        <w:spacing w:line="360" w:lineRule="exact"/>
        <w:ind w:firstLine="420" w:firstLineChars="200"/>
        <w:rPr>
          <w:rFonts w:hAnsi="宋体" w:cs="宋体"/>
          <w:szCs w:val="21"/>
          <w:highlight w:val="none"/>
        </w:rPr>
      </w:pPr>
      <w:r>
        <w:rPr>
          <w:rFonts w:hint="eastAsia" w:hAnsi="宋体" w:cs="宋体"/>
          <w:szCs w:val="21"/>
          <w:highlight w:val="none"/>
        </w:rPr>
        <w:t>磋商小组根据响应文件中技术服务方案，对比各供应商响应文件，在档次内独立打分。</w:t>
      </w:r>
    </w:p>
    <w:p w14:paraId="19241C20">
      <w:pPr>
        <w:pStyle w:val="12"/>
        <w:spacing w:line="360" w:lineRule="exact"/>
        <w:ind w:firstLine="420" w:firstLineChars="200"/>
        <w:rPr>
          <w:rFonts w:hAnsi="宋体" w:cs="宋体"/>
          <w:szCs w:val="21"/>
          <w:highlight w:val="none"/>
        </w:rPr>
      </w:pPr>
      <w:r>
        <w:rPr>
          <w:rFonts w:hint="eastAsia" w:hAnsi="宋体" w:cs="宋体"/>
          <w:szCs w:val="21"/>
          <w:highlight w:val="none"/>
        </w:rPr>
        <w:t>2.1根据供应商对本项目的理解是否准确评分</w:t>
      </w:r>
      <w:r>
        <w:rPr>
          <w:rFonts w:hint="eastAsia"/>
          <w:b/>
          <w:bCs/>
          <w:highlight w:val="none"/>
        </w:rPr>
        <w:t>(满分</w:t>
      </w:r>
      <w:r>
        <w:rPr>
          <w:rFonts w:hint="eastAsia"/>
          <w:b/>
          <w:bCs/>
          <w:highlight w:val="none"/>
          <w:lang w:val="en-US" w:eastAsia="zh-CN"/>
        </w:rPr>
        <w:t>10</w:t>
      </w:r>
      <w:r>
        <w:rPr>
          <w:rFonts w:hint="eastAsia"/>
          <w:b/>
          <w:bCs/>
          <w:highlight w:val="none"/>
        </w:rPr>
        <w:t>分)</w:t>
      </w:r>
    </w:p>
    <w:p w14:paraId="0DD2FB77">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lang w:val="en-US" w:eastAsia="zh-CN"/>
        </w:rPr>
        <w:t>3</w:t>
      </w:r>
      <w:r>
        <w:rPr>
          <w:rFonts w:hint="eastAsia" w:ascii="宋体" w:hAnsi="宋体"/>
          <w:szCs w:val="21"/>
          <w:highlight w:val="none"/>
        </w:rPr>
        <w:t>分）：对项目包括的工作范围和任务描述有缺失内容。</w:t>
      </w:r>
    </w:p>
    <w:p w14:paraId="4DF25DB5">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分）：对项目包括的工作范围和任务描述基本准确，比较具体。</w:t>
      </w:r>
    </w:p>
    <w:p w14:paraId="58A087CD">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分）：对项目包括的工作范围和任务描述非常准确、具体。</w:t>
      </w:r>
    </w:p>
    <w:p w14:paraId="280E4D0D">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3293448E">
      <w:pPr>
        <w:pStyle w:val="8"/>
        <w:spacing w:line="360" w:lineRule="exact"/>
        <w:ind w:left="0" w:firstLine="420"/>
        <w:rPr>
          <w:rFonts w:ascii="宋体" w:hAnsi="宋体" w:cs="宋体"/>
          <w:szCs w:val="21"/>
          <w:highlight w:val="none"/>
        </w:rPr>
      </w:pPr>
      <w:r>
        <w:rPr>
          <w:rFonts w:hint="eastAsia" w:ascii="宋体" w:hAnsi="宋体" w:cs="宋体"/>
          <w:szCs w:val="21"/>
          <w:highlight w:val="none"/>
        </w:rPr>
        <w:t>2.2根据供应商对本项目的实施方案是否合理评分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15</w:t>
      </w:r>
      <w:r>
        <w:rPr>
          <w:rFonts w:hint="eastAsia" w:ascii="宋体" w:hAnsi="宋体" w:cs="宋体"/>
          <w:b/>
          <w:bCs/>
          <w:szCs w:val="21"/>
          <w:highlight w:val="none"/>
        </w:rPr>
        <w:t>分）</w:t>
      </w:r>
    </w:p>
    <w:p w14:paraId="05077B65">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lang w:val="en-US" w:eastAsia="zh-CN"/>
        </w:rPr>
        <w:t>5</w:t>
      </w:r>
      <w:r>
        <w:rPr>
          <w:rFonts w:hint="eastAsia" w:ascii="宋体" w:hAnsi="宋体"/>
          <w:szCs w:val="21"/>
          <w:highlight w:val="none"/>
        </w:rPr>
        <w:t>分）：实施方案有缺失内容。</w:t>
      </w:r>
    </w:p>
    <w:p w14:paraId="44B019D6">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lang w:val="en-US" w:eastAsia="zh-CN"/>
        </w:rPr>
        <w:t>10</w:t>
      </w:r>
      <w:r>
        <w:rPr>
          <w:rFonts w:hint="eastAsia" w:ascii="宋体" w:hAnsi="宋体"/>
          <w:szCs w:val="21"/>
          <w:highlight w:val="none"/>
        </w:rPr>
        <w:t>分）：实施方案齐全，但描述笼统。</w:t>
      </w:r>
    </w:p>
    <w:p w14:paraId="5AF70806">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lang w:val="en-US" w:eastAsia="zh-CN"/>
        </w:rPr>
        <w:t>15</w:t>
      </w:r>
      <w:r>
        <w:rPr>
          <w:rFonts w:hint="eastAsia" w:ascii="宋体" w:hAnsi="宋体"/>
          <w:szCs w:val="21"/>
          <w:highlight w:val="none"/>
        </w:rPr>
        <w:t>分）：实施方案齐全，有针对性，结合实际，切实可行。</w:t>
      </w:r>
    </w:p>
    <w:p w14:paraId="6298F446">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63524CE6">
      <w:pPr>
        <w:pStyle w:val="8"/>
        <w:spacing w:line="360" w:lineRule="exact"/>
        <w:ind w:left="0" w:firstLine="420"/>
        <w:rPr>
          <w:rFonts w:hint="eastAsia" w:ascii="宋体" w:hAnsi="宋体"/>
          <w:bCs/>
          <w:szCs w:val="21"/>
          <w:highlight w:val="none"/>
        </w:rPr>
      </w:pPr>
      <w:r>
        <w:rPr>
          <w:rFonts w:hint="eastAsia" w:ascii="宋体" w:hAnsi="宋体" w:cs="宋体"/>
          <w:szCs w:val="21"/>
          <w:highlight w:val="none"/>
        </w:rPr>
        <w:t>2.3根据供应商对本项目的</w:t>
      </w:r>
      <w:r>
        <w:rPr>
          <w:rFonts w:hint="eastAsia" w:ascii="宋体" w:hAnsi="宋体"/>
          <w:bCs/>
          <w:szCs w:val="21"/>
          <w:highlight w:val="none"/>
        </w:rPr>
        <w:t>工作重点把控</w:t>
      </w:r>
      <w:r>
        <w:rPr>
          <w:rFonts w:hint="eastAsia" w:ascii="宋体" w:hAnsi="宋体" w:cs="宋体"/>
          <w:szCs w:val="21"/>
          <w:highlight w:val="none"/>
        </w:rPr>
        <w:t>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10</w:t>
      </w:r>
      <w:r>
        <w:rPr>
          <w:rFonts w:hint="eastAsia" w:ascii="宋体" w:hAnsi="宋体" w:cs="宋体"/>
          <w:b/>
          <w:bCs/>
          <w:szCs w:val="21"/>
          <w:highlight w:val="none"/>
        </w:rPr>
        <w:t>分）</w:t>
      </w:r>
    </w:p>
    <w:p w14:paraId="48D6F09E">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一档</w:t>
      </w:r>
      <w:r>
        <w:rPr>
          <w:rFonts w:hint="eastAsia" w:ascii="宋体" w:hAnsi="宋体"/>
          <w:szCs w:val="21"/>
          <w:highlight w:val="none"/>
        </w:rPr>
        <w:t>3分）：</w:t>
      </w:r>
      <w:r>
        <w:rPr>
          <w:rFonts w:hint="eastAsia" w:ascii="宋体" w:hAnsi="宋体" w:cs="宋体"/>
          <w:szCs w:val="21"/>
          <w:highlight w:val="none"/>
          <w:lang w:val="en-US" w:eastAsia="zh-CN"/>
        </w:rPr>
        <w:t>投标人结合项目特点，对工作重点控制环节描述较差的。</w:t>
      </w:r>
    </w:p>
    <w:p w14:paraId="09CE49FC">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二档</w:t>
      </w:r>
      <w:r>
        <w:rPr>
          <w:rFonts w:hint="eastAsia" w:ascii="宋体" w:hAnsi="宋体"/>
          <w:szCs w:val="21"/>
          <w:highlight w:val="none"/>
        </w:rPr>
        <w:t>6分）：</w:t>
      </w:r>
      <w:r>
        <w:rPr>
          <w:rFonts w:hint="eastAsia" w:ascii="宋体" w:hAnsi="宋体" w:cs="宋体"/>
          <w:szCs w:val="21"/>
          <w:highlight w:val="none"/>
          <w:lang w:val="en-US" w:eastAsia="zh-CN"/>
        </w:rPr>
        <w:t>投标人结合项目特点，对工作重点控制环节描述一般的。</w:t>
      </w:r>
    </w:p>
    <w:p w14:paraId="03BB468C">
      <w:pPr>
        <w:pStyle w:val="8"/>
        <w:spacing w:line="360" w:lineRule="exact"/>
        <w:ind w:left="0" w:firstLine="420"/>
        <w:rPr>
          <w:rFonts w:hint="eastAsia" w:ascii="宋体" w:hAnsi="宋体" w:cs="宋体"/>
          <w:szCs w:val="21"/>
          <w:highlight w:val="none"/>
          <w:lang w:val="en-US" w:eastAsia="zh-CN"/>
        </w:rPr>
      </w:pPr>
      <w:r>
        <w:rPr>
          <w:rFonts w:hint="eastAsia" w:ascii="宋体" w:hAnsi="宋体"/>
          <w:szCs w:val="21"/>
          <w:highlight w:val="none"/>
        </w:rPr>
        <w:t>（</w:t>
      </w:r>
      <w:r>
        <w:rPr>
          <w:rFonts w:hint="eastAsia" w:ascii="宋体" w:hAnsi="宋体" w:cs="宋体"/>
          <w:szCs w:val="21"/>
          <w:highlight w:val="none"/>
        </w:rPr>
        <w:t>三档</w:t>
      </w:r>
      <w:r>
        <w:rPr>
          <w:rFonts w:hint="eastAsia" w:ascii="宋体" w:hAnsi="宋体"/>
          <w:szCs w:val="21"/>
          <w:highlight w:val="none"/>
        </w:rPr>
        <w:t>10分）：</w:t>
      </w:r>
      <w:r>
        <w:rPr>
          <w:rFonts w:hint="eastAsia" w:ascii="宋体" w:hAnsi="宋体" w:cs="宋体"/>
          <w:szCs w:val="21"/>
          <w:highlight w:val="none"/>
          <w:lang w:val="en-US" w:eastAsia="zh-CN"/>
        </w:rPr>
        <w:t>投标人结合项目特点，对工作重点控制环节描述准确、有针对性的。</w:t>
      </w:r>
    </w:p>
    <w:p w14:paraId="30371654">
      <w:pPr>
        <w:ind w:firstLine="420" w:firstLineChars="200"/>
        <w:rPr>
          <w:rFonts w:hint="eastAsia"/>
          <w:highlight w:val="none"/>
          <w:lang w:val="en-US" w:eastAsia="zh-CN"/>
        </w:rPr>
      </w:pPr>
      <w:r>
        <w:rPr>
          <w:rFonts w:hint="eastAsia" w:ascii="宋体" w:hAnsi="宋体"/>
          <w:szCs w:val="21"/>
          <w:highlight w:val="none"/>
        </w:rPr>
        <w:t>未提供相关内容不得分。</w:t>
      </w:r>
    </w:p>
    <w:p w14:paraId="356839D5">
      <w:pPr>
        <w:pStyle w:val="8"/>
        <w:spacing w:line="360" w:lineRule="exact"/>
        <w:ind w:left="0" w:firstLine="420"/>
        <w:rPr>
          <w:rFonts w:ascii="宋体" w:hAnsi="宋体" w:cs="宋体"/>
          <w:szCs w:val="21"/>
          <w:highlight w:val="none"/>
        </w:rPr>
      </w:pPr>
      <w:r>
        <w:rPr>
          <w:rFonts w:hint="eastAsia" w:ascii="宋体" w:hAnsi="宋体" w:cs="宋体"/>
          <w:szCs w:val="21"/>
          <w:highlight w:val="none"/>
          <w:lang w:val="en-US" w:eastAsia="zh-CN"/>
        </w:rPr>
        <w:t>2.4</w:t>
      </w:r>
      <w:r>
        <w:rPr>
          <w:rFonts w:hint="eastAsia" w:ascii="宋体" w:hAnsi="宋体" w:cs="宋体"/>
          <w:szCs w:val="21"/>
          <w:highlight w:val="none"/>
        </w:rPr>
        <w:t>根据供应商对本项目的服务质量保证措施是否合理评分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0979EC7D">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分）制定了质量控制程序，针对本项目的质量控制方案有缺失内容</w:t>
      </w:r>
      <w:r>
        <w:rPr>
          <w:rFonts w:hint="eastAsia" w:ascii="宋体" w:hAnsi="宋体"/>
          <w:szCs w:val="21"/>
          <w:highlight w:val="none"/>
        </w:rPr>
        <w:t>。</w:t>
      </w:r>
    </w:p>
    <w:p w14:paraId="444EAFAF">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分）制定了质量控制程序，针对本项目的质量控制方案一般</w:t>
      </w:r>
      <w:r>
        <w:rPr>
          <w:rFonts w:hint="eastAsia" w:ascii="宋体" w:hAnsi="宋体"/>
          <w:szCs w:val="21"/>
          <w:highlight w:val="none"/>
        </w:rPr>
        <w:t>。</w:t>
      </w:r>
    </w:p>
    <w:p w14:paraId="7F9F3602">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分）制定严格质量控制程序，针对本项目的质量控制方案科学、合理</w:t>
      </w:r>
      <w:r>
        <w:rPr>
          <w:rFonts w:hint="eastAsia" w:ascii="宋体" w:hAnsi="宋体"/>
          <w:szCs w:val="21"/>
          <w:highlight w:val="none"/>
        </w:rPr>
        <w:t>。</w:t>
      </w:r>
    </w:p>
    <w:p w14:paraId="6493145B">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173DF59E">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根据供应商对本项目的应急处理机制是否合理评分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38575140">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分）制定的急处理机制和响应速度一般，不能够满足采购方服务项目要求的。</w:t>
      </w:r>
    </w:p>
    <w:p w14:paraId="5E1A95D2">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分）制定了完善的应急处理机制和较快的应急响应速度，部分达到采购方服务项目要求的</w:t>
      </w:r>
      <w:r>
        <w:rPr>
          <w:rFonts w:hint="eastAsia" w:ascii="宋体" w:hAnsi="宋体"/>
          <w:szCs w:val="21"/>
          <w:highlight w:val="none"/>
        </w:rPr>
        <w:t>。</w:t>
      </w:r>
    </w:p>
    <w:p w14:paraId="43598F4B">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分）制定了完善的应急处理机制、迅速的应急响应速度，全部达到或超过采购方服务项目要求的</w:t>
      </w:r>
      <w:r>
        <w:rPr>
          <w:rFonts w:hint="eastAsia" w:ascii="宋体" w:hAnsi="宋体"/>
          <w:szCs w:val="21"/>
          <w:highlight w:val="none"/>
        </w:rPr>
        <w:t>。</w:t>
      </w:r>
    </w:p>
    <w:p w14:paraId="6475A20C">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2D6971F6">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6</w:t>
      </w:r>
      <w:r>
        <w:rPr>
          <w:rFonts w:hint="eastAsia" w:ascii="宋体" w:hAnsi="宋体" w:cs="宋体"/>
          <w:szCs w:val="21"/>
          <w:highlight w:val="none"/>
        </w:rPr>
        <w:t>根据供应商对本项目的项目进度计划是否合理评分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6B36F126">
      <w:pPr>
        <w:spacing w:line="360" w:lineRule="exact"/>
        <w:ind w:firstLine="420" w:firstLineChars="200"/>
        <w:rPr>
          <w:rFonts w:ascii="宋体" w:hAnsi="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分）项目进度安排笼统，对用户需求理解有缺失</w:t>
      </w:r>
      <w:r>
        <w:rPr>
          <w:rFonts w:hint="eastAsia" w:ascii="宋体" w:hAnsi="宋体"/>
          <w:szCs w:val="21"/>
          <w:highlight w:val="none"/>
        </w:rPr>
        <w:t>。</w:t>
      </w:r>
    </w:p>
    <w:p w14:paraId="73689D94">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分）项目进度安排基本合理，基本满足用户需求</w:t>
      </w:r>
      <w:r>
        <w:rPr>
          <w:rFonts w:hint="eastAsia" w:ascii="宋体" w:hAnsi="宋体"/>
          <w:szCs w:val="21"/>
          <w:highlight w:val="none"/>
        </w:rPr>
        <w:t>。</w:t>
      </w:r>
    </w:p>
    <w:p w14:paraId="4A269B01">
      <w:pPr>
        <w:spacing w:line="360" w:lineRule="exact"/>
        <w:ind w:firstLine="420" w:firstLineChars="20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分）项目进度安排合理，满足用户需求</w:t>
      </w:r>
      <w:r>
        <w:rPr>
          <w:rFonts w:hint="eastAsia" w:ascii="宋体" w:hAnsi="宋体"/>
          <w:szCs w:val="21"/>
          <w:highlight w:val="none"/>
        </w:rPr>
        <w:t>。</w:t>
      </w:r>
    </w:p>
    <w:p w14:paraId="7C6E0F9D">
      <w:pPr>
        <w:spacing w:line="360" w:lineRule="exact"/>
        <w:ind w:firstLine="420" w:firstLineChars="200"/>
        <w:rPr>
          <w:rFonts w:ascii="宋体" w:hAnsi="宋体"/>
          <w:szCs w:val="21"/>
          <w:highlight w:val="none"/>
        </w:rPr>
      </w:pPr>
      <w:r>
        <w:rPr>
          <w:rFonts w:hint="eastAsia" w:ascii="宋体" w:hAnsi="宋体"/>
          <w:szCs w:val="21"/>
          <w:highlight w:val="none"/>
        </w:rPr>
        <w:t>未提供相关内容不得分。</w:t>
      </w:r>
    </w:p>
    <w:p w14:paraId="255340C1">
      <w:pPr>
        <w:pStyle w:val="8"/>
        <w:spacing w:line="360" w:lineRule="exact"/>
        <w:ind w:left="0"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根据供应商的保密管理制度评分</w:t>
      </w:r>
      <w:r>
        <w:rPr>
          <w:rFonts w:hint="eastAsia" w:ascii="宋体" w:hAnsi="宋体" w:cs="宋体"/>
          <w:b/>
          <w:bCs/>
          <w:szCs w:val="21"/>
          <w:highlight w:val="none"/>
        </w:rPr>
        <w:t>（满分</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14:paraId="3C8B417D">
      <w:pPr>
        <w:spacing w:line="360" w:lineRule="exact"/>
        <w:ind w:firstLine="420"/>
        <w:rPr>
          <w:rFonts w:ascii="宋体" w:hAnsi="宋体" w:cs="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1</w:t>
      </w:r>
      <w:r>
        <w:rPr>
          <w:rFonts w:hint="eastAsia" w:ascii="宋体" w:hAnsi="宋体" w:cs="宋体"/>
          <w:szCs w:val="21"/>
          <w:highlight w:val="none"/>
        </w:rPr>
        <w:t>分）保密管理方案规范性一般、可行性一般</w:t>
      </w:r>
      <w:r>
        <w:rPr>
          <w:rFonts w:hint="eastAsia" w:ascii="宋体" w:hAnsi="宋体"/>
          <w:szCs w:val="21"/>
          <w:highlight w:val="none"/>
        </w:rPr>
        <w:t>。</w:t>
      </w:r>
    </w:p>
    <w:p w14:paraId="5106707B">
      <w:pPr>
        <w:spacing w:line="360" w:lineRule="exact"/>
        <w:ind w:firstLine="420" w:firstLineChars="200"/>
        <w:rPr>
          <w:rFonts w:ascii="宋体" w:hAnsi="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3</w:t>
      </w:r>
      <w:r>
        <w:rPr>
          <w:rFonts w:hint="eastAsia" w:ascii="宋体" w:hAnsi="宋体" w:cs="宋体"/>
          <w:szCs w:val="21"/>
          <w:highlight w:val="none"/>
        </w:rPr>
        <w:t>分）保密管理方案较规范、基本可行</w:t>
      </w:r>
      <w:r>
        <w:rPr>
          <w:rFonts w:hint="eastAsia" w:ascii="宋体" w:hAnsi="宋体"/>
          <w:szCs w:val="21"/>
          <w:highlight w:val="none"/>
        </w:rPr>
        <w:t>。</w:t>
      </w:r>
    </w:p>
    <w:p w14:paraId="58487CD4">
      <w:pPr>
        <w:spacing w:line="360" w:lineRule="exact"/>
        <w:ind w:firstLine="420"/>
        <w:rPr>
          <w:rFonts w:ascii="宋体" w:hAnsi="宋体"/>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5</w:t>
      </w:r>
      <w:r>
        <w:rPr>
          <w:rFonts w:hint="eastAsia" w:ascii="宋体" w:hAnsi="宋体" w:cs="宋体"/>
          <w:szCs w:val="21"/>
          <w:highlight w:val="none"/>
        </w:rPr>
        <w:t>分）保密管理方案规范、切实可行</w:t>
      </w:r>
      <w:r>
        <w:rPr>
          <w:rFonts w:hint="eastAsia" w:ascii="宋体" w:hAnsi="宋体"/>
          <w:szCs w:val="21"/>
          <w:highlight w:val="none"/>
        </w:rPr>
        <w:t>。</w:t>
      </w:r>
    </w:p>
    <w:p w14:paraId="32502C71">
      <w:pPr>
        <w:spacing w:line="500" w:lineRule="exact"/>
        <w:ind w:firstLine="420" w:firstLineChars="200"/>
        <w:rPr>
          <w:rFonts w:ascii="宋体" w:hAnsi="宋体" w:cs="宋体"/>
          <w:szCs w:val="21"/>
          <w:highlight w:val="none"/>
        </w:rPr>
      </w:pPr>
      <w:r>
        <w:rPr>
          <w:rFonts w:hint="eastAsia" w:ascii="宋体" w:hAnsi="宋体"/>
          <w:szCs w:val="21"/>
          <w:highlight w:val="none"/>
        </w:rPr>
        <w:t>未提供相关内容不得分。</w:t>
      </w:r>
    </w:p>
    <w:p w14:paraId="63F0CE13">
      <w:pPr>
        <w:pStyle w:val="12"/>
        <w:spacing w:line="360" w:lineRule="exact"/>
        <w:ind w:firstLine="420" w:firstLineChars="200"/>
        <w:outlineLvl w:val="0"/>
        <w:rPr>
          <w:rFonts w:hint="eastAsia" w:hAnsi="宋体" w:cs="宋体"/>
          <w:b/>
          <w:szCs w:val="21"/>
          <w:highlight w:val="none"/>
        </w:rPr>
      </w:pPr>
      <w:r>
        <w:rPr>
          <w:rFonts w:hint="eastAsia" w:hAnsi="宋体" w:cs="宋体"/>
          <w:b/>
          <w:szCs w:val="21"/>
          <w:highlight w:val="none"/>
        </w:rPr>
        <w:t>3.项目负责人和团队情况…………………………………</w:t>
      </w:r>
      <w:r>
        <w:rPr>
          <w:rFonts w:hint="eastAsia" w:hAnsi="宋体" w:cs="宋体"/>
          <w:b/>
          <w:szCs w:val="21"/>
          <w:highlight w:val="none"/>
          <w:lang w:val="en-US" w:eastAsia="zh-CN"/>
        </w:rPr>
        <w:t>19</w:t>
      </w:r>
      <w:r>
        <w:rPr>
          <w:rFonts w:hint="eastAsia" w:hAnsi="宋体" w:cs="宋体"/>
          <w:b/>
          <w:szCs w:val="21"/>
          <w:highlight w:val="none"/>
        </w:rPr>
        <w:t>分</w:t>
      </w:r>
    </w:p>
    <w:p w14:paraId="6413DB67">
      <w:pPr>
        <w:pStyle w:val="12"/>
        <w:spacing w:line="360" w:lineRule="exact"/>
        <w:ind w:firstLine="420" w:firstLineChars="200"/>
        <w:rPr>
          <w:rFonts w:hAnsi="宋体" w:cs="宋体"/>
          <w:bCs/>
          <w:szCs w:val="21"/>
          <w:highlight w:val="none"/>
        </w:rPr>
      </w:pPr>
      <w:r>
        <w:rPr>
          <w:rFonts w:hint="eastAsia" w:hAnsi="宋体" w:cs="宋体"/>
          <w:bCs/>
          <w:szCs w:val="21"/>
          <w:highlight w:val="none"/>
        </w:rPr>
        <w:t>磋商小组根据响应文件中项目负责人和团队情况，对比各供应商响应文件，在档次内独立打分。</w:t>
      </w:r>
    </w:p>
    <w:p w14:paraId="320D668E">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（1）拟投入的项目团队人员具有注册会计师证书的得5分；</w:t>
      </w:r>
    </w:p>
    <w:p w14:paraId="20628700">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（2）拟投入的项目团队人员具有高级统计师证书的得5分；</w:t>
      </w:r>
    </w:p>
    <w:p w14:paraId="6C6415D5">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（3）拟投入的项目团队人员每具1个中级经济师证书或中级统计师证书的3分，最高得6分；</w:t>
      </w:r>
    </w:p>
    <w:p w14:paraId="21DB153D">
      <w:pPr>
        <w:spacing w:line="400" w:lineRule="atLeast"/>
        <w:ind w:firstLine="420" w:firstLineChars="200"/>
        <w:jc w:val="left"/>
        <w:rPr>
          <w:rFonts w:ascii="宋体" w:hAnsi="宋体" w:cs="宋体"/>
          <w:bCs/>
          <w:szCs w:val="21"/>
          <w:highlight w:val="none"/>
        </w:rPr>
      </w:pPr>
      <w:r>
        <w:rPr>
          <w:rFonts w:hint="eastAsia" w:ascii="宋体" w:hAnsi="宋体" w:cs="宋体"/>
          <w:bCs/>
          <w:szCs w:val="21"/>
          <w:highlight w:val="none"/>
        </w:rPr>
        <w:t>（4）拟投入的项目团队人员每具1个初级经济师证书或初级统计师证书的得0.5分，最高得3分。</w:t>
      </w:r>
    </w:p>
    <w:p w14:paraId="564C3A7D">
      <w:pPr>
        <w:pStyle w:val="26"/>
        <w:spacing w:line="500" w:lineRule="exact"/>
        <w:ind w:firstLine="210" w:firstLineChars="100"/>
        <w:rPr>
          <w:spacing w:val="0"/>
          <w:kern w:val="2"/>
          <w:sz w:val="21"/>
          <w:szCs w:val="21"/>
          <w:highlight w:val="none"/>
        </w:rPr>
      </w:pPr>
      <w:r>
        <w:rPr>
          <w:rFonts w:hint="eastAsia"/>
          <w:spacing w:val="0"/>
          <w:kern w:val="2"/>
          <w:sz w:val="21"/>
          <w:szCs w:val="21"/>
          <w:highlight w:val="none"/>
        </w:rPr>
        <w:t>（</w:t>
      </w:r>
      <w:r>
        <w:rPr>
          <w:rFonts w:hint="eastAsia" w:ascii="宋体" w:hAnsi="宋体" w:eastAsia="宋体" w:cs="宋体"/>
          <w:bCs/>
          <w:spacing w:val="0"/>
          <w:kern w:val="2"/>
          <w:sz w:val="21"/>
          <w:szCs w:val="21"/>
          <w:highlight w:val="none"/>
          <w:lang w:val="en-US" w:eastAsia="zh-CN" w:bidi="ar-SA"/>
        </w:rPr>
        <w:t>供应商提供以上人员证书、</w:t>
      </w:r>
      <w:r>
        <w:rPr>
          <w:rFonts w:hint="eastAsia" w:cs="宋体"/>
          <w:bCs/>
          <w:spacing w:val="0"/>
          <w:kern w:val="2"/>
          <w:sz w:val="21"/>
          <w:szCs w:val="21"/>
          <w:highlight w:val="none"/>
          <w:lang w:val="en-US" w:eastAsia="zh-CN" w:bidi="ar-SA"/>
        </w:rPr>
        <w:t>2025年1月1日起</w:t>
      </w:r>
      <w:r>
        <w:rPr>
          <w:rFonts w:hint="eastAsia" w:ascii="宋体" w:hAnsi="宋体" w:eastAsia="宋体" w:cs="宋体"/>
          <w:bCs/>
          <w:spacing w:val="0"/>
          <w:kern w:val="2"/>
          <w:sz w:val="21"/>
          <w:szCs w:val="21"/>
          <w:highlight w:val="none"/>
          <w:lang w:val="en-US" w:eastAsia="zh-CN" w:bidi="ar-SA"/>
        </w:rPr>
        <w:t>任意一个月社保证明的复印件并加盖公章，否则不得分</w:t>
      </w:r>
      <w:r>
        <w:rPr>
          <w:rFonts w:hint="eastAsia"/>
          <w:spacing w:val="0"/>
          <w:kern w:val="2"/>
          <w:sz w:val="21"/>
          <w:szCs w:val="21"/>
          <w:highlight w:val="none"/>
        </w:rPr>
        <w:t>）</w:t>
      </w:r>
    </w:p>
    <w:p w14:paraId="4F3BA161">
      <w:pPr>
        <w:pStyle w:val="12"/>
        <w:spacing w:line="360" w:lineRule="exact"/>
        <w:ind w:firstLine="420" w:firstLineChars="200"/>
        <w:outlineLvl w:val="0"/>
        <w:rPr>
          <w:rFonts w:hAnsi="宋体" w:cs="宋体"/>
          <w:szCs w:val="21"/>
          <w:highlight w:val="none"/>
        </w:rPr>
      </w:pPr>
      <w:r>
        <w:rPr>
          <w:rFonts w:hint="eastAsia" w:hAnsi="宋体" w:cs="宋体"/>
          <w:b/>
          <w:szCs w:val="21"/>
          <w:highlight w:val="none"/>
          <w:lang w:val="en-US" w:eastAsia="zh-CN"/>
        </w:rPr>
        <w:t>4</w:t>
      </w:r>
      <w:r>
        <w:rPr>
          <w:rFonts w:hint="eastAsia" w:hAnsi="宋体" w:cs="宋体"/>
          <w:b/>
          <w:szCs w:val="21"/>
          <w:highlight w:val="none"/>
        </w:rPr>
        <w:t>.业绩分........................................</w:t>
      </w:r>
      <w:r>
        <w:rPr>
          <w:rFonts w:hint="eastAsia" w:hAnsi="宋体" w:cs="宋体"/>
          <w:b/>
          <w:szCs w:val="21"/>
          <w:highlight w:val="none"/>
          <w:lang w:val="en-US" w:eastAsia="zh-CN"/>
        </w:rPr>
        <w:t>10</w:t>
      </w:r>
      <w:r>
        <w:rPr>
          <w:rFonts w:hint="eastAsia" w:hAnsi="宋体" w:cs="宋体"/>
          <w:b/>
          <w:szCs w:val="21"/>
          <w:highlight w:val="none"/>
        </w:rPr>
        <w:t xml:space="preserve">分    </w:t>
      </w:r>
      <w:r>
        <w:rPr>
          <w:rFonts w:hint="eastAsia" w:hAnsi="宋体" w:cs="宋体"/>
          <w:szCs w:val="21"/>
          <w:highlight w:val="none"/>
        </w:rPr>
        <w:t xml:space="preserve"> </w:t>
      </w:r>
    </w:p>
    <w:p w14:paraId="79E271B3">
      <w:pPr>
        <w:widowControl/>
        <w:spacing w:line="360" w:lineRule="auto"/>
        <w:ind w:firstLine="420" w:firstLineChars="200"/>
        <w:jc w:val="left"/>
        <w:rPr>
          <w:rFonts w:hint="eastAsia" w:ascii="宋体" w:hAnsi="Courier New"/>
          <w:szCs w:val="21"/>
          <w:highlight w:val="none"/>
        </w:rPr>
      </w:pPr>
      <w:r>
        <w:rPr>
          <w:rFonts w:hint="eastAsia" w:ascii="宋体" w:hAnsi="Courier New"/>
          <w:szCs w:val="21"/>
          <w:highlight w:val="none"/>
        </w:rPr>
        <w:t>供应商202</w:t>
      </w:r>
      <w:r>
        <w:rPr>
          <w:rFonts w:hint="eastAsia" w:ascii="宋体" w:hAnsi="Courier New"/>
          <w:szCs w:val="21"/>
          <w:highlight w:val="none"/>
          <w:lang w:val="en-US" w:eastAsia="zh-CN"/>
        </w:rPr>
        <w:t>3</w:t>
      </w:r>
      <w:r>
        <w:rPr>
          <w:rFonts w:hint="eastAsia" w:ascii="宋体" w:hAnsi="Courier New"/>
          <w:szCs w:val="21"/>
          <w:highlight w:val="none"/>
        </w:rPr>
        <w:t>年1月1日起（以合同签订时间为准），承接相关的服务案例，并提供相应的证明材料，每提供一个项目案例得</w:t>
      </w:r>
      <w:r>
        <w:rPr>
          <w:rFonts w:hint="eastAsia" w:ascii="宋体" w:hAnsi="Courier New"/>
          <w:szCs w:val="21"/>
          <w:highlight w:val="none"/>
          <w:lang w:val="en-US" w:eastAsia="zh-CN"/>
        </w:rPr>
        <w:t>5</w:t>
      </w:r>
      <w:r>
        <w:rPr>
          <w:rFonts w:hint="eastAsia" w:ascii="宋体" w:hAnsi="Courier New"/>
          <w:szCs w:val="21"/>
          <w:highlight w:val="none"/>
        </w:rPr>
        <w:t xml:space="preserve">分，最高得 </w:t>
      </w:r>
      <w:r>
        <w:rPr>
          <w:rFonts w:hint="eastAsia" w:ascii="宋体" w:hAnsi="Courier New"/>
          <w:szCs w:val="21"/>
          <w:highlight w:val="none"/>
          <w:lang w:val="en-US" w:eastAsia="zh-CN"/>
        </w:rPr>
        <w:t>10</w:t>
      </w:r>
      <w:r>
        <w:rPr>
          <w:rFonts w:hint="eastAsia" w:ascii="宋体" w:hAnsi="Courier New"/>
          <w:szCs w:val="21"/>
          <w:highlight w:val="none"/>
        </w:rPr>
        <w:t xml:space="preserve"> 分。（提供合同扫描件并加盖公章，原件备查，否则不得分）</w:t>
      </w:r>
    </w:p>
    <w:p w14:paraId="40363B4D">
      <w:pPr>
        <w:pStyle w:val="12"/>
        <w:spacing w:line="360" w:lineRule="exact"/>
        <w:ind w:firstLine="420" w:firstLineChars="200"/>
        <w:outlineLvl w:val="0"/>
        <w:rPr>
          <w:rFonts w:hAnsi="宋体"/>
          <w:highlight w:val="none"/>
        </w:rPr>
      </w:pPr>
      <w:r>
        <w:rPr>
          <w:rFonts w:hint="eastAsia" w:hAnsi="宋体" w:cs="宋体"/>
          <w:b/>
          <w:szCs w:val="21"/>
          <w:highlight w:val="none"/>
          <w:lang w:val="en-US" w:eastAsia="zh-CN"/>
        </w:rPr>
        <w:t>5.资信</w:t>
      </w:r>
      <w:r>
        <w:rPr>
          <w:rFonts w:hint="eastAsia" w:hAnsi="宋体" w:cs="宋体"/>
          <w:b/>
          <w:szCs w:val="21"/>
          <w:highlight w:val="none"/>
        </w:rPr>
        <w:t>分</w:t>
      </w:r>
      <w:r>
        <w:rPr>
          <w:rFonts w:hint="eastAsia" w:ascii="宋体" w:hAnsi="宋体" w:eastAsia="宋体" w:cs="宋体"/>
          <w:b/>
          <w:kern w:val="2"/>
          <w:sz w:val="21"/>
          <w:szCs w:val="21"/>
          <w:highlight w:val="none"/>
          <w:lang w:val="en-US" w:eastAsia="zh-CN" w:bidi="ar-SA"/>
        </w:rPr>
        <w:t>........................................</w:t>
      </w:r>
      <w:r>
        <w:rPr>
          <w:rFonts w:hint="eastAsia" w:ascii="宋体" w:hAnsi="宋体" w:cs="宋体"/>
          <w:b/>
          <w:kern w:val="2"/>
          <w:sz w:val="21"/>
          <w:szCs w:val="21"/>
          <w:highlight w:val="none"/>
          <w:lang w:val="en-US" w:eastAsia="zh-CN" w:bidi="ar-SA"/>
        </w:rPr>
        <w:t>6</w:t>
      </w:r>
      <w:r>
        <w:rPr>
          <w:rFonts w:hint="eastAsia" w:ascii="宋体" w:hAnsi="宋体" w:eastAsia="宋体" w:cs="宋体"/>
          <w:b/>
          <w:kern w:val="2"/>
          <w:sz w:val="21"/>
          <w:szCs w:val="21"/>
          <w:highlight w:val="none"/>
          <w:lang w:val="en-US" w:eastAsia="zh-CN" w:bidi="ar-SA"/>
        </w:rPr>
        <w:t>分</w:t>
      </w:r>
    </w:p>
    <w:p w14:paraId="38D8249C">
      <w:pPr>
        <w:pStyle w:val="12"/>
        <w:spacing w:line="370" w:lineRule="exact"/>
        <w:ind w:firstLine="420"/>
        <w:outlineLvl w:val="0"/>
        <w:rPr>
          <w:rFonts w:hint="eastAsia" w:ascii="宋体" w:hAnsi="宋体" w:eastAsia="宋体" w:cs="宋体"/>
          <w:b/>
          <w:kern w:val="2"/>
          <w:sz w:val="21"/>
          <w:szCs w:val="21"/>
          <w:highlight w:val="none"/>
          <w:lang w:val="en-US" w:eastAsia="zh-CN" w:bidi="ar-SA"/>
        </w:rPr>
      </w:pPr>
      <w:r>
        <w:rPr>
          <w:rFonts w:hint="eastAsia" w:hAnsi="宋体" w:cs="宋体"/>
          <w:szCs w:val="21"/>
          <w:highlight w:val="none"/>
        </w:rPr>
        <w:t>供应商同时具有有效的ISO9001 质量管理体系认证证书、ISO27001 信息安全管理体系认证证书和ISO20000信息技术服务管理体系认证证书的得6分。（提供证书复印件并加盖公章和国家认证认可监督平台官网查询截图并加盖公章，缺一项不得分）。</w:t>
      </w:r>
    </w:p>
    <w:p w14:paraId="176720A4">
      <w:pPr>
        <w:pStyle w:val="12"/>
        <w:spacing w:line="480" w:lineRule="exact"/>
        <w:ind w:firstLine="420"/>
        <w:jc w:val="left"/>
        <w:rPr>
          <w:rFonts w:hint="default" w:hAnsi="宋体" w:eastAsia="宋体"/>
          <w:b/>
          <w:color w:val="auto"/>
          <w:kern w:val="0"/>
          <w:highlight w:val="none"/>
          <w:lang w:val="en-US" w:eastAsia="zh-CN"/>
        </w:rPr>
      </w:pPr>
      <w:r>
        <w:rPr>
          <w:rFonts w:hint="eastAsia" w:hAnsi="宋体"/>
          <w:b/>
          <w:color w:val="auto"/>
          <w:highlight w:val="none"/>
          <w:lang w:val="en-US" w:eastAsia="zh-CN"/>
        </w:rPr>
        <w:t>6.</w:t>
      </w:r>
      <w:r>
        <w:rPr>
          <w:rFonts w:hint="eastAsia" w:hAnsi="宋体"/>
          <w:b/>
          <w:color w:val="auto"/>
          <w:highlight w:val="none"/>
        </w:rPr>
        <w:t>综合得分＝1+2+3+4</w:t>
      </w:r>
      <w:r>
        <w:rPr>
          <w:rFonts w:hint="eastAsia" w:hAnsi="宋体"/>
          <w:b/>
          <w:color w:val="auto"/>
          <w:highlight w:val="none"/>
          <w:lang w:val="en-US" w:eastAsia="zh-CN"/>
        </w:rPr>
        <w:t>+5</w:t>
      </w:r>
    </w:p>
    <w:p w14:paraId="481A07DC">
      <w:pPr>
        <w:tabs>
          <w:tab w:val="left" w:pos="4214"/>
        </w:tabs>
        <w:spacing w:line="480" w:lineRule="exact"/>
        <w:ind w:firstLine="420" w:firstLineChars="200"/>
        <w:jc w:val="left"/>
        <w:rPr>
          <w:rFonts w:ascii="宋体" w:hAnsi="宋体"/>
          <w:b/>
          <w:color w:val="auto"/>
          <w:kern w:val="0"/>
          <w:szCs w:val="21"/>
          <w:highlight w:val="none"/>
        </w:rPr>
      </w:pPr>
      <w:r>
        <w:rPr>
          <w:rFonts w:hint="eastAsia" w:ascii="宋体" w:hAnsi="宋体"/>
          <w:b/>
          <w:color w:val="auto"/>
          <w:kern w:val="0"/>
          <w:szCs w:val="21"/>
          <w:highlight w:val="none"/>
        </w:rPr>
        <w:t>三、推荐成交候选供应商原则</w:t>
      </w:r>
    </w:p>
    <w:p w14:paraId="5FDC1F0C">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磋商小组根据综合得分由高到低排列次序，若得分相同时，以报价分由低到高顺序排列；若得分相同且报价相同的，以服务方案分由高到低顺序排列；若服务方案得分相同时，以拟投入人员分高低到低顺序排列；若仍相同的，按企业实力分由高到低顺序排列并推荐成交候选供应商。</w:t>
      </w:r>
    </w:p>
    <w:p w14:paraId="1C31D576">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（2）本项目确定评标委员会推荐排名第一的中标候选供应商为中标供应商。</w:t>
      </w:r>
    </w:p>
    <w:p w14:paraId="41528E90">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（3）排名第一的成交候选供应商放弃成交、因不可抗力提出不能履行合同，或者招标文件规定应当提交履约保证金而在规定的期限内未能</w:t>
      </w:r>
      <w:r>
        <w:rPr>
          <w:rFonts w:hint="eastAsia" w:ascii="宋体" w:hAnsi="宋体" w:eastAsia="宋体" w:cs="Times New Roman"/>
          <w:color w:val="auto"/>
          <w:kern w:val="0"/>
          <w:szCs w:val="21"/>
          <w:highlight w:val="none"/>
        </w:rPr>
        <w:t>提交的，招标采购单位可以确定排名第二的成交候选供应商为成交供应商。</w:t>
      </w:r>
    </w:p>
    <w:p w14:paraId="5F0BD7B1">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（4）第二成交候选供应商因前款规定的同样原因不能签订合同的，招标采购单位可以确定排名第三的成交候选供应商为成交供应商。</w:t>
      </w:r>
    </w:p>
    <w:p w14:paraId="51503B63">
      <w:pPr>
        <w:pStyle w:val="3"/>
        <w:spacing w:line="400" w:lineRule="exact"/>
        <w:ind w:firstLine="422"/>
        <w:rPr>
          <w:rFonts w:hAnsi="宋体" w:cs="宋体"/>
          <w:b/>
          <w:color w:val="auto"/>
          <w:sz w:val="21"/>
          <w:szCs w:val="21"/>
          <w:highlight w:val="none"/>
        </w:rPr>
      </w:pPr>
      <w:r>
        <w:rPr>
          <w:rFonts w:hint="eastAsia" w:hAnsi="宋体" w:eastAsia="宋体" w:cs="F1"/>
          <w:b/>
          <w:color w:val="auto"/>
          <w:sz w:val="21"/>
          <w:szCs w:val="21"/>
          <w:highlight w:val="none"/>
        </w:rPr>
        <w:t>四</w:t>
      </w:r>
      <w:r>
        <w:rPr>
          <w:rFonts w:hint="eastAsia" w:hAnsi="宋体" w:cs="F1"/>
          <w:b/>
          <w:color w:val="auto"/>
          <w:sz w:val="21"/>
          <w:szCs w:val="21"/>
          <w:highlight w:val="none"/>
        </w:rPr>
        <w:t>、</w:t>
      </w:r>
      <w:r>
        <w:rPr>
          <w:rFonts w:hint="eastAsia" w:hAnsi="宋体" w:cs="宋体"/>
          <w:b/>
          <w:color w:val="auto"/>
          <w:sz w:val="21"/>
          <w:szCs w:val="21"/>
          <w:highlight w:val="none"/>
        </w:rPr>
        <w:t>政府采购政策应用说明</w:t>
      </w:r>
      <w:r>
        <w:rPr>
          <w:rFonts w:hAnsi="宋体" w:cs="宋体"/>
          <w:b/>
          <w:color w:val="auto"/>
          <w:sz w:val="21"/>
          <w:szCs w:val="21"/>
          <w:highlight w:val="none"/>
        </w:rPr>
        <w:t xml:space="preserve"> </w:t>
      </w:r>
    </w:p>
    <w:p w14:paraId="73B9750C">
      <w:pPr>
        <w:autoSpaceDE w:val="0"/>
        <w:autoSpaceDN w:val="0"/>
        <w:adjustRightInd w:val="0"/>
        <w:spacing w:line="400" w:lineRule="exact"/>
        <w:ind w:firstLine="411" w:firstLineChars="196"/>
        <w:jc w:val="left"/>
        <w:rPr>
          <w:rFonts w:ascii="宋体" w:hAnsi="宋体" w:cs="宋体"/>
          <w:color w:val="auto"/>
          <w:kern w:val="0"/>
          <w:szCs w:val="21"/>
          <w:highlight w:val="none"/>
        </w:rPr>
      </w:pPr>
      <w:r>
        <w:rPr>
          <w:rFonts w:ascii="宋体" w:hAnsi="宋体" w:cs="Arial"/>
          <w:bCs/>
          <w:color w:val="auto"/>
          <w:kern w:val="0"/>
          <w:szCs w:val="21"/>
          <w:highlight w:val="none"/>
        </w:rPr>
        <w:t>1</w:t>
      </w:r>
      <w:r>
        <w:rPr>
          <w:rFonts w:hint="eastAsia" w:ascii="宋体" w:hAnsi="宋体" w:cs="宋体"/>
          <w:color w:val="auto"/>
          <w:kern w:val="0"/>
          <w:szCs w:val="21"/>
          <w:highlight w:val="none"/>
        </w:rPr>
        <w:t>．政策性加分说明</w:t>
      </w:r>
      <w:r>
        <w:rPr>
          <w:rFonts w:ascii="宋体" w:hAnsi="宋体" w:cs="宋体"/>
          <w:color w:val="auto"/>
          <w:kern w:val="0"/>
          <w:szCs w:val="21"/>
          <w:highlight w:val="none"/>
        </w:rPr>
        <w:t xml:space="preserve"> </w:t>
      </w:r>
    </w:p>
    <w:p w14:paraId="57352E67">
      <w:pPr>
        <w:autoSpaceDE w:val="0"/>
        <w:autoSpaceDN w:val="0"/>
        <w:adjustRightInd w:val="0"/>
        <w:spacing w:line="40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）节能产品、环保标志产品</w:t>
      </w:r>
    </w:p>
    <w:p w14:paraId="103F654B">
      <w:pPr>
        <w:autoSpaceDE w:val="0"/>
        <w:autoSpaceDN w:val="0"/>
        <w:adjustRightInd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节能、环境标志产品以国家财政部等部门颁布的节能产品政府采购品目清单和环境标志产品政府采购品目清单为准，供应商须提供所投产品在品目清单中相应页面的打印或复印材料以及国家确定的认证机构出具的、处于有效期之内的节能产品、环境标志产品认证证书的复印件，未按要求提供的不得分。</w:t>
      </w:r>
    </w:p>
    <w:p w14:paraId="26EA62E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Arial"/>
          <w:color w:val="auto"/>
          <w:kern w:val="0"/>
          <w:szCs w:val="21"/>
          <w:highlight w:val="none"/>
        </w:rPr>
        <w:t>2</w:t>
      </w:r>
      <w:r>
        <w:rPr>
          <w:rFonts w:hint="eastAsia" w:ascii="宋体" w:hAnsi="宋体" w:cs="宋体"/>
          <w:color w:val="auto"/>
          <w:kern w:val="0"/>
          <w:szCs w:val="21"/>
          <w:highlight w:val="none"/>
        </w:rPr>
        <w:t>．政策性扣除计算方法</w:t>
      </w:r>
      <w:r>
        <w:rPr>
          <w:rFonts w:ascii="宋体" w:hAnsi="宋体" w:cs="宋体"/>
          <w:color w:val="auto"/>
          <w:kern w:val="0"/>
          <w:szCs w:val="21"/>
          <w:highlight w:val="none"/>
        </w:rPr>
        <w:t xml:space="preserve"> </w:t>
      </w:r>
    </w:p>
    <w:p w14:paraId="3528DF32">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供应商符合小型、微型企业、监狱企业或残疾人福利性单位条件的，其投标报价将按相应比例进行扣除，用扣除后的价格参与评审（计算价格分）。</w:t>
      </w:r>
    </w:p>
    <w:p w14:paraId="1D86EB6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5F7260E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供应商为非联合体的情况下投标报价扣除方式：对小型、微型企业投标报价给予</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的扣除，以扣除后的投标报价参与评审（计算价格分）。</w:t>
      </w:r>
    </w:p>
    <w:p w14:paraId="09B9F11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联合体的情况下投标价格扣除方式：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s="Arial"/>
          <w:color w:val="auto"/>
          <w:kern w:val="0"/>
          <w:szCs w:val="21"/>
          <w:highlight w:val="none"/>
        </w:rPr>
        <w:t>30%</w:t>
      </w:r>
      <w:r>
        <w:rPr>
          <w:rFonts w:hint="eastAsia" w:ascii="宋体" w:hAnsi="宋体" w:cs="宋体"/>
          <w:color w:val="auto"/>
          <w:kern w:val="0"/>
          <w:szCs w:val="21"/>
          <w:highlight w:val="none"/>
        </w:rPr>
        <w:t>以上（含</w:t>
      </w:r>
      <w:r>
        <w:rPr>
          <w:rFonts w:ascii="宋体" w:hAnsi="宋体" w:cs="Arial"/>
          <w:color w:val="auto"/>
          <w:kern w:val="0"/>
          <w:szCs w:val="21"/>
          <w:highlight w:val="none"/>
        </w:rPr>
        <w:t>30%</w:t>
      </w:r>
      <w:r>
        <w:rPr>
          <w:rFonts w:hint="eastAsia" w:ascii="宋体" w:hAnsi="宋体" w:cs="宋体"/>
          <w:color w:val="auto"/>
          <w:kern w:val="0"/>
          <w:szCs w:val="21"/>
          <w:highlight w:val="none"/>
        </w:rPr>
        <w:t>）的，与小型、微型企业联合的可给予联合体</w:t>
      </w:r>
      <w:r>
        <w:rPr>
          <w:rFonts w:hint="eastAsia" w:ascii="宋体" w:hAnsi="宋体" w:cs="Arial"/>
          <w:color w:val="auto"/>
          <w:kern w:val="0"/>
          <w:szCs w:val="21"/>
          <w:highlight w:val="none"/>
        </w:rPr>
        <w:t>6</w:t>
      </w:r>
      <w:r>
        <w:rPr>
          <w:rFonts w:ascii="宋体" w:hAnsi="宋体" w:cs="Arial"/>
          <w:color w:val="auto"/>
          <w:kern w:val="0"/>
          <w:szCs w:val="21"/>
          <w:highlight w:val="none"/>
        </w:rPr>
        <w:t>%</w:t>
      </w:r>
      <w:r>
        <w:rPr>
          <w:rFonts w:hint="eastAsia" w:ascii="宋体" w:hAnsi="宋体" w:cs="宋体"/>
          <w:color w:val="auto"/>
          <w:kern w:val="0"/>
          <w:szCs w:val="21"/>
          <w:highlight w:val="none"/>
        </w:rPr>
        <w:t>的报价扣除，以扣除后的投标价格参与评审（计算价格分）。组成联合体的大中型企业和其他自然人、法人或者其他组织，与小型、微型企业之间不得存在投资关系。否则投标价格不予扣除。</w:t>
      </w:r>
    </w:p>
    <w:p w14:paraId="02CBC08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387CE0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根据财政部、司法部关于政府采购支持监狱企业发展有关问题的通知（财库</w:t>
      </w:r>
      <w:r>
        <w:rPr>
          <w:rFonts w:ascii="宋体" w:hAnsi="宋体" w:cs="Arial"/>
          <w:color w:val="auto"/>
          <w:kern w:val="0"/>
          <w:szCs w:val="21"/>
          <w:highlight w:val="none"/>
        </w:rPr>
        <w:t>[2014]68</w:t>
      </w:r>
      <w:r>
        <w:rPr>
          <w:rFonts w:hint="eastAsia" w:ascii="宋体" w:hAnsi="宋体" w:cs="宋体"/>
          <w:color w:val="auto"/>
          <w:kern w:val="0"/>
          <w:szCs w:val="21"/>
          <w:highlight w:val="none"/>
        </w:rPr>
        <w:t>号），监狱企业视同小型、微型企业，享受小型、微型企业评审时投标价格扣除</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的政府采购政策。</w:t>
      </w:r>
    </w:p>
    <w:p w14:paraId="471435D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208238CE">
      <w:pPr>
        <w:pStyle w:val="3"/>
        <w:spacing w:before="0" w:after="0" w:line="440" w:lineRule="exact"/>
        <w:ind w:firstLine="420"/>
        <w:jc w:val="left"/>
        <w:rPr>
          <w:rFonts w:hAnsi="宋体" w:cs="宋体"/>
          <w:b w:val="0"/>
          <w:color w:val="auto"/>
          <w:sz w:val="21"/>
          <w:szCs w:val="21"/>
          <w:highlight w:val="none"/>
        </w:rPr>
      </w:pPr>
      <w:bookmarkStart w:id="80" w:name="_Toc30041"/>
      <w:r>
        <w:rPr>
          <w:rFonts w:hint="eastAsia" w:hAnsi="宋体" w:cs="宋体"/>
          <w:b w:val="0"/>
          <w:color w:val="auto"/>
          <w:sz w:val="21"/>
          <w:szCs w:val="21"/>
          <w:highlight w:val="none"/>
        </w:rPr>
        <w:t>根据财政部、民政部、中国残疾人联合会三部门发布的关于促进残疾人就业政府采购政策的通知（财库〔</w:t>
      </w:r>
      <w:r>
        <w:rPr>
          <w:rFonts w:hAnsi="宋体" w:cs="Arial"/>
          <w:b w:val="0"/>
          <w:color w:val="auto"/>
          <w:sz w:val="21"/>
          <w:szCs w:val="21"/>
          <w:highlight w:val="none"/>
        </w:rPr>
        <w:t>2017</w:t>
      </w:r>
      <w:r>
        <w:rPr>
          <w:rFonts w:hint="eastAsia" w:hAnsi="宋体" w:cs="宋体"/>
          <w:b w:val="0"/>
          <w:color w:val="auto"/>
          <w:sz w:val="21"/>
          <w:szCs w:val="21"/>
          <w:highlight w:val="none"/>
        </w:rPr>
        <w:t>〕</w:t>
      </w:r>
      <w:r>
        <w:rPr>
          <w:rFonts w:hAnsi="宋体" w:cs="Arial"/>
          <w:b w:val="0"/>
          <w:color w:val="auto"/>
          <w:sz w:val="21"/>
          <w:szCs w:val="21"/>
          <w:highlight w:val="none"/>
        </w:rPr>
        <w:t>141</w:t>
      </w:r>
      <w:r>
        <w:rPr>
          <w:rFonts w:hint="eastAsia" w:hAnsi="宋体" w:cs="宋体"/>
          <w:b w:val="0"/>
          <w:color w:val="auto"/>
          <w:sz w:val="21"/>
          <w:szCs w:val="21"/>
          <w:highlight w:val="none"/>
        </w:rPr>
        <w:t>号），残疾人福利性单位视同小型、微型企业，享受小型、微型企业评标时投标报价扣除</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的政府采购政策。供应商既属于残疾人福利性单位又属于小型、微型企业的，其只能享受投标报价一次性</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的扣除，不重复享受政策。</w:t>
      </w:r>
      <w:bookmarkEnd w:id="80"/>
    </w:p>
    <w:p w14:paraId="6B5C94B7">
      <w:pPr>
        <w:autoSpaceDE w:val="0"/>
        <w:autoSpaceDN w:val="0"/>
        <w:adjustRightInd w:val="0"/>
        <w:spacing w:line="440" w:lineRule="exact"/>
        <w:ind w:firstLine="420" w:firstLineChars="200"/>
        <w:jc w:val="left"/>
        <w:rPr>
          <w:rFonts w:ascii="宋体" w:hAnsi="宋体" w:cs="宋体"/>
          <w:b/>
          <w:color w:val="auto"/>
          <w:kern w:val="0"/>
          <w:szCs w:val="21"/>
          <w:highlight w:val="none"/>
        </w:rPr>
      </w:pPr>
      <w:r>
        <w:rPr>
          <w:rFonts w:hint="eastAsia" w:ascii="宋体" w:hAnsi="宋体" w:cs="Arial"/>
          <w:b/>
          <w:color w:val="auto"/>
          <w:kern w:val="0"/>
          <w:szCs w:val="21"/>
          <w:highlight w:val="none"/>
        </w:rPr>
        <w:t>2</w:t>
      </w:r>
      <w:r>
        <w:rPr>
          <w:rFonts w:hint="eastAsia" w:ascii="宋体" w:hAnsi="宋体" w:cs="宋体"/>
          <w:b/>
          <w:color w:val="auto"/>
          <w:kern w:val="0"/>
          <w:szCs w:val="21"/>
          <w:highlight w:val="none"/>
        </w:rPr>
        <w:t>．符合政府采购政策的相关条件</w:t>
      </w:r>
      <w:r>
        <w:rPr>
          <w:rFonts w:ascii="宋体" w:hAnsi="宋体" w:cs="宋体"/>
          <w:b/>
          <w:color w:val="auto"/>
          <w:kern w:val="0"/>
          <w:szCs w:val="21"/>
          <w:highlight w:val="none"/>
        </w:rPr>
        <w:t xml:space="preserve"> </w:t>
      </w:r>
    </w:p>
    <w:p w14:paraId="72CBEB8F">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739F6847">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依照《关于印发</w:t>
      </w:r>
      <w:r>
        <w:rPr>
          <w:rFonts w:ascii="宋体" w:hAnsi="宋体" w:cs="Arial"/>
          <w:color w:val="auto"/>
          <w:kern w:val="0"/>
          <w:szCs w:val="21"/>
          <w:highlight w:val="none"/>
        </w:rPr>
        <w:t>&lt;</w:t>
      </w:r>
      <w:r>
        <w:rPr>
          <w:rFonts w:hint="eastAsia" w:ascii="宋体" w:hAnsi="宋体" w:cs="宋体"/>
          <w:color w:val="auto"/>
          <w:kern w:val="0"/>
          <w:szCs w:val="21"/>
          <w:highlight w:val="none"/>
        </w:rPr>
        <w:t>政府采购促进中小企业发展管理办法</w:t>
      </w:r>
      <w:r>
        <w:rPr>
          <w:rFonts w:ascii="宋体" w:hAnsi="宋体" w:cs="Arial"/>
          <w:color w:val="auto"/>
          <w:kern w:val="0"/>
          <w:szCs w:val="21"/>
          <w:highlight w:val="none"/>
        </w:rPr>
        <w:t>&gt;</w:t>
      </w:r>
      <w:r>
        <w:rPr>
          <w:rFonts w:hint="eastAsia" w:ascii="宋体" w:hAnsi="宋体" w:cs="宋体"/>
          <w:color w:val="auto"/>
          <w:kern w:val="0"/>
          <w:szCs w:val="21"/>
          <w:highlight w:val="none"/>
        </w:rPr>
        <w:t>的通知》（财库</w:t>
      </w:r>
      <w:r>
        <w:rPr>
          <w:rFonts w:hint="eastAsia" w:ascii="宋体" w:hAnsi="宋体" w:cs="宋体"/>
          <w:color w:val="auto"/>
          <w:szCs w:val="21"/>
          <w:highlight w:val="none"/>
        </w:rPr>
        <w:t>[2020]46</w:t>
      </w:r>
      <w:r>
        <w:rPr>
          <w:rFonts w:hint="eastAsia" w:ascii="宋体" w:hAnsi="宋体" w:cs="宋体"/>
          <w:color w:val="auto"/>
          <w:kern w:val="0"/>
          <w:szCs w:val="21"/>
          <w:highlight w:val="none"/>
        </w:rPr>
        <w:t>号）之规定，小型、微型企业应当同时符合以下条件：</w:t>
      </w:r>
    </w:p>
    <w:p w14:paraId="59AF31FA">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本企业符合中小企业划分标准（中小企业划分标准是指国务院有关部门根据企业从业人员、营业收入、资产总额等指标制定的中小企业划型标准，详见《关于印发中小企业划型标准规定的通知》（工信部联企业〔</w:t>
      </w:r>
      <w:r>
        <w:rPr>
          <w:rFonts w:ascii="宋体" w:hAnsi="宋体" w:cs="Arial"/>
          <w:color w:val="auto"/>
          <w:kern w:val="0"/>
          <w:szCs w:val="21"/>
          <w:highlight w:val="none"/>
        </w:rPr>
        <w:t>2011</w:t>
      </w:r>
      <w:r>
        <w:rPr>
          <w:rFonts w:hint="eastAsia" w:ascii="宋体" w:hAnsi="宋体" w:cs="宋体"/>
          <w:color w:val="auto"/>
          <w:kern w:val="0"/>
          <w:szCs w:val="21"/>
          <w:highlight w:val="none"/>
        </w:rPr>
        <w:t>〕</w:t>
      </w:r>
      <w:r>
        <w:rPr>
          <w:rFonts w:ascii="宋体" w:hAnsi="宋体" w:cs="Arial"/>
          <w:color w:val="auto"/>
          <w:kern w:val="0"/>
          <w:szCs w:val="21"/>
          <w:highlight w:val="none"/>
        </w:rPr>
        <w:t>300</w:t>
      </w:r>
      <w:r>
        <w:rPr>
          <w:rFonts w:hint="eastAsia" w:ascii="宋体" w:hAnsi="宋体" w:cs="宋体"/>
          <w:color w:val="auto"/>
          <w:kern w:val="0"/>
          <w:szCs w:val="21"/>
          <w:highlight w:val="none"/>
        </w:rPr>
        <w:t>号））。</w:t>
      </w:r>
    </w:p>
    <w:p w14:paraId="638205B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②提供本企业制造的货物、承担的工程或者服务，或者提供其他中小企业制造的货物，本项所称货物不包括提供或使用大型企业注册商标的货物。</w:t>
      </w:r>
    </w:p>
    <w:p w14:paraId="36C035B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小型、微型企业提供中型企业制造的货物的，视同为中型企业；小型、微型、中型企业提供大型企业制造的货物的，视同为大型企业，投标报价不予扣除。供应商声明为小、微型企业的，应按招标文件规定在投标文件中提供相关证明文件。</w:t>
      </w:r>
    </w:p>
    <w:p w14:paraId="6DFAE08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10C77A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依照《财政部、司法部关于政府采购支持监狱企业发展有关问题的通知》（财库〔</w:t>
      </w:r>
      <w:r>
        <w:rPr>
          <w:rFonts w:ascii="宋体" w:hAnsi="宋体" w:cs="Arial"/>
          <w:color w:val="auto"/>
          <w:kern w:val="0"/>
          <w:szCs w:val="21"/>
          <w:highlight w:val="none"/>
        </w:rPr>
        <w:t>2014</w:t>
      </w:r>
      <w:r>
        <w:rPr>
          <w:rFonts w:hint="eastAsia" w:ascii="宋体" w:hAnsi="宋体" w:cs="宋体"/>
          <w:color w:val="auto"/>
          <w:kern w:val="0"/>
          <w:szCs w:val="21"/>
          <w:highlight w:val="none"/>
        </w:rPr>
        <w:t>〕</w:t>
      </w:r>
      <w:r>
        <w:rPr>
          <w:rFonts w:ascii="宋体" w:hAnsi="宋体" w:cs="Arial"/>
          <w:color w:val="auto"/>
          <w:kern w:val="0"/>
          <w:szCs w:val="21"/>
          <w:highlight w:val="none"/>
        </w:rPr>
        <w:t>68</w:t>
      </w:r>
      <w:r>
        <w:rPr>
          <w:rFonts w:hint="eastAsia" w:ascii="宋体" w:hAnsi="宋体" w:cs="宋体"/>
          <w:color w:val="auto"/>
          <w:kern w:val="0"/>
          <w:szCs w:val="21"/>
          <w:highlight w:val="none"/>
        </w:rPr>
        <w:t>号）之规定，监狱企业应当符合以下条件：</w:t>
      </w:r>
    </w:p>
    <w:p w14:paraId="426FFAE6">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4C1A2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②监狱企业参加政府采购活动时，应当提供由省级以上监狱管理局、戒毒管理局（含新疆生产建设兵团）或财政部门出具的属于监狱企业的证明文件，视同小型、微型企业。</w:t>
      </w:r>
    </w:p>
    <w:p w14:paraId="68EF5C5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注：供应商声明为监狱企业的，应按招标文件规定在投标文件中提供相关证明文件。</w:t>
      </w:r>
    </w:p>
    <w:p w14:paraId="1CB43B99">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4E0E1694">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依照财政部、民政部、中国残疾人联合会三部门发布的《关于促进残疾人就业政府采购政策的通知》（财库〔</w:t>
      </w:r>
      <w:r>
        <w:rPr>
          <w:rFonts w:ascii="宋体" w:hAnsi="宋体" w:cs="Arial"/>
          <w:color w:val="auto"/>
          <w:kern w:val="0"/>
          <w:szCs w:val="21"/>
          <w:highlight w:val="none"/>
        </w:rPr>
        <w:t>2017</w:t>
      </w:r>
      <w:r>
        <w:rPr>
          <w:rFonts w:hint="eastAsia" w:ascii="宋体" w:hAnsi="宋体" w:cs="宋体"/>
          <w:color w:val="auto"/>
          <w:kern w:val="0"/>
          <w:szCs w:val="21"/>
          <w:highlight w:val="none"/>
        </w:rPr>
        <w:t>〕</w:t>
      </w:r>
      <w:r>
        <w:rPr>
          <w:rFonts w:ascii="宋体" w:hAnsi="宋体" w:cs="Arial"/>
          <w:color w:val="auto"/>
          <w:kern w:val="0"/>
          <w:szCs w:val="21"/>
          <w:highlight w:val="none"/>
        </w:rPr>
        <w:t>141</w:t>
      </w:r>
      <w:r>
        <w:rPr>
          <w:rFonts w:hint="eastAsia" w:ascii="宋体" w:hAnsi="宋体" w:cs="宋体"/>
          <w:color w:val="auto"/>
          <w:kern w:val="0"/>
          <w:szCs w:val="21"/>
          <w:highlight w:val="none"/>
        </w:rPr>
        <w:t>号）之规定，享受政府采购支持政策的残疾人福利性单位应当符合同时满足以下条件：</w:t>
      </w:r>
    </w:p>
    <w:p w14:paraId="70A92F7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①安置的残疾人占本单位在职职工人数的比例不低于</w:t>
      </w:r>
      <w:r>
        <w:rPr>
          <w:rFonts w:ascii="宋体" w:hAnsi="宋体" w:cs="Arial"/>
          <w:color w:val="auto"/>
          <w:kern w:val="0"/>
          <w:szCs w:val="21"/>
          <w:highlight w:val="none"/>
        </w:rPr>
        <w:t>25%</w:t>
      </w:r>
      <w:r>
        <w:rPr>
          <w:rFonts w:hint="eastAsia" w:ascii="宋体" w:hAnsi="宋体" w:cs="宋体"/>
          <w:color w:val="auto"/>
          <w:kern w:val="0"/>
          <w:szCs w:val="21"/>
          <w:highlight w:val="none"/>
        </w:rPr>
        <w:t>（含</w:t>
      </w:r>
      <w:r>
        <w:rPr>
          <w:rFonts w:ascii="宋体" w:hAnsi="宋体" w:cs="Arial"/>
          <w:color w:val="auto"/>
          <w:kern w:val="0"/>
          <w:szCs w:val="21"/>
          <w:highlight w:val="none"/>
        </w:rPr>
        <w:t>25%</w:t>
      </w:r>
      <w:r>
        <w:rPr>
          <w:rFonts w:hint="eastAsia" w:ascii="宋体" w:hAnsi="宋体" w:cs="宋体"/>
          <w:color w:val="auto"/>
          <w:kern w:val="0"/>
          <w:szCs w:val="21"/>
          <w:highlight w:val="none"/>
        </w:rPr>
        <w:t>），并且安置的残疾人人数不少于</w:t>
      </w:r>
      <w:r>
        <w:rPr>
          <w:rFonts w:ascii="宋体" w:hAnsi="宋体" w:cs="Arial"/>
          <w:color w:val="auto"/>
          <w:kern w:val="0"/>
          <w:szCs w:val="21"/>
          <w:highlight w:val="none"/>
        </w:rPr>
        <w:t>10</w:t>
      </w:r>
      <w:r>
        <w:rPr>
          <w:rFonts w:hint="eastAsia" w:ascii="宋体" w:hAnsi="宋体" w:cs="宋体"/>
          <w:color w:val="auto"/>
          <w:kern w:val="0"/>
          <w:szCs w:val="21"/>
          <w:highlight w:val="none"/>
        </w:rPr>
        <w:t>人（含</w:t>
      </w:r>
      <w:r>
        <w:rPr>
          <w:rFonts w:ascii="宋体" w:hAnsi="宋体" w:cs="Arial"/>
          <w:color w:val="auto"/>
          <w:kern w:val="0"/>
          <w:szCs w:val="21"/>
          <w:highlight w:val="none"/>
        </w:rPr>
        <w:t>10</w:t>
      </w:r>
      <w:r>
        <w:rPr>
          <w:rFonts w:hint="eastAsia" w:ascii="宋体" w:hAnsi="宋体" w:cs="宋体"/>
          <w:color w:val="auto"/>
          <w:kern w:val="0"/>
          <w:szCs w:val="21"/>
          <w:highlight w:val="none"/>
        </w:rPr>
        <w:t>人）；</w:t>
      </w:r>
    </w:p>
    <w:p w14:paraId="1059FEC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②依法与安置的每位残疾人签订了一年以上（含一年）的劳动合同或服务协议；</w:t>
      </w:r>
    </w:p>
    <w:p w14:paraId="328429F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③为安置的每位残疾人按月足额缴纳了基本养老保险、基本医疗保险、失业保险、工伤保险和生育保险等社会保险费；</w:t>
      </w:r>
    </w:p>
    <w:p w14:paraId="20AAFB1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④通过银行等金融机构向安置的每位残疾人，按月支付了不低于单位所在区县适用的经省级人民政府批准的月最低工资标准的工资；</w:t>
      </w:r>
    </w:p>
    <w:p w14:paraId="115F0EE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⑤提供本单位制造的货物、承担的工程或者服务（以下简称产品），或者提供其他残疾人福利性单位制造的货物（不包括使用非残疾人福利性单位注册商标的货物）。</w:t>
      </w:r>
    </w:p>
    <w:p w14:paraId="4757A613">
      <w:pPr>
        <w:pStyle w:val="3"/>
        <w:spacing w:before="0" w:after="0" w:line="440" w:lineRule="exact"/>
        <w:ind w:firstLine="420"/>
        <w:jc w:val="left"/>
        <w:rPr>
          <w:rFonts w:hAnsi="宋体" w:cs="宋体"/>
          <w:b w:val="0"/>
          <w:color w:val="auto"/>
          <w:sz w:val="21"/>
          <w:szCs w:val="21"/>
          <w:highlight w:val="none"/>
        </w:rPr>
      </w:pPr>
      <w:bookmarkStart w:id="81" w:name="_Toc26537"/>
      <w:r>
        <w:rPr>
          <w:rFonts w:hint="eastAsia" w:hAnsi="宋体" w:cs="宋体"/>
          <w:b w:val="0"/>
          <w:color w:val="auto"/>
          <w:sz w:val="21"/>
          <w:szCs w:val="21"/>
          <w:highlight w:val="none"/>
        </w:rPr>
        <w:t>前款所称残疾人是指法定劳动年龄内，持有《中华人民共和国残疾人证》或者《中华人民共和国残</w:t>
      </w:r>
      <w:r>
        <w:rPr>
          <w:rFonts w:hAnsi="宋体" w:cs="宋体"/>
          <w:b w:val="0"/>
          <w:color w:val="auto"/>
          <w:sz w:val="21"/>
          <w:szCs w:val="21"/>
          <w:highlight w:val="none"/>
        </w:rPr>
        <w:t>疾军人证（</w:t>
      </w:r>
      <w:r>
        <w:rPr>
          <w:rFonts w:hAnsi="宋体" w:cs="Arial"/>
          <w:b w:val="0"/>
          <w:color w:val="auto"/>
          <w:sz w:val="21"/>
          <w:szCs w:val="21"/>
          <w:highlight w:val="none"/>
        </w:rPr>
        <w:t>1</w:t>
      </w:r>
      <w:r>
        <w:rPr>
          <w:rFonts w:hAnsi="宋体" w:cs="宋体"/>
          <w:b w:val="0"/>
          <w:color w:val="auto"/>
          <w:sz w:val="21"/>
          <w:szCs w:val="21"/>
          <w:highlight w:val="none"/>
        </w:rPr>
        <w:t>至</w:t>
      </w:r>
      <w:r>
        <w:rPr>
          <w:rFonts w:hAnsi="宋体" w:cs="Arial"/>
          <w:b w:val="0"/>
          <w:color w:val="auto"/>
          <w:sz w:val="21"/>
          <w:szCs w:val="21"/>
          <w:highlight w:val="none"/>
        </w:rPr>
        <w:t>8</w:t>
      </w:r>
      <w:r>
        <w:rPr>
          <w:rFonts w:hAnsi="宋体" w:cs="宋体"/>
          <w:b w:val="0"/>
          <w:color w:val="auto"/>
          <w:sz w:val="21"/>
          <w:szCs w:val="21"/>
          <w:highlight w:val="none"/>
        </w:rPr>
        <w:t>级）》的自然人，包括具有劳动条件和劳动意愿的精神残疾人。在职职工人数是指与残疾人福利性单位建立劳动关系并依法签订劳动合同或者服务协议的雇员人数。</w:t>
      </w:r>
      <w:bookmarkEnd w:id="81"/>
    </w:p>
    <w:p w14:paraId="658B5345">
      <w:pPr>
        <w:autoSpaceDE w:val="0"/>
        <w:autoSpaceDN w:val="0"/>
        <w:adjustRightInd w:val="0"/>
        <w:spacing w:line="40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注：符合条件的残疾人福利性单位在参加政府采购活动时，应当提供《残疾人福利性单位声明函》（格式见第六章），并对声明的真实性负责。</w:t>
      </w:r>
    </w:p>
    <w:p w14:paraId="2ACDD1D8">
      <w:pPr>
        <w:spacing w:line="280" w:lineRule="exact"/>
        <w:outlineLvl w:val="1"/>
        <w:rPr>
          <w:rFonts w:hint="eastAsia" w:ascii="宋体" w:hAnsi="宋体" w:cs="宋体"/>
          <w:b/>
          <w:bCs/>
          <w:color w:val="auto"/>
          <w:sz w:val="24"/>
          <w:highlight w:val="none"/>
        </w:rPr>
      </w:pPr>
    </w:p>
    <w:p w14:paraId="11269E29">
      <w:pPr>
        <w:spacing w:line="280" w:lineRule="exact"/>
        <w:outlineLvl w:val="1"/>
        <w:rPr>
          <w:rFonts w:hint="eastAsia" w:ascii="宋体" w:hAnsi="宋体" w:cs="宋体"/>
          <w:b/>
          <w:bCs/>
          <w:color w:val="auto"/>
          <w:sz w:val="24"/>
          <w:highlight w:val="none"/>
        </w:rPr>
      </w:pPr>
    </w:p>
    <w:p w14:paraId="7D862A89">
      <w:pPr>
        <w:rPr>
          <w:rFonts w:hint="eastAsia"/>
          <w:color w:val="auto"/>
          <w:highlight w:val="none"/>
        </w:rPr>
      </w:pPr>
    </w:p>
    <w:p w14:paraId="601A766F">
      <w:pPr>
        <w:spacing w:line="2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附表</w:t>
      </w:r>
      <w:bookmarkEnd w:id="79"/>
    </w:p>
    <w:p w14:paraId="718140F6">
      <w:pPr>
        <w:widowControl/>
        <w:spacing w:before="156" w:beforeLines="50" w:after="156" w:afterLines="50" w:line="280" w:lineRule="exact"/>
        <w:jc w:val="center"/>
        <w:rPr>
          <w:rFonts w:hint="eastAsia" w:ascii="宋体" w:hAnsi="宋体" w:cs="宋体"/>
          <w:b/>
          <w:bCs/>
          <w:color w:val="auto"/>
          <w:kern w:val="0"/>
          <w:sz w:val="30"/>
          <w:szCs w:val="30"/>
          <w:highlight w:val="none"/>
        </w:rPr>
      </w:pPr>
      <w:bookmarkStart w:id="82" w:name="_Toc28361_WPSOffice_Level2"/>
      <w:r>
        <w:rPr>
          <w:rFonts w:hint="eastAsia" w:ascii="宋体" w:hAnsi="宋体" w:cs="宋体"/>
          <w:b/>
          <w:bCs/>
          <w:color w:val="auto"/>
          <w:kern w:val="0"/>
          <w:sz w:val="30"/>
          <w:szCs w:val="30"/>
          <w:highlight w:val="none"/>
        </w:rPr>
        <w:t>统计上大中小微型企业划分标准</w:t>
      </w:r>
      <w:bookmarkEnd w:id="8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B3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BFB9312">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20E1A24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5244E918">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A81AF8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43AE4D9">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7327C291">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54E92F83">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3A41F16A">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C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169BB1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37E74F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B203F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4708CA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8C3CB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2398D7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4F58DDC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4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12EAF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79512B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BC0C2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1FC2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9A00C3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78024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B3096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C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F9E75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0818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214076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91ABD0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2FAE4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B44A78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1C772D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DEA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9BAA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647BB7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099CFF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BF8C4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317E1D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FA386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723C7C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B2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94A7EA">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56E3F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4EB8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F480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0CC54D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184F8D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5F9505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8C7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37CABC">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1B3D1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5BFD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60FA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27F1C8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3B85F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EB272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DC0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6424280">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B758C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51C2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09182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278ED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7DD5FB3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0E59D7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56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976DF0">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1ED0F06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F8D9C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95826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AC4075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6B659D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AE8903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EE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7D2D7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B98CC8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D686A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2ACED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0396B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363E870">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02CD35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A7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E7574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525D6D4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3643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CCCB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E41B9B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AB0D8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EA57F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647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1137E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329BC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54C5B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9363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95FA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DFE47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6A24B5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A7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2CC0A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68194D7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4A47EB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B3F45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0ABBC99">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2AD15B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8482A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7F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EA657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36430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B52E28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DC5F9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05242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DA2B1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E46E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A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073ED6F">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0AEC05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923E8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41B2EF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799BD9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D0F34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9C3B6C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E1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0500A3">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F2E80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558B2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CC32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289A5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7AA2A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C2FB3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2B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CA5D3B">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F42D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50E0E6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E2BA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E06D5C6">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E62B87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E94BF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E4496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D6DF2C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978C2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5632EA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64BD2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B2D1C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99B55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91631">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80A55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58655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E591D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7E07B03">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DB1659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9D418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02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5B29D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784DA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AEEDA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189E6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3ACED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D0AE2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496449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83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FC9EE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0118CD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52BD1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773B2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812F5D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40198B5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0398E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F2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91470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817DF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8557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2ACCD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5C7F8B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1872F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6B3B4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8A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6D63E9">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10D50F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6CBB1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89924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CE1F40B">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86837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1A670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D0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11BBF3">
            <w:pPr>
              <w:widowControl/>
              <w:spacing w:line="280" w:lineRule="exact"/>
              <w:jc w:val="left"/>
              <w:rPr>
                <w:rFonts w:hint="eastAsia" w:ascii="宋体" w:hAnsi="宋体" w:cs="宋体"/>
                <w:color w:val="auto"/>
                <w:spacing w:val="-12"/>
                <w:kern w:val="0"/>
                <w:sz w:val="18"/>
                <w:szCs w:val="18"/>
                <w:highlight w:val="none"/>
              </w:rPr>
            </w:pPr>
          </w:p>
        </w:tc>
        <w:tc>
          <w:tcPr>
            <w:tcW w:w="1369" w:type="dxa"/>
            <w:noWrap w:val="0"/>
            <w:vAlign w:val="center"/>
          </w:tcPr>
          <w:p w14:paraId="770242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21BDD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E429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27B9AC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3D8A91F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0EC3411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1C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2A0677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C4C559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845AC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B9F05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5CABAFF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C1D41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AAFC51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4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F0F9B4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57023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86013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B54D6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22211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0C9BDF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5AB404A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A40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B1E718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02064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A88D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D84CD2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D17C1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8F009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FF567D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C6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F41D1C">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647C3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E610E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9BE59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14A4E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5DCBFD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2A8334D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C01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5D8D9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41764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EBFF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BB758B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0DEB9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257E45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CC9F5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C9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AFC787">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387DB1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51655F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3E3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C7825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56F23E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6AE854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EA0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9E2F167">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54261E8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8169F0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C7E96A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379583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82725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3B730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A39F940">
      <w:pPr>
        <w:widowControl/>
        <w:spacing w:line="280" w:lineRule="exact"/>
        <w:rPr>
          <w:rFonts w:hint="eastAsia" w:ascii="宋体" w:hAnsi="宋体" w:cs="宋体"/>
          <w:color w:val="auto"/>
          <w:spacing w:val="8"/>
          <w:kern w:val="0"/>
          <w:sz w:val="24"/>
          <w:highlight w:val="none"/>
        </w:rPr>
      </w:pPr>
    </w:p>
    <w:p w14:paraId="253F2CEF">
      <w:pPr>
        <w:widowControl/>
        <w:rPr>
          <w:rFonts w:hint="eastAsia" w:ascii="宋体" w:hAnsi="宋体" w:cs="宋体"/>
          <w:color w:val="auto"/>
          <w:spacing w:val="8"/>
          <w:kern w:val="0"/>
          <w:szCs w:val="21"/>
          <w:highlight w:val="none"/>
        </w:rPr>
      </w:pPr>
    </w:p>
    <w:p w14:paraId="44474027">
      <w:pPr>
        <w:widowControl/>
        <w:rPr>
          <w:rFonts w:hint="eastAsia" w:ascii="宋体" w:hAnsi="宋体" w:cs="宋体"/>
          <w:color w:val="auto"/>
          <w:spacing w:val="8"/>
          <w:kern w:val="0"/>
          <w:szCs w:val="21"/>
          <w:highlight w:val="none"/>
        </w:rPr>
      </w:pPr>
    </w:p>
    <w:p w14:paraId="355A5B35">
      <w:pPr>
        <w:spacing w:line="400" w:lineRule="exact"/>
        <w:rPr>
          <w:rFonts w:hint="eastAsia" w:ascii="宋体" w:hAnsi="宋体"/>
          <w:b w:val="0"/>
          <w:bCs w:val="0"/>
          <w:color w:val="auto"/>
          <w:kern w:val="0"/>
          <w:highlight w:val="none"/>
        </w:rPr>
      </w:pPr>
      <w:r>
        <w:rPr>
          <w:rFonts w:hint="eastAsia" w:ascii="宋体" w:hAnsi="宋体"/>
          <w:b w:val="0"/>
          <w:bCs w:val="0"/>
          <w:color w:val="auto"/>
          <w:kern w:val="0"/>
          <w:highlight w:val="none"/>
        </w:rPr>
        <w:t>说明：</w:t>
      </w:r>
    </w:p>
    <w:p w14:paraId="37EF46F8">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1.大型、中型和小型企业须同时满足所列指标的下限，否则下划一档；微型企业只须满足所列指标中的一项即可。</w:t>
      </w:r>
    </w:p>
    <w:p w14:paraId="039BE457">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63C31C">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E9379C">
      <w:pPr>
        <w:spacing w:line="360" w:lineRule="exact"/>
        <w:ind w:firstLine="1920" w:firstLineChars="600"/>
        <w:rPr>
          <w:rFonts w:hint="eastAsia"/>
          <w:b/>
          <w:color w:val="auto"/>
          <w:sz w:val="32"/>
          <w:szCs w:val="32"/>
          <w:highlight w:val="none"/>
        </w:rPr>
      </w:pPr>
      <w:r>
        <w:rPr>
          <w:rFonts w:hint="eastAsia" w:ascii="宋体" w:hAnsi="宋体" w:cs="宋体"/>
          <w:color w:val="auto"/>
          <w:sz w:val="32"/>
          <w:szCs w:val="32"/>
          <w:highlight w:val="none"/>
        </w:rPr>
        <w:br w:type="page"/>
      </w:r>
      <w:r>
        <w:rPr>
          <w:rFonts w:hint="eastAsia"/>
          <w:b/>
          <w:color w:val="auto"/>
          <w:sz w:val="32"/>
          <w:szCs w:val="32"/>
          <w:highlight w:val="none"/>
        </w:rPr>
        <w:t>第五章  采购合同（合同主要条款及格式）</w:t>
      </w:r>
    </w:p>
    <w:p w14:paraId="5EBAD2FB">
      <w:pPr>
        <w:spacing w:line="420" w:lineRule="exact"/>
        <w:rPr>
          <w:rFonts w:ascii="宋体" w:hAnsi="宋体" w:cs="宋体"/>
          <w:szCs w:val="21"/>
          <w:highlight w:val="none"/>
        </w:rPr>
      </w:pPr>
      <w:r>
        <w:rPr>
          <w:rFonts w:hint="eastAsia" w:ascii="宋体" w:hAnsi="宋体" w:cs="宋体"/>
          <w:szCs w:val="21"/>
          <w:highlight w:val="none"/>
        </w:rPr>
        <w:t>合同编号：</w:t>
      </w:r>
    </w:p>
    <w:p w14:paraId="75083970">
      <w:pPr>
        <w:spacing w:line="420" w:lineRule="exact"/>
        <w:rPr>
          <w:rFonts w:ascii="宋体" w:hAnsi="宋体" w:cs="宋体"/>
          <w:szCs w:val="21"/>
          <w:highlight w:val="none"/>
        </w:rPr>
      </w:pPr>
      <w:r>
        <w:rPr>
          <w:rFonts w:hint="eastAsia" w:ascii="宋体" w:hAnsi="宋体" w:cs="宋体"/>
          <w:szCs w:val="21"/>
          <w:highlight w:val="none"/>
        </w:rPr>
        <w:t xml:space="preserve">项目名称：  </w:t>
      </w:r>
    </w:p>
    <w:p w14:paraId="74EF8B95">
      <w:pPr>
        <w:spacing w:line="420" w:lineRule="exact"/>
        <w:rPr>
          <w:rFonts w:ascii="宋体" w:hAnsi="宋体" w:cs="宋体"/>
          <w:szCs w:val="21"/>
          <w:highlight w:val="none"/>
        </w:rPr>
      </w:pPr>
      <w:r>
        <w:rPr>
          <w:rFonts w:hint="eastAsia" w:ascii="宋体" w:hAnsi="宋体" w:cs="宋体"/>
          <w:szCs w:val="21"/>
          <w:highlight w:val="none"/>
        </w:rPr>
        <w:t>项目编号：</w:t>
      </w:r>
    </w:p>
    <w:p w14:paraId="4FBF69AF">
      <w:pPr>
        <w:spacing w:line="360" w:lineRule="auto"/>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w:t>
      </w:r>
      <w:r>
        <w:rPr>
          <w:rFonts w:hint="eastAsia" w:ascii="宋体" w:hAnsi="宋体" w:cs="宋体"/>
          <w:highlight w:val="none"/>
        </w:rPr>
        <w:t>（采购人）</w:t>
      </w:r>
    </w:p>
    <w:p w14:paraId="66A5D635">
      <w:pPr>
        <w:spacing w:line="360" w:lineRule="auto"/>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（成交供应商）</w:t>
      </w:r>
    </w:p>
    <w:p w14:paraId="199A6724">
      <w:pPr>
        <w:widowControl/>
        <w:ind w:firstLine="420" w:firstLineChars="200"/>
        <w:jc w:val="left"/>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6AAF8A14">
      <w:pPr>
        <w:pStyle w:val="6"/>
        <w:tabs>
          <w:tab w:val="left" w:pos="567"/>
        </w:tabs>
        <w:ind w:left="567" w:leftChars="200" w:hanging="147" w:hangingChars="70"/>
        <w:rPr>
          <w:rFonts w:ascii="宋体" w:hAnsi="宋体" w:cs="宋体"/>
          <w:b/>
          <w:bCs w:val="0"/>
          <w:color w:val="auto"/>
          <w:sz w:val="21"/>
          <w:szCs w:val="21"/>
          <w:highlight w:val="none"/>
        </w:rPr>
      </w:pPr>
      <w:bookmarkStart w:id="83" w:name="_Toc845"/>
      <w:bookmarkStart w:id="84" w:name="_Toc30275"/>
      <w:bookmarkStart w:id="85" w:name="_Toc20217"/>
      <w:r>
        <w:rPr>
          <w:rFonts w:hint="eastAsia" w:ascii="宋体" w:hAnsi="宋体" w:cs="宋体"/>
          <w:b/>
          <w:bCs w:val="0"/>
          <w:color w:val="auto"/>
          <w:sz w:val="21"/>
          <w:szCs w:val="21"/>
          <w:highlight w:val="none"/>
        </w:rPr>
        <w:t>第一条 合同文件</w:t>
      </w:r>
      <w:bookmarkEnd w:id="83"/>
      <w:bookmarkEnd w:id="84"/>
      <w:bookmarkEnd w:id="85"/>
    </w:p>
    <w:p w14:paraId="195A8AE3">
      <w:pPr>
        <w:spacing w:line="360" w:lineRule="auto"/>
        <w:ind w:firstLine="420" w:firstLineChars="200"/>
        <w:rPr>
          <w:rFonts w:ascii="宋体" w:hAnsi="宋体" w:cs="宋体"/>
          <w:highlight w:val="none"/>
        </w:rPr>
      </w:pPr>
      <w:r>
        <w:rPr>
          <w:rFonts w:hint="eastAsia" w:ascii="宋体" w:hAnsi="宋体" w:cs="宋体"/>
          <w:highlight w:val="none"/>
        </w:rPr>
        <w:t>1、本合同所附下列文件是构成本合同不可分割的部分：</w:t>
      </w:r>
    </w:p>
    <w:p w14:paraId="4BDA508F">
      <w:pPr>
        <w:spacing w:line="360" w:lineRule="auto"/>
        <w:ind w:firstLine="315" w:firstLineChars="150"/>
        <w:rPr>
          <w:rFonts w:ascii="宋体" w:hAnsi="宋体" w:cs="宋体"/>
          <w:highlight w:val="none"/>
        </w:rPr>
      </w:pPr>
      <w:r>
        <w:rPr>
          <w:rFonts w:hint="eastAsia" w:ascii="宋体" w:hAnsi="宋体" w:cs="宋体"/>
          <w:highlight w:val="none"/>
        </w:rPr>
        <w:t>（1）成交供应商提交的</w:t>
      </w:r>
      <w:r>
        <w:rPr>
          <w:rFonts w:hint="eastAsia" w:ascii="宋体" w:hAnsi="宋体" w:cs="宋体"/>
          <w:szCs w:val="21"/>
          <w:highlight w:val="none"/>
        </w:rPr>
        <w:t>磋商</w:t>
      </w:r>
      <w:r>
        <w:rPr>
          <w:rFonts w:hint="eastAsia" w:ascii="宋体" w:hAnsi="宋体" w:cs="宋体"/>
          <w:highlight w:val="none"/>
        </w:rPr>
        <w:t>报价表、</w:t>
      </w:r>
      <w:r>
        <w:rPr>
          <w:rFonts w:hint="eastAsia" w:ascii="宋体" w:hAnsi="宋体" w:cs="宋体"/>
          <w:szCs w:val="21"/>
          <w:highlight w:val="none"/>
        </w:rPr>
        <w:t>针对本项目的服务承诺书</w:t>
      </w:r>
      <w:r>
        <w:rPr>
          <w:rFonts w:hint="eastAsia" w:ascii="宋体" w:hAnsi="宋体" w:cs="宋体"/>
          <w:highlight w:val="none"/>
        </w:rPr>
        <w:t>；</w:t>
      </w:r>
    </w:p>
    <w:p w14:paraId="4952CF6F">
      <w:pPr>
        <w:spacing w:line="360" w:lineRule="auto"/>
        <w:ind w:firstLine="315" w:firstLineChars="150"/>
        <w:rPr>
          <w:rFonts w:ascii="宋体" w:hAnsi="宋体" w:cs="宋体"/>
          <w:highlight w:val="none"/>
        </w:rPr>
      </w:pPr>
      <w:r>
        <w:rPr>
          <w:rFonts w:hint="eastAsia" w:ascii="宋体" w:hAnsi="宋体" w:cs="宋体"/>
          <w:highlight w:val="none"/>
        </w:rPr>
        <w:t>（2）成交通知书；</w:t>
      </w:r>
    </w:p>
    <w:p w14:paraId="51B67AF6">
      <w:pPr>
        <w:spacing w:line="360" w:lineRule="auto"/>
        <w:ind w:firstLine="315" w:firstLineChars="150"/>
        <w:rPr>
          <w:rFonts w:ascii="宋体" w:hAnsi="宋体" w:cs="宋体"/>
          <w:highlight w:val="none"/>
        </w:rPr>
      </w:pPr>
      <w:r>
        <w:rPr>
          <w:rFonts w:hint="eastAsia" w:ascii="宋体" w:hAnsi="宋体" w:cs="宋体"/>
          <w:highlight w:val="none"/>
        </w:rPr>
        <w:t>（3）本合同协议书及有关补充资料；</w:t>
      </w:r>
    </w:p>
    <w:p w14:paraId="540EC9A8">
      <w:pPr>
        <w:spacing w:line="360" w:lineRule="auto"/>
        <w:ind w:firstLine="315" w:firstLineChars="150"/>
        <w:rPr>
          <w:rFonts w:ascii="宋体" w:hAnsi="宋体" w:cs="宋体"/>
          <w:highlight w:val="none"/>
        </w:rPr>
      </w:pPr>
      <w:r>
        <w:rPr>
          <w:rFonts w:hint="eastAsia" w:ascii="宋体" w:hAnsi="宋体" w:cs="宋体"/>
          <w:highlight w:val="none"/>
        </w:rPr>
        <w:t>（4）磋商文件的条款要求。</w:t>
      </w:r>
    </w:p>
    <w:p w14:paraId="1D1628CB">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highlight w:val="none"/>
        </w:rPr>
        <w:t>2、合同价金额包括：服务过程中相关的一切费用。</w:t>
      </w:r>
    </w:p>
    <w:p w14:paraId="00703022">
      <w:pPr>
        <w:pStyle w:val="6"/>
        <w:tabs>
          <w:tab w:val="left" w:pos="567"/>
        </w:tabs>
        <w:ind w:left="567" w:leftChars="200" w:hanging="147" w:hangingChars="70"/>
        <w:rPr>
          <w:rFonts w:ascii="宋体" w:hAnsi="宋体" w:cs="宋体"/>
          <w:b/>
          <w:bCs w:val="0"/>
          <w:color w:val="auto"/>
          <w:sz w:val="21"/>
          <w:szCs w:val="21"/>
          <w:highlight w:val="none"/>
        </w:rPr>
      </w:pPr>
      <w:bookmarkStart w:id="86" w:name="_Toc6972"/>
      <w:bookmarkStart w:id="87" w:name="_Toc28710"/>
      <w:bookmarkStart w:id="88" w:name="_Toc25572"/>
      <w:r>
        <w:rPr>
          <w:rFonts w:hint="eastAsia" w:ascii="宋体" w:hAnsi="宋体" w:cs="宋体"/>
          <w:b/>
          <w:bCs w:val="0"/>
          <w:color w:val="auto"/>
          <w:sz w:val="21"/>
          <w:szCs w:val="21"/>
          <w:highlight w:val="none"/>
        </w:rPr>
        <w:t>第二条　合同金额</w:t>
      </w:r>
      <w:bookmarkEnd w:id="86"/>
      <w:bookmarkEnd w:id="87"/>
      <w:bookmarkEnd w:id="88"/>
    </w:p>
    <w:p w14:paraId="05DAFA9D">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根据《成交通知书》的成交内容，合同的总金额为：（大写）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294344D6">
      <w:pPr>
        <w:pStyle w:val="6"/>
        <w:tabs>
          <w:tab w:val="left" w:pos="567"/>
        </w:tabs>
        <w:ind w:left="567" w:leftChars="200" w:hanging="147" w:hangingChars="70"/>
        <w:rPr>
          <w:rFonts w:ascii="宋体" w:hAnsi="宋体" w:cs="宋体"/>
          <w:b/>
          <w:bCs w:val="0"/>
          <w:color w:val="auto"/>
          <w:sz w:val="21"/>
          <w:szCs w:val="21"/>
          <w:highlight w:val="none"/>
        </w:rPr>
      </w:pPr>
      <w:bookmarkStart w:id="89" w:name="_Toc5557"/>
      <w:bookmarkStart w:id="90" w:name="_Toc16138"/>
      <w:bookmarkStart w:id="91" w:name="_Toc9581"/>
      <w:r>
        <w:rPr>
          <w:rFonts w:hint="eastAsia" w:ascii="宋体" w:hAnsi="宋体" w:cs="宋体"/>
          <w:b/>
          <w:bCs w:val="0"/>
          <w:color w:val="auto"/>
          <w:sz w:val="21"/>
          <w:szCs w:val="21"/>
          <w:highlight w:val="none"/>
        </w:rPr>
        <w:t>第三条  服务保证</w:t>
      </w:r>
      <w:bookmarkEnd w:id="89"/>
      <w:bookmarkEnd w:id="90"/>
      <w:bookmarkEnd w:id="91"/>
    </w:p>
    <w:p w14:paraId="12CDD36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成交供应商应按磋商文件、响应文件和承诺规定的服务内容向采购人提供相应服务。</w:t>
      </w:r>
    </w:p>
    <w:p w14:paraId="35235E2F">
      <w:pPr>
        <w:pStyle w:val="6"/>
        <w:tabs>
          <w:tab w:val="left" w:pos="567"/>
        </w:tabs>
        <w:ind w:left="567" w:leftChars="200" w:hanging="147" w:hangingChars="70"/>
        <w:rPr>
          <w:rFonts w:ascii="宋体" w:hAnsi="宋体" w:cs="宋体"/>
          <w:b/>
          <w:bCs w:val="0"/>
          <w:color w:val="auto"/>
          <w:sz w:val="21"/>
          <w:szCs w:val="21"/>
          <w:highlight w:val="none"/>
        </w:rPr>
      </w:pPr>
      <w:bookmarkStart w:id="92" w:name="_Toc16565"/>
      <w:bookmarkStart w:id="93" w:name="_Toc8669"/>
      <w:bookmarkStart w:id="94" w:name="_Toc25056"/>
      <w:r>
        <w:rPr>
          <w:rFonts w:hint="eastAsia" w:ascii="宋体" w:hAnsi="宋体" w:cs="宋体"/>
          <w:b/>
          <w:bCs w:val="0"/>
          <w:color w:val="auto"/>
          <w:sz w:val="21"/>
          <w:szCs w:val="21"/>
          <w:highlight w:val="none"/>
        </w:rPr>
        <w:t>第四条  服务期限</w:t>
      </w:r>
      <w:bookmarkEnd w:id="92"/>
      <w:bookmarkEnd w:id="93"/>
      <w:bookmarkEnd w:id="94"/>
    </w:p>
    <w:p w14:paraId="1516D5D2">
      <w:pPr>
        <w:spacing w:line="360" w:lineRule="auto"/>
        <w:ind w:firstLine="411" w:firstLineChars="196"/>
        <w:rPr>
          <w:rFonts w:ascii="宋体" w:hAnsi="宋体" w:cs="宋体"/>
          <w:szCs w:val="21"/>
          <w:highlight w:val="none"/>
          <w:u w:val="single"/>
        </w:rPr>
      </w:pPr>
      <w:r>
        <w:rPr>
          <w:rFonts w:hint="eastAsia" w:ascii="宋体" w:hAnsi="宋体" w:cs="宋体"/>
          <w:szCs w:val="21"/>
          <w:highlight w:val="none"/>
        </w:rPr>
        <w:t xml:space="preserve">服务期限: </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w:t>
      </w:r>
    </w:p>
    <w:p w14:paraId="4248E727">
      <w:pPr>
        <w:pStyle w:val="6"/>
        <w:tabs>
          <w:tab w:val="left" w:pos="567"/>
        </w:tabs>
        <w:ind w:left="567" w:leftChars="200" w:hanging="147" w:hangingChars="70"/>
        <w:rPr>
          <w:rFonts w:ascii="宋体" w:hAnsi="宋体" w:cs="宋体"/>
          <w:b/>
          <w:bCs w:val="0"/>
          <w:color w:val="auto"/>
          <w:sz w:val="21"/>
          <w:szCs w:val="21"/>
          <w:highlight w:val="none"/>
        </w:rPr>
      </w:pPr>
      <w:bookmarkStart w:id="95" w:name="_Toc25521"/>
      <w:bookmarkStart w:id="96" w:name="_Toc3282"/>
      <w:bookmarkStart w:id="97" w:name="_Toc15179"/>
      <w:r>
        <w:rPr>
          <w:rFonts w:hint="eastAsia" w:ascii="宋体" w:hAnsi="宋体" w:cs="宋体"/>
          <w:b/>
          <w:bCs w:val="0"/>
          <w:color w:val="auto"/>
          <w:sz w:val="21"/>
          <w:szCs w:val="21"/>
          <w:highlight w:val="none"/>
        </w:rPr>
        <w:t>第五条  交付</w:t>
      </w:r>
      <w:bookmarkEnd w:id="95"/>
      <w:bookmarkEnd w:id="96"/>
      <w:bookmarkEnd w:id="97"/>
    </w:p>
    <w:p w14:paraId="5FF85CFC">
      <w:pPr>
        <w:spacing w:line="360" w:lineRule="auto"/>
        <w:ind w:firstLine="420" w:firstLineChars="200"/>
        <w:rPr>
          <w:rFonts w:ascii="宋体" w:hAnsi="宋体" w:cs="宋体"/>
          <w:szCs w:val="21"/>
          <w:highlight w:val="none"/>
        </w:rPr>
      </w:pPr>
      <w:r>
        <w:rPr>
          <w:rFonts w:hint="eastAsia" w:ascii="宋体" w:hAnsi="宋体" w:cs="宋体"/>
          <w:szCs w:val="21"/>
          <w:highlight w:val="none"/>
        </w:rPr>
        <w:t>1、服务时间</w:t>
      </w:r>
      <w:r>
        <w:rPr>
          <w:rFonts w:hint="eastAsia" w:ascii="宋体" w:hAnsi="宋体" w:cs="宋体"/>
          <w:szCs w:val="21"/>
          <w:highlight w:val="none"/>
          <w:u w:val="single"/>
        </w:rPr>
        <w:t xml:space="preserve">                         </w:t>
      </w:r>
      <w:r>
        <w:rPr>
          <w:rFonts w:hint="eastAsia" w:ascii="宋体" w:hAnsi="宋体" w:cs="宋体"/>
          <w:szCs w:val="21"/>
          <w:highlight w:val="none"/>
        </w:rPr>
        <w:t>、地点：</w:t>
      </w:r>
      <w:r>
        <w:rPr>
          <w:rFonts w:hint="eastAsia" w:ascii="宋体" w:hAnsi="宋体" w:cs="宋体"/>
          <w:szCs w:val="21"/>
          <w:highlight w:val="none"/>
          <w:u w:val="single"/>
        </w:rPr>
        <w:t xml:space="preserve">                             </w:t>
      </w:r>
      <w:r>
        <w:rPr>
          <w:rFonts w:hint="eastAsia" w:ascii="宋体" w:hAnsi="宋体" w:cs="宋体"/>
          <w:szCs w:val="21"/>
          <w:highlight w:val="none"/>
        </w:rPr>
        <w:t>。</w:t>
      </w:r>
    </w:p>
    <w:p w14:paraId="4F88153D">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2、成交供应商提供不符合磋商文件、响应文件和本合同规定的服务，采购人有权拒绝接受。</w:t>
      </w:r>
    </w:p>
    <w:p w14:paraId="5183791F">
      <w:pPr>
        <w:pStyle w:val="6"/>
        <w:tabs>
          <w:tab w:val="left" w:pos="567"/>
        </w:tabs>
        <w:ind w:left="567" w:leftChars="200" w:hanging="147" w:hangingChars="70"/>
        <w:rPr>
          <w:rFonts w:ascii="宋体" w:hAnsi="宋体" w:cs="宋体"/>
          <w:b/>
          <w:bCs w:val="0"/>
          <w:color w:val="auto"/>
          <w:sz w:val="21"/>
          <w:szCs w:val="21"/>
          <w:highlight w:val="none"/>
        </w:rPr>
      </w:pPr>
      <w:bookmarkStart w:id="98" w:name="_Toc8253"/>
      <w:bookmarkStart w:id="99" w:name="_Toc21969"/>
      <w:bookmarkStart w:id="100" w:name="_Toc22519"/>
      <w:r>
        <w:rPr>
          <w:rFonts w:hint="eastAsia" w:ascii="宋体" w:hAnsi="宋体" w:cs="宋体"/>
          <w:b/>
          <w:bCs w:val="0"/>
          <w:color w:val="auto"/>
          <w:sz w:val="21"/>
          <w:szCs w:val="21"/>
          <w:highlight w:val="none"/>
        </w:rPr>
        <w:t>第六条  税费</w:t>
      </w:r>
      <w:bookmarkEnd w:id="98"/>
      <w:bookmarkEnd w:id="99"/>
      <w:bookmarkEnd w:id="100"/>
    </w:p>
    <w:p w14:paraId="276F0684">
      <w:pPr>
        <w:spacing w:line="360" w:lineRule="auto"/>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本合同执行中相关的一切税费均由成交供应商负担。</w:t>
      </w:r>
    </w:p>
    <w:p w14:paraId="582E92E9">
      <w:pPr>
        <w:pStyle w:val="6"/>
        <w:tabs>
          <w:tab w:val="left" w:pos="567"/>
        </w:tabs>
        <w:ind w:left="567" w:leftChars="200" w:hanging="147" w:hangingChars="70"/>
        <w:rPr>
          <w:rFonts w:ascii="宋体" w:hAnsi="宋体" w:cs="宋体"/>
          <w:b/>
          <w:bCs w:val="0"/>
          <w:color w:val="auto"/>
          <w:sz w:val="21"/>
          <w:szCs w:val="21"/>
          <w:highlight w:val="none"/>
        </w:rPr>
      </w:pPr>
      <w:bookmarkStart w:id="101" w:name="_Toc11829"/>
      <w:bookmarkStart w:id="102" w:name="_Toc29885"/>
      <w:bookmarkStart w:id="103" w:name="_Toc31516"/>
      <w:r>
        <w:rPr>
          <w:rFonts w:hint="eastAsia" w:ascii="宋体" w:hAnsi="宋体" w:cs="宋体"/>
          <w:b/>
          <w:bCs w:val="0"/>
          <w:color w:val="auto"/>
          <w:sz w:val="21"/>
          <w:szCs w:val="21"/>
          <w:highlight w:val="none"/>
        </w:rPr>
        <w:t>第七条  付款方式</w:t>
      </w:r>
      <w:bookmarkEnd w:id="101"/>
      <w:bookmarkEnd w:id="102"/>
      <w:bookmarkEnd w:id="103"/>
    </w:p>
    <w:p w14:paraId="37F27923">
      <w:pPr>
        <w:spacing w:line="360" w:lineRule="auto"/>
        <w:ind w:firstLine="420" w:firstLineChars="200"/>
        <w:rPr>
          <w:rFonts w:hint="eastAsia" w:ascii="宋体" w:hAnsi="宋体" w:cs="宋体"/>
          <w:szCs w:val="21"/>
          <w:highlight w:val="none"/>
          <w:lang w:val="en-US" w:eastAsia="zh-CN"/>
        </w:rPr>
      </w:pPr>
      <w:bookmarkStart w:id="104" w:name="_Toc2652"/>
      <w:bookmarkStart w:id="105" w:name="_Toc7272"/>
      <w:r>
        <w:rPr>
          <w:rFonts w:hint="eastAsia" w:ascii="宋体" w:hAnsi="宋体" w:cs="宋体"/>
          <w:szCs w:val="21"/>
          <w:highlight w:val="none"/>
          <w:lang w:eastAsia="zh-CN"/>
        </w:rPr>
        <w:t>（</w:t>
      </w:r>
      <w:r>
        <w:rPr>
          <w:rFonts w:hint="eastAsia" w:ascii="宋体" w:hAnsi="宋体" w:cs="宋体"/>
          <w:szCs w:val="21"/>
          <w:highlight w:val="none"/>
          <w:lang w:val="en-US" w:eastAsia="zh-CN"/>
        </w:rPr>
        <w:t>1）、合同签订后5天内，甲方支付乙方合同总价90%的预付款。</w:t>
      </w:r>
    </w:p>
    <w:p w14:paraId="7B146413">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（2）、2026年2月28日前，甲方向乙方支付余下合同款。</w:t>
      </w:r>
    </w:p>
    <w:p w14:paraId="21797376">
      <w:pPr>
        <w:pStyle w:val="6"/>
        <w:tabs>
          <w:tab w:val="left" w:pos="567"/>
        </w:tabs>
        <w:ind w:left="567" w:leftChars="200" w:hanging="147" w:hangingChars="70"/>
        <w:rPr>
          <w:rFonts w:ascii="宋体" w:hAnsi="宋体" w:cs="宋体"/>
          <w:b/>
          <w:bCs w:val="0"/>
          <w:color w:val="auto"/>
          <w:sz w:val="21"/>
          <w:szCs w:val="21"/>
          <w:highlight w:val="none"/>
        </w:rPr>
      </w:pPr>
      <w:bookmarkStart w:id="106" w:name="_Toc25711"/>
      <w:r>
        <w:rPr>
          <w:rFonts w:hint="eastAsia" w:ascii="宋体" w:hAnsi="宋体" w:cs="宋体"/>
          <w:b/>
          <w:bCs w:val="0"/>
          <w:color w:val="auto"/>
          <w:sz w:val="21"/>
          <w:szCs w:val="21"/>
          <w:highlight w:val="none"/>
        </w:rPr>
        <w:t>第八条  违约责任</w:t>
      </w:r>
      <w:bookmarkEnd w:id="104"/>
      <w:bookmarkEnd w:id="105"/>
      <w:bookmarkEnd w:id="106"/>
    </w:p>
    <w:p w14:paraId="59ED3E14">
      <w:pPr>
        <w:spacing w:line="360" w:lineRule="auto"/>
        <w:ind w:firstLine="420" w:firstLineChars="200"/>
        <w:rPr>
          <w:rFonts w:ascii="宋体" w:hAnsi="宋体" w:cs="宋体"/>
          <w:szCs w:val="21"/>
          <w:highlight w:val="none"/>
        </w:rPr>
      </w:pPr>
      <w:r>
        <w:rPr>
          <w:rFonts w:hint="eastAsia" w:ascii="宋体" w:hAnsi="宋体" w:cs="宋体"/>
          <w:szCs w:val="21"/>
          <w:highlight w:val="none"/>
        </w:rPr>
        <w:t>1、成交供应商所提供的服务质量不合格的，应及时调整，调整不及时的按逾期处罚，成交供应商应向采购人支付合同金额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违约金并赔偿采购人经济损失。</w:t>
      </w:r>
    </w:p>
    <w:p w14:paraId="43B39518">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2、成交供应商提供的服务如果侵犯了第三方合法权益而引发的任何纠纷或诉讼，均由成交供应商负责交涉并承担全部责任。</w:t>
      </w:r>
    </w:p>
    <w:p w14:paraId="3B5427BD">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3、甲方无故延期接受服务交付的，每天向对方偿付合同金额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‰违约金，但违约金额不得超过合同金额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%，超过</w:t>
      </w:r>
      <w:r>
        <w:rPr>
          <w:rFonts w:hint="eastAsia" w:ascii="宋体" w:hAnsi="宋体" w:cs="宋体"/>
          <w:szCs w:val="21"/>
          <w:highlight w:val="none"/>
          <w:u w:val="single"/>
        </w:rPr>
        <w:t xml:space="preserve">  </w:t>
      </w:r>
      <w:r>
        <w:rPr>
          <w:rFonts w:hint="eastAsia" w:ascii="宋体" w:hAnsi="宋体" w:cs="宋体"/>
          <w:szCs w:val="21"/>
          <w:highlight w:val="none"/>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szCs w:val="21"/>
          <w:highlight w:val="none"/>
          <w:u w:val="single"/>
        </w:rPr>
        <w:t xml:space="preserve">  </w:t>
      </w:r>
      <w:r>
        <w:rPr>
          <w:rFonts w:hint="eastAsia" w:ascii="宋体" w:hAnsi="宋体" w:cs="宋体"/>
          <w:szCs w:val="21"/>
          <w:highlight w:val="none"/>
        </w:rPr>
        <w:t>‰滞纳金，但滞纳金累计不得超过合同金额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w:t>
      </w:r>
    </w:p>
    <w:p w14:paraId="53C60B74">
      <w:pPr>
        <w:spacing w:line="360" w:lineRule="auto"/>
        <w:ind w:firstLine="420" w:firstLineChars="200"/>
        <w:rPr>
          <w:rFonts w:ascii="宋体" w:hAnsi="宋体" w:cs="宋体"/>
          <w:szCs w:val="21"/>
          <w:highlight w:val="none"/>
        </w:rPr>
      </w:pPr>
      <w:r>
        <w:rPr>
          <w:rFonts w:hint="eastAsia" w:ascii="宋体" w:hAnsi="宋体" w:cs="宋体"/>
          <w:szCs w:val="21"/>
          <w:highlight w:val="none"/>
        </w:rPr>
        <w:t>4、成交供应商未按本合同和响应文件中规定的服务承诺提供服务的，成交供应商应按本合同合同金额</w:t>
      </w:r>
      <w:r>
        <w:rPr>
          <w:rFonts w:hint="eastAsia" w:ascii="宋体" w:hAnsi="宋体" w:cs="宋体"/>
          <w:szCs w:val="21"/>
          <w:highlight w:val="none"/>
          <w:u w:val="single"/>
        </w:rPr>
        <w:t xml:space="preserve">  </w:t>
      </w:r>
      <w:r>
        <w:rPr>
          <w:rFonts w:hint="eastAsia" w:ascii="宋体" w:hAnsi="宋体" w:cs="宋体"/>
          <w:szCs w:val="21"/>
          <w:highlight w:val="none"/>
        </w:rPr>
        <w:t>‰向采购人支付违约金。</w:t>
      </w:r>
    </w:p>
    <w:p w14:paraId="5C32BC5A">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5、其他违约行为按违约款额</w:t>
      </w:r>
      <w:r>
        <w:rPr>
          <w:rFonts w:hint="eastAsia" w:ascii="宋体" w:hAnsi="宋体" w:cs="宋体"/>
          <w:szCs w:val="21"/>
          <w:highlight w:val="none"/>
          <w:u w:val="single"/>
        </w:rPr>
        <w:t xml:space="preserve">  </w:t>
      </w:r>
      <w:r>
        <w:rPr>
          <w:rFonts w:hint="eastAsia" w:ascii="宋体" w:hAnsi="宋体" w:cs="宋体"/>
          <w:szCs w:val="21"/>
          <w:highlight w:val="none"/>
        </w:rPr>
        <w:t>‰收取违约金并赔偿经济损失。</w:t>
      </w:r>
    </w:p>
    <w:p w14:paraId="391CE230">
      <w:pPr>
        <w:pStyle w:val="6"/>
        <w:tabs>
          <w:tab w:val="left" w:pos="567"/>
        </w:tabs>
        <w:ind w:left="567" w:leftChars="200" w:hanging="147" w:hangingChars="70"/>
        <w:rPr>
          <w:rFonts w:ascii="宋体" w:hAnsi="宋体" w:cs="宋体"/>
          <w:b/>
          <w:bCs w:val="0"/>
          <w:color w:val="auto"/>
          <w:sz w:val="21"/>
          <w:szCs w:val="21"/>
          <w:highlight w:val="none"/>
        </w:rPr>
      </w:pPr>
      <w:bookmarkStart w:id="107" w:name="_Toc16745"/>
      <w:bookmarkStart w:id="108" w:name="_Toc8363"/>
      <w:bookmarkStart w:id="109" w:name="_Toc1538"/>
      <w:r>
        <w:rPr>
          <w:rFonts w:hint="eastAsia" w:ascii="宋体" w:hAnsi="宋体" w:cs="宋体"/>
          <w:b/>
          <w:bCs w:val="0"/>
          <w:color w:val="auto"/>
          <w:sz w:val="21"/>
          <w:szCs w:val="21"/>
          <w:highlight w:val="none"/>
        </w:rPr>
        <w:t>第九条  不可抗力事件处理</w:t>
      </w:r>
      <w:bookmarkEnd w:id="107"/>
      <w:bookmarkEnd w:id="108"/>
      <w:bookmarkEnd w:id="109"/>
    </w:p>
    <w:p w14:paraId="581FB632">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1、在合同有效期内，成交供应商因不可抗力事件导致不能履行合同，则合同履行期可延长，其延长期与不可抗力影响期相同。</w:t>
      </w:r>
    </w:p>
    <w:p w14:paraId="7D8F4336">
      <w:pPr>
        <w:numPr>
          <w:ilvl w:val="0"/>
          <w:numId w:val="4"/>
        </w:numPr>
        <w:spacing w:line="360" w:lineRule="auto"/>
        <w:rPr>
          <w:rFonts w:ascii="宋体" w:hAnsi="宋体" w:cs="宋体"/>
          <w:szCs w:val="21"/>
          <w:highlight w:val="none"/>
        </w:rPr>
      </w:pPr>
      <w:r>
        <w:rPr>
          <w:rFonts w:hint="eastAsia" w:ascii="宋体" w:hAnsi="宋体" w:cs="宋体"/>
          <w:szCs w:val="21"/>
          <w:highlight w:val="none"/>
        </w:rPr>
        <w:t>不可抗力事件发生后，应立即通知对方，并寄送有关权威机构出具的证明。</w:t>
      </w:r>
    </w:p>
    <w:p w14:paraId="53A18433">
      <w:pPr>
        <w:numPr>
          <w:ilvl w:val="0"/>
          <w:numId w:val="4"/>
        </w:numPr>
        <w:spacing w:line="360" w:lineRule="auto"/>
        <w:rPr>
          <w:rFonts w:ascii="宋体" w:hAnsi="宋体" w:cs="宋体"/>
          <w:szCs w:val="21"/>
          <w:highlight w:val="none"/>
        </w:rPr>
      </w:pPr>
      <w:r>
        <w:rPr>
          <w:rFonts w:hint="eastAsia" w:ascii="宋体" w:hAnsi="宋体" w:cs="宋体"/>
          <w:szCs w:val="21"/>
          <w:highlight w:val="none"/>
        </w:rPr>
        <w:t>不可抗力事件延续一百二十天以上，双方应通过友好协商，确定是否继续履行合同。</w:t>
      </w:r>
    </w:p>
    <w:p w14:paraId="65112818">
      <w:pPr>
        <w:pStyle w:val="6"/>
        <w:tabs>
          <w:tab w:val="left" w:pos="567"/>
        </w:tabs>
        <w:ind w:left="567" w:leftChars="200" w:hanging="147" w:hangingChars="70"/>
        <w:rPr>
          <w:rFonts w:ascii="宋体" w:hAnsi="宋体" w:cs="宋体"/>
          <w:b/>
          <w:bCs w:val="0"/>
          <w:color w:val="auto"/>
          <w:sz w:val="21"/>
          <w:szCs w:val="21"/>
          <w:highlight w:val="none"/>
        </w:rPr>
      </w:pPr>
      <w:bookmarkStart w:id="110" w:name="_Toc7311"/>
      <w:bookmarkStart w:id="111" w:name="_Toc12796"/>
      <w:bookmarkStart w:id="112" w:name="_Toc8638"/>
      <w:r>
        <w:rPr>
          <w:rFonts w:hint="eastAsia" w:ascii="宋体" w:hAnsi="宋体" w:cs="宋体"/>
          <w:b/>
          <w:bCs w:val="0"/>
          <w:color w:val="auto"/>
          <w:sz w:val="21"/>
          <w:szCs w:val="21"/>
          <w:highlight w:val="none"/>
        </w:rPr>
        <w:t>第十条  合同争议解决</w:t>
      </w:r>
      <w:bookmarkEnd w:id="110"/>
      <w:bookmarkEnd w:id="111"/>
      <w:bookmarkEnd w:id="112"/>
    </w:p>
    <w:p w14:paraId="5DF28B20">
      <w:pPr>
        <w:spacing w:line="360" w:lineRule="auto"/>
        <w:ind w:firstLine="420" w:firstLineChars="200"/>
        <w:rPr>
          <w:rFonts w:ascii="宋体" w:hAnsi="宋体" w:cs="宋体"/>
          <w:szCs w:val="21"/>
          <w:highlight w:val="none"/>
        </w:rPr>
      </w:pPr>
      <w:r>
        <w:rPr>
          <w:rFonts w:hint="eastAsia" w:ascii="宋体" w:hAnsi="宋体" w:cs="宋体"/>
          <w:szCs w:val="21"/>
          <w:highlight w:val="none"/>
        </w:rPr>
        <w:t>1、因服务问题发生争议的，应邀请国家认可的相关机构进行鉴定。服务符合要求的，鉴定费由采购人承担；服务不符合要求的，鉴定费由成交供应商承担。</w:t>
      </w:r>
    </w:p>
    <w:p w14:paraId="7E670607">
      <w:pPr>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2、因履行本合同引起的或与本合同有关的争议，甲乙双方应首先通过友好协商解决，如果协商不能解决，可向向</w:t>
      </w:r>
      <w:r>
        <w:rPr>
          <w:rFonts w:hint="eastAsia" w:ascii="宋体" w:hAnsi="宋体" w:cs="宋体"/>
          <w:highlight w:val="none"/>
        </w:rPr>
        <w:t>桂林市</w:t>
      </w:r>
      <w:r>
        <w:rPr>
          <w:rFonts w:hint="eastAsia" w:ascii="宋体" w:hAnsi="宋体" w:cs="宋体"/>
          <w:szCs w:val="21"/>
          <w:highlight w:val="none"/>
        </w:rPr>
        <w:t>人民法院提起诉讼。</w:t>
      </w:r>
    </w:p>
    <w:p w14:paraId="27B9AB46">
      <w:pPr>
        <w:spacing w:line="360" w:lineRule="auto"/>
        <w:ind w:left="435"/>
        <w:rPr>
          <w:rFonts w:ascii="宋体" w:hAnsi="宋体" w:cs="宋体"/>
          <w:szCs w:val="21"/>
          <w:highlight w:val="none"/>
        </w:rPr>
      </w:pPr>
      <w:r>
        <w:rPr>
          <w:rFonts w:hint="eastAsia" w:ascii="宋体" w:hAnsi="宋体" w:cs="宋体"/>
          <w:szCs w:val="21"/>
          <w:highlight w:val="none"/>
        </w:rPr>
        <w:t>3、诉讼期间，本合同继续履行。</w:t>
      </w:r>
    </w:p>
    <w:p w14:paraId="1EB6750F">
      <w:pPr>
        <w:pStyle w:val="6"/>
        <w:tabs>
          <w:tab w:val="left" w:pos="567"/>
        </w:tabs>
        <w:ind w:left="567" w:leftChars="200" w:hanging="147" w:hangingChars="70"/>
        <w:rPr>
          <w:rFonts w:ascii="宋体" w:hAnsi="宋体" w:cs="宋体"/>
          <w:b/>
          <w:bCs w:val="0"/>
          <w:color w:val="auto"/>
          <w:sz w:val="21"/>
          <w:szCs w:val="21"/>
          <w:highlight w:val="none"/>
        </w:rPr>
      </w:pPr>
      <w:bookmarkStart w:id="113" w:name="_Toc17823"/>
      <w:bookmarkStart w:id="114" w:name="_Toc27483"/>
      <w:bookmarkStart w:id="115" w:name="_Toc26285"/>
      <w:r>
        <w:rPr>
          <w:rFonts w:hint="eastAsia" w:ascii="宋体" w:hAnsi="宋体" w:cs="宋体"/>
          <w:b/>
          <w:bCs w:val="0"/>
          <w:color w:val="auto"/>
          <w:sz w:val="21"/>
          <w:szCs w:val="21"/>
          <w:highlight w:val="none"/>
        </w:rPr>
        <w:t>第十一条  合同生效及其它</w:t>
      </w:r>
      <w:bookmarkEnd w:id="113"/>
      <w:bookmarkEnd w:id="114"/>
      <w:bookmarkEnd w:id="115"/>
    </w:p>
    <w:p w14:paraId="3342D741">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14:paraId="3B2BB3AC">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2、合同执行中涉及采购资金和采购内容修改或补充的，需桂林市</w:t>
      </w:r>
      <w:r>
        <w:rPr>
          <w:rFonts w:hint="eastAsia" w:ascii="宋体" w:hAnsi="宋体" w:cs="宋体"/>
          <w:szCs w:val="21"/>
          <w:highlight w:val="none"/>
          <w:lang w:eastAsia="zh-CN"/>
        </w:rPr>
        <w:t>七星区</w:t>
      </w:r>
      <w:r>
        <w:rPr>
          <w:rFonts w:hint="eastAsia" w:ascii="宋体" w:hAnsi="宋体" w:cs="宋体"/>
          <w:szCs w:val="21"/>
          <w:highlight w:val="none"/>
        </w:rPr>
        <w:t>财政部门审批，并签订书面补充协议报</w:t>
      </w:r>
      <w:r>
        <w:rPr>
          <w:rFonts w:hint="eastAsia" w:ascii="宋体" w:hAnsi="宋体" w:cs="宋体"/>
          <w:highlight w:val="none"/>
        </w:rPr>
        <w:t>本级财政部门</w:t>
      </w:r>
      <w:r>
        <w:rPr>
          <w:rFonts w:hint="eastAsia" w:ascii="宋体" w:hAnsi="宋体" w:cs="宋体"/>
          <w:szCs w:val="21"/>
          <w:highlight w:val="none"/>
        </w:rPr>
        <w:t>备案，方可作为主合同不可分割的一部分。</w:t>
      </w:r>
    </w:p>
    <w:p w14:paraId="646F19E6">
      <w:pPr>
        <w:spacing w:line="360" w:lineRule="auto"/>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03647B77">
      <w:pPr>
        <w:pStyle w:val="6"/>
        <w:tabs>
          <w:tab w:val="left" w:pos="567"/>
        </w:tabs>
        <w:ind w:left="567" w:leftChars="200" w:hanging="147" w:hangingChars="70"/>
        <w:rPr>
          <w:rFonts w:ascii="宋体" w:hAnsi="宋体" w:cs="宋体"/>
          <w:b/>
          <w:bCs w:val="0"/>
          <w:color w:val="auto"/>
          <w:sz w:val="21"/>
          <w:szCs w:val="21"/>
          <w:highlight w:val="none"/>
        </w:rPr>
      </w:pPr>
      <w:bookmarkStart w:id="116" w:name="_Toc7824"/>
      <w:bookmarkStart w:id="117" w:name="_Toc31438"/>
      <w:bookmarkStart w:id="118" w:name="_Toc12956"/>
      <w:r>
        <w:rPr>
          <w:rFonts w:hint="eastAsia" w:ascii="宋体" w:hAnsi="宋体" w:cs="宋体"/>
          <w:b/>
          <w:bCs w:val="0"/>
          <w:color w:val="auto"/>
          <w:sz w:val="21"/>
          <w:szCs w:val="21"/>
          <w:highlight w:val="none"/>
        </w:rPr>
        <w:t>第十二条  合同的变更、终止与转让</w:t>
      </w:r>
      <w:bookmarkEnd w:id="116"/>
      <w:bookmarkEnd w:id="117"/>
      <w:bookmarkEnd w:id="118"/>
    </w:p>
    <w:p w14:paraId="6F093117">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3F971FCD">
      <w:pPr>
        <w:numPr>
          <w:ilvl w:val="0"/>
          <w:numId w:val="5"/>
        </w:numPr>
        <w:spacing w:line="360" w:lineRule="auto"/>
        <w:rPr>
          <w:rFonts w:ascii="宋体" w:hAnsi="宋体" w:cs="宋体"/>
          <w:szCs w:val="21"/>
          <w:highlight w:val="none"/>
        </w:rPr>
      </w:pPr>
      <w:r>
        <w:rPr>
          <w:rFonts w:hint="eastAsia" w:ascii="宋体" w:hAnsi="宋体" w:cs="宋体"/>
          <w:szCs w:val="21"/>
          <w:highlight w:val="none"/>
        </w:rPr>
        <w:t>成交供应商不得擅自转让其应履行的合同义务。</w:t>
      </w:r>
    </w:p>
    <w:p w14:paraId="29B48849">
      <w:pPr>
        <w:pStyle w:val="6"/>
        <w:tabs>
          <w:tab w:val="left" w:pos="567"/>
        </w:tabs>
        <w:ind w:left="567" w:leftChars="200" w:hanging="147" w:hangingChars="70"/>
        <w:rPr>
          <w:rFonts w:ascii="宋体" w:hAnsi="宋体" w:cs="宋体"/>
          <w:b/>
          <w:bCs w:val="0"/>
          <w:color w:val="auto"/>
          <w:sz w:val="21"/>
          <w:szCs w:val="21"/>
          <w:highlight w:val="none"/>
        </w:rPr>
      </w:pPr>
      <w:bookmarkStart w:id="119" w:name="_Toc31091"/>
      <w:bookmarkStart w:id="120" w:name="_Toc32608"/>
      <w:bookmarkStart w:id="121" w:name="_Toc14327"/>
      <w:r>
        <w:rPr>
          <w:rFonts w:hint="eastAsia" w:ascii="宋体" w:hAnsi="宋体" w:cs="宋体"/>
          <w:b/>
          <w:bCs w:val="0"/>
          <w:color w:val="auto"/>
          <w:sz w:val="21"/>
          <w:szCs w:val="21"/>
          <w:highlight w:val="none"/>
        </w:rPr>
        <w:t>第十三条  签订本合同依据</w:t>
      </w:r>
      <w:bookmarkEnd w:id="119"/>
      <w:bookmarkEnd w:id="120"/>
      <w:bookmarkEnd w:id="121"/>
    </w:p>
    <w:p w14:paraId="7352E4B6">
      <w:pPr>
        <w:spacing w:line="360" w:lineRule="auto"/>
        <w:ind w:left="420"/>
        <w:rPr>
          <w:rFonts w:ascii="宋体" w:hAnsi="宋体" w:cs="宋体"/>
          <w:szCs w:val="21"/>
          <w:highlight w:val="none"/>
        </w:rPr>
      </w:pPr>
      <w:r>
        <w:rPr>
          <w:rFonts w:hint="eastAsia" w:ascii="宋体" w:hAnsi="宋体" w:cs="宋体"/>
          <w:szCs w:val="21"/>
          <w:highlight w:val="none"/>
        </w:rPr>
        <w:t>1、竞争性磋商文件；</w:t>
      </w:r>
    </w:p>
    <w:p w14:paraId="44625617">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2、成交供应商的响应（或应答）文件；</w:t>
      </w:r>
    </w:p>
    <w:p w14:paraId="1E0732D5">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3、服务承诺书；</w:t>
      </w:r>
    </w:p>
    <w:p w14:paraId="2EB917B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4、磋商中的磋商记录；</w:t>
      </w:r>
    </w:p>
    <w:p w14:paraId="2C8D864D">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5、成交通知书。</w:t>
      </w:r>
    </w:p>
    <w:p w14:paraId="42626F01">
      <w:pPr>
        <w:spacing w:line="360" w:lineRule="auto"/>
        <w:ind w:firstLine="420" w:firstLineChars="200"/>
        <w:rPr>
          <w:rFonts w:ascii="宋体" w:hAnsi="宋体" w:cs="宋体"/>
          <w:highlight w:val="none"/>
        </w:rPr>
      </w:pPr>
      <w:r>
        <w:rPr>
          <w:rFonts w:hint="eastAsia" w:ascii="宋体" w:hAnsi="宋体" w:cs="宋体"/>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61D9F25F">
      <w:pPr>
        <w:spacing w:line="360" w:lineRule="auto"/>
        <w:ind w:firstLine="420" w:firstLineChars="200"/>
        <w:rPr>
          <w:rFonts w:ascii="宋体" w:hAnsi="宋体" w:cs="宋体"/>
          <w:szCs w:val="21"/>
          <w:highlight w:val="none"/>
        </w:rPr>
      </w:pPr>
    </w:p>
    <w:p w14:paraId="15B87418">
      <w:pPr>
        <w:spacing w:line="360" w:lineRule="auto"/>
        <w:rPr>
          <w:rFonts w:ascii="宋体" w:hAnsi="宋体" w:cs="宋体"/>
          <w:szCs w:val="21"/>
          <w:highlight w:val="none"/>
        </w:rPr>
      </w:pPr>
    </w:p>
    <w:p w14:paraId="24D5AB5E">
      <w:pPr>
        <w:spacing w:line="360" w:lineRule="auto"/>
        <w:rPr>
          <w:rFonts w:ascii="宋体" w:hAnsi="宋体" w:cs="宋体"/>
          <w:szCs w:val="21"/>
          <w:highlight w:val="none"/>
          <w:u w:val="single"/>
        </w:rPr>
      </w:pPr>
      <w:r>
        <w:rPr>
          <w:rFonts w:hint="eastAsia" w:ascii="宋体" w:hAnsi="宋体" w:cs="宋体"/>
          <w:szCs w:val="21"/>
          <w:highlight w:val="none"/>
        </w:rPr>
        <w:t>采购人名称（公章）：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成交供应商名称（公章）：</w:t>
      </w:r>
      <w:r>
        <w:rPr>
          <w:rFonts w:hint="eastAsia" w:ascii="宋体" w:hAnsi="宋体" w:cs="宋体"/>
          <w:szCs w:val="21"/>
          <w:highlight w:val="none"/>
          <w:u w:val="single"/>
        </w:rPr>
        <w:t xml:space="preserve">                                                    </w:t>
      </w:r>
    </w:p>
    <w:p w14:paraId="45220340">
      <w:pPr>
        <w:spacing w:line="360" w:lineRule="auto"/>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19DAE5C">
      <w:pPr>
        <w:tabs>
          <w:tab w:val="left" w:pos="4680"/>
        </w:tabs>
        <w:spacing w:line="360" w:lineRule="auto"/>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16E6C20E">
      <w:pPr>
        <w:tabs>
          <w:tab w:val="left" w:pos="5040"/>
        </w:tabs>
        <w:spacing w:line="360" w:lineRule="auto"/>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3ABBDB9A">
      <w:pPr>
        <w:tabs>
          <w:tab w:val="left" w:pos="5040"/>
        </w:tabs>
        <w:spacing w:line="360" w:lineRule="auto"/>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0A90E5C">
      <w:pPr>
        <w:tabs>
          <w:tab w:val="left" w:pos="5040"/>
        </w:tabs>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6D62100">
      <w:pPr>
        <w:tabs>
          <w:tab w:val="left" w:pos="5040"/>
        </w:tabs>
        <w:spacing w:line="360" w:lineRule="auto"/>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6A64B25">
      <w:pPr>
        <w:tabs>
          <w:tab w:val="left" w:pos="5040"/>
        </w:tabs>
        <w:spacing w:line="400" w:lineRule="exact"/>
        <w:rPr>
          <w:b w:val="0"/>
          <w:bCs w:val="0"/>
          <w:color w:val="auto"/>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2AAB3D7">
      <w:pPr>
        <w:tabs>
          <w:tab w:val="left" w:pos="5040"/>
        </w:tabs>
        <w:spacing w:line="400" w:lineRule="exact"/>
        <w:rPr>
          <w:b w:val="0"/>
          <w:bCs w:val="0"/>
          <w:color w:val="auto"/>
          <w:szCs w:val="21"/>
          <w:highlight w:val="none"/>
        </w:rPr>
      </w:pPr>
    </w:p>
    <w:p w14:paraId="0F76DE0F">
      <w:pPr>
        <w:tabs>
          <w:tab w:val="left" w:pos="5040"/>
        </w:tabs>
        <w:spacing w:line="400" w:lineRule="exact"/>
        <w:rPr>
          <w:b w:val="0"/>
          <w:bCs w:val="0"/>
          <w:color w:val="auto"/>
          <w:szCs w:val="21"/>
          <w:highlight w:val="none"/>
        </w:rPr>
      </w:pPr>
    </w:p>
    <w:p w14:paraId="6379DED2">
      <w:pPr>
        <w:rPr>
          <w:rFonts w:hint="eastAsia" w:ascii="宋体" w:hAnsi="宋体"/>
          <w:b/>
          <w:color w:val="auto"/>
          <w:szCs w:val="21"/>
          <w:highlight w:val="none"/>
        </w:rPr>
      </w:pPr>
    </w:p>
    <w:p w14:paraId="79220FC5">
      <w:pPr>
        <w:spacing w:line="360" w:lineRule="exact"/>
        <w:jc w:val="left"/>
        <w:outlineLvl w:val="0"/>
        <w:rPr>
          <w:rFonts w:hint="eastAsia"/>
          <w:b/>
          <w:color w:val="auto"/>
          <w:sz w:val="32"/>
          <w:szCs w:val="32"/>
          <w:highlight w:val="none"/>
        </w:rPr>
      </w:pPr>
      <w:r>
        <w:rPr>
          <w:b/>
          <w:color w:val="auto"/>
          <w:sz w:val="32"/>
          <w:szCs w:val="32"/>
          <w:highlight w:val="none"/>
        </w:rPr>
        <w:br w:type="page"/>
      </w:r>
    </w:p>
    <w:p w14:paraId="74D27710">
      <w:pPr>
        <w:spacing w:line="360" w:lineRule="exact"/>
        <w:jc w:val="center"/>
        <w:outlineLvl w:val="0"/>
        <w:rPr>
          <w:rFonts w:hint="eastAsia"/>
          <w:b/>
          <w:color w:val="auto"/>
          <w:sz w:val="32"/>
          <w:szCs w:val="32"/>
          <w:highlight w:val="none"/>
        </w:rPr>
      </w:pPr>
      <w:r>
        <w:rPr>
          <w:rFonts w:hint="eastAsia"/>
          <w:b/>
          <w:color w:val="auto"/>
          <w:sz w:val="32"/>
          <w:szCs w:val="32"/>
          <w:highlight w:val="none"/>
        </w:rPr>
        <w:t>第六章  响应文件（格式）</w:t>
      </w:r>
    </w:p>
    <w:p w14:paraId="68D36C20">
      <w:pPr>
        <w:spacing w:line="360" w:lineRule="exact"/>
        <w:jc w:val="center"/>
        <w:rPr>
          <w:rFonts w:hint="eastAsia"/>
          <w:b/>
          <w:color w:val="auto"/>
          <w:sz w:val="32"/>
          <w:szCs w:val="32"/>
          <w:highlight w:val="none"/>
        </w:rPr>
      </w:pPr>
    </w:p>
    <w:p w14:paraId="440654BB">
      <w:pPr>
        <w:spacing w:line="360" w:lineRule="exact"/>
        <w:jc w:val="left"/>
        <w:rPr>
          <w:rFonts w:hint="eastAsia" w:hAnsi="宋体"/>
          <w:color w:val="auto"/>
          <w:szCs w:val="21"/>
          <w:highlight w:val="none"/>
        </w:rPr>
      </w:pPr>
    </w:p>
    <w:p w14:paraId="585A192F">
      <w:pPr>
        <w:spacing w:line="360" w:lineRule="exact"/>
        <w:jc w:val="left"/>
        <w:rPr>
          <w:rFonts w:hint="eastAsia" w:hAnsi="宋体"/>
          <w:color w:val="auto"/>
          <w:szCs w:val="21"/>
          <w:highlight w:val="none"/>
        </w:rPr>
      </w:pPr>
    </w:p>
    <w:p w14:paraId="28ED1A32">
      <w:pPr>
        <w:outlineLvl w:val="1"/>
        <w:rPr>
          <w:rFonts w:hint="eastAsia" w:ascii="宋体" w:hAnsi="宋体" w:cs="宋体"/>
          <w:b/>
          <w:bCs/>
          <w:color w:val="auto"/>
          <w:sz w:val="32"/>
          <w:szCs w:val="32"/>
          <w:highlight w:val="none"/>
        </w:rPr>
      </w:pPr>
      <w:bookmarkStart w:id="122" w:name="_Toc12233"/>
      <w:r>
        <w:rPr>
          <w:rFonts w:hint="eastAsia" w:ascii="宋体" w:hAnsi="宋体" w:cs="宋体"/>
          <w:b/>
          <w:bCs/>
          <w:color w:val="auto"/>
          <w:sz w:val="32"/>
          <w:szCs w:val="32"/>
          <w:highlight w:val="none"/>
        </w:rPr>
        <w:t>响应文件组成</w:t>
      </w:r>
      <w:bookmarkEnd w:id="122"/>
    </w:p>
    <w:p w14:paraId="2EEA57D4">
      <w:pPr>
        <w:pStyle w:val="2"/>
        <w:rPr>
          <w:rFonts w:hint="eastAsia" w:ascii="宋体" w:hAnsi="宋体" w:cs="宋体"/>
          <w:color w:val="auto"/>
          <w:highlight w:val="none"/>
        </w:rPr>
      </w:pPr>
    </w:p>
    <w:p w14:paraId="426045D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（一）资格性响应证明材料</w:t>
      </w:r>
    </w:p>
    <w:p w14:paraId="21F38DF4">
      <w:pPr>
        <w:spacing w:line="480" w:lineRule="auto"/>
        <w:rPr>
          <w:rFonts w:hint="eastAsia" w:ascii="宋体" w:hAnsi="宋体" w:cs="宋体"/>
          <w:b/>
          <w:bCs/>
          <w:color w:val="auto"/>
          <w:sz w:val="28"/>
          <w:szCs w:val="28"/>
          <w:highlight w:val="none"/>
        </w:rPr>
      </w:pPr>
    </w:p>
    <w:p w14:paraId="77CC68A4">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（二）符合性响应证明材料</w:t>
      </w:r>
    </w:p>
    <w:p w14:paraId="4B99099E">
      <w:pPr>
        <w:spacing w:line="480" w:lineRule="auto"/>
        <w:rPr>
          <w:rFonts w:hint="eastAsia" w:ascii="宋体" w:hAnsi="宋体" w:cs="宋体"/>
          <w:b/>
          <w:bCs/>
          <w:color w:val="auto"/>
          <w:sz w:val="28"/>
          <w:szCs w:val="28"/>
          <w:highlight w:val="none"/>
        </w:rPr>
      </w:pPr>
    </w:p>
    <w:p w14:paraId="530164C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（三）其他有效证明材料</w:t>
      </w:r>
    </w:p>
    <w:p w14:paraId="135923A4">
      <w:pPr>
        <w:jc w:val="center"/>
        <w:rPr>
          <w:rFonts w:hint="eastAsia" w:ascii="宋体" w:hAnsi="宋体" w:cs="宋体"/>
          <w:color w:val="auto"/>
          <w:highlight w:val="none"/>
        </w:rPr>
      </w:pPr>
      <w:bookmarkStart w:id="123" w:name="_Toc497927071"/>
      <w:bookmarkStart w:id="124" w:name="_Toc7185"/>
      <w:bookmarkStart w:id="125" w:name="_Toc11067"/>
      <w:r>
        <w:rPr>
          <w:rFonts w:hint="eastAsia" w:ascii="宋体" w:hAnsi="宋体" w:cs="宋体"/>
          <w:color w:val="auto"/>
          <w:sz w:val="32"/>
          <w:szCs w:val="32"/>
          <w:highlight w:val="none"/>
        </w:rPr>
        <w:br w:type="page"/>
      </w:r>
      <w:bookmarkStart w:id="126" w:name="_Toc23422"/>
      <w:r>
        <w:rPr>
          <w:rFonts w:hint="eastAsia" w:ascii="宋体" w:hAnsi="宋体" w:cs="宋体"/>
          <w:b/>
          <w:bCs/>
          <w:color w:val="auto"/>
          <w:sz w:val="32"/>
          <w:szCs w:val="32"/>
          <w:highlight w:val="none"/>
        </w:rPr>
        <w:t>（一）资格性响应证明材料目录</w:t>
      </w:r>
      <w:bookmarkEnd w:id="123"/>
      <w:bookmarkEnd w:id="124"/>
      <w:bookmarkEnd w:id="125"/>
      <w:bookmarkEnd w:id="126"/>
    </w:p>
    <w:p w14:paraId="358C97C1">
      <w:pPr>
        <w:spacing w:line="400" w:lineRule="exact"/>
        <w:ind w:firstLine="420" w:firstLineChars="200"/>
        <w:rPr>
          <w:rFonts w:hint="eastAsia" w:ascii="宋体" w:hAnsi="宋体" w:cs="宋体"/>
          <w:color w:val="auto"/>
          <w:szCs w:val="21"/>
          <w:highlight w:val="none"/>
        </w:rPr>
      </w:pPr>
    </w:p>
    <w:p w14:paraId="2CA54AA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2F381C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0C586BC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1CEAF88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66797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2114684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5F067EE9">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1B9E3451">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3F8D0C4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084B2053">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2FE81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A742AE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11CAA930">
      <w:pPr>
        <w:spacing w:line="440" w:lineRule="atLeast"/>
        <w:outlineLvl w:val="2"/>
        <w:rPr>
          <w:rFonts w:hint="eastAsia" w:ascii="宋体" w:hAnsi="宋体" w:cs="宋体"/>
          <w:b/>
          <w:color w:val="auto"/>
          <w:sz w:val="28"/>
          <w:szCs w:val="28"/>
          <w:highlight w:val="none"/>
        </w:rPr>
      </w:pPr>
      <w:bookmarkStart w:id="127" w:name="_Toc9871"/>
    </w:p>
    <w:p w14:paraId="207FD25C">
      <w:pPr>
        <w:pStyle w:val="6"/>
        <w:rPr>
          <w:rFonts w:hint="eastAsia"/>
          <w:color w:val="auto"/>
          <w:highlight w:val="none"/>
        </w:rPr>
      </w:pPr>
    </w:p>
    <w:p w14:paraId="5E2157C0">
      <w:pPr>
        <w:spacing w:line="440" w:lineRule="atLeast"/>
        <w:outlineLvl w:val="2"/>
        <w:rPr>
          <w:rFonts w:hint="eastAsia" w:ascii="宋体" w:hAnsi="宋体" w:cs="宋体"/>
          <w:b/>
          <w:color w:val="auto"/>
          <w:sz w:val="28"/>
          <w:szCs w:val="28"/>
          <w:highlight w:val="none"/>
        </w:rPr>
      </w:pPr>
    </w:p>
    <w:p w14:paraId="70A78B08">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1.供应商相应的法定代表人、负责人、自然人身份证正反两面复印件（必须提供）；</w:t>
      </w:r>
      <w:bookmarkEnd w:id="127"/>
    </w:p>
    <w:p w14:paraId="2198CAB3">
      <w:pPr>
        <w:spacing w:line="440" w:lineRule="atLeast"/>
        <w:rPr>
          <w:rFonts w:hint="eastAsia" w:ascii="宋体" w:hAnsi="宋体" w:cs="宋体"/>
          <w:b/>
          <w:color w:val="auto"/>
          <w:sz w:val="28"/>
          <w:szCs w:val="28"/>
          <w:highlight w:val="none"/>
        </w:rPr>
      </w:pPr>
    </w:p>
    <w:p w14:paraId="4F1687D3">
      <w:pPr>
        <w:pStyle w:val="3"/>
        <w:rPr>
          <w:rFonts w:hint="eastAsia"/>
          <w:highlight w:val="none"/>
        </w:rPr>
      </w:pPr>
    </w:p>
    <w:p w14:paraId="730A2966">
      <w:pPr>
        <w:rPr>
          <w:rFonts w:hint="eastAsia"/>
          <w:color w:val="auto"/>
          <w:highlight w:val="none"/>
        </w:rPr>
      </w:pPr>
    </w:p>
    <w:p w14:paraId="604A5238">
      <w:pPr>
        <w:rPr>
          <w:rFonts w:hint="eastAsia"/>
          <w:color w:val="auto"/>
          <w:highlight w:val="none"/>
        </w:rPr>
      </w:pPr>
    </w:p>
    <w:p w14:paraId="1C1835B5">
      <w:pPr>
        <w:spacing w:line="440" w:lineRule="atLeast"/>
        <w:outlineLvl w:val="2"/>
        <w:rPr>
          <w:rFonts w:hint="eastAsia" w:ascii="宋体" w:hAnsi="宋体" w:cs="宋体"/>
          <w:b/>
          <w:color w:val="auto"/>
          <w:sz w:val="28"/>
          <w:szCs w:val="28"/>
          <w:highlight w:val="none"/>
        </w:rPr>
      </w:pPr>
      <w:bookmarkStart w:id="128" w:name="_Toc6848"/>
      <w:r>
        <w:rPr>
          <w:rFonts w:hint="eastAsia" w:ascii="宋体" w:hAnsi="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种情形的：</w:t>
      </w:r>
      <w:bookmarkEnd w:id="128"/>
    </w:p>
    <w:p w14:paraId="159850B2">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（1）如供应商为截标时间前60日以内成立的公司，可以提供供应商与委托代理人签订的劳动合同复印件代替社保证明复印件；</w:t>
      </w:r>
    </w:p>
    <w:p w14:paraId="6CB1919E">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（2）如供应商为事业单位，可以提供事业单位机构编制管理证复印件或事业单位机构为其发放工资的工资条复印件代替社保证明复印件；</w:t>
      </w:r>
    </w:p>
    <w:p w14:paraId="2BC641B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（3）如委托代理人为免缴纳社保人员，提供免缴纳社保的证明材料复印件及供应商与委托代理人签订的劳动合同复印件代替社保证明复印件。</w:t>
      </w:r>
    </w:p>
    <w:p w14:paraId="76DF9C33">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）如法定代表人参加投标，可以不提供社保证明。</w:t>
      </w:r>
    </w:p>
    <w:p w14:paraId="61F92E0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2AAD1EA9">
      <w:pPr>
        <w:pStyle w:val="12"/>
        <w:rPr>
          <w:rFonts w:hint="eastAsia" w:hAnsi="宋体" w:cs="宋体"/>
          <w:b/>
          <w:color w:val="auto"/>
          <w:sz w:val="32"/>
          <w:highlight w:val="none"/>
        </w:rPr>
      </w:pPr>
    </w:p>
    <w:p w14:paraId="7ABFFC47">
      <w:pPr>
        <w:rPr>
          <w:rFonts w:hint="eastAsia" w:hAnsi="宋体" w:cs="宋体"/>
          <w:b/>
          <w:color w:val="auto"/>
          <w:sz w:val="32"/>
          <w:highlight w:val="none"/>
        </w:rPr>
      </w:pPr>
    </w:p>
    <w:p w14:paraId="2A885EAC">
      <w:pPr>
        <w:pStyle w:val="2"/>
        <w:rPr>
          <w:rFonts w:hint="eastAsia" w:hAnsi="宋体" w:cs="宋体"/>
          <w:b/>
          <w:color w:val="auto"/>
          <w:sz w:val="32"/>
          <w:highlight w:val="none"/>
        </w:rPr>
      </w:pPr>
    </w:p>
    <w:p w14:paraId="27393CA6">
      <w:pPr>
        <w:pStyle w:val="17"/>
        <w:rPr>
          <w:rFonts w:hint="eastAsia" w:hAnsi="宋体" w:cs="宋体"/>
          <w:b/>
          <w:color w:val="auto"/>
          <w:sz w:val="32"/>
          <w:highlight w:val="none"/>
        </w:rPr>
      </w:pPr>
    </w:p>
    <w:p w14:paraId="2CB24479">
      <w:pPr>
        <w:pStyle w:val="17"/>
        <w:rPr>
          <w:rFonts w:hint="eastAsia" w:hAnsi="宋体" w:cs="宋体"/>
          <w:b/>
          <w:color w:val="auto"/>
          <w:sz w:val="32"/>
          <w:highlight w:val="none"/>
        </w:rPr>
      </w:pPr>
    </w:p>
    <w:p w14:paraId="03672587">
      <w:pPr>
        <w:pStyle w:val="12"/>
        <w:rPr>
          <w:rFonts w:hint="eastAsia" w:hAnsi="宋体" w:cs="宋体"/>
          <w:b/>
          <w:color w:val="auto"/>
          <w:sz w:val="32"/>
          <w:highlight w:val="none"/>
        </w:rPr>
      </w:pPr>
      <w:r>
        <w:rPr>
          <w:rFonts w:hint="eastAsia" w:hAnsi="宋体" w:cs="宋体"/>
          <w:b/>
          <w:color w:val="auto"/>
          <w:sz w:val="32"/>
          <w:highlight w:val="none"/>
        </w:rPr>
        <w:t>附件：</w:t>
      </w:r>
    </w:p>
    <w:p w14:paraId="1283574F">
      <w:pPr>
        <w:pStyle w:val="12"/>
        <w:ind w:firstLine="627" w:firstLineChars="196"/>
        <w:jc w:val="center"/>
        <w:rPr>
          <w:rFonts w:hint="eastAsia" w:hAnsi="宋体" w:cs="宋体"/>
          <w:b/>
          <w:color w:val="auto"/>
          <w:sz w:val="32"/>
          <w:highlight w:val="none"/>
        </w:rPr>
      </w:pPr>
      <w:bookmarkStart w:id="129" w:name="_Toc964_WPSOffice_Level1"/>
      <w:bookmarkStart w:id="130" w:name="_Toc5420_WPSOffice_Level1"/>
      <w:r>
        <w:rPr>
          <w:rFonts w:hint="eastAsia" w:hAnsi="宋体" w:cs="宋体"/>
          <w:b/>
          <w:color w:val="auto"/>
          <w:sz w:val="32"/>
          <w:highlight w:val="none"/>
        </w:rPr>
        <w:t>授权委托书（格式一）</w:t>
      </w:r>
      <w:bookmarkEnd w:id="129"/>
      <w:bookmarkEnd w:id="130"/>
    </w:p>
    <w:p w14:paraId="454EC646">
      <w:pPr>
        <w:pStyle w:val="12"/>
        <w:rPr>
          <w:rFonts w:hint="eastAsia" w:hAnsi="宋体" w:cs="宋体"/>
          <w:color w:val="auto"/>
          <w:highlight w:val="none"/>
        </w:rPr>
      </w:pPr>
    </w:p>
    <w:p w14:paraId="08475C13">
      <w:pPr>
        <w:spacing w:line="400" w:lineRule="exact"/>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永道工程咨询（江苏）有限公司</w:t>
      </w:r>
      <w:r>
        <w:rPr>
          <w:rFonts w:hint="eastAsia" w:ascii="宋体" w:hAnsi="宋体" w:cs="宋体"/>
          <w:color w:val="auto"/>
          <w:szCs w:val="21"/>
          <w:highlight w:val="none"/>
          <w:u w:val="single"/>
        </w:rPr>
        <w:t xml:space="preserve"> </w:t>
      </w:r>
    </w:p>
    <w:p w14:paraId="68BB2DCC">
      <w:pPr>
        <w:spacing w:line="400" w:lineRule="exact"/>
        <w:rPr>
          <w:rFonts w:hint="eastAsia" w:ascii="宋体" w:hAnsi="宋体" w:cs="宋体"/>
          <w:color w:val="auto"/>
          <w:szCs w:val="21"/>
          <w:highlight w:val="none"/>
        </w:rPr>
      </w:pPr>
    </w:p>
    <w:p w14:paraId="1FF17448">
      <w:pPr>
        <w:pStyle w:val="12"/>
        <w:spacing w:line="400" w:lineRule="exact"/>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14:paraId="7A61A8AD">
      <w:pPr>
        <w:pStyle w:val="12"/>
        <w:spacing w:line="400" w:lineRule="exact"/>
        <w:ind w:firstLine="420" w:firstLineChars="200"/>
        <w:rPr>
          <w:rFonts w:hint="eastAsia" w:hAnsi="宋体" w:cs="宋体"/>
          <w:color w:val="auto"/>
          <w:highlight w:val="none"/>
        </w:rPr>
      </w:pPr>
      <w:r>
        <w:rPr>
          <w:rFonts w:hint="eastAsia" w:hAnsi="宋体" w:cs="宋体"/>
          <w:color w:val="auto"/>
          <w:highlight w:val="none"/>
        </w:rPr>
        <w:t>我方对被授权人的签字事项负全部责任。</w:t>
      </w:r>
    </w:p>
    <w:p w14:paraId="462F5389">
      <w:pPr>
        <w:pStyle w:val="12"/>
        <w:spacing w:line="400" w:lineRule="exact"/>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450D8793">
      <w:pPr>
        <w:pStyle w:val="12"/>
        <w:spacing w:line="400" w:lineRule="exact"/>
        <w:rPr>
          <w:rFonts w:hint="eastAsia" w:hAnsi="宋体" w:cs="宋体"/>
          <w:color w:val="auto"/>
          <w:highlight w:val="none"/>
          <w:u w:val="single"/>
        </w:rPr>
      </w:pPr>
      <w:r>
        <w:rPr>
          <w:rFonts w:hint="eastAsia" w:hAnsi="宋体" w:cs="宋体"/>
          <w:color w:val="auto"/>
          <w:highlight w:val="none"/>
        </w:rPr>
        <w:t xml:space="preserve">                                                                                             </w:t>
      </w:r>
    </w:p>
    <w:p w14:paraId="5741D7AD">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4FE75E11">
      <w:pPr>
        <w:spacing w:line="400" w:lineRule="exact"/>
        <w:ind w:firstLine="420" w:firstLineChars="200"/>
        <w:rPr>
          <w:rFonts w:hint="eastAsia" w:ascii="宋体" w:hAnsi="宋体" w:cs="宋体"/>
          <w:color w:val="auto"/>
          <w:kern w:val="0"/>
          <w:highlight w:val="none"/>
        </w:rPr>
      </w:pPr>
    </w:p>
    <w:p w14:paraId="630323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7E5699F5">
      <w:pPr>
        <w:spacing w:line="400" w:lineRule="exact"/>
        <w:ind w:firstLine="420" w:firstLineChars="200"/>
        <w:rPr>
          <w:rFonts w:hint="eastAsia" w:ascii="宋体" w:hAnsi="宋体" w:cs="宋体"/>
          <w:color w:val="auto"/>
          <w:szCs w:val="21"/>
          <w:highlight w:val="none"/>
        </w:rPr>
      </w:pPr>
    </w:p>
    <w:p w14:paraId="7EE5DE6C">
      <w:pPr>
        <w:spacing w:line="400" w:lineRule="exact"/>
        <w:ind w:firstLine="420" w:firstLineChars="200"/>
        <w:rPr>
          <w:rFonts w:hint="eastAsia" w:ascii="宋体" w:hAnsi="宋体" w:cs="宋体"/>
          <w:color w:val="auto"/>
          <w:szCs w:val="21"/>
          <w:highlight w:val="none"/>
        </w:rPr>
      </w:pPr>
    </w:p>
    <w:p w14:paraId="010A0037">
      <w:pPr>
        <w:snapToGrid w:val="0"/>
        <w:spacing w:line="40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w:t>
      </w:r>
      <w:r>
        <w:rPr>
          <w:rFonts w:hint="eastAsia" w:ascii="宋体" w:hAnsi="宋体" w:cs="宋体"/>
          <w:color w:val="auto"/>
          <w:szCs w:val="21"/>
          <w:highlight w:val="none"/>
          <w:u w:val="single"/>
        </w:rPr>
        <w:t xml:space="preserve">                                   </w:t>
      </w:r>
    </w:p>
    <w:p w14:paraId="003648FE">
      <w:pPr>
        <w:snapToGrid w:val="0"/>
        <w:spacing w:line="400" w:lineRule="exact"/>
        <w:ind w:firstLine="420"/>
        <w:rPr>
          <w:rFonts w:hint="eastAsia" w:ascii="宋体" w:hAnsi="宋体" w:cs="宋体"/>
          <w:color w:val="auto"/>
          <w:szCs w:val="21"/>
          <w:highlight w:val="none"/>
        </w:rPr>
      </w:pPr>
    </w:p>
    <w:p w14:paraId="578F2B14">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1856E9">
      <w:pPr>
        <w:snapToGrid w:val="0"/>
        <w:spacing w:line="400" w:lineRule="exact"/>
        <w:ind w:firstLine="420"/>
        <w:rPr>
          <w:rFonts w:hint="eastAsia" w:ascii="宋体" w:hAnsi="宋体" w:cs="宋体"/>
          <w:color w:val="auto"/>
          <w:szCs w:val="21"/>
          <w:highlight w:val="none"/>
        </w:rPr>
      </w:pPr>
    </w:p>
    <w:p w14:paraId="1A7BDEB3">
      <w:pPr>
        <w:pStyle w:val="2"/>
        <w:rPr>
          <w:rFonts w:hint="eastAsia" w:ascii="宋体" w:hAnsi="宋体" w:cs="宋体"/>
          <w:color w:val="auto"/>
          <w:highlight w:val="none"/>
        </w:rPr>
      </w:pPr>
    </w:p>
    <w:p w14:paraId="6D63341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5F4153E">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3CBEB7FA">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005AAFF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08E386C5">
      <w:pPr>
        <w:pStyle w:val="2"/>
        <w:rPr>
          <w:rFonts w:hint="eastAsia"/>
          <w:color w:val="auto"/>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）如法定代表人参加投标，可以不提供社保证明。</w:t>
      </w:r>
    </w:p>
    <w:p w14:paraId="17A3E357">
      <w:pPr>
        <w:pStyle w:val="12"/>
        <w:spacing w:line="340" w:lineRule="exact"/>
        <w:ind w:firstLine="420" w:firstLineChars="200"/>
        <w:rPr>
          <w:rFonts w:hint="eastAsia" w:hAnsi="宋体" w:cs="宋体"/>
          <w:color w:val="auto"/>
          <w:highlight w:val="none"/>
        </w:rPr>
      </w:pPr>
    </w:p>
    <w:p w14:paraId="71C8257C">
      <w:pPr>
        <w:rPr>
          <w:rFonts w:hint="eastAsia" w:ascii="宋体" w:hAnsi="宋体" w:cs="宋体"/>
          <w:b/>
          <w:color w:val="auto"/>
          <w:sz w:val="32"/>
          <w:highlight w:val="none"/>
        </w:rPr>
      </w:pPr>
      <w:bookmarkStart w:id="131" w:name="_Toc6975_WPSOffice_Level1"/>
      <w:bookmarkStart w:id="132" w:name="_Toc21370_WPSOffice_Level1"/>
    </w:p>
    <w:p w14:paraId="448AE1A0">
      <w:pPr>
        <w:pStyle w:val="12"/>
        <w:jc w:val="center"/>
        <w:rPr>
          <w:rFonts w:hint="eastAsia" w:hAnsi="宋体" w:cs="宋体"/>
          <w:b/>
          <w:color w:val="auto"/>
          <w:sz w:val="32"/>
          <w:highlight w:val="none"/>
        </w:rPr>
      </w:pPr>
      <w:r>
        <w:rPr>
          <w:rFonts w:hint="eastAsia" w:hAnsi="宋体" w:cs="宋体"/>
          <w:b/>
          <w:color w:val="auto"/>
          <w:sz w:val="32"/>
          <w:highlight w:val="none"/>
        </w:rPr>
        <w:t>授权委托书（格式二）</w:t>
      </w:r>
      <w:bookmarkEnd w:id="131"/>
      <w:bookmarkEnd w:id="132"/>
    </w:p>
    <w:p w14:paraId="6140A1AF">
      <w:pPr>
        <w:pStyle w:val="12"/>
        <w:rPr>
          <w:rFonts w:hint="eastAsia" w:hAnsi="宋体" w:cs="宋体"/>
          <w:b/>
          <w:color w:val="auto"/>
          <w:sz w:val="32"/>
          <w:highlight w:val="none"/>
        </w:rPr>
      </w:pPr>
    </w:p>
    <w:p w14:paraId="58075F21">
      <w:pPr>
        <w:pStyle w:val="12"/>
        <w:rPr>
          <w:rFonts w:hint="eastAsia"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永道工程咨询（江苏）有限公司</w:t>
      </w:r>
      <w:r>
        <w:rPr>
          <w:rFonts w:hint="eastAsia" w:hAnsi="宋体" w:cs="宋体"/>
          <w:color w:val="auto"/>
          <w:szCs w:val="21"/>
          <w:highlight w:val="none"/>
          <w:u w:val="single"/>
        </w:rPr>
        <w:t xml:space="preserve"> </w:t>
      </w:r>
    </w:p>
    <w:p w14:paraId="5A6E5E48">
      <w:pPr>
        <w:rPr>
          <w:rFonts w:hint="eastAsia" w:ascii="宋体" w:hAnsi="宋体" w:cs="宋体"/>
          <w:color w:val="auto"/>
          <w:highlight w:val="none"/>
        </w:rPr>
      </w:pPr>
    </w:p>
    <w:p w14:paraId="450F594B">
      <w:pPr>
        <w:pStyle w:val="12"/>
        <w:spacing w:line="360" w:lineRule="auto"/>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14:paraId="35F275D8">
      <w:pPr>
        <w:pStyle w:val="12"/>
        <w:spacing w:line="360" w:lineRule="auto"/>
        <w:ind w:firstLine="420" w:firstLineChars="200"/>
        <w:rPr>
          <w:rFonts w:hint="eastAsia" w:hAnsi="宋体" w:cs="宋体"/>
          <w:color w:val="auto"/>
          <w:highlight w:val="none"/>
        </w:rPr>
      </w:pPr>
      <w:r>
        <w:rPr>
          <w:rFonts w:hint="eastAsia" w:hAnsi="宋体" w:cs="宋体"/>
          <w:color w:val="auto"/>
          <w:highlight w:val="none"/>
        </w:rPr>
        <w:t>本人对被授权人的签字事项负全部责任。</w:t>
      </w:r>
    </w:p>
    <w:p w14:paraId="51DA1A48">
      <w:pPr>
        <w:pStyle w:val="12"/>
        <w:spacing w:line="360" w:lineRule="auto"/>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1854C6F0">
      <w:pPr>
        <w:pStyle w:val="12"/>
        <w:spacing w:line="360" w:lineRule="auto"/>
        <w:rPr>
          <w:rFonts w:hint="eastAsia" w:hAnsi="宋体" w:cs="宋体"/>
          <w:color w:val="auto"/>
          <w:highlight w:val="none"/>
          <w:u w:val="single"/>
        </w:rPr>
      </w:pPr>
      <w:r>
        <w:rPr>
          <w:rFonts w:hint="eastAsia" w:hAnsi="宋体" w:cs="宋体"/>
          <w:color w:val="auto"/>
          <w:highlight w:val="none"/>
        </w:rPr>
        <w:t xml:space="preserve">                                                                                             </w:t>
      </w:r>
    </w:p>
    <w:p w14:paraId="6E660EC5">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7C98AA95">
      <w:pPr>
        <w:spacing w:line="360" w:lineRule="auto"/>
        <w:ind w:firstLine="420" w:firstLineChars="200"/>
        <w:rPr>
          <w:rFonts w:hint="eastAsia" w:ascii="宋体" w:hAnsi="宋体" w:cs="宋体"/>
          <w:color w:val="auto"/>
          <w:kern w:val="0"/>
          <w:highlight w:val="none"/>
        </w:rPr>
      </w:pPr>
    </w:p>
    <w:p w14:paraId="4E6A4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35CD66FC">
      <w:pPr>
        <w:spacing w:line="360" w:lineRule="auto"/>
        <w:ind w:firstLine="420" w:firstLineChars="200"/>
        <w:rPr>
          <w:rFonts w:hint="eastAsia" w:ascii="宋体" w:hAnsi="宋体" w:cs="宋体"/>
          <w:color w:val="auto"/>
          <w:szCs w:val="21"/>
          <w:highlight w:val="none"/>
        </w:rPr>
      </w:pPr>
    </w:p>
    <w:p w14:paraId="09A21E51">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5DF285">
      <w:pPr>
        <w:pStyle w:val="12"/>
        <w:spacing w:line="360" w:lineRule="auto"/>
        <w:ind w:left="420" w:leftChars="200"/>
        <w:rPr>
          <w:rFonts w:hint="eastAsia" w:hAnsi="宋体" w:cs="宋体"/>
          <w:color w:val="auto"/>
          <w:szCs w:val="21"/>
          <w:highlight w:val="none"/>
        </w:rPr>
      </w:pPr>
    </w:p>
    <w:p w14:paraId="2BAC0C89">
      <w:pPr>
        <w:pStyle w:val="12"/>
        <w:spacing w:line="400" w:lineRule="exact"/>
        <w:rPr>
          <w:rFonts w:hint="eastAsia" w:hAnsi="宋体" w:cs="宋体"/>
          <w:b/>
          <w:color w:val="auto"/>
          <w:szCs w:val="21"/>
          <w:highlight w:val="none"/>
        </w:rPr>
      </w:pPr>
      <w:r>
        <w:rPr>
          <w:rFonts w:hint="eastAsia" w:hAnsi="宋体" w:cs="宋体"/>
          <w:b/>
          <w:color w:val="auto"/>
          <w:szCs w:val="21"/>
          <w:highlight w:val="none"/>
        </w:rPr>
        <w:t>附：委托代理人身份证正反面复印件</w:t>
      </w:r>
    </w:p>
    <w:p w14:paraId="2742F5CF">
      <w:pPr>
        <w:rPr>
          <w:rFonts w:hint="eastAsia" w:ascii="宋体" w:hAnsi="宋体" w:cs="宋体"/>
          <w:b/>
          <w:color w:val="auto"/>
          <w:szCs w:val="21"/>
          <w:highlight w:val="none"/>
        </w:rPr>
      </w:pPr>
    </w:p>
    <w:p w14:paraId="7804E8D1">
      <w:pPr>
        <w:pStyle w:val="2"/>
        <w:rPr>
          <w:rFonts w:hint="eastAsia" w:ascii="宋体" w:hAnsi="宋体" w:cs="宋体"/>
          <w:b/>
          <w:color w:val="auto"/>
          <w:szCs w:val="21"/>
          <w:highlight w:val="none"/>
        </w:rPr>
      </w:pPr>
    </w:p>
    <w:p w14:paraId="02752387">
      <w:pPr>
        <w:pStyle w:val="2"/>
        <w:rPr>
          <w:rFonts w:hint="eastAsia" w:ascii="宋体" w:hAnsi="宋体" w:cs="宋体"/>
          <w:b/>
          <w:color w:val="auto"/>
          <w:szCs w:val="21"/>
          <w:highlight w:val="none"/>
        </w:rPr>
      </w:pPr>
    </w:p>
    <w:p w14:paraId="73AF7FD7">
      <w:pPr>
        <w:pStyle w:val="2"/>
        <w:rPr>
          <w:rFonts w:hint="eastAsia" w:ascii="宋体" w:hAnsi="宋体" w:cs="宋体"/>
          <w:b/>
          <w:color w:val="auto"/>
          <w:szCs w:val="21"/>
          <w:highlight w:val="none"/>
        </w:rPr>
      </w:pPr>
    </w:p>
    <w:p w14:paraId="466A22C0">
      <w:pPr>
        <w:pStyle w:val="2"/>
        <w:rPr>
          <w:rFonts w:hint="eastAsia" w:ascii="宋体" w:hAnsi="宋体" w:cs="宋体"/>
          <w:b/>
          <w:color w:val="auto"/>
          <w:szCs w:val="21"/>
          <w:highlight w:val="none"/>
        </w:rPr>
      </w:pPr>
    </w:p>
    <w:p w14:paraId="492CFF52">
      <w:pPr>
        <w:rPr>
          <w:rFonts w:hint="eastAsia" w:ascii="宋体" w:hAnsi="宋体" w:cs="宋体"/>
          <w:b/>
          <w:color w:val="auto"/>
          <w:szCs w:val="21"/>
          <w:highlight w:val="none"/>
        </w:rPr>
      </w:pPr>
    </w:p>
    <w:p w14:paraId="56D78DC0">
      <w:pPr>
        <w:pStyle w:val="2"/>
        <w:rPr>
          <w:rFonts w:hint="eastAsia" w:ascii="宋体" w:hAnsi="宋体" w:cs="宋体"/>
          <w:b/>
          <w:color w:val="auto"/>
          <w:szCs w:val="21"/>
          <w:highlight w:val="none"/>
        </w:rPr>
      </w:pPr>
    </w:p>
    <w:p w14:paraId="3474B30A">
      <w:pPr>
        <w:pStyle w:val="17"/>
        <w:rPr>
          <w:rFonts w:hint="eastAsia" w:ascii="宋体" w:hAnsi="宋体" w:cs="宋体"/>
          <w:b/>
          <w:color w:val="auto"/>
          <w:szCs w:val="21"/>
          <w:highlight w:val="none"/>
        </w:rPr>
      </w:pPr>
    </w:p>
    <w:p w14:paraId="18069F43">
      <w:pPr>
        <w:pStyle w:val="17"/>
        <w:rPr>
          <w:rFonts w:hint="eastAsia" w:ascii="宋体" w:hAnsi="宋体" w:cs="宋体"/>
          <w:b/>
          <w:color w:val="auto"/>
          <w:szCs w:val="21"/>
          <w:highlight w:val="none"/>
        </w:rPr>
      </w:pPr>
    </w:p>
    <w:p w14:paraId="7F1CFEF2">
      <w:pPr>
        <w:pStyle w:val="17"/>
        <w:rPr>
          <w:rFonts w:hint="eastAsia" w:ascii="宋体" w:hAnsi="宋体" w:cs="宋体"/>
          <w:b/>
          <w:color w:val="auto"/>
          <w:szCs w:val="21"/>
          <w:highlight w:val="none"/>
        </w:rPr>
      </w:pPr>
    </w:p>
    <w:p w14:paraId="12D7B36F">
      <w:pPr>
        <w:pStyle w:val="17"/>
        <w:rPr>
          <w:rFonts w:hint="eastAsia" w:ascii="宋体" w:hAnsi="宋体" w:cs="宋体"/>
          <w:b/>
          <w:color w:val="auto"/>
          <w:szCs w:val="21"/>
          <w:highlight w:val="none"/>
        </w:rPr>
      </w:pPr>
    </w:p>
    <w:p w14:paraId="334260D6">
      <w:pPr>
        <w:spacing w:line="440" w:lineRule="atLeast"/>
        <w:outlineLvl w:val="2"/>
        <w:rPr>
          <w:rFonts w:hint="eastAsia" w:ascii="Arial" w:hAnsi="Arial" w:eastAsia="黑体"/>
          <w:b/>
          <w:bCs/>
          <w:color w:val="auto"/>
          <w:kern w:val="0"/>
          <w:sz w:val="32"/>
          <w:szCs w:val="32"/>
          <w:highlight w:val="none"/>
        </w:rPr>
      </w:pPr>
      <w:bookmarkStart w:id="133" w:name="_Toc15926"/>
    </w:p>
    <w:p w14:paraId="4227C194">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133"/>
    </w:p>
    <w:p w14:paraId="179DEBF3">
      <w:pPr>
        <w:pStyle w:val="12"/>
        <w:spacing w:line="400" w:lineRule="exact"/>
        <w:ind w:left="420" w:leftChars="200" w:firstLine="156" w:firstLineChars="49"/>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1C3F78E0">
      <w:pPr>
        <w:pStyle w:val="12"/>
        <w:spacing w:line="400" w:lineRule="exact"/>
        <w:rPr>
          <w:rFonts w:hint="eastAsia" w:hAnsi="宋体" w:cs="宋体"/>
          <w:b/>
          <w:color w:val="auto"/>
          <w:sz w:val="32"/>
          <w:szCs w:val="32"/>
          <w:highlight w:val="none"/>
        </w:rPr>
      </w:pPr>
      <w:r>
        <w:rPr>
          <w:rFonts w:hint="eastAsia" w:hAnsi="宋体" w:cs="宋体"/>
          <w:b/>
          <w:color w:val="auto"/>
          <w:sz w:val="32"/>
          <w:szCs w:val="32"/>
          <w:highlight w:val="none"/>
        </w:rPr>
        <w:t>附件：</w:t>
      </w:r>
    </w:p>
    <w:p w14:paraId="368F454B">
      <w:pPr>
        <w:pStyle w:val="12"/>
        <w:spacing w:line="400" w:lineRule="exact"/>
        <w:jc w:val="center"/>
        <w:rPr>
          <w:rFonts w:hint="eastAsia" w:hAnsi="宋体" w:cs="宋体"/>
          <w:b/>
          <w:color w:val="auto"/>
          <w:sz w:val="32"/>
          <w:szCs w:val="32"/>
          <w:highlight w:val="none"/>
        </w:rPr>
      </w:pPr>
      <w:bookmarkStart w:id="134" w:name="_Toc30304_WPSOffice_Level1"/>
      <w:bookmarkStart w:id="135" w:name="_Toc30890_WPSOffice_Level1"/>
      <w:r>
        <w:rPr>
          <w:rFonts w:hint="eastAsia" w:hAnsi="宋体" w:cs="宋体"/>
          <w:b/>
          <w:color w:val="auto"/>
          <w:sz w:val="32"/>
          <w:szCs w:val="32"/>
          <w:highlight w:val="none"/>
        </w:rPr>
        <w:t>声   明</w:t>
      </w:r>
      <w:bookmarkEnd w:id="134"/>
      <w:bookmarkEnd w:id="135"/>
    </w:p>
    <w:p w14:paraId="0D258DFF">
      <w:pPr>
        <w:pStyle w:val="12"/>
        <w:spacing w:line="400" w:lineRule="exact"/>
        <w:rPr>
          <w:rFonts w:hint="eastAsia" w:hAnsi="宋体" w:cs="宋体"/>
          <w:b/>
          <w:color w:val="auto"/>
          <w:sz w:val="32"/>
          <w:szCs w:val="32"/>
          <w:highlight w:val="none"/>
        </w:rPr>
      </w:pPr>
    </w:p>
    <w:p w14:paraId="5486022A">
      <w:pPr>
        <w:pStyle w:val="12"/>
        <w:spacing w:line="400" w:lineRule="exact"/>
        <w:rPr>
          <w:rFonts w:hint="eastAsia" w:hAnsi="宋体" w:cs="宋体"/>
          <w:color w:val="auto"/>
          <w:sz w:val="24"/>
          <w:szCs w:val="24"/>
          <w:highlight w:val="none"/>
          <w:u w:val="single"/>
        </w:rPr>
      </w:pPr>
      <w:r>
        <w:rPr>
          <w:rFonts w:hint="eastAsia" w:hAnsi="宋体" w:cs="宋体"/>
          <w:b/>
          <w:color w:val="auto"/>
          <w:sz w:val="24"/>
          <w:szCs w:val="24"/>
          <w:highlight w:val="none"/>
        </w:rPr>
        <w:t>致</w:t>
      </w:r>
      <w:r>
        <w:rPr>
          <w:rFonts w:hint="eastAsia" w:hAnsi="宋体" w:cs="宋体"/>
          <w:b/>
          <w:bCs/>
          <w:color w:val="auto"/>
          <w:sz w:val="24"/>
          <w:szCs w:val="24"/>
          <w:highlight w:val="none"/>
        </w:rPr>
        <w:t>：</w:t>
      </w:r>
      <w:r>
        <w:rPr>
          <w:rFonts w:hint="eastAsia" w:hAnsi="宋体" w:cs="宋体"/>
          <w:b/>
          <w:bCs/>
          <w:color w:val="auto"/>
          <w:sz w:val="24"/>
          <w:szCs w:val="24"/>
          <w:highlight w:val="none"/>
          <w:u w:val="single"/>
          <w:lang w:eastAsia="zh-CN"/>
        </w:rPr>
        <w:t>永道工程咨询（江苏）有限公司</w:t>
      </w:r>
      <w:r>
        <w:rPr>
          <w:rFonts w:hint="eastAsia" w:hAnsi="宋体" w:cs="宋体"/>
          <w:b/>
          <w:bCs/>
          <w:color w:val="auto"/>
          <w:sz w:val="24"/>
          <w:szCs w:val="24"/>
          <w:highlight w:val="none"/>
          <w:u w:val="single"/>
        </w:rPr>
        <w:t xml:space="preserve"> </w:t>
      </w:r>
    </w:p>
    <w:p w14:paraId="6DB0E28A">
      <w:pPr>
        <w:rPr>
          <w:rFonts w:hint="eastAsia" w:ascii="宋体" w:hAnsi="宋体" w:cs="宋体"/>
          <w:color w:val="auto"/>
          <w:sz w:val="24"/>
          <w:highlight w:val="none"/>
          <w:u w:val="single"/>
        </w:rPr>
      </w:pPr>
    </w:p>
    <w:p w14:paraId="7EBC1795">
      <w:pPr>
        <w:pStyle w:val="2"/>
        <w:rPr>
          <w:rFonts w:hint="eastAsia" w:ascii="宋体" w:hAnsi="宋体" w:cs="宋体"/>
          <w:color w:val="auto"/>
          <w:sz w:val="24"/>
          <w:highlight w:val="none"/>
        </w:rPr>
      </w:pPr>
    </w:p>
    <w:p w14:paraId="71ED0074">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s="宋体"/>
          <w:color w:val="auto"/>
          <w:sz w:val="24"/>
          <w:szCs w:val="24"/>
          <w:highlight w:val="none"/>
          <w:lang w:eastAsia="zh-CN"/>
        </w:rPr>
        <w:t>重大税收违法失信主体</w:t>
      </w:r>
      <w:r>
        <w:rPr>
          <w:rFonts w:hint="eastAsia" w:hAnsi="宋体" w:cs="宋体"/>
          <w:color w:val="auto"/>
          <w:sz w:val="24"/>
          <w:szCs w:val="24"/>
          <w:highlight w:val="none"/>
        </w:rPr>
        <w:t>、政府采购严重违法失信行为记录名单，完全符合《中华人民共和国政府采购法》第二十二条规定的供应商资格条件，我方对此声明负全部法律责任。</w:t>
      </w:r>
    </w:p>
    <w:p w14:paraId="41F2EA22">
      <w:pPr>
        <w:spacing w:line="360" w:lineRule="auto"/>
        <w:rPr>
          <w:rFonts w:hint="eastAsia" w:ascii="宋体" w:hAnsi="宋体" w:cs="宋体"/>
          <w:color w:val="auto"/>
          <w:sz w:val="24"/>
          <w:highlight w:val="none"/>
        </w:rPr>
      </w:pPr>
    </w:p>
    <w:p w14:paraId="326A30F0">
      <w:pPr>
        <w:snapToGrid w:val="0"/>
        <w:spacing w:line="48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磋商供应商[公章(CA签章)，自然人签字或个人CA签章]：</w:t>
      </w:r>
      <w:r>
        <w:rPr>
          <w:rFonts w:hint="eastAsia" w:ascii="宋体" w:hAnsi="宋体" w:cs="宋体"/>
          <w:color w:val="auto"/>
          <w:sz w:val="24"/>
          <w:highlight w:val="none"/>
          <w:u w:val="single"/>
        </w:rPr>
        <w:t xml:space="preserve">            </w:t>
      </w:r>
    </w:p>
    <w:p w14:paraId="1CDD3100">
      <w:pPr>
        <w:pStyle w:val="12"/>
        <w:spacing w:line="480" w:lineRule="auto"/>
        <w:ind w:firstLine="1440" w:firstLineChars="600"/>
        <w:rPr>
          <w:rFonts w:hint="eastAsia" w:hAnsi="宋体" w:cs="宋体"/>
          <w:color w:val="auto"/>
          <w:sz w:val="24"/>
          <w:szCs w:val="24"/>
          <w:highlight w:val="none"/>
          <w:u w:val="singl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xml:space="preserve">                            </w:t>
      </w:r>
    </w:p>
    <w:p w14:paraId="1CD41438">
      <w:pPr>
        <w:pStyle w:val="12"/>
        <w:spacing w:line="480" w:lineRule="auto"/>
        <w:rPr>
          <w:rFonts w:hint="eastAsia" w:hAnsi="宋体" w:cs="宋体"/>
          <w:b/>
          <w:color w:val="auto"/>
          <w:sz w:val="24"/>
          <w:szCs w:val="24"/>
          <w:highlight w:val="none"/>
        </w:rPr>
      </w:pPr>
    </w:p>
    <w:p w14:paraId="1CF52772">
      <w:pPr>
        <w:rPr>
          <w:rFonts w:hint="eastAsia" w:ascii="宋体" w:hAnsi="宋体" w:cs="宋体"/>
          <w:b/>
          <w:color w:val="auto"/>
          <w:sz w:val="24"/>
          <w:highlight w:val="none"/>
        </w:rPr>
      </w:pPr>
      <w:bookmarkStart w:id="136" w:name="_Toc4903"/>
    </w:p>
    <w:p w14:paraId="08055299">
      <w:pPr>
        <w:rPr>
          <w:rFonts w:hint="eastAsia" w:ascii="宋体" w:hAnsi="宋体" w:cs="宋体"/>
          <w:b/>
          <w:color w:val="auto"/>
          <w:sz w:val="28"/>
          <w:szCs w:val="28"/>
          <w:highlight w:val="none"/>
        </w:rPr>
      </w:pPr>
      <w:r>
        <w:rPr>
          <w:rFonts w:hint="eastAsia" w:ascii="宋体" w:hAnsi="宋体" w:cs="宋体"/>
          <w:b/>
          <w:color w:val="auto"/>
          <w:sz w:val="28"/>
          <w:szCs w:val="28"/>
          <w:highlight w:val="none"/>
        </w:rPr>
        <w:t>4.供应商的法人或者其他组织营业执照等证明文件复印件（必须提供，自然人除外）；</w:t>
      </w:r>
      <w:bookmarkEnd w:id="136"/>
    </w:p>
    <w:p w14:paraId="393A6754">
      <w:pPr>
        <w:tabs>
          <w:tab w:val="left" w:pos="1305"/>
        </w:tabs>
        <w:spacing w:line="340" w:lineRule="exact"/>
        <w:rPr>
          <w:rFonts w:hint="eastAsia" w:ascii="宋体" w:hAnsi="宋体" w:cs="宋体"/>
          <w:b/>
          <w:color w:val="auto"/>
          <w:szCs w:val="21"/>
          <w:highlight w:val="none"/>
        </w:rPr>
      </w:pPr>
    </w:p>
    <w:p w14:paraId="62706AD8">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04CA728">
      <w:pPr>
        <w:tabs>
          <w:tab w:val="left" w:pos="1305"/>
        </w:tabs>
        <w:spacing w:line="400" w:lineRule="exact"/>
        <w:rPr>
          <w:rFonts w:hint="eastAsia" w:hAnsi="宋体" w:cs="宋体"/>
          <w:b/>
          <w:color w:val="auto"/>
          <w:sz w:val="28"/>
          <w:szCs w:val="28"/>
          <w:highlight w:val="none"/>
        </w:rPr>
      </w:pPr>
    </w:p>
    <w:p w14:paraId="09C17536">
      <w:pPr>
        <w:tabs>
          <w:tab w:val="left" w:pos="1305"/>
        </w:tabs>
        <w:spacing w:line="400" w:lineRule="exact"/>
        <w:rPr>
          <w:rFonts w:hint="eastAsia" w:hAnsi="宋体" w:cs="宋体"/>
          <w:b/>
          <w:color w:val="auto"/>
          <w:sz w:val="28"/>
          <w:szCs w:val="28"/>
          <w:highlight w:val="none"/>
        </w:rPr>
      </w:pPr>
    </w:p>
    <w:p w14:paraId="5B1FB5D7">
      <w:pPr>
        <w:pStyle w:val="3"/>
        <w:rPr>
          <w:rFonts w:hint="eastAsia" w:hAnsi="宋体" w:cs="宋体"/>
          <w:b/>
          <w:color w:val="auto"/>
          <w:sz w:val="28"/>
          <w:szCs w:val="28"/>
          <w:highlight w:val="none"/>
        </w:rPr>
      </w:pPr>
    </w:p>
    <w:p w14:paraId="78B9DC80">
      <w:pPr>
        <w:pStyle w:val="3"/>
        <w:ind w:left="0" w:leftChars="0" w:firstLine="0" w:firstLineChars="0"/>
        <w:jc w:val="both"/>
        <w:rPr>
          <w:rFonts w:hint="eastAsia"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5.供应商近半年内任意一个月或任一季度依法缴纳税收的证明材料【增值税发票(税收完税证明)或企业所得税完税证明或税务部门出具的免税证明】复印件（必须提供）。</w:t>
      </w:r>
    </w:p>
    <w:p w14:paraId="673A2CD3">
      <w:pPr>
        <w:pStyle w:val="3"/>
        <w:rPr>
          <w:rFonts w:hint="eastAsia" w:hAnsi="宋体" w:cs="宋体"/>
          <w:b/>
          <w:color w:val="auto"/>
          <w:sz w:val="28"/>
          <w:szCs w:val="28"/>
          <w:highlight w:val="none"/>
        </w:rPr>
      </w:pPr>
    </w:p>
    <w:p w14:paraId="5EDBABA1">
      <w:pPr>
        <w:numPr>
          <w:ilvl w:val="0"/>
          <w:numId w:val="0"/>
        </w:numPr>
        <w:tabs>
          <w:tab w:val="left" w:pos="1305"/>
        </w:tabs>
        <w:spacing w:line="4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必须提供）；</w:t>
      </w:r>
    </w:p>
    <w:p w14:paraId="092CCD35">
      <w:pPr>
        <w:pStyle w:val="12"/>
        <w:ind w:firstLine="640" w:firstLineChars="200"/>
        <w:rPr>
          <w:rFonts w:hint="eastAsia" w:hAnsi="宋体" w:cs="宋体"/>
          <w:b/>
          <w:bCs/>
          <w:color w:val="auto"/>
          <w:sz w:val="32"/>
          <w:szCs w:val="32"/>
          <w:highlight w:val="none"/>
        </w:rPr>
      </w:pPr>
      <w:r>
        <w:rPr>
          <w:rFonts w:hint="eastAsia" w:hAnsi="宋体" w:cs="宋体"/>
          <w:b/>
          <w:bCs/>
          <w:color w:val="auto"/>
          <w:sz w:val="32"/>
          <w:szCs w:val="32"/>
          <w:highlight w:val="none"/>
        </w:rPr>
        <w:t>附件：</w:t>
      </w:r>
    </w:p>
    <w:p w14:paraId="0071033C">
      <w:pPr>
        <w:pStyle w:val="12"/>
        <w:spacing w:line="440" w:lineRule="exact"/>
        <w:jc w:val="center"/>
        <w:rPr>
          <w:rFonts w:hint="eastAsia" w:hAnsi="宋体" w:cs="宋体"/>
          <w:b/>
          <w:bCs/>
          <w:color w:val="auto"/>
          <w:sz w:val="28"/>
          <w:szCs w:val="28"/>
          <w:highlight w:val="none"/>
        </w:rPr>
      </w:pPr>
      <w:r>
        <w:rPr>
          <w:rFonts w:hint="eastAsia" w:hAnsi="宋体" w:cs="宋体"/>
          <w:b/>
          <w:bCs/>
          <w:color w:val="auto"/>
          <w:sz w:val="28"/>
          <w:szCs w:val="28"/>
          <w:highlight w:val="none"/>
        </w:rPr>
        <w:t>中小企业声明函</w:t>
      </w:r>
    </w:p>
    <w:p w14:paraId="16098CE8">
      <w:pPr>
        <w:pStyle w:val="8"/>
        <w:rPr>
          <w:rFonts w:hint="eastAsia"/>
          <w:color w:val="auto"/>
          <w:highlight w:val="none"/>
        </w:rPr>
      </w:pPr>
    </w:p>
    <w:p w14:paraId="76DD2CF9">
      <w:pPr>
        <w:pStyle w:val="12"/>
        <w:spacing w:line="440" w:lineRule="exact"/>
        <w:ind w:firstLine="444" w:firstLineChars="200"/>
        <w:rPr>
          <w:rFonts w:hAnsi="宋体" w:cs="宋体"/>
          <w:color w:val="auto"/>
          <w:spacing w:val="6"/>
          <w:szCs w:val="21"/>
          <w:highlight w:val="none"/>
        </w:rPr>
      </w:pPr>
      <w:r>
        <w:rPr>
          <w:rFonts w:hint="eastAsia" w:hAnsi="宋体" w:cs="宋体"/>
          <w:color w:val="auto"/>
          <w:spacing w:val="6"/>
          <w:szCs w:val="21"/>
          <w:highlight w:val="none"/>
        </w:rPr>
        <w:t>本公司（联合体）郑重声明，根据《政府采购促进中小企业发展管理办法》（财库﹝2020﹞46 号）的规定，本公司（联合体）参加（</w:t>
      </w:r>
      <w:r>
        <w:rPr>
          <w:rFonts w:hint="eastAsia" w:hAnsi="宋体" w:cs="宋体"/>
          <w:color w:val="auto"/>
          <w:spacing w:val="6"/>
          <w:szCs w:val="21"/>
          <w:highlight w:val="none"/>
          <w:u w:val="single"/>
        </w:rPr>
        <w:t>单位名称</w:t>
      </w:r>
      <w:r>
        <w:rPr>
          <w:rFonts w:hint="eastAsia" w:hAnsi="宋体" w:cs="宋体"/>
          <w:color w:val="auto"/>
          <w:spacing w:val="6"/>
          <w:szCs w:val="21"/>
          <w:highlight w:val="none"/>
        </w:rPr>
        <w:t>）的（</w:t>
      </w:r>
      <w:r>
        <w:rPr>
          <w:rFonts w:hint="eastAsia" w:hAnsi="宋体" w:cs="宋体"/>
          <w:color w:val="auto"/>
          <w:spacing w:val="6"/>
          <w:szCs w:val="21"/>
          <w:highlight w:val="none"/>
          <w:u w:val="single"/>
        </w:rPr>
        <w:t>项目名称</w:t>
      </w:r>
      <w:r>
        <w:rPr>
          <w:rFonts w:hint="eastAsia" w:hAnsi="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9C18F2">
      <w:pPr>
        <w:pStyle w:val="12"/>
        <w:spacing w:line="440" w:lineRule="exact"/>
        <w:ind w:firstLine="444" w:firstLineChars="200"/>
        <w:rPr>
          <w:rFonts w:hint="eastAsia" w:hAnsi="宋体" w:eastAsia="宋体" w:cs="宋体"/>
          <w:color w:val="auto"/>
          <w:szCs w:val="21"/>
          <w:highlight w:val="none"/>
          <w:lang w:eastAsia="zh-CN"/>
        </w:rPr>
      </w:pPr>
      <w:r>
        <w:rPr>
          <w:rFonts w:hint="eastAsia" w:hAnsi="宋体" w:cs="宋体"/>
          <w:color w:val="auto"/>
          <w:spacing w:val="6"/>
          <w:szCs w:val="21"/>
          <w:highlight w:val="none"/>
        </w:rPr>
        <w:t>1.</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580869C7">
      <w:pPr>
        <w:pStyle w:val="8"/>
        <w:spacing w:line="440" w:lineRule="exact"/>
        <w:ind w:left="0" w:firstLine="444" w:firstLineChars="200"/>
        <w:rPr>
          <w:rFonts w:hint="eastAsia" w:ascii="宋体" w:hAnsi="宋体" w:cs="宋体"/>
          <w:color w:val="auto"/>
          <w:szCs w:val="21"/>
          <w:highlight w:val="none"/>
        </w:rPr>
      </w:pPr>
      <w:r>
        <w:rPr>
          <w:rFonts w:hint="eastAsia" w:hAnsi="宋体" w:cs="宋体"/>
          <w:color w:val="auto"/>
          <w:spacing w:val="6"/>
          <w:szCs w:val="21"/>
          <w:highlight w:val="none"/>
          <w:lang w:val="en-US" w:eastAsia="zh-CN"/>
        </w:rPr>
        <w:t>2</w:t>
      </w:r>
      <w:r>
        <w:rPr>
          <w:rFonts w:hint="eastAsia" w:hAnsi="宋体" w:cs="宋体"/>
          <w:color w:val="auto"/>
          <w:spacing w:val="6"/>
          <w:szCs w:val="21"/>
          <w:highlight w:val="none"/>
        </w:rPr>
        <w:t>.</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19AA9FC7">
      <w:pPr>
        <w:pStyle w:val="8"/>
        <w:spacing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1744450E">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245000FC">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 xml:space="preserve">本企业对上述声明内容的真实性负责。如有虚假，将依法承担相应责任。 </w:t>
      </w:r>
    </w:p>
    <w:p w14:paraId="1C2DB8AB">
      <w:pPr>
        <w:pStyle w:val="9"/>
        <w:spacing w:line="440" w:lineRule="exact"/>
        <w:ind w:firstLine="5106" w:firstLineChars="2300"/>
        <w:rPr>
          <w:rFonts w:ascii="宋体" w:hAnsi="宋体" w:cs="宋体"/>
          <w:color w:val="auto"/>
          <w:spacing w:val="6"/>
          <w:szCs w:val="21"/>
          <w:highlight w:val="none"/>
        </w:rPr>
      </w:pPr>
    </w:p>
    <w:p w14:paraId="573E88E2">
      <w:pPr>
        <w:pStyle w:val="9"/>
        <w:spacing w:line="440" w:lineRule="exact"/>
        <w:ind w:firstLine="4662" w:firstLineChars="21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磋商供应商[公章（CA签章）]：                        </w:t>
      </w:r>
    </w:p>
    <w:p w14:paraId="39F830F3">
      <w:pPr>
        <w:widowControl/>
        <w:spacing w:line="440" w:lineRule="exact"/>
        <w:ind w:firstLine="4662" w:firstLineChars="2100"/>
        <w:jc w:val="left"/>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34391501">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注：</w:t>
      </w:r>
    </w:p>
    <w:p w14:paraId="61D29A8A">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1.从业人员、营业收入、资产总额填报上一年度数据，无上一年度数据的新成立企业可不填报。</w:t>
      </w:r>
    </w:p>
    <w:p w14:paraId="4D425809">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2E026624">
      <w:pPr>
        <w:rPr>
          <w:rFonts w:hint="eastAsia"/>
          <w:color w:val="auto"/>
          <w:highlight w:val="none"/>
        </w:rPr>
      </w:pPr>
    </w:p>
    <w:p w14:paraId="63A7564D">
      <w:pPr>
        <w:jc w:val="center"/>
        <w:outlineLvl w:val="1"/>
        <w:rPr>
          <w:rFonts w:hint="eastAsia" w:ascii="宋体" w:hAnsi="宋体" w:cs="宋体"/>
          <w:b/>
          <w:bCs/>
          <w:color w:val="auto"/>
          <w:sz w:val="32"/>
          <w:szCs w:val="32"/>
          <w:highlight w:val="none"/>
        </w:rPr>
      </w:pPr>
      <w:bookmarkStart w:id="137" w:name="_Toc21807"/>
      <w:r>
        <w:rPr>
          <w:rFonts w:hint="eastAsia" w:ascii="宋体" w:hAnsi="宋体" w:cs="宋体"/>
          <w:b/>
          <w:bCs/>
          <w:color w:val="auto"/>
          <w:sz w:val="32"/>
          <w:szCs w:val="32"/>
          <w:highlight w:val="none"/>
        </w:rPr>
        <w:t>（二）符合性响应证明材料目录</w:t>
      </w:r>
      <w:bookmarkEnd w:id="137"/>
    </w:p>
    <w:p w14:paraId="44A0B932">
      <w:pPr>
        <w:spacing w:line="400" w:lineRule="exact"/>
        <w:ind w:firstLine="420" w:firstLineChars="200"/>
        <w:rPr>
          <w:rFonts w:hint="eastAsia" w:ascii="宋体" w:hAnsi="宋体" w:cs="宋体"/>
          <w:color w:val="auto"/>
          <w:szCs w:val="21"/>
          <w:highlight w:val="none"/>
        </w:rPr>
      </w:pPr>
    </w:p>
    <w:p w14:paraId="3476D9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04BFBB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6BD7E46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32502EAD">
      <w:pPr>
        <w:pStyle w:val="3"/>
        <w:rPr>
          <w:rFonts w:hint="eastAsia" w:hAnsi="宋体" w:eastAsia="宋体" w:cs="宋体"/>
          <w:color w:val="auto"/>
          <w:highlight w:val="none"/>
        </w:rPr>
      </w:pPr>
    </w:p>
    <w:p w14:paraId="5BC89D4B">
      <w:pPr>
        <w:rPr>
          <w:rFonts w:hint="eastAsia"/>
          <w:color w:val="auto"/>
          <w:highlight w:val="none"/>
        </w:rPr>
      </w:pPr>
      <w:bookmarkStart w:id="138" w:name="_Toc497927072"/>
      <w:bookmarkStart w:id="139" w:name="_Toc12920"/>
      <w:bookmarkStart w:id="140" w:name="_Toc17617"/>
    </w:p>
    <w:p w14:paraId="07E0577B">
      <w:pPr>
        <w:spacing w:line="400" w:lineRule="exact"/>
        <w:outlineLvl w:val="2"/>
        <w:rPr>
          <w:rFonts w:hint="eastAsia" w:ascii="宋体" w:hAnsi="宋体" w:cs="宋体"/>
          <w:b/>
          <w:bCs/>
          <w:color w:val="auto"/>
          <w:sz w:val="28"/>
          <w:szCs w:val="28"/>
          <w:highlight w:val="none"/>
        </w:rPr>
      </w:pPr>
      <w:bookmarkStart w:id="141" w:name="_Toc5364"/>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1.响应函（格式见附件）（必须提供）</w:t>
      </w:r>
      <w:bookmarkEnd w:id="138"/>
      <w:bookmarkEnd w:id="139"/>
      <w:bookmarkEnd w:id="140"/>
      <w:bookmarkEnd w:id="141"/>
    </w:p>
    <w:p w14:paraId="60983D89">
      <w:pPr>
        <w:pStyle w:val="3"/>
        <w:rPr>
          <w:rFonts w:hint="eastAsia" w:hAnsi="宋体" w:eastAsia="宋体" w:cs="宋体"/>
          <w:color w:val="auto"/>
          <w:highlight w:val="none"/>
        </w:rPr>
      </w:pPr>
    </w:p>
    <w:p w14:paraId="2A6283E5">
      <w:pPr>
        <w:pStyle w:val="12"/>
        <w:rPr>
          <w:rFonts w:hint="eastAsia" w:hAnsi="宋体" w:cs="宋体"/>
          <w:b/>
          <w:color w:val="auto"/>
          <w:sz w:val="32"/>
          <w:highlight w:val="none"/>
        </w:rPr>
      </w:pPr>
      <w:r>
        <w:rPr>
          <w:rFonts w:hint="eastAsia" w:hAnsi="宋体" w:cs="宋体"/>
          <w:b/>
          <w:color w:val="auto"/>
          <w:sz w:val="32"/>
          <w:highlight w:val="none"/>
        </w:rPr>
        <w:t>附件：</w:t>
      </w:r>
    </w:p>
    <w:p w14:paraId="0D5A2336">
      <w:pPr>
        <w:pStyle w:val="12"/>
        <w:ind w:firstLine="800" w:firstLineChars="250"/>
        <w:jc w:val="center"/>
        <w:rPr>
          <w:rFonts w:hint="eastAsia" w:hAnsi="宋体" w:cs="宋体"/>
          <w:b/>
          <w:color w:val="auto"/>
          <w:sz w:val="32"/>
          <w:highlight w:val="none"/>
        </w:rPr>
      </w:pPr>
      <w:bookmarkStart w:id="142" w:name="_Toc17832_WPSOffice_Level1"/>
      <w:bookmarkStart w:id="143" w:name="_Toc7273_WPSOffice_Level1"/>
      <w:r>
        <w:rPr>
          <w:rFonts w:hint="eastAsia" w:hAnsi="宋体" w:cs="宋体"/>
          <w:b/>
          <w:color w:val="auto"/>
          <w:sz w:val="32"/>
          <w:highlight w:val="none"/>
        </w:rPr>
        <w:t>响应函（格式）</w:t>
      </w:r>
      <w:bookmarkEnd w:id="142"/>
      <w:bookmarkEnd w:id="143"/>
    </w:p>
    <w:p w14:paraId="16AE9C45">
      <w:pPr>
        <w:spacing w:line="240" w:lineRule="exact"/>
        <w:jc w:val="center"/>
        <w:rPr>
          <w:rFonts w:hint="eastAsia" w:ascii="宋体" w:hAnsi="宋体" w:cs="宋体"/>
          <w:color w:val="auto"/>
          <w:sz w:val="32"/>
          <w:highlight w:val="none"/>
        </w:rPr>
      </w:pPr>
    </w:p>
    <w:p w14:paraId="511FD6D1">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永道工程咨询（江苏）有限公司</w:t>
      </w:r>
    </w:p>
    <w:p w14:paraId="054DAA41">
      <w:pPr>
        <w:spacing w:line="400" w:lineRule="exact"/>
        <w:rPr>
          <w:rFonts w:hint="eastAsia" w:ascii="宋体" w:hAnsi="宋体" w:cs="宋体"/>
          <w:color w:val="auto"/>
          <w:szCs w:val="21"/>
          <w:highlight w:val="none"/>
        </w:rPr>
      </w:pPr>
    </w:p>
    <w:p w14:paraId="409731D0">
      <w:pPr>
        <w:pStyle w:val="12"/>
        <w:spacing w:line="400" w:lineRule="exact"/>
        <w:ind w:firstLine="420"/>
        <w:rPr>
          <w:rFonts w:hint="eastAsia"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lang w:eastAsia="zh-CN"/>
        </w:rPr>
        <w:t>，</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15573170">
      <w:pPr>
        <w:pStyle w:val="12"/>
        <w:spacing w:line="400" w:lineRule="exact"/>
        <w:ind w:firstLine="420"/>
        <w:rPr>
          <w:rFonts w:hint="eastAsia" w:hAnsi="宋体" w:cs="宋体"/>
          <w:color w:val="auto"/>
          <w:highlight w:val="none"/>
        </w:rPr>
      </w:pPr>
      <w:r>
        <w:rPr>
          <w:rFonts w:hint="eastAsia" w:hAnsi="宋体" w:cs="宋体"/>
          <w:color w:val="auto"/>
          <w:highlight w:val="none"/>
        </w:rPr>
        <w:t>据此函，签字代表宣布同意如下：</w:t>
      </w:r>
    </w:p>
    <w:p w14:paraId="68CD8E2F">
      <w:pPr>
        <w:pStyle w:val="12"/>
        <w:spacing w:line="400" w:lineRule="exact"/>
        <w:ind w:firstLine="420"/>
        <w:rPr>
          <w:rFonts w:hint="eastAsia" w:hAnsi="宋体" w:cs="宋体"/>
          <w:color w:val="auto"/>
          <w:highlight w:val="none"/>
        </w:rPr>
      </w:pPr>
      <w:r>
        <w:rPr>
          <w:rFonts w:hint="eastAsia" w:hAnsi="宋体" w:cs="宋体"/>
          <w:color w:val="auto"/>
          <w:highlight w:val="none"/>
        </w:rPr>
        <w:t>1. 按竞争性磋商文件采购需求和磋商报价表：</w:t>
      </w:r>
    </w:p>
    <w:p w14:paraId="47FB3079">
      <w:pPr>
        <w:pStyle w:val="12"/>
        <w:spacing w:line="400" w:lineRule="exact"/>
        <w:ind w:firstLine="420"/>
        <w:rPr>
          <w:rFonts w:hint="eastAsia" w:hAnsi="宋体" w:cs="宋体"/>
          <w:color w:val="auto"/>
          <w:highlight w:val="none"/>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w:t>
      </w:r>
      <w:r>
        <w:rPr>
          <w:rFonts w:hint="eastAsia" w:hAnsi="宋体" w:cs="宋体"/>
          <w:color w:val="auto"/>
          <w:highlight w:val="none"/>
        </w:rPr>
        <w:t>。</w:t>
      </w:r>
    </w:p>
    <w:p w14:paraId="48F14907">
      <w:pPr>
        <w:pStyle w:val="12"/>
        <w:spacing w:line="400" w:lineRule="exact"/>
        <w:ind w:firstLine="420"/>
        <w:rPr>
          <w:rFonts w:hint="eastAsia" w:hAnsi="宋体" w:cs="宋体"/>
          <w:color w:val="auto"/>
          <w:highlight w:val="none"/>
        </w:rPr>
      </w:pPr>
      <w:r>
        <w:rPr>
          <w:rFonts w:hint="eastAsia" w:hAnsi="宋体" w:cs="宋体"/>
          <w:color w:val="auto"/>
          <w:highlight w:val="none"/>
        </w:rPr>
        <w:t>2.我方承诺已具备磋商文件规定的供应商资格条件。</w:t>
      </w:r>
    </w:p>
    <w:p w14:paraId="2F681E6B">
      <w:pPr>
        <w:pStyle w:val="12"/>
        <w:spacing w:line="400" w:lineRule="exact"/>
        <w:ind w:firstLine="420"/>
        <w:rPr>
          <w:rFonts w:hint="eastAsia"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364C5594">
      <w:pPr>
        <w:pStyle w:val="12"/>
        <w:spacing w:line="400" w:lineRule="exact"/>
        <w:ind w:firstLine="420"/>
        <w:rPr>
          <w:rFonts w:hint="eastAsia"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29F1CB89">
      <w:pPr>
        <w:pStyle w:val="12"/>
        <w:spacing w:line="400" w:lineRule="exact"/>
        <w:ind w:firstLine="420"/>
        <w:rPr>
          <w:rFonts w:hint="eastAsia" w:hAnsi="宋体" w:cs="宋体"/>
          <w:color w:val="auto"/>
          <w:highlight w:val="none"/>
        </w:rPr>
      </w:pPr>
      <w:r>
        <w:rPr>
          <w:rFonts w:hint="eastAsia" w:hAnsi="宋体" w:cs="宋体"/>
          <w:color w:val="auto"/>
          <w:highlight w:val="none"/>
        </w:rPr>
        <w:t>5. 如我方成交：</w:t>
      </w:r>
    </w:p>
    <w:p w14:paraId="5B4BEA7A">
      <w:pPr>
        <w:pStyle w:val="12"/>
        <w:spacing w:line="400" w:lineRule="exact"/>
        <w:ind w:firstLine="420"/>
        <w:rPr>
          <w:rFonts w:hint="eastAsia"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7945F222">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（2）我方承诺按照磋商文件规定递交履约担保。</w:t>
      </w:r>
    </w:p>
    <w:p w14:paraId="4571D607">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11087AF6">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3396E182">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60D3EF69">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2E4E9453">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65E8B9E">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6A1015D2">
      <w:pPr>
        <w:pStyle w:val="12"/>
        <w:spacing w:line="40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56A40ED7">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518A9258">
      <w:pPr>
        <w:pStyle w:val="12"/>
        <w:spacing w:line="400" w:lineRule="exact"/>
        <w:ind w:firstLine="420"/>
        <w:rPr>
          <w:rFonts w:hint="eastAsia"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4705B88F">
      <w:pPr>
        <w:rPr>
          <w:rFonts w:hint="eastAsia"/>
          <w:highlight w:val="none"/>
        </w:rPr>
      </w:pPr>
    </w:p>
    <w:p w14:paraId="24505955">
      <w:pPr>
        <w:rPr>
          <w:rFonts w:hint="eastAsia" w:hAnsi="宋体" w:cs="宋体"/>
          <w:b/>
          <w:color w:val="auto"/>
          <w:sz w:val="28"/>
          <w:szCs w:val="28"/>
          <w:highlight w:val="none"/>
        </w:rPr>
      </w:pPr>
      <w:bookmarkStart w:id="144" w:name="_Toc25527"/>
      <w:r>
        <w:rPr>
          <w:rFonts w:hint="eastAsia" w:hAnsi="宋体" w:cs="宋体"/>
          <w:b/>
          <w:color w:val="auto"/>
          <w:sz w:val="28"/>
          <w:szCs w:val="28"/>
          <w:highlight w:val="none"/>
        </w:rPr>
        <w:br w:type="page"/>
      </w:r>
    </w:p>
    <w:p w14:paraId="4235D492">
      <w:pPr>
        <w:pStyle w:val="12"/>
        <w:spacing w:line="340" w:lineRule="exact"/>
        <w:outlineLvl w:val="2"/>
        <w:rPr>
          <w:rFonts w:hint="eastAsia" w:hAnsi="宋体" w:cs="宋体"/>
          <w:color w:val="auto"/>
          <w:highlight w:val="none"/>
        </w:rPr>
      </w:pPr>
      <w:r>
        <w:rPr>
          <w:rFonts w:hint="eastAsia" w:hAnsi="宋体" w:cs="宋体"/>
          <w:b/>
          <w:color w:val="auto"/>
          <w:sz w:val="28"/>
          <w:szCs w:val="28"/>
          <w:highlight w:val="none"/>
        </w:rPr>
        <w:t>2.磋商报价表</w:t>
      </w:r>
      <w:r>
        <w:rPr>
          <w:rFonts w:hint="eastAsia" w:ascii="宋体" w:hAnsi="宋体" w:cs="宋体"/>
          <w:b/>
          <w:bCs/>
          <w:color w:val="auto"/>
          <w:sz w:val="28"/>
          <w:szCs w:val="28"/>
          <w:highlight w:val="none"/>
        </w:rPr>
        <w:t>（格式见附件）</w:t>
      </w:r>
      <w:r>
        <w:rPr>
          <w:rFonts w:hint="eastAsia" w:hAnsi="宋体" w:cs="宋体"/>
          <w:b/>
          <w:color w:val="auto"/>
          <w:sz w:val="28"/>
          <w:szCs w:val="28"/>
          <w:highlight w:val="none"/>
        </w:rPr>
        <w:t>（必须提供）；</w:t>
      </w:r>
      <w:bookmarkEnd w:id="144"/>
    </w:p>
    <w:p w14:paraId="7454580C">
      <w:pPr>
        <w:pStyle w:val="12"/>
        <w:spacing w:line="320" w:lineRule="exact"/>
        <w:jc w:val="left"/>
        <w:rPr>
          <w:rFonts w:hint="eastAsia" w:hAnsi="宋体" w:cs="宋体"/>
          <w:b/>
          <w:color w:val="auto"/>
          <w:sz w:val="28"/>
          <w:szCs w:val="28"/>
          <w:highlight w:val="none"/>
        </w:rPr>
      </w:pPr>
    </w:p>
    <w:p w14:paraId="13FDB7A2">
      <w:pPr>
        <w:pStyle w:val="8"/>
        <w:ind w:left="0"/>
        <w:rPr>
          <w:rFonts w:hint="eastAsia" w:ascii="宋体" w:hAnsi="宋体" w:cs="宋体"/>
          <w:color w:val="auto"/>
          <w:highlight w:val="none"/>
        </w:rPr>
      </w:pPr>
      <w:r>
        <w:rPr>
          <w:rFonts w:hint="eastAsia" w:ascii="宋体" w:hAnsi="宋体" w:cs="宋体"/>
          <w:b/>
          <w:bCs/>
          <w:color w:val="auto"/>
          <w:sz w:val="30"/>
          <w:szCs w:val="30"/>
          <w:highlight w:val="none"/>
        </w:rPr>
        <w:t>附件：</w:t>
      </w:r>
    </w:p>
    <w:p w14:paraId="0154425F">
      <w:pPr>
        <w:pStyle w:val="12"/>
        <w:spacing w:line="480" w:lineRule="exact"/>
        <w:jc w:val="center"/>
        <w:rPr>
          <w:rFonts w:hint="eastAsia" w:hAnsi="宋体" w:cs="宋体"/>
          <w:b/>
          <w:color w:val="auto"/>
          <w:sz w:val="30"/>
          <w:szCs w:val="30"/>
          <w:highlight w:val="none"/>
        </w:rPr>
      </w:pPr>
      <w:r>
        <w:rPr>
          <w:rFonts w:hint="eastAsia" w:hAnsi="宋体" w:cs="宋体"/>
          <w:b/>
          <w:color w:val="auto"/>
          <w:sz w:val="30"/>
          <w:szCs w:val="30"/>
          <w:highlight w:val="none"/>
        </w:rPr>
        <w:t>磋商报价表（格式）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3"/>
        <w:gridCol w:w="2850"/>
        <w:gridCol w:w="2755"/>
        <w:gridCol w:w="3008"/>
      </w:tblGrid>
      <w:tr w14:paraId="140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4" w:hRule="atLeast"/>
          <w:jc w:val="center"/>
        </w:trPr>
        <w:tc>
          <w:tcPr>
            <w:tcW w:w="1073" w:type="dxa"/>
            <w:noWrap w:val="0"/>
            <w:vAlign w:val="center"/>
          </w:tcPr>
          <w:p w14:paraId="28481B2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标项号</w:t>
            </w:r>
          </w:p>
        </w:tc>
        <w:tc>
          <w:tcPr>
            <w:tcW w:w="2850" w:type="dxa"/>
            <w:noWrap w:val="0"/>
            <w:vAlign w:val="center"/>
          </w:tcPr>
          <w:p w14:paraId="35AF988A">
            <w:pPr>
              <w:spacing w:line="400" w:lineRule="exact"/>
              <w:jc w:val="center"/>
              <w:rPr>
                <w:rFonts w:hint="default" w:ascii="宋体" w:hAnsi="宋体" w:cs="宋体"/>
                <w:color w:val="auto"/>
                <w:szCs w:val="21"/>
                <w:highlight w:val="none"/>
                <w:lang w:val="en-US"/>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lang w:eastAsia="zh-CN"/>
              </w:rPr>
              <w:t>及标段</w:t>
            </w:r>
            <w:r>
              <w:rPr>
                <w:rFonts w:hint="eastAsia" w:ascii="宋体" w:hAnsi="宋体" w:cs="宋体"/>
                <w:b/>
                <w:bCs/>
                <w:color w:val="auto"/>
                <w:szCs w:val="21"/>
                <w:highlight w:val="none"/>
                <w:lang w:val="en-US" w:eastAsia="zh-CN"/>
              </w:rPr>
              <w:t>名称</w:t>
            </w:r>
          </w:p>
        </w:tc>
        <w:tc>
          <w:tcPr>
            <w:tcW w:w="2755" w:type="dxa"/>
            <w:noWrap w:val="0"/>
            <w:vAlign w:val="center"/>
          </w:tcPr>
          <w:p w14:paraId="1F97821E">
            <w:pPr>
              <w:spacing w:line="4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服务内容</w:t>
            </w:r>
          </w:p>
        </w:tc>
        <w:tc>
          <w:tcPr>
            <w:tcW w:w="3008" w:type="dxa"/>
            <w:noWrap w:val="0"/>
            <w:vAlign w:val="center"/>
          </w:tcPr>
          <w:p w14:paraId="026EA592">
            <w:pPr>
              <w:spacing w:line="400" w:lineRule="exact"/>
              <w:ind w:firstLine="420"/>
              <w:jc w:val="center"/>
              <w:rPr>
                <w:rFonts w:hint="eastAsia" w:ascii="宋体" w:hAnsi="宋体" w:cs="宋体"/>
                <w:color w:val="auto"/>
                <w:szCs w:val="20"/>
                <w:highlight w:val="none"/>
              </w:rPr>
            </w:pPr>
            <w:r>
              <w:rPr>
                <w:rFonts w:hint="eastAsia" w:ascii="宋体" w:hAnsi="宋体" w:cs="宋体"/>
                <w:b/>
                <w:bCs/>
                <w:color w:val="auto"/>
                <w:szCs w:val="21"/>
                <w:highlight w:val="none"/>
              </w:rPr>
              <w:t>磋商报价</w:t>
            </w:r>
          </w:p>
        </w:tc>
      </w:tr>
      <w:tr w14:paraId="5993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1073" w:type="dxa"/>
            <w:noWrap w:val="0"/>
            <w:vAlign w:val="center"/>
          </w:tcPr>
          <w:p w14:paraId="107331D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50" w:type="dxa"/>
            <w:noWrap w:val="0"/>
            <w:vAlign w:val="center"/>
          </w:tcPr>
          <w:p w14:paraId="3E487DCA">
            <w:pPr>
              <w:spacing w:line="400" w:lineRule="exact"/>
              <w:jc w:val="center"/>
              <w:rPr>
                <w:rFonts w:hint="eastAsia" w:ascii="宋体" w:hAnsi="宋体" w:cs="宋体"/>
                <w:color w:val="auto"/>
                <w:szCs w:val="21"/>
                <w:highlight w:val="none"/>
              </w:rPr>
            </w:pPr>
          </w:p>
        </w:tc>
        <w:tc>
          <w:tcPr>
            <w:tcW w:w="2755" w:type="dxa"/>
            <w:noWrap w:val="0"/>
            <w:vAlign w:val="center"/>
          </w:tcPr>
          <w:p w14:paraId="0320DDA9">
            <w:pPr>
              <w:spacing w:line="400" w:lineRule="exact"/>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《采购需求》中</w:t>
            </w:r>
            <w:r>
              <w:rPr>
                <w:rFonts w:hint="eastAsia" w:ascii="宋体" w:hAnsi="宋体" w:cs="宋体"/>
                <w:bCs/>
                <w:color w:val="auto"/>
                <w:szCs w:val="21"/>
                <w:highlight w:val="none"/>
                <w:lang w:val="en-US" w:eastAsia="zh-CN"/>
              </w:rPr>
              <w:t>本标项</w:t>
            </w:r>
            <w:r>
              <w:rPr>
                <w:rFonts w:hint="eastAsia" w:ascii="宋体" w:hAnsi="宋体" w:cs="宋体"/>
                <w:bCs/>
                <w:color w:val="auto"/>
                <w:szCs w:val="21"/>
                <w:highlight w:val="none"/>
              </w:rPr>
              <w:t>要求完成的所有内容</w:t>
            </w:r>
            <w:r>
              <w:rPr>
                <w:rFonts w:hint="eastAsia" w:ascii="宋体" w:hAnsi="宋体" w:cs="宋体"/>
                <w:bCs/>
                <w:color w:val="auto"/>
                <w:szCs w:val="21"/>
                <w:highlight w:val="none"/>
                <w:lang w:eastAsia="zh-CN"/>
              </w:rPr>
              <w:t>。</w:t>
            </w:r>
          </w:p>
        </w:tc>
        <w:tc>
          <w:tcPr>
            <w:tcW w:w="3008" w:type="dxa"/>
            <w:noWrap w:val="0"/>
            <w:vAlign w:val="center"/>
          </w:tcPr>
          <w:p w14:paraId="3EA0FA7F">
            <w:pPr>
              <w:spacing w:line="400" w:lineRule="exact"/>
              <w:ind w:firstLine="735" w:firstLineChars="350"/>
              <w:rPr>
                <w:rFonts w:hint="eastAsia" w:ascii="宋体" w:hAnsi="宋体" w:eastAsia="宋体" w:cs="宋体"/>
                <w:color w:val="auto"/>
                <w:szCs w:val="21"/>
                <w:highlight w:val="none"/>
                <w:lang w:eastAsia="zh-CN"/>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w:t>
            </w:r>
          </w:p>
        </w:tc>
      </w:tr>
      <w:tr w14:paraId="5E4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9686" w:type="dxa"/>
            <w:gridSpan w:val="4"/>
            <w:noWrap w:val="0"/>
            <w:vAlign w:val="center"/>
          </w:tcPr>
          <w:p w14:paraId="3A75FA4E">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合同履行期限：</w:t>
            </w:r>
            <w:r>
              <w:rPr>
                <w:rFonts w:hint="eastAsia" w:ascii="宋体" w:hAnsi="宋体" w:cs="宋体"/>
                <w:color w:val="auto"/>
                <w:szCs w:val="21"/>
                <w:highlight w:val="none"/>
                <w:lang w:eastAsia="zh-CN"/>
              </w:rPr>
              <w:t>自合同签订之日起至202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年12月31日。</w:t>
            </w:r>
            <w:r>
              <w:rPr>
                <w:rFonts w:hint="eastAsia"/>
                <w:color w:val="auto"/>
                <w:highlight w:val="none"/>
              </w:rPr>
              <w:t>。</w:t>
            </w:r>
          </w:p>
        </w:tc>
      </w:tr>
      <w:tr w14:paraId="09F4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686" w:type="dxa"/>
            <w:gridSpan w:val="4"/>
            <w:noWrap w:val="0"/>
            <w:vAlign w:val="center"/>
          </w:tcPr>
          <w:p w14:paraId="6391723E">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说明：</w:t>
            </w:r>
            <w:r>
              <w:rPr>
                <w:rFonts w:hint="eastAsia" w:ascii="宋体" w:hAnsi="宋体"/>
                <w:color w:val="auto"/>
                <w:szCs w:val="21"/>
                <w:highlight w:val="none"/>
              </w:rPr>
              <w:t>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tc>
      </w:tr>
    </w:tbl>
    <w:p w14:paraId="5FC62C95">
      <w:pPr>
        <w:spacing w:line="340" w:lineRule="exact"/>
        <w:rPr>
          <w:rFonts w:hint="eastAsia" w:ascii="宋体" w:hAnsi="宋体" w:cs="宋体"/>
          <w:color w:val="auto"/>
          <w:szCs w:val="21"/>
          <w:highlight w:val="none"/>
        </w:rPr>
      </w:pPr>
    </w:p>
    <w:p w14:paraId="516EA47C">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磋商供应商（CA签章，自然人除外）：</w:t>
      </w:r>
      <w:r>
        <w:rPr>
          <w:rFonts w:hint="eastAsia" w:ascii="宋体" w:hAnsi="宋体" w:cs="宋体"/>
          <w:color w:val="auto"/>
          <w:szCs w:val="21"/>
          <w:highlight w:val="none"/>
          <w:u w:val="single"/>
        </w:rPr>
        <w:t xml:space="preserve">                                        </w:t>
      </w:r>
    </w:p>
    <w:p w14:paraId="7554EC0D">
      <w:pPr>
        <w:spacing w:line="400" w:lineRule="exact"/>
        <w:rPr>
          <w:rFonts w:hint="eastAsia"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r>
        <w:rPr>
          <w:rFonts w:hint="eastAsia" w:ascii="宋体" w:hAnsi="宋体" w:cs="宋体"/>
          <w:color w:val="auto"/>
          <w:szCs w:val="21"/>
          <w:highlight w:val="none"/>
          <w:u w:val="single"/>
        </w:rPr>
        <w:t xml:space="preserve">                                    </w:t>
      </w:r>
    </w:p>
    <w:p w14:paraId="3F681D1D">
      <w:pPr>
        <w:tabs>
          <w:tab w:val="left" w:pos="1305"/>
        </w:tabs>
        <w:spacing w:line="400" w:lineRule="exact"/>
        <w:rPr>
          <w:rFonts w:hint="eastAsia" w:ascii="宋体" w:hAnsi="宋体" w:cs="宋体"/>
          <w:bCs/>
          <w:color w:val="auto"/>
          <w:szCs w:val="21"/>
          <w:highlight w:val="none"/>
        </w:rPr>
      </w:pPr>
    </w:p>
    <w:p w14:paraId="4D56B345">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注：1.各磋商供应商必须就“采购需求”中的所有内容作完整唯一报价，否则，其磋商响应将被拒绝。磋商响应文件只允许有一个报价。</w:t>
      </w:r>
    </w:p>
    <w:p w14:paraId="6092F385">
      <w:pPr>
        <w:pStyle w:val="12"/>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2.磋商供应商应根据所投项目如实填写磋商报价表的各项内容。</w:t>
      </w:r>
    </w:p>
    <w:p w14:paraId="00C60ACE">
      <w:pPr>
        <w:spacing w:line="400" w:lineRule="exact"/>
        <w:ind w:firstLine="420" w:firstLineChars="200"/>
        <w:rPr>
          <w:rFonts w:hint="eastAsia" w:ascii="宋体" w:hAnsi="宋体" w:cs="宋体"/>
          <w:b/>
          <w:color w:val="auto"/>
          <w:sz w:val="32"/>
          <w:szCs w:val="32"/>
          <w:highlight w:val="none"/>
        </w:rPr>
      </w:pPr>
      <w:r>
        <w:rPr>
          <w:rFonts w:hint="eastAsia" w:ascii="宋体" w:hAnsi="宋体" w:cs="宋体"/>
          <w:b/>
          <w:color w:val="auto"/>
          <w:szCs w:val="21"/>
          <w:highlight w:val="none"/>
        </w:rPr>
        <w:t>3.</w:t>
      </w:r>
      <w:r>
        <w:rPr>
          <w:rFonts w:hint="eastAsia" w:ascii="宋体" w:hAnsi="宋体" w:cs="宋体"/>
          <w:b/>
          <w:color w:val="auto"/>
          <w:highlight w:val="none"/>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p>
    <w:p w14:paraId="78805936">
      <w:pPr>
        <w:rPr>
          <w:rFonts w:hint="eastAsia" w:ascii="宋体" w:hAnsi="宋体" w:cs="宋体"/>
          <w:b/>
          <w:bCs/>
          <w:color w:val="auto"/>
          <w:sz w:val="32"/>
          <w:szCs w:val="32"/>
          <w:highlight w:val="none"/>
        </w:rPr>
      </w:pPr>
    </w:p>
    <w:p w14:paraId="2696302D">
      <w:pPr>
        <w:pStyle w:val="9"/>
        <w:rPr>
          <w:rFonts w:hint="eastAsia" w:ascii="宋体" w:hAnsi="宋体" w:cs="宋体"/>
          <w:color w:val="auto"/>
          <w:highlight w:val="none"/>
        </w:rPr>
        <w:sectPr>
          <w:footerReference r:id="rId3" w:type="default"/>
          <w:pgSz w:w="11906" w:h="16838"/>
          <w:pgMar w:top="1440" w:right="1080" w:bottom="1440" w:left="1080" w:header="851" w:footer="992" w:gutter="0"/>
          <w:cols w:space="720" w:num="1"/>
          <w:docGrid w:type="linesAndChars" w:linePitch="312" w:charSpace="0"/>
        </w:sectPr>
      </w:pPr>
    </w:p>
    <w:p w14:paraId="445F8C95">
      <w:pPr>
        <w:rPr>
          <w:rFonts w:ascii="宋体" w:hAnsi="宋体" w:cs="宋体"/>
          <w:b/>
          <w:color w:val="auto"/>
          <w:sz w:val="28"/>
          <w:szCs w:val="28"/>
          <w:highlight w:val="none"/>
        </w:rPr>
      </w:pPr>
      <w:bookmarkStart w:id="145" w:name="_Toc29483"/>
      <w:r>
        <w:rPr>
          <w:rFonts w:hAnsi="宋体" w:cs="宋体"/>
          <w:b/>
          <w:color w:val="auto"/>
          <w:sz w:val="28"/>
          <w:szCs w:val="28"/>
          <w:highlight w:val="none"/>
        </w:rPr>
        <w:t>3</w:t>
      </w:r>
      <w:r>
        <w:rPr>
          <w:rFonts w:hint="eastAsia" w:hAnsi="宋体" w:cs="宋体"/>
          <w:b/>
          <w:color w:val="auto"/>
          <w:sz w:val="28"/>
          <w:szCs w:val="28"/>
          <w:highlight w:val="none"/>
        </w:rPr>
        <w:t>.</w:t>
      </w:r>
      <w:r>
        <w:rPr>
          <w:rFonts w:hint="eastAsia" w:ascii="宋体" w:hAnsi="宋体" w:cs="宋体"/>
          <w:b/>
          <w:color w:val="auto"/>
          <w:sz w:val="28"/>
          <w:szCs w:val="28"/>
          <w:highlight w:val="none"/>
        </w:rPr>
        <w:t>服务响应表（格式见附件）（必须提供）；</w:t>
      </w:r>
    </w:p>
    <w:p w14:paraId="294C8AD8">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服务响应表（格式）</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765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noWrap w:val="0"/>
            <w:vAlign w:val="center"/>
          </w:tcPr>
          <w:p w14:paraId="44CD78E5">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noWrap w:val="0"/>
            <w:vAlign w:val="center"/>
          </w:tcPr>
          <w:p w14:paraId="46708103">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noWrap w:val="0"/>
            <w:vAlign w:val="center"/>
          </w:tcPr>
          <w:p w14:paraId="5DEF4F63">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noWrap w:val="0"/>
            <w:vAlign w:val="center"/>
          </w:tcPr>
          <w:p w14:paraId="78D469E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响应文件的响应情况</w:t>
            </w:r>
          </w:p>
        </w:tc>
        <w:tc>
          <w:tcPr>
            <w:tcW w:w="2113" w:type="dxa"/>
            <w:noWrap w:val="0"/>
            <w:vAlign w:val="center"/>
          </w:tcPr>
          <w:p w14:paraId="1FA6B297">
            <w:pPr>
              <w:spacing w:line="400" w:lineRule="exact"/>
              <w:jc w:val="center"/>
              <w:rPr>
                <w:rFonts w:ascii="宋体" w:hAnsi="宋体" w:cs="宋体"/>
                <w:b/>
                <w:color w:val="auto"/>
                <w:highlight w:val="none"/>
              </w:rPr>
            </w:pPr>
            <w:bookmarkStart w:id="146" w:name="_Toc254970701"/>
            <w:bookmarkStart w:id="147" w:name="_Toc254970560"/>
            <w:r>
              <w:rPr>
                <w:rFonts w:hint="eastAsia" w:ascii="宋体" w:hAnsi="宋体" w:cs="宋体"/>
                <w:b/>
                <w:color w:val="auto"/>
                <w:highlight w:val="none"/>
              </w:rPr>
              <w:t>偏离情况</w:t>
            </w:r>
            <w:bookmarkEnd w:id="146"/>
            <w:bookmarkEnd w:id="147"/>
            <w:r>
              <w:rPr>
                <w:rFonts w:hint="eastAsia" w:ascii="宋体" w:hAnsi="宋体" w:cs="宋体"/>
                <w:b/>
                <w:color w:val="auto"/>
                <w:highlight w:val="none"/>
              </w:rPr>
              <w:t>说明</w:t>
            </w:r>
          </w:p>
        </w:tc>
      </w:tr>
      <w:tr w14:paraId="4DDC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55FAC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0"/>
            <w:vAlign w:val="top"/>
          </w:tcPr>
          <w:p w14:paraId="50FC4A35">
            <w:pPr>
              <w:spacing w:line="400" w:lineRule="exact"/>
              <w:rPr>
                <w:rFonts w:ascii="宋体" w:hAnsi="宋体" w:cs="宋体"/>
                <w:color w:val="auto"/>
                <w:kern w:val="0"/>
                <w:szCs w:val="21"/>
                <w:highlight w:val="none"/>
              </w:rPr>
            </w:pPr>
          </w:p>
        </w:tc>
        <w:tc>
          <w:tcPr>
            <w:tcW w:w="2313" w:type="dxa"/>
            <w:noWrap w:val="0"/>
            <w:vAlign w:val="top"/>
          </w:tcPr>
          <w:p w14:paraId="29EF2453">
            <w:pPr>
              <w:spacing w:line="400" w:lineRule="exact"/>
              <w:jc w:val="left"/>
              <w:rPr>
                <w:rFonts w:ascii="宋体" w:hAnsi="宋体" w:cs="宋体"/>
                <w:color w:val="auto"/>
                <w:highlight w:val="none"/>
              </w:rPr>
            </w:pPr>
          </w:p>
        </w:tc>
        <w:tc>
          <w:tcPr>
            <w:tcW w:w="2520" w:type="dxa"/>
            <w:noWrap w:val="0"/>
            <w:vAlign w:val="top"/>
          </w:tcPr>
          <w:p w14:paraId="7141C57F">
            <w:pPr>
              <w:spacing w:line="400" w:lineRule="exact"/>
              <w:jc w:val="left"/>
              <w:rPr>
                <w:rFonts w:ascii="宋体" w:hAnsi="宋体" w:cs="宋体"/>
                <w:color w:val="auto"/>
                <w:highlight w:val="none"/>
              </w:rPr>
            </w:pPr>
          </w:p>
        </w:tc>
        <w:tc>
          <w:tcPr>
            <w:tcW w:w="2113" w:type="dxa"/>
            <w:noWrap w:val="0"/>
            <w:vAlign w:val="top"/>
          </w:tcPr>
          <w:p w14:paraId="2A9DCF32">
            <w:pPr>
              <w:spacing w:line="400" w:lineRule="exact"/>
              <w:jc w:val="left"/>
              <w:rPr>
                <w:rFonts w:ascii="宋体" w:hAnsi="宋体" w:cs="宋体"/>
                <w:color w:val="auto"/>
                <w:highlight w:val="none"/>
              </w:rPr>
            </w:pPr>
          </w:p>
        </w:tc>
      </w:tr>
      <w:tr w14:paraId="6AF5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top"/>
          </w:tcPr>
          <w:p w14:paraId="7D20FB2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0"/>
            <w:vAlign w:val="top"/>
          </w:tcPr>
          <w:p w14:paraId="7E1EEE55">
            <w:pPr>
              <w:spacing w:line="400" w:lineRule="exact"/>
              <w:rPr>
                <w:rFonts w:ascii="宋体" w:hAnsi="宋体" w:cs="宋体"/>
                <w:color w:val="auto"/>
                <w:kern w:val="0"/>
                <w:szCs w:val="21"/>
                <w:highlight w:val="none"/>
              </w:rPr>
            </w:pPr>
          </w:p>
        </w:tc>
        <w:tc>
          <w:tcPr>
            <w:tcW w:w="2313" w:type="dxa"/>
            <w:noWrap w:val="0"/>
            <w:vAlign w:val="top"/>
          </w:tcPr>
          <w:p w14:paraId="68EF0B89">
            <w:pPr>
              <w:spacing w:line="400" w:lineRule="exact"/>
              <w:jc w:val="left"/>
              <w:rPr>
                <w:rFonts w:ascii="宋体" w:hAnsi="宋体" w:cs="宋体"/>
                <w:color w:val="auto"/>
                <w:highlight w:val="none"/>
              </w:rPr>
            </w:pPr>
          </w:p>
        </w:tc>
        <w:tc>
          <w:tcPr>
            <w:tcW w:w="2520" w:type="dxa"/>
            <w:noWrap w:val="0"/>
            <w:vAlign w:val="top"/>
          </w:tcPr>
          <w:p w14:paraId="4AD5DB82">
            <w:pPr>
              <w:spacing w:line="400" w:lineRule="exact"/>
              <w:jc w:val="left"/>
              <w:rPr>
                <w:rFonts w:ascii="宋体" w:hAnsi="宋体" w:cs="宋体"/>
                <w:color w:val="auto"/>
                <w:highlight w:val="none"/>
              </w:rPr>
            </w:pPr>
          </w:p>
        </w:tc>
        <w:tc>
          <w:tcPr>
            <w:tcW w:w="2113" w:type="dxa"/>
            <w:noWrap w:val="0"/>
            <w:vAlign w:val="top"/>
          </w:tcPr>
          <w:p w14:paraId="6AF947AA">
            <w:pPr>
              <w:spacing w:line="400" w:lineRule="exact"/>
              <w:jc w:val="left"/>
              <w:rPr>
                <w:rFonts w:ascii="宋体" w:hAnsi="宋体" w:cs="宋体"/>
                <w:color w:val="auto"/>
                <w:highlight w:val="none"/>
              </w:rPr>
            </w:pPr>
          </w:p>
        </w:tc>
      </w:tr>
      <w:tr w14:paraId="718F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1FD825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0"/>
            <w:vAlign w:val="top"/>
          </w:tcPr>
          <w:p w14:paraId="5E6C3689">
            <w:pPr>
              <w:spacing w:line="400" w:lineRule="exact"/>
              <w:rPr>
                <w:rFonts w:ascii="宋体" w:hAnsi="宋体" w:cs="宋体"/>
                <w:color w:val="auto"/>
                <w:kern w:val="0"/>
                <w:szCs w:val="21"/>
                <w:highlight w:val="none"/>
              </w:rPr>
            </w:pPr>
          </w:p>
        </w:tc>
        <w:tc>
          <w:tcPr>
            <w:tcW w:w="2313" w:type="dxa"/>
            <w:noWrap w:val="0"/>
            <w:vAlign w:val="top"/>
          </w:tcPr>
          <w:p w14:paraId="31B3B426">
            <w:pPr>
              <w:spacing w:line="400" w:lineRule="exact"/>
              <w:jc w:val="left"/>
              <w:rPr>
                <w:rFonts w:ascii="宋体" w:hAnsi="宋体" w:cs="宋体"/>
                <w:color w:val="auto"/>
                <w:highlight w:val="none"/>
              </w:rPr>
            </w:pPr>
          </w:p>
        </w:tc>
        <w:tc>
          <w:tcPr>
            <w:tcW w:w="2520" w:type="dxa"/>
            <w:noWrap w:val="0"/>
            <w:vAlign w:val="top"/>
          </w:tcPr>
          <w:p w14:paraId="64F974E8">
            <w:pPr>
              <w:spacing w:line="400" w:lineRule="exact"/>
              <w:jc w:val="left"/>
              <w:rPr>
                <w:rFonts w:ascii="宋体" w:hAnsi="宋体" w:cs="宋体"/>
                <w:color w:val="auto"/>
                <w:highlight w:val="none"/>
              </w:rPr>
            </w:pPr>
          </w:p>
        </w:tc>
        <w:tc>
          <w:tcPr>
            <w:tcW w:w="2113" w:type="dxa"/>
            <w:noWrap w:val="0"/>
            <w:vAlign w:val="top"/>
          </w:tcPr>
          <w:p w14:paraId="2572796F">
            <w:pPr>
              <w:spacing w:line="400" w:lineRule="exact"/>
              <w:jc w:val="left"/>
              <w:rPr>
                <w:rFonts w:ascii="宋体" w:hAnsi="宋体" w:cs="宋体"/>
                <w:color w:val="auto"/>
                <w:highlight w:val="none"/>
              </w:rPr>
            </w:pPr>
          </w:p>
        </w:tc>
      </w:tr>
      <w:tr w14:paraId="6E9F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AE755B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0"/>
            <w:vAlign w:val="top"/>
          </w:tcPr>
          <w:p w14:paraId="5F474787">
            <w:pPr>
              <w:spacing w:line="400" w:lineRule="exact"/>
              <w:rPr>
                <w:rFonts w:ascii="宋体" w:hAnsi="宋体" w:cs="宋体"/>
                <w:color w:val="auto"/>
                <w:kern w:val="0"/>
                <w:szCs w:val="21"/>
                <w:highlight w:val="none"/>
              </w:rPr>
            </w:pPr>
          </w:p>
        </w:tc>
        <w:tc>
          <w:tcPr>
            <w:tcW w:w="2313" w:type="dxa"/>
            <w:noWrap w:val="0"/>
            <w:vAlign w:val="top"/>
          </w:tcPr>
          <w:p w14:paraId="04B5B36A">
            <w:pPr>
              <w:spacing w:line="400" w:lineRule="exact"/>
              <w:jc w:val="left"/>
              <w:rPr>
                <w:rFonts w:ascii="宋体" w:hAnsi="宋体" w:cs="宋体"/>
                <w:color w:val="auto"/>
                <w:highlight w:val="none"/>
              </w:rPr>
            </w:pPr>
          </w:p>
        </w:tc>
        <w:tc>
          <w:tcPr>
            <w:tcW w:w="2520" w:type="dxa"/>
            <w:noWrap w:val="0"/>
            <w:vAlign w:val="top"/>
          </w:tcPr>
          <w:p w14:paraId="2151CD72">
            <w:pPr>
              <w:spacing w:line="400" w:lineRule="exact"/>
              <w:jc w:val="left"/>
              <w:rPr>
                <w:rFonts w:ascii="宋体" w:hAnsi="宋体" w:cs="宋体"/>
                <w:color w:val="auto"/>
                <w:highlight w:val="none"/>
              </w:rPr>
            </w:pPr>
          </w:p>
        </w:tc>
        <w:tc>
          <w:tcPr>
            <w:tcW w:w="2113" w:type="dxa"/>
            <w:noWrap w:val="0"/>
            <w:vAlign w:val="top"/>
          </w:tcPr>
          <w:p w14:paraId="790BE699">
            <w:pPr>
              <w:spacing w:line="400" w:lineRule="exact"/>
              <w:jc w:val="left"/>
              <w:rPr>
                <w:rFonts w:ascii="宋体" w:hAnsi="宋体" w:cs="宋体"/>
                <w:color w:val="auto"/>
                <w:highlight w:val="none"/>
              </w:rPr>
            </w:pPr>
          </w:p>
        </w:tc>
      </w:tr>
      <w:tr w14:paraId="50C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CD6C8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0"/>
            <w:vAlign w:val="top"/>
          </w:tcPr>
          <w:p w14:paraId="430DC1C7">
            <w:pPr>
              <w:spacing w:line="400" w:lineRule="exact"/>
              <w:rPr>
                <w:rFonts w:ascii="宋体" w:hAnsi="宋体" w:cs="宋体"/>
                <w:color w:val="auto"/>
                <w:kern w:val="0"/>
                <w:szCs w:val="21"/>
                <w:highlight w:val="none"/>
              </w:rPr>
            </w:pPr>
          </w:p>
        </w:tc>
        <w:tc>
          <w:tcPr>
            <w:tcW w:w="2313" w:type="dxa"/>
            <w:noWrap w:val="0"/>
            <w:vAlign w:val="top"/>
          </w:tcPr>
          <w:p w14:paraId="6AA3E919">
            <w:pPr>
              <w:spacing w:line="400" w:lineRule="exact"/>
              <w:jc w:val="left"/>
              <w:rPr>
                <w:rFonts w:ascii="宋体" w:hAnsi="宋体" w:cs="宋体"/>
                <w:color w:val="auto"/>
                <w:highlight w:val="none"/>
              </w:rPr>
            </w:pPr>
          </w:p>
        </w:tc>
        <w:tc>
          <w:tcPr>
            <w:tcW w:w="2520" w:type="dxa"/>
            <w:noWrap w:val="0"/>
            <w:vAlign w:val="top"/>
          </w:tcPr>
          <w:p w14:paraId="1DC1C6B5">
            <w:pPr>
              <w:spacing w:line="400" w:lineRule="exact"/>
              <w:jc w:val="left"/>
              <w:rPr>
                <w:rFonts w:ascii="宋体" w:hAnsi="宋体" w:cs="宋体"/>
                <w:color w:val="auto"/>
                <w:highlight w:val="none"/>
              </w:rPr>
            </w:pPr>
          </w:p>
        </w:tc>
        <w:tc>
          <w:tcPr>
            <w:tcW w:w="2113" w:type="dxa"/>
            <w:noWrap w:val="0"/>
            <w:vAlign w:val="top"/>
          </w:tcPr>
          <w:p w14:paraId="58899F6C">
            <w:pPr>
              <w:spacing w:line="400" w:lineRule="exact"/>
              <w:jc w:val="left"/>
              <w:rPr>
                <w:rFonts w:ascii="宋体" w:hAnsi="宋体" w:cs="宋体"/>
                <w:color w:val="auto"/>
                <w:highlight w:val="none"/>
              </w:rPr>
            </w:pPr>
          </w:p>
        </w:tc>
      </w:tr>
      <w:tr w14:paraId="174B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50D9D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0"/>
            <w:vAlign w:val="top"/>
          </w:tcPr>
          <w:p w14:paraId="14F08049">
            <w:pPr>
              <w:spacing w:line="400" w:lineRule="exact"/>
              <w:rPr>
                <w:rFonts w:ascii="宋体" w:hAnsi="宋体" w:cs="宋体"/>
                <w:b/>
                <w:bCs/>
                <w:color w:val="auto"/>
                <w:kern w:val="0"/>
                <w:szCs w:val="21"/>
                <w:highlight w:val="none"/>
              </w:rPr>
            </w:pPr>
          </w:p>
        </w:tc>
        <w:tc>
          <w:tcPr>
            <w:tcW w:w="2313" w:type="dxa"/>
            <w:noWrap w:val="0"/>
            <w:vAlign w:val="top"/>
          </w:tcPr>
          <w:p w14:paraId="054B2EA9">
            <w:pPr>
              <w:spacing w:line="400" w:lineRule="exact"/>
              <w:jc w:val="left"/>
              <w:rPr>
                <w:rFonts w:ascii="宋体" w:hAnsi="宋体" w:cs="宋体"/>
                <w:color w:val="auto"/>
                <w:highlight w:val="none"/>
              </w:rPr>
            </w:pPr>
          </w:p>
        </w:tc>
        <w:tc>
          <w:tcPr>
            <w:tcW w:w="2520" w:type="dxa"/>
            <w:noWrap w:val="0"/>
            <w:vAlign w:val="top"/>
          </w:tcPr>
          <w:p w14:paraId="5CF9B600">
            <w:pPr>
              <w:spacing w:line="400" w:lineRule="exact"/>
              <w:jc w:val="left"/>
              <w:rPr>
                <w:rFonts w:ascii="宋体" w:hAnsi="宋体" w:cs="宋体"/>
                <w:color w:val="auto"/>
                <w:highlight w:val="none"/>
              </w:rPr>
            </w:pPr>
          </w:p>
        </w:tc>
        <w:tc>
          <w:tcPr>
            <w:tcW w:w="2113" w:type="dxa"/>
            <w:noWrap w:val="0"/>
            <w:vAlign w:val="top"/>
          </w:tcPr>
          <w:p w14:paraId="5D8A610C">
            <w:pPr>
              <w:spacing w:line="400" w:lineRule="exact"/>
              <w:jc w:val="left"/>
              <w:rPr>
                <w:rFonts w:ascii="宋体" w:hAnsi="宋体" w:cs="宋体"/>
                <w:color w:val="auto"/>
                <w:highlight w:val="none"/>
              </w:rPr>
            </w:pPr>
          </w:p>
        </w:tc>
      </w:tr>
    </w:tbl>
    <w:p w14:paraId="493C8C26">
      <w:pPr>
        <w:snapToGrid w:val="0"/>
        <w:spacing w:line="400" w:lineRule="exact"/>
        <w:ind w:firstLine="1890" w:firstLineChars="900"/>
        <w:rPr>
          <w:rFonts w:hint="eastAsia" w:ascii="宋体" w:hAnsi="宋体" w:cs="宋体"/>
          <w:color w:val="auto"/>
          <w:szCs w:val="21"/>
          <w:highlight w:val="none"/>
        </w:rPr>
      </w:pPr>
    </w:p>
    <w:p w14:paraId="46CD8DC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4442D269">
      <w:pPr>
        <w:spacing w:line="340" w:lineRule="exact"/>
        <w:rPr>
          <w:rFonts w:ascii="宋体" w:hAnsi="宋体" w:cs="宋体"/>
          <w:color w:val="auto"/>
          <w:highlight w:val="none"/>
        </w:rPr>
      </w:pPr>
    </w:p>
    <w:p w14:paraId="26234DDF">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0D11C919">
      <w:pPr>
        <w:ind w:firstLine="1890" w:firstLineChars="900"/>
        <w:rPr>
          <w:rFonts w:ascii="宋体" w:hAnsi="宋体" w:cs="宋体"/>
          <w:color w:val="auto"/>
          <w:highlight w:val="none"/>
          <w:u w:val="single"/>
        </w:rPr>
      </w:pPr>
    </w:p>
    <w:p w14:paraId="641FD7B8">
      <w:pPr>
        <w:ind w:firstLine="1890" w:firstLineChars="900"/>
        <w:rPr>
          <w:rFonts w:ascii="宋体" w:hAnsi="宋体" w:cs="宋体"/>
          <w:color w:val="auto"/>
          <w:highlight w:val="none"/>
          <w:u w:val="single"/>
        </w:rPr>
      </w:pPr>
    </w:p>
    <w:p w14:paraId="5E79BF1D">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28FAD9D6">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1.应对照竞争性磋商文件“第三章 采购需求”中的</w:t>
      </w:r>
      <w:r>
        <w:rPr>
          <w:rFonts w:hint="eastAsia" w:ascii="宋体" w:hAnsi="宋体"/>
          <w:b/>
          <w:bCs/>
          <w:color w:val="auto"/>
          <w:kern w:val="21"/>
          <w:szCs w:val="21"/>
          <w:highlight w:val="none"/>
        </w:rPr>
        <w:t>服务内容及要求</w:t>
      </w:r>
      <w:r>
        <w:rPr>
          <w:rFonts w:hint="eastAsia" w:ascii="宋体" w:hAnsi="宋体" w:cs="宋体"/>
          <w:b/>
          <w:color w:val="auto"/>
          <w:szCs w:val="21"/>
          <w:highlight w:val="none"/>
        </w:rPr>
        <w:t>逐条实质性响应，并作出偏离说明。</w:t>
      </w:r>
    </w:p>
    <w:p w14:paraId="4CB2D64E">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2.供应商应根据自身的承诺，对照竞争性磋商文件要求在“偏离说明”中注明“正偏离”、“负偏离”或者“无偏离”。既不属于“正偏离”也不属于“负偏离”即为“无偏离”。</w:t>
      </w:r>
    </w:p>
    <w:p w14:paraId="69FFDD9A">
      <w:pPr>
        <w:spacing w:line="400" w:lineRule="exact"/>
        <w:ind w:firstLine="630"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3.当本表由多页构成时，需逐页加盖磋商供应商公章（CA签章）（属自然人的须逐页签字或个人CA签章）。</w:t>
      </w:r>
    </w:p>
    <w:p w14:paraId="4973CF5E">
      <w:pPr>
        <w:rPr>
          <w:rFonts w:hint="eastAsia"/>
          <w:color w:val="auto"/>
          <w:highlight w:val="none"/>
        </w:rPr>
      </w:pPr>
    </w:p>
    <w:p w14:paraId="42F689CF">
      <w:pPr>
        <w:pStyle w:val="12"/>
        <w:spacing w:line="340" w:lineRule="exact"/>
        <w:outlineLvl w:val="2"/>
        <w:rPr>
          <w:rFonts w:hint="eastAsia" w:hAnsi="宋体" w:cs="宋体"/>
          <w:b/>
          <w:color w:val="auto"/>
          <w:sz w:val="28"/>
          <w:szCs w:val="28"/>
          <w:highlight w:val="none"/>
        </w:rPr>
      </w:pPr>
    </w:p>
    <w:p w14:paraId="57DEA17E">
      <w:pPr>
        <w:pStyle w:val="12"/>
        <w:spacing w:line="340" w:lineRule="exact"/>
        <w:outlineLvl w:val="2"/>
        <w:rPr>
          <w:rFonts w:hint="eastAsia" w:hAnsi="宋体" w:cs="宋体"/>
          <w:b/>
          <w:color w:val="auto"/>
          <w:sz w:val="28"/>
          <w:szCs w:val="28"/>
          <w:highlight w:val="none"/>
        </w:rPr>
      </w:pPr>
    </w:p>
    <w:p w14:paraId="79A93203">
      <w:pPr>
        <w:pStyle w:val="12"/>
        <w:spacing w:line="340" w:lineRule="exact"/>
        <w:outlineLvl w:val="2"/>
        <w:rPr>
          <w:rFonts w:hint="eastAsia" w:hAnsi="宋体" w:cs="宋体"/>
          <w:b/>
          <w:color w:val="auto"/>
          <w:sz w:val="28"/>
          <w:szCs w:val="28"/>
          <w:highlight w:val="none"/>
        </w:rPr>
      </w:pPr>
    </w:p>
    <w:p w14:paraId="614E9F76">
      <w:pPr>
        <w:pStyle w:val="12"/>
        <w:spacing w:line="340" w:lineRule="exact"/>
        <w:outlineLvl w:val="2"/>
        <w:rPr>
          <w:rFonts w:hint="eastAsia" w:hAnsi="宋体" w:cs="宋体"/>
          <w:b/>
          <w:color w:val="auto"/>
          <w:sz w:val="28"/>
          <w:szCs w:val="28"/>
          <w:highlight w:val="none"/>
        </w:rPr>
      </w:pPr>
    </w:p>
    <w:p w14:paraId="30D47736">
      <w:pPr>
        <w:pStyle w:val="12"/>
        <w:spacing w:line="340" w:lineRule="exact"/>
        <w:outlineLvl w:val="2"/>
        <w:rPr>
          <w:rFonts w:hint="eastAsia" w:hAnsi="宋体" w:cs="宋体"/>
          <w:b/>
          <w:color w:val="auto"/>
          <w:sz w:val="28"/>
          <w:szCs w:val="28"/>
          <w:highlight w:val="none"/>
        </w:rPr>
      </w:pPr>
    </w:p>
    <w:p w14:paraId="07F855C6">
      <w:pPr>
        <w:pStyle w:val="12"/>
        <w:spacing w:line="340" w:lineRule="exact"/>
        <w:outlineLvl w:val="2"/>
        <w:rPr>
          <w:rFonts w:hint="eastAsia" w:hAnsi="宋体" w:cs="宋体"/>
          <w:b/>
          <w:color w:val="auto"/>
          <w:sz w:val="28"/>
          <w:szCs w:val="28"/>
          <w:highlight w:val="none"/>
        </w:rPr>
      </w:pPr>
    </w:p>
    <w:p w14:paraId="37E2BAC7">
      <w:pPr>
        <w:pStyle w:val="12"/>
        <w:spacing w:line="340" w:lineRule="exact"/>
        <w:outlineLvl w:val="2"/>
        <w:rPr>
          <w:rFonts w:hint="eastAsia" w:hAnsi="宋体" w:cs="宋体"/>
          <w:b/>
          <w:color w:val="auto"/>
          <w:sz w:val="28"/>
          <w:szCs w:val="28"/>
          <w:highlight w:val="none"/>
        </w:rPr>
      </w:pPr>
    </w:p>
    <w:p w14:paraId="2F8234C8">
      <w:pPr>
        <w:pStyle w:val="12"/>
        <w:spacing w:line="340" w:lineRule="exact"/>
        <w:outlineLvl w:val="2"/>
        <w:rPr>
          <w:rFonts w:hint="eastAsia" w:hAnsi="宋体" w:cs="宋体"/>
          <w:b/>
          <w:color w:val="auto"/>
          <w:sz w:val="28"/>
          <w:szCs w:val="28"/>
          <w:highlight w:val="none"/>
        </w:rPr>
      </w:pPr>
    </w:p>
    <w:p w14:paraId="1C8A1071">
      <w:pPr>
        <w:pStyle w:val="12"/>
        <w:spacing w:line="340" w:lineRule="exact"/>
        <w:outlineLvl w:val="2"/>
        <w:rPr>
          <w:rFonts w:hint="eastAsia" w:hAnsi="宋体" w:cs="宋体"/>
          <w:b/>
          <w:color w:val="auto"/>
          <w:sz w:val="28"/>
          <w:szCs w:val="28"/>
          <w:highlight w:val="none"/>
        </w:rPr>
      </w:pPr>
    </w:p>
    <w:p w14:paraId="399BE4B0">
      <w:pPr>
        <w:pStyle w:val="12"/>
        <w:spacing w:line="340" w:lineRule="exact"/>
        <w:outlineLvl w:val="2"/>
        <w:rPr>
          <w:rFonts w:hint="eastAsia" w:hAnsi="宋体" w:cs="宋体"/>
          <w:b/>
          <w:color w:val="auto"/>
          <w:sz w:val="28"/>
          <w:szCs w:val="28"/>
          <w:highlight w:val="none"/>
        </w:rPr>
      </w:pPr>
    </w:p>
    <w:p w14:paraId="1A801864">
      <w:pPr>
        <w:pStyle w:val="12"/>
        <w:spacing w:line="340" w:lineRule="exact"/>
        <w:outlineLvl w:val="2"/>
        <w:rPr>
          <w:rFonts w:hint="eastAsia" w:hAnsi="宋体" w:cs="宋体"/>
          <w:b/>
          <w:color w:val="auto"/>
          <w:sz w:val="28"/>
          <w:szCs w:val="28"/>
          <w:highlight w:val="none"/>
        </w:rPr>
      </w:pPr>
    </w:p>
    <w:p w14:paraId="58FA264B">
      <w:pPr>
        <w:pStyle w:val="12"/>
        <w:spacing w:line="340" w:lineRule="exact"/>
        <w:outlineLvl w:val="2"/>
        <w:rPr>
          <w:rFonts w:hint="eastAsia" w:hAnsi="宋体" w:cs="宋体"/>
          <w:b/>
          <w:color w:val="auto"/>
          <w:sz w:val="28"/>
          <w:szCs w:val="28"/>
          <w:highlight w:val="none"/>
        </w:rPr>
      </w:pPr>
    </w:p>
    <w:bookmarkEnd w:id="145"/>
    <w:p w14:paraId="7ADAF583">
      <w:pPr>
        <w:spacing w:line="340" w:lineRule="exact"/>
        <w:ind w:left="420"/>
        <w:jc w:val="center"/>
        <w:outlineLvl w:val="1"/>
        <w:rPr>
          <w:rFonts w:hint="eastAsia" w:ascii="宋体" w:hAnsi="宋体" w:cs="宋体"/>
          <w:color w:val="auto"/>
          <w:szCs w:val="21"/>
          <w:highlight w:val="none"/>
        </w:rPr>
      </w:pPr>
      <w:bookmarkStart w:id="148" w:name="_Toc497927084"/>
      <w:bookmarkStart w:id="149" w:name="_Toc9339"/>
      <w:bookmarkStart w:id="150" w:name="_Toc5214"/>
      <w:bookmarkStart w:id="151" w:name="_Toc28672"/>
      <w:r>
        <w:rPr>
          <w:rFonts w:hint="eastAsia" w:ascii="宋体" w:hAnsi="宋体" w:cs="宋体"/>
          <w:b/>
          <w:bCs/>
          <w:color w:val="auto"/>
          <w:sz w:val="32"/>
          <w:szCs w:val="32"/>
          <w:highlight w:val="none"/>
        </w:rPr>
        <w:t>（三）其他有效证明材料目录</w:t>
      </w:r>
      <w:bookmarkEnd w:id="148"/>
      <w:bookmarkEnd w:id="149"/>
      <w:bookmarkEnd w:id="150"/>
      <w:bookmarkEnd w:id="151"/>
    </w:p>
    <w:p w14:paraId="09866034">
      <w:pPr>
        <w:spacing w:line="400" w:lineRule="exact"/>
        <w:ind w:firstLine="420" w:firstLineChars="200"/>
        <w:rPr>
          <w:rFonts w:hint="eastAsia" w:ascii="宋体" w:hAnsi="宋体" w:cs="宋体"/>
          <w:color w:val="auto"/>
          <w:szCs w:val="21"/>
          <w:highlight w:val="none"/>
        </w:rPr>
      </w:pPr>
    </w:p>
    <w:p w14:paraId="6C20E40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26686C5C">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2.针对本项目的实施方案（格式见附件）</w:t>
      </w:r>
      <w:r>
        <w:rPr>
          <w:rFonts w:hint="eastAsia" w:ascii="宋体" w:hAnsi="宋体" w:cs="宋体"/>
          <w:b/>
          <w:bCs/>
          <w:color w:val="auto"/>
          <w:szCs w:val="21"/>
          <w:highlight w:val="none"/>
        </w:rPr>
        <w:t>（如有，请提供）。</w:t>
      </w:r>
    </w:p>
    <w:p w14:paraId="2EC548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r>
        <w:rPr>
          <w:rFonts w:hint="eastAsia" w:ascii="宋体" w:hAnsi="宋体" w:cs="宋体"/>
          <w:b/>
          <w:bCs/>
          <w:color w:val="auto"/>
          <w:szCs w:val="21"/>
          <w:highlight w:val="none"/>
          <w:lang w:eastAsia="zh-CN"/>
        </w:rPr>
        <w:t>。</w:t>
      </w:r>
    </w:p>
    <w:p w14:paraId="12B6F54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118434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6CCA1308">
      <w:pPr>
        <w:pStyle w:val="12"/>
        <w:spacing w:line="340" w:lineRule="exact"/>
        <w:outlineLvl w:val="2"/>
        <w:rPr>
          <w:rFonts w:hAnsi="宋体" w:cs="宋体"/>
          <w:b/>
          <w:color w:val="auto"/>
          <w:sz w:val="28"/>
          <w:szCs w:val="28"/>
          <w:highlight w:val="none"/>
        </w:rPr>
      </w:pPr>
      <w:r>
        <w:rPr>
          <w:rFonts w:hint="eastAsia" w:hAnsi="宋体" w:cs="宋体"/>
          <w:b/>
          <w:color w:val="auto"/>
          <w:sz w:val="28"/>
          <w:szCs w:val="28"/>
          <w:highlight w:val="none"/>
        </w:rPr>
        <w:br w:type="page"/>
      </w:r>
      <w:bookmarkStart w:id="152" w:name="_Toc8134"/>
      <w:r>
        <w:rPr>
          <w:rFonts w:hint="eastAsia" w:hAnsi="宋体" w:cs="宋体"/>
          <w:b/>
          <w:color w:val="auto"/>
          <w:sz w:val="28"/>
          <w:szCs w:val="28"/>
          <w:highlight w:val="none"/>
        </w:rPr>
        <w:t>1.服务承诺</w:t>
      </w:r>
      <w:r>
        <w:rPr>
          <w:rFonts w:hint="eastAsia" w:hAnsi="宋体" w:cs="宋体"/>
          <w:b/>
          <w:color w:val="auto"/>
          <w:sz w:val="28"/>
          <w:szCs w:val="28"/>
          <w:highlight w:val="none"/>
          <w:lang w:val="en-US" w:eastAsia="zh-CN"/>
        </w:rPr>
        <w:t>方案</w:t>
      </w:r>
      <w:r>
        <w:rPr>
          <w:rFonts w:hint="eastAsia" w:hAnsi="宋体" w:cs="宋体"/>
          <w:b/>
          <w:color w:val="auto"/>
          <w:sz w:val="28"/>
          <w:szCs w:val="28"/>
          <w:highlight w:val="none"/>
        </w:rPr>
        <w:t>（如有，请提供）；</w:t>
      </w:r>
      <w:bookmarkEnd w:id="152"/>
    </w:p>
    <w:p w14:paraId="361F7DBB">
      <w:pPr>
        <w:rPr>
          <w:rFonts w:ascii="宋体" w:hAnsi="宋体" w:cs="宋体"/>
          <w:color w:val="auto"/>
          <w:highlight w:val="none"/>
        </w:rPr>
      </w:pPr>
    </w:p>
    <w:p w14:paraId="702A1E32">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599B4770">
      <w:pPr>
        <w:pStyle w:val="2"/>
        <w:rPr>
          <w:rFonts w:ascii="宋体" w:hAnsi="宋体" w:cs="宋体"/>
          <w:color w:val="auto"/>
          <w:highlight w:val="none"/>
        </w:rPr>
      </w:pPr>
    </w:p>
    <w:p w14:paraId="2495E44A">
      <w:pPr>
        <w:pStyle w:val="12"/>
        <w:spacing w:line="340" w:lineRule="exact"/>
        <w:jc w:val="center"/>
        <w:rPr>
          <w:rFonts w:hAnsi="宋体" w:cs="宋体"/>
          <w:b/>
          <w:color w:val="auto"/>
          <w:sz w:val="32"/>
          <w:szCs w:val="32"/>
          <w:highlight w:val="none"/>
        </w:rPr>
      </w:pPr>
      <w:r>
        <w:rPr>
          <w:rFonts w:hint="eastAsia" w:hAnsi="宋体" w:cs="宋体"/>
          <w:b/>
          <w:color w:val="auto"/>
          <w:sz w:val="32"/>
          <w:szCs w:val="32"/>
          <w:highlight w:val="none"/>
        </w:rPr>
        <w:t>服务承诺</w:t>
      </w:r>
      <w:r>
        <w:rPr>
          <w:rFonts w:hint="eastAsia" w:hAnsi="宋体" w:cs="宋体"/>
          <w:b/>
          <w:color w:val="auto"/>
          <w:sz w:val="32"/>
          <w:szCs w:val="32"/>
          <w:highlight w:val="none"/>
          <w:lang w:val="en-US" w:eastAsia="zh-CN"/>
        </w:rPr>
        <w:t>方案</w:t>
      </w:r>
      <w:r>
        <w:rPr>
          <w:rFonts w:hint="eastAsia" w:hAnsi="宋体" w:cs="宋体"/>
          <w:b/>
          <w:color w:val="auto"/>
          <w:sz w:val="32"/>
          <w:szCs w:val="32"/>
          <w:highlight w:val="none"/>
        </w:rPr>
        <w:t>（格式）</w:t>
      </w:r>
    </w:p>
    <w:p w14:paraId="30C8DC21">
      <w:pPr>
        <w:pStyle w:val="12"/>
        <w:spacing w:line="340" w:lineRule="exact"/>
        <w:jc w:val="center"/>
        <w:rPr>
          <w:rFonts w:hAnsi="宋体" w:cs="宋体"/>
          <w:b/>
          <w:color w:val="auto"/>
          <w:sz w:val="32"/>
          <w:szCs w:val="32"/>
          <w:highlight w:val="none"/>
        </w:rPr>
      </w:pPr>
    </w:p>
    <w:p w14:paraId="3BB6FB18">
      <w:pPr>
        <w:rPr>
          <w:rFonts w:ascii="宋体" w:hAnsi="宋体" w:cs="宋体"/>
          <w:b/>
          <w:color w:val="auto"/>
          <w:sz w:val="32"/>
          <w:szCs w:val="32"/>
          <w:highlight w:val="none"/>
        </w:rPr>
      </w:pPr>
    </w:p>
    <w:p w14:paraId="1793C11C">
      <w:pPr>
        <w:pStyle w:val="2"/>
        <w:rPr>
          <w:rFonts w:ascii="宋体" w:hAnsi="宋体" w:cs="宋体"/>
          <w:b/>
          <w:color w:val="auto"/>
          <w:sz w:val="32"/>
          <w:szCs w:val="32"/>
          <w:highlight w:val="none"/>
        </w:rPr>
      </w:pPr>
    </w:p>
    <w:p w14:paraId="1E0A431F">
      <w:pPr>
        <w:pStyle w:val="12"/>
        <w:spacing w:line="340" w:lineRule="exact"/>
        <w:jc w:val="center"/>
        <w:rPr>
          <w:rFonts w:hAnsi="宋体" w:cs="宋体"/>
          <w:b/>
          <w:color w:val="auto"/>
          <w:sz w:val="32"/>
          <w:szCs w:val="32"/>
          <w:highlight w:val="none"/>
        </w:rPr>
      </w:pPr>
    </w:p>
    <w:p w14:paraId="3BA509D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26EADF88">
      <w:pPr>
        <w:snapToGrid w:val="0"/>
        <w:spacing w:line="400" w:lineRule="exact"/>
        <w:ind w:firstLine="1890" w:firstLineChars="900"/>
        <w:rPr>
          <w:rFonts w:ascii="宋体" w:hAnsi="宋体" w:cs="宋体"/>
          <w:b/>
          <w:bCs/>
          <w:color w:val="auto"/>
          <w:szCs w:val="21"/>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6215D4C7">
      <w:pPr>
        <w:pStyle w:val="2"/>
        <w:rPr>
          <w:rFonts w:ascii="宋体" w:hAnsi="宋体" w:cs="宋体"/>
          <w:b/>
          <w:bCs/>
          <w:color w:val="auto"/>
          <w:szCs w:val="21"/>
          <w:highlight w:val="none"/>
        </w:rPr>
      </w:pPr>
    </w:p>
    <w:p w14:paraId="7BF4808B">
      <w:pPr>
        <w:pStyle w:val="2"/>
        <w:rPr>
          <w:rFonts w:ascii="宋体" w:hAnsi="宋体" w:cs="宋体"/>
          <w:b/>
          <w:bCs/>
          <w:color w:val="auto"/>
          <w:szCs w:val="21"/>
          <w:highlight w:val="none"/>
        </w:rPr>
      </w:pPr>
    </w:p>
    <w:p w14:paraId="5E48E51E">
      <w:pPr>
        <w:pStyle w:val="2"/>
        <w:rPr>
          <w:rFonts w:hint="eastAsia" w:ascii="宋体" w:hAnsi="宋体" w:cs="宋体"/>
          <w:b/>
          <w:bCs/>
          <w:color w:val="auto"/>
          <w:szCs w:val="21"/>
          <w:highlight w:val="none"/>
        </w:rPr>
      </w:pPr>
    </w:p>
    <w:p w14:paraId="2572C440">
      <w:pPr>
        <w:rPr>
          <w:color w:val="auto"/>
          <w:highlight w:val="none"/>
        </w:rPr>
      </w:pPr>
    </w:p>
    <w:p w14:paraId="7917E6F7">
      <w:pPr>
        <w:pStyle w:val="2"/>
        <w:rPr>
          <w:rFonts w:ascii="宋体" w:hAnsi="宋体" w:cs="宋体"/>
          <w:b/>
          <w:bCs/>
          <w:color w:val="auto"/>
          <w:szCs w:val="21"/>
          <w:highlight w:val="none"/>
        </w:rPr>
      </w:pPr>
    </w:p>
    <w:p w14:paraId="6F0A79C0">
      <w:pPr>
        <w:rPr>
          <w:rFonts w:ascii="宋体" w:hAnsi="宋体" w:cs="宋体"/>
          <w:color w:val="auto"/>
          <w:highlight w:val="none"/>
        </w:rPr>
      </w:pPr>
    </w:p>
    <w:p w14:paraId="2A4F6504">
      <w:pPr>
        <w:rPr>
          <w:rFonts w:ascii="宋体" w:hAnsi="宋体" w:cs="宋体"/>
          <w:b/>
          <w:color w:val="auto"/>
          <w:sz w:val="28"/>
          <w:szCs w:val="28"/>
          <w:highlight w:val="none"/>
        </w:rPr>
      </w:pPr>
      <w:bookmarkStart w:id="153" w:name="_Toc24192"/>
      <w:r>
        <w:rPr>
          <w:rFonts w:hint="eastAsia" w:ascii="宋体" w:hAnsi="宋体" w:cs="宋体"/>
          <w:b/>
          <w:color w:val="auto"/>
          <w:sz w:val="28"/>
          <w:szCs w:val="28"/>
          <w:highlight w:val="none"/>
        </w:rPr>
        <w:t>2.针对本项目的实施方案（如有，请提供）；</w:t>
      </w:r>
      <w:bookmarkEnd w:id="153"/>
    </w:p>
    <w:p w14:paraId="112CA156">
      <w:pPr>
        <w:rPr>
          <w:rFonts w:ascii="宋体" w:hAnsi="宋体" w:cs="宋体"/>
          <w:color w:val="auto"/>
          <w:highlight w:val="none"/>
        </w:rPr>
      </w:pPr>
    </w:p>
    <w:p w14:paraId="7890228B">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46A7454E">
      <w:pPr>
        <w:rPr>
          <w:rFonts w:ascii="宋体" w:hAnsi="宋体" w:cs="宋体"/>
          <w:color w:val="auto"/>
          <w:highlight w:val="none"/>
        </w:rPr>
      </w:pPr>
    </w:p>
    <w:p w14:paraId="46E55E8D">
      <w:pPr>
        <w:pStyle w:val="12"/>
        <w:spacing w:line="340" w:lineRule="exact"/>
        <w:jc w:val="center"/>
        <w:rPr>
          <w:rFonts w:ascii="宋体" w:hAnsi="宋体" w:cs="宋体"/>
          <w:b/>
          <w:color w:val="auto"/>
          <w:sz w:val="32"/>
          <w:szCs w:val="32"/>
          <w:highlight w:val="none"/>
        </w:rPr>
      </w:pPr>
      <w:r>
        <w:rPr>
          <w:rFonts w:hint="eastAsia" w:hAnsi="宋体" w:cs="宋体"/>
          <w:b/>
          <w:color w:val="auto"/>
          <w:sz w:val="32"/>
          <w:szCs w:val="32"/>
          <w:highlight w:val="none"/>
        </w:rPr>
        <w:t>实施方案（格式）</w:t>
      </w:r>
    </w:p>
    <w:p w14:paraId="37C65881">
      <w:pPr>
        <w:pStyle w:val="2"/>
        <w:rPr>
          <w:rFonts w:ascii="宋体" w:hAnsi="宋体" w:cs="宋体"/>
          <w:color w:val="auto"/>
          <w:highlight w:val="none"/>
        </w:rPr>
      </w:pPr>
    </w:p>
    <w:p w14:paraId="3D9FAB3F">
      <w:pPr>
        <w:widowControl/>
        <w:ind w:firstLine="3080"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（根据采购需求自行编制）</w:t>
      </w:r>
    </w:p>
    <w:p w14:paraId="28430B7D">
      <w:pPr>
        <w:widowControl/>
        <w:jc w:val="left"/>
        <w:rPr>
          <w:rFonts w:ascii="宋体" w:hAnsi="宋体" w:cs="宋体"/>
          <w:b/>
          <w:color w:val="auto"/>
          <w:kern w:val="0"/>
          <w:sz w:val="28"/>
          <w:szCs w:val="28"/>
          <w:highlight w:val="none"/>
        </w:rPr>
      </w:pPr>
    </w:p>
    <w:p w14:paraId="24C778C7">
      <w:pPr>
        <w:widowControl/>
        <w:ind w:firstLine="3080" w:firstLineChars="1100"/>
        <w:jc w:val="left"/>
        <w:rPr>
          <w:rFonts w:ascii="宋体" w:hAnsi="宋体" w:cs="宋体"/>
          <w:b/>
          <w:color w:val="auto"/>
          <w:kern w:val="0"/>
          <w:sz w:val="28"/>
          <w:szCs w:val="28"/>
          <w:highlight w:val="none"/>
        </w:rPr>
      </w:pPr>
    </w:p>
    <w:p w14:paraId="577E8EFF">
      <w:pPr>
        <w:widowControl/>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6135248C">
      <w:pPr>
        <w:pStyle w:val="12"/>
        <w:spacing w:line="300" w:lineRule="exact"/>
        <w:ind w:left="2940" w:leftChars="1400" w:firstLine="630" w:firstLineChars="300"/>
        <w:rPr>
          <w:rFonts w:hAnsi="宋体" w:cs="宋体"/>
          <w:color w:val="auto"/>
          <w:highlight w:val="none"/>
        </w:rPr>
      </w:pPr>
    </w:p>
    <w:p w14:paraId="5A75CE9C">
      <w:pPr>
        <w:snapToGrid w:val="0"/>
        <w:spacing w:line="300" w:lineRule="exact"/>
        <w:ind w:firstLine="4830" w:firstLineChars="2300"/>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34B315D4">
      <w:pPr>
        <w:snapToGrid w:val="0"/>
        <w:spacing w:line="300" w:lineRule="exact"/>
        <w:ind w:firstLine="3570" w:firstLineChars="1700"/>
        <w:rPr>
          <w:rFonts w:ascii="宋体" w:hAnsi="宋体" w:cs="宋体"/>
          <w:color w:val="auto"/>
          <w:highlight w:val="none"/>
          <w:u w:val="single"/>
        </w:rPr>
      </w:pPr>
    </w:p>
    <w:p w14:paraId="0D54F706">
      <w:pPr>
        <w:pStyle w:val="2"/>
        <w:rPr>
          <w:rFonts w:ascii="宋体" w:hAnsi="宋体" w:cs="宋体"/>
          <w:color w:val="auto"/>
          <w:highlight w:val="none"/>
          <w:u w:val="single"/>
        </w:rPr>
      </w:pPr>
    </w:p>
    <w:p w14:paraId="2E2F3273">
      <w:pPr>
        <w:rPr>
          <w:rFonts w:hint="eastAsia" w:hAnsi="宋体" w:cs="宋体"/>
          <w:b/>
          <w:color w:val="auto"/>
          <w:sz w:val="28"/>
          <w:szCs w:val="28"/>
          <w:highlight w:val="none"/>
        </w:rPr>
      </w:pPr>
      <w:bookmarkStart w:id="154" w:name="_Toc7569"/>
      <w:r>
        <w:rPr>
          <w:rFonts w:hint="eastAsia" w:hAnsi="宋体" w:cs="宋体"/>
          <w:b/>
          <w:color w:val="auto"/>
          <w:sz w:val="28"/>
          <w:szCs w:val="28"/>
          <w:highlight w:val="none"/>
        </w:rPr>
        <w:br w:type="page"/>
      </w:r>
    </w:p>
    <w:p w14:paraId="496209CD">
      <w:pPr>
        <w:spacing w:line="400" w:lineRule="exact"/>
        <w:rPr>
          <w:rFonts w:hint="eastAsia" w:ascii="宋体" w:hAnsi="宋体" w:cs="宋体"/>
          <w:b/>
          <w:color w:val="auto"/>
          <w:sz w:val="28"/>
          <w:szCs w:val="28"/>
          <w:highlight w:val="none"/>
        </w:rPr>
      </w:pPr>
      <w:r>
        <w:rPr>
          <w:rFonts w:hint="eastAsia" w:hAnsi="宋体" w:cs="宋体"/>
          <w:b/>
          <w:color w:val="auto"/>
          <w:sz w:val="28"/>
          <w:szCs w:val="28"/>
          <w:highlight w:val="none"/>
        </w:rPr>
        <w:t>3</w:t>
      </w:r>
      <w:r>
        <w:rPr>
          <w:rFonts w:hint="eastAsia" w:ascii="宋体" w:hAnsi="宋体" w:cs="宋体"/>
          <w:b/>
          <w:color w:val="auto"/>
          <w:sz w:val="28"/>
          <w:szCs w:val="28"/>
          <w:highlight w:val="none"/>
        </w:rPr>
        <w:t>.</w:t>
      </w:r>
      <w:bookmarkEnd w:id="154"/>
      <w:r>
        <w:rPr>
          <w:rFonts w:hint="eastAsia" w:ascii="宋体" w:hAnsi="宋体" w:cs="宋体"/>
          <w:b/>
          <w:color w:val="auto"/>
          <w:sz w:val="28"/>
          <w:szCs w:val="28"/>
          <w:highlight w:val="none"/>
        </w:rPr>
        <w:t>项目实施人员一览表</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如有，请提供</w:t>
      </w:r>
      <w:r>
        <w:rPr>
          <w:rFonts w:hint="eastAsia" w:ascii="宋体" w:hAnsi="宋体" w:cs="宋体"/>
          <w:b/>
          <w:color w:val="auto"/>
          <w:sz w:val="28"/>
          <w:szCs w:val="28"/>
          <w:highlight w:val="none"/>
          <w:lang w:eastAsia="zh-CN"/>
        </w:rPr>
        <w:t>）</w:t>
      </w:r>
    </w:p>
    <w:p w14:paraId="33D603D2">
      <w:pPr>
        <w:pStyle w:val="12"/>
        <w:spacing w:line="360" w:lineRule="auto"/>
        <w:outlineLvl w:val="2"/>
        <w:rPr>
          <w:rFonts w:hint="eastAsia" w:hAnsi="宋体" w:cs="宋体"/>
          <w:color w:val="auto"/>
          <w:highlight w:val="none"/>
        </w:rPr>
      </w:pPr>
    </w:p>
    <w:p w14:paraId="1FEF4638">
      <w:pPr>
        <w:pStyle w:val="12"/>
        <w:ind w:firstLine="280" w:firstLineChars="100"/>
        <w:rPr>
          <w:rFonts w:hint="eastAsia" w:hAnsi="宋体" w:cs="宋体"/>
          <w:b/>
          <w:bCs/>
          <w:color w:val="auto"/>
          <w:sz w:val="28"/>
          <w:szCs w:val="28"/>
          <w:highlight w:val="none"/>
        </w:rPr>
      </w:pPr>
      <w:r>
        <w:rPr>
          <w:rFonts w:hint="eastAsia" w:hAnsi="宋体" w:cs="宋体"/>
          <w:b/>
          <w:bCs/>
          <w:color w:val="auto"/>
          <w:sz w:val="28"/>
          <w:szCs w:val="28"/>
          <w:highlight w:val="none"/>
        </w:rPr>
        <w:t>附件：</w:t>
      </w:r>
    </w:p>
    <w:p w14:paraId="7762AF6F">
      <w:pPr>
        <w:pStyle w:val="12"/>
        <w:ind w:firstLine="411"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tblGrid>
      <w:tr w14:paraId="45AC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14:paraId="315149E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050" w:type="dxa"/>
            <w:noWrap w:val="0"/>
            <w:vAlign w:val="center"/>
          </w:tcPr>
          <w:p w14:paraId="1D5CEB9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665" w:type="dxa"/>
            <w:noWrap w:val="0"/>
            <w:vAlign w:val="center"/>
          </w:tcPr>
          <w:p w14:paraId="0C2C729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1200" w:type="dxa"/>
            <w:noWrap w:val="0"/>
            <w:vAlign w:val="center"/>
          </w:tcPr>
          <w:p w14:paraId="48000BD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2550" w:type="dxa"/>
            <w:noWrap w:val="0"/>
            <w:vAlign w:val="center"/>
          </w:tcPr>
          <w:p w14:paraId="2CA5C1D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r>
      <w:tr w14:paraId="5BE9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4A993714">
            <w:pPr>
              <w:spacing w:line="400" w:lineRule="exact"/>
              <w:jc w:val="center"/>
              <w:rPr>
                <w:rFonts w:hint="eastAsia" w:ascii="宋体" w:hAnsi="宋体" w:cs="宋体"/>
                <w:color w:val="auto"/>
                <w:szCs w:val="21"/>
                <w:highlight w:val="none"/>
              </w:rPr>
            </w:pPr>
          </w:p>
        </w:tc>
        <w:tc>
          <w:tcPr>
            <w:tcW w:w="1050" w:type="dxa"/>
            <w:noWrap w:val="0"/>
            <w:vAlign w:val="top"/>
          </w:tcPr>
          <w:p w14:paraId="18B97DA6">
            <w:pPr>
              <w:spacing w:line="400" w:lineRule="exact"/>
              <w:jc w:val="center"/>
              <w:rPr>
                <w:rFonts w:hint="eastAsia" w:ascii="宋体" w:hAnsi="宋体" w:cs="宋体"/>
                <w:color w:val="auto"/>
                <w:szCs w:val="21"/>
                <w:highlight w:val="none"/>
              </w:rPr>
            </w:pPr>
          </w:p>
        </w:tc>
        <w:tc>
          <w:tcPr>
            <w:tcW w:w="1665" w:type="dxa"/>
            <w:noWrap w:val="0"/>
            <w:vAlign w:val="top"/>
          </w:tcPr>
          <w:p w14:paraId="3BDECB02">
            <w:pPr>
              <w:spacing w:line="400" w:lineRule="exact"/>
              <w:jc w:val="center"/>
              <w:rPr>
                <w:rFonts w:hint="eastAsia" w:ascii="宋体" w:hAnsi="宋体" w:cs="宋体"/>
                <w:color w:val="auto"/>
                <w:szCs w:val="21"/>
                <w:highlight w:val="none"/>
              </w:rPr>
            </w:pPr>
          </w:p>
        </w:tc>
        <w:tc>
          <w:tcPr>
            <w:tcW w:w="1200" w:type="dxa"/>
            <w:noWrap w:val="0"/>
            <w:vAlign w:val="top"/>
          </w:tcPr>
          <w:p w14:paraId="6F6B9942">
            <w:pPr>
              <w:spacing w:line="400" w:lineRule="exact"/>
              <w:jc w:val="center"/>
              <w:rPr>
                <w:rFonts w:hint="eastAsia" w:ascii="宋体" w:hAnsi="宋体" w:cs="宋体"/>
                <w:color w:val="auto"/>
                <w:szCs w:val="21"/>
                <w:highlight w:val="none"/>
              </w:rPr>
            </w:pPr>
          </w:p>
        </w:tc>
        <w:tc>
          <w:tcPr>
            <w:tcW w:w="2550" w:type="dxa"/>
            <w:noWrap w:val="0"/>
            <w:vAlign w:val="top"/>
          </w:tcPr>
          <w:p w14:paraId="168EF6D8">
            <w:pPr>
              <w:spacing w:line="400" w:lineRule="exact"/>
              <w:jc w:val="center"/>
              <w:rPr>
                <w:rFonts w:hint="eastAsia" w:ascii="宋体" w:hAnsi="宋体" w:cs="宋体"/>
                <w:color w:val="auto"/>
                <w:szCs w:val="21"/>
                <w:highlight w:val="none"/>
              </w:rPr>
            </w:pPr>
          </w:p>
        </w:tc>
      </w:tr>
      <w:tr w14:paraId="4BCE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3E5E1A3C">
            <w:pPr>
              <w:spacing w:line="400" w:lineRule="exact"/>
              <w:jc w:val="center"/>
              <w:rPr>
                <w:rFonts w:hint="eastAsia" w:ascii="宋体" w:hAnsi="宋体" w:cs="宋体"/>
                <w:color w:val="auto"/>
                <w:szCs w:val="21"/>
                <w:highlight w:val="none"/>
              </w:rPr>
            </w:pPr>
          </w:p>
        </w:tc>
        <w:tc>
          <w:tcPr>
            <w:tcW w:w="1050" w:type="dxa"/>
            <w:noWrap w:val="0"/>
            <w:vAlign w:val="top"/>
          </w:tcPr>
          <w:p w14:paraId="37AC130B">
            <w:pPr>
              <w:spacing w:line="400" w:lineRule="exact"/>
              <w:jc w:val="center"/>
              <w:rPr>
                <w:rFonts w:hint="eastAsia" w:ascii="宋体" w:hAnsi="宋体" w:cs="宋体"/>
                <w:color w:val="auto"/>
                <w:szCs w:val="21"/>
                <w:highlight w:val="none"/>
              </w:rPr>
            </w:pPr>
          </w:p>
        </w:tc>
        <w:tc>
          <w:tcPr>
            <w:tcW w:w="1665" w:type="dxa"/>
            <w:noWrap w:val="0"/>
            <w:vAlign w:val="top"/>
          </w:tcPr>
          <w:p w14:paraId="6C196EAF">
            <w:pPr>
              <w:spacing w:line="400" w:lineRule="exact"/>
              <w:jc w:val="center"/>
              <w:rPr>
                <w:rFonts w:hint="eastAsia" w:ascii="宋体" w:hAnsi="宋体" w:cs="宋体"/>
                <w:color w:val="auto"/>
                <w:szCs w:val="21"/>
                <w:highlight w:val="none"/>
              </w:rPr>
            </w:pPr>
          </w:p>
        </w:tc>
        <w:tc>
          <w:tcPr>
            <w:tcW w:w="1200" w:type="dxa"/>
            <w:noWrap w:val="0"/>
            <w:vAlign w:val="top"/>
          </w:tcPr>
          <w:p w14:paraId="43BFF704">
            <w:pPr>
              <w:spacing w:line="400" w:lineRule="exact"/>
              <w:jc w:val="center"/>
              <w:rPr>
                <w:rFonts w:hint="eastAsia" w:ascii="宋体" w:hAnsi="宋体" w:cs="宋体"/>
                <w:color w:val="auto"/>
                <w:szCs w:val="21"/>
                <w:highlight w:val="none"/>
              </w:rPr>
            </w:pPr>
          </w:p>
        </w:tc>
        <w:tc>
          <w:tcPr>
            <w:tcW w:w="2550" w:type="dxa"/>
            <w:noWrap w:val="0"/>
            <w:vAlign w:val="top"/>
          </w:tcPr>
          <w:p w14:paraId="36E1B1C7">
            <w:pPr>
              <w:spacing w:line="400" w:lineRule="exact"/>
              <w:jc w:val="center"/>
              <w:rPr>
                <w:rFonts w:hint="eastAsia" w:ascii="宋体" w:hAnsi="宋体" w:cs="宋体"/>
                <w:color w:val="auto"/>
                <w:szCs w:val="21"/>
                <w:highlight w:val="none"/>
              </w:rPr>
            </w:pPr>
          </w:p>
        </w:tc>
      </w:tr>
      <w:tr w14:paraId="0EB5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024A2F1F">
            <w:pPr>
              <w:spacing w:line="400" w:lineRule="exact"/>
              <w:jc w:val="center"/>
              <w:rPr>
                <w:rFonts w:hint="eastAsia" w:ascii="宋体" w:hAnsi="宋体" w:cs="宋体"/>
                <w:color w:val="auto"/>
                <w:szCs w:val="21"/>
                <w:highlight w:val="none"/>
              </w:rPr>
            </w:pPr>
          </w:p>
        </w:tc>
        <w:tc>
          <w:tcPr>
            <w:tcW w:w="1050" w:type="dxa"/>
            <w:noWrap w:val="0"/>
            <w:vAlign w:val="top"/>
          </w:tcPr>
          <w:p w14:paraId="501DCFCF">
            <w:pPr>
              <w:spacing w:line="400" w:lineRule="exact"/>
              <w:jc w:val="center"/>
              <w:rPr>
                <w:rFonts w:hint="eastAsia" w:ascii="宋体" w:hAnsi="宋体" w:cs="宋体"/>
                <w:color w:val="auto"/>
                <w:szCs w:val="21"/>
                <w:highlight w:val="none"/>
              </w:rPr>
            </w:pPr>
          </w:p>
        </w:tc>
        <w:tc>
          <w:tcPr>
            <w:tcW w:w="1665" w:type="dxa"/>
            <w:noWrap w:val="0"/>
            <w:vAlign w:val="top"/>
          </w:tcPr>
          <w:p w14:paraId="63786A88">
            <w:pPr>
              <w:spacing w:line="400" w:lineRule="exact"/>
              <w:jc w:val="center"/>
              <w:rPr>
                <w:rFonts w:hint="eastAsia" w:ascii="宋体" w:hAnsi="宋体" w:cs="宋体"/>
                <w:color w:val="auto"/>
                <w:szCs w:val="21"/>
                <w:highlight w:val="none"/>
              </w:rPr>
            </w:pPr>
          </w:p>
        </w:tc>
        <w:tc>
          <w:tcPr>
            <w:tcW w:w="1200" w:type="dxa"/>
            <w:noWrap w:val="0"/>
            <w:vAlign w:val="top"/>
          </w:tcPr>
          <w:p w14:paraId="20E29E38">
            <w:pPr>
              <w:spacing w:line="400" w:lineRule="exact"/>
              <w:jc w:val="center"/>
              <w:rPr>
                <w:rFonts w:hint="eastAsia" w:ascii="宋体" w:hAnsi="宋体" w:cs="宋体"/>
                <w:color w:val="auto"/>
                <w:szCs w:val="21"/>
                <w:highlight w:val="none"/>
              </w:rPr>
            </w:pPr>
          </w:p>
        </w:tc>
        <w:tc>
          <w:tcPr>
            <w:tcW w:w="2550" w:type="dxa"/>
            <w:noWrap w:val="0"/>
            <w:vAlign w:val="top"/>
          </w:tcPr>
          <w:p w14:paraId="4008C6A5">
            <w:pPr>
              <w:spacing w:line="400" w:lineRule="exact"/>
              <w:jc w:val="center"/>
              <w:rPr>
                <w:rFonts w:hint="eastAsia" w:ascii="宋体" w:hAnsi="宋体" w:cs="宋体"/>
                <w:color w:val="auto"/>
                <w:szCs w:val="21"/>
                <w:highlight w:val="none"/>
              </w:rPr>
            </w:pPr>
          </w:p>
        </w:tc>
      </w:tr>
    </w:tbl>
    <w:p w14:paraId="0CAD73EA">
      <w:pPr>
        <w:spacing w:line="400" w:lineRule="exact"/>
        <w:rPr>
          <w:rFonts w:hint="eastAsia" w:ascii="宋体" w:hAnsi="宋体" w:cs="宋体"/>
          <w:color w:val="auto"/>
          <w:szCs w:val="21"/>
          <w:highlight w:val="none"/>
        </w:rPr>
      </w:pPr>
    </w:p>
    <w:p w14:paraId="6B9A4B21">
      <w:pPr>
        <w:snapToGrid w:val="0"/>
        <w:spacing w:line="400" w:lineRule="exact"/>
        <w:ind w:firstLine="1890" w:firstLineChars="900"/>
        <w:rPr>
          <w:rFonts w:hint="eastAsia" w:ascii="宋体" w:hAnsi="宋体" w:cs="宋体"/>
          <w:color w:val="auto"/>
          <w:szCs w:val="21"/>
          <w:highlight w:val="none"/>
        </w:rPr>
      </w:pPr>
    </w:p>
    <w:p w14:paraId="3EC24D1B">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0E79C4E6">
      <w:pPr>
        <w:pStyle w:val="12"/>
        <w:spacing w:line="340" w:lineRule="exact"/>
        <w:rPr>
          <w:rFonts w:hint="eastAsia" w:hAnsi="宋体" w:cs="宋体"/>
          <w:color w:val="auto"/>
          <w:highlight w:val="none"/>
        </w:rPr>
      </w:pPr>
    </w:p>
    <w:p w14:paraId="335C101F">
      <w:pPr>
        <w:snapToGrid w:val="0"/>
        <w:spacing w:line="400" w:lineRule="exact"/>
        <w:ind w:firstLine="1680" w:firstLineChars="800"/>
        <w:rPr>
          <w:rFonts w:hint="eastAsia"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0BBAF345">
      <w:pPr>
        <w:spacing w:line="360" w:lineRule="auto"/>
        <w:rPr>
          <w:rFonts w:hint="eastAsia" w:ascii="宋体" w:hAnsi="宋体" w:cs="宋体"/>
          <w:b/>
          <w:bCs/>
          <w:color w:val="auto"/>
          <w:sz w:val="24"/>
          <w:highlight w:val="none"/>
        </w:rPr>
      </w:pPr>
    </w:p>
    <w:p w14:paraId="5E75673D">
      <w:pPr>
        <w:spacing w:line="360" w:lineRule="auto"/>
        <w:rPr>
          <w:rFonts w:hint="eastAsia" w:ascii="宋体" w:hAnsi="宋体" w:cs="宋体"/>
          <w:color w:val="auto"/>
          <w:highlight w:val="none"/>
          <w:u w:val="single"/>
        </w:rPr>
      </w:pPr>
      <w:r>
        <w:rPr>
          <w:rFonts w:hint="eastAsia" w:ascii="宋体" w:hAnsi="宋体" w:cs="宋体"/>
          <w:b/>
          <w:bCs/>
          <w:color w:val="auto"/>
          <w:sz w:val="24"/>
          <w:highlight w:val="none"/>
        </w:rPr>
        <w:t>注：供应商可根据自身情况结合本项目自行制定</w:t>
      </w:r>
    </w:p>
    <w:p w14:paraId="18AEBB60">
      <w:pPr>
        <w:pStyle w:val="12"/>
        <w:spacing w:line="340" w:lineRule="exact"/>
        <w:rPr>
          <w:rFonts w:hint="eastAsia" w:hAnsi="宋体" w:cs="宋体"/>
          <w:b/>
          <w:color w:val="auto"/>
          <w:sz w:val="28"/>
          <w:szCs w:val="28"/>
          <w:highlight w:val="none"/>
        </w:rPr>
      </w:pPr>
    </w:p>
    <w:p w14:paraId="37E87758">
      <w:pPr>
        <w:rPr>
          <w:rFonts w:hint="eastAsia"/>
          <w:color w:val="auto"/>
          <w:highlight w:val="none"/>
        </w:rPr>
      </w:pPr>
      <w:bookmarkStart w:id="155" w:name="_Toc497927090"/>
      <w:bookmarkStart w:id="156" w:name="_Toc3052"/>
      <w:bookmarkStart w:id="157" w:name="_Toc10161"/>
    </w:p>
    <w:p w14:paraId="627E45CF">
      <w:pPr>
        <w:pStyle w:val="3"/>
        <w:rPr>
          <w:rFonts w:hint="eastAsia"/>
          <w:color w:val="auto"/>
          <w:highlight w:val="none"/>
        </w:rPr>
      </w:pPr>
    </w:p>
    <w:p w14:paraId="2ACB581F">
      <w:pPr>
        <w:pStyle w:val="3"/>
        <w:rPr>
          <w:rFonts w:hint="eastAsia"/>
          <w:color w:val="auto"/>
          <w:highlight w:val="none"/>
        </w:rPr>
      </w:pPr>
    </w:p>
    <w:p w14:paraId="07F38921">
      <w:pPr>
        <w:numPr>
          <w:ilvl w:val="0"/>
          <w:numId w:val="0"/>
        </w:numPr>
        <w:spacing w:line="400" w:lineRule="exact"/>
        <w:rPr>
          <w:rFonts w:hint="eastAsia"/>
          <w:color w:val="auto"/>
          <w:highlight w:val="none"/>
        </w:rPr>
      </w:pPr>
      <w:bookmarkStart w:id="158" w:name="_Toc11595"/>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供应商20</w:t>
      </w:r>
      <w:r>
        <w:rPr>
          <w:rFonts w:hint="eastAsia" w:ascii="宋体" w:hAnsi="宋体" w:cs="宋体"/>
          <w:b/>
          <w:color w:val="auto"/>
          <w:sz w:val="28"/>
          <w:szCs w:val="28"/>
          <w:highlight w:val="none"/>
          <w:lang w:val="en-US" w:eastAsia="zh-CN"/>
        </w:rPr>
        <w:t>23</w:t>
      </w:r>
      <w:r>
        <w:rPr>
          <w:rFonts w:hint="eastAsia" w:ascii="宋体" w:hAnsi="宋体" w:cs="宋体"/>
          <w:b/>
          <w:color w:val="auto"/>
          <w:sz w:val="28"/>
          <w:szCs w:val="28"/>
          <w:highlight w:val="none"/>
        </w:rPr>
        <w:t>年1月1日至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rPr>
        <w:t>具有同类项目的业绩相关证明材料（以中标或成交通知书或签订的合同证明材料为准，并能清晰反映项目的名称、采购内容、采购金额、采购时间）</w:t>
      </w:r>
      <w:r>
        <w:rPr>
          <w:rFonts w:hint="eastAsia" w:ascii="宋体" w:hAnsi="宋体" w:cs="宋体"/>
          <w:b/>
          <w:bCs/>
          <w:color w:val="auto"/>
          <w:sz w:val="28"/>
          <w:szCs w:val="28"/>
          <w:highlight w:val="none"/>
        </w:rPr>
        <w:t>（如有，请提供）；</w:t>
      </w:r>
    </w:p>
    <w:bookmarkEnd w:id="155"/>
    <w:bookmarkEnd w:id="156"/>
    <w:bookmarkEnd w:id="157"/>
    <w:bookmarkEnd w:id="158"/>
    <w:p w14:paraId="36E1B914">
      <w:pPr>
        <w:numPr>
          <w:ilvl w:val="0"/>
          <w:numId w:val="0"/>
        </w:numPr>
        <w:spacing w:line="400" w:lineRule="exact"/>
        <w:ind w:leftChars="0"/>
        <w:rPr>
          <w:rFonts w:hint="eastAsia" w:hAnsi="宋体" w:cs="宋体"/>
          <w:b/>
          <w:color w:val="auto"/>
          <w:sz w:val="28"/>
          <w:szCs w:val="28"/>
          <w:highlight w:val="none"/>
        </w:rPr>
      </w:pPr>
      <w:bookmarkStart w:id="159" w:name="_Toc14778"/>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供应商可结合本项目的评审办法视自身情况自行提交其它相关证明材料。</w:t>
      </w:r>
      <w:bookmarkEnd w:id="159"/>
    </w:p>
    <w:p w14:paraId="38B60FF2">
      <w:pPr>
        <w:pStyle w:val="8"/>
        <w:rPr>
          <w:rFonts w:hint="eastAsia"/>
          <w:color w:val="auto"/>
          <w:highlight w:val="none"/>
        </w:rPr>
      </w:pPr>
    </w:p>
    <w:p w14:paraId="6ABC793C">
      <w:pPr>
        <w:snapToGrid w:val="0"/>
        <w:spacing w:line="380" w:lineRule="exact"/>
        <w:outlineLvl w:val="4"/>
        <w:rPr>
          <w:rFonts w:hint="eastAsia" w:ascii="宋体" w:hAnsi="宋体" w:eastAsia="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附件一：</w:t>
      </w:r>
    </w:p>
    <w:p w14:paraId="5892084F">
      <w:pPr>
        <w:snapToGrid w:val="0"/>
        <w:spacing w:line="380" w:lineRule="exact"/>
        <w:outlineLvl w:val="4"/>
        <w:rPr>
          <w:rFonts w:hint="eastAsia" w:ascii="宋体" w:hAnsi="宋体" w:eastAsia="宋体" w:cs="宋体"/>
          <w:b/>
          <w:color w:val="auto"/>
          <w:sz w:val="24"/>
          <w:highlight w:val="none"/>
        </w:rPr>
      </w:pPr>
    </w:p>
    <w:p w14:paraId="2ECCD97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441427F2">
      <w:pPr>
        <w:keepNext w:val="0"/>
        <w:keepLines w:val="0"/>
        <w:pageBreakBefore w:val="0"/>
        <w:kinsoku/>
        <w:wordWrap/>
        <w:overflowPunct/>
        <w:topLinePunct w:val="0"/>
        <w:autoSpaceDE/>
        <w:autoSpaceDN/>
        <w:bidi w:val="0"/>
        <w:adjustRightInd w:val="0"/>
        <w:snapToGrid w:val="0"/>
        <w:spacing w:before="331" w:beforeLines="10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45C2F8E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21C7062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172C59C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F1172D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4BC602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814F44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F78097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44B6DC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7B145A6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1A9F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1D42BFC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2BDF6B5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648AB9E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3AD64F6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B9063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398FD0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63ED38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33157E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2BE0A69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6C90BA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5DBEC33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4D70C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3C48744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4FCD4A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p>
    <w:p w14:paraId="7A45E66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5821BEF0">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B0F32ED">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6075EBB5">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29CFC478">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C1D7D8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3AE704A">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E965E3D">
      <w:pPr>
        <w:rPr>
          <w:rFonts w:hint="eastAsia" w:ascii="宋体" w:hAnsi="宋体" w:eastAsia="宋体" w:cs="宋体"/>
          <w:b/>
          <w:bCs/>
          <w:color w:val="auto"/>
          <w:sz w:val="24"/>
          <w:highlight w:val="none"/>
        </w:rPr>
      </w:pPr>
    </w:p>
    <w:p w14:paraId="047AF617">
      <w:pPr>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附件二：</w:t>
      </w:r>
    </w:p>
    <w:p w14:paraId="6149CC1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208FE54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2C08D1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5DC77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2C7897B">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AD51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D9A07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AE7CC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41A35A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9A03D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CA1AA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E8611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10A90D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0DB9C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B70C7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1AD77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0C363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18A9B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3A1CBB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59FFDE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5F8B9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7E7ACB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4E5066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BBF9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849D5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25AFB6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288B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24B7542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6268E1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A1107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069B2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759D7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0BF40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2EB4A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6318D8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177E0B2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23E57EF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B4A4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9B24BC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167F88E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FFF9B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38966A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7CE28FD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2CA2946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4056DE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63796F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4CE5235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84D93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07921B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7ACA66F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1A77932">
      <w:pPr>
        <w:pStyle w:val="12"/>
        <w:spacing w:line="400" w:lineRule="exact"/>
        <w:rPr>
          <w:rFonts w:hint="eastAsia" w:ascii="宋体" w:hAnsi="宋体" w:eastAsia="宋体" w:cs="宋体"/>
          <w:b/>
          <w:bCs/>
          <w:color w:val="auto"/>
          <w:sz w:val="32"/>
          <w:szCs w:val="32"/>
          <w:highlight w:val="none"/>
        </w:rPr>
      </w:pPr>
    </w:p>
    <w:p w14:paraId="1141F689">
      <w:pPr>
        <w:snapToGrid w:val="0"/>
        <w:spacing w:line="360" w:lineRule="exact"/>
        <w:outlineLvl w:val="4"/>
        <w:rPr>
          <w:rFonts w:hint="eastAsia" w:ascii="宋体" w:hAnsi="宋体" w:eastAsia="宋体" w:cs="宋体"/>
          <w:color w:val="auto"/>
          <w:highlight w:val="none"/>
        </w:rPr>
      </w:pPr>
    </w:p>
    <w:p w14:paraId="16493A83">
      <w:pPr>
        <w:rPr>
          <w:highlight w:val="none"/>
        </w:rPr>
      </w:pPr>
    </w:p>
    <w:sectPr>
      <w:footerReference r:id="rId4" w:type="default"/>
      <w:pgSz w:w="11906" w:h="16838"/>
      <w:pgMar w:top="1440" w:right="1080" w:bottom="1440" w:left="1080"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F1">
    <w:altName w:val="Noto Sans SC"/>
    <w:panose1 w:val="00000000000000000000"/>
    <w:charset w:val="80"/>
    <w:family w:val="auto"/>
    <w:pitch w:val="default"/>
    <w:sig w:usb0="00000000" w:usb1="00000000" w:usb2="00000010" w:usb3="00000000" w:csb0="0006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A92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D37E46B">
                          <w:pPr>
                            <w:pStyle w:val="13"/>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3D37E46B">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B76A">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F5519A">
                          <w:pPr>
                            <w:pStyle w:val="13"/>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0EF5519A">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5051"/>
    <w:multiLevelType w:val="singleLevel"/>
    <w:tmpl w:val="B90D5051"/>
    <w:lvl w:ilvl="0" w:tentative="0">
      <w:start w:val="6"/>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4"/>
    <w:lvlOverride w:ilvl="0">
      <w:startOverride w:val="2"/>
    </w:lvlOverride>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GQ5MzJkYzE4ZTQ2ZjFiZDFhNWFjZTg1MWZhYzEifQ=="/>
  </w:docVars>
  <w:rsids>
    <w:rsidRoot w:val="6A292817"/>
    <w:rsid w:val="02B51C50"/>
    <w:rsid w:val="03174F3D"/>
    <w:rsid w:val="03DB11E6"/>
    <w:rsid w:val="04220694"/>
    <w:rsid w:val="043E6538"/>
    <w:rsid w:val="05ED6429"/>
    <w:rsid w:val="09061CDB"/>
    <w:rsid w:val="09173EE8"/>
    <w:rsid w:val="09F064E7"/>
    <w:rsid w:val="0A522CFE"/>
    <w:rsid w:val="0AD876A7"/>
    <w:rsid w:val="0BF6484B"/>
    <w:rsid w:val="0C6515B4"/>
    <w:rsid w:val="1053332C"/>
    <w:rsid w:val="130354DD"/>
    <w:rsid w:val="1322578B"/>
    <w:rsid w:val="13326733"/>
    <w:rsid w:val="15A36452"/>
    <w:rsid w:val="15DD3DC4"/>
    <w:rsid w:val="164B6F7F"/>
    <w:rsid w:val="17565001"/>
    <w:rsid w:val="1844570B"/>
    <w:rsid w:val="18F733EE"/>
    <w:rsid w:val="1A920A3F"/>
    <w:rsid w:val="1A9D50B9"/>
    <w:rsid w:val="1B2D36BA"/>
    <w:rsid w:val="1B936EF7"/>
    <w:rsid w:val="1DD64620"/>
    <w:rsid w:val="1E222CBC"/>
    <w:rsid w:val="1F4B5F38"/>
    <w:rsid w:val="22EE44C7"/>
    <w:rsid w:val="236A7C99"/>
    <w:rsid w:val="236E0751"/>
    <w:rsid w:val="24C20D54"/>
    <w:rsid w:val="2519649B"/>
    <w:rsid w:val="28866F83"/>
    <w:rsid w:val="28B906C0"/>
    <w:rsid w:val="29D74568"/>
    <w:rsid w:val="2AA607D0"/>
    <w:rsid w:val="30DA34F8"/>
    <w:rsid w:val="31057A34"/>
    <w:rsid w:val="31F462C5"/>
    <w:rsid w:val="33093FF2"/>
    <w:rsid w:val="33CC574C"/>
    <w:rsid w:val="353A3B27"/>
    <w:rsid w:val="35ED19A9"/>
    <w:rsid w:val="36AA1648"/>
    <w:rsid w:val="36D44917"/>
    <w:rsid w:val="37704640"/>
    <w:rsid w:val="39556F3E"/>
    <w:rsid w:val="39E1258B"/>
    <w:rsid w:val="3A30455A"/>
    <w:rsid w:val="3AD66EB0"/>
    <w:rsid w:val="3BD86796"/>
    <w:rsid w:val="3C1C6B44"/>
    <w:rsid w:val="3D0777F5"/>
    <w:rsid w:val="3DF44992"/>
    <w:rsid w:val="3E691DE9"/>
    <w:rsid w:val="3F3D5509"/>
    <w:rsid w:val="405E3BCF"/>
    <w:rsid w:val="419B050B"/>
    <w:rsid w:val="41C51A2C"/>
    <w:rsid w:val="4415664A"/>
    <w:rsid w:val="45A06A4F"/>
    <w:rsid w:val="45FA11DF"/>
    <w:rsid w:val="463D7DE3"/>
    <w:rsid w:val="47523D62"/>
    <w:rsid w:val="4783216D"/>
    <w:rsid w:val="47A35FD7"/>
    <w:rsid w:val="47D91D8D"/>
    <w:rsid w:val="48F778B5"/>
    <w:rsid w:val="49D15412"/>
    <w:rsid w:val="4A8325D3"/>
    <w:rsid w:val="4ABB1C1E"/>
    <w:rsid w:val="4AF61F29"/>
    <w:rsid w:val="4B6E7FDD"/>
    <w:rsid w:val="4D7B69A6"/>
    <w:rsid w:val="4DBE0454"/>
    <w:rsid w:val="4DBF5582"/>
    <w:rsid w:val="4EFC1D8F"/>
    <w:rsid w:val="4F512B51"/>
    <w:rsid w:val="500B6083"/>
    <w:rsid w:val="502A2D3A"/>
    <w:rsid w:val="50ED7D40"/>
    <w:rsid w:val="51327363"/>
    <w:rsid w:val="53D2648C"/>
    <w:rsid w:val="53F73CC7"/>
    <w:rsid w:val="541D47D6"/>
    <w:rsid w:val="552A00CC"/>
    <w:rsid w:val="55EB09B2"/>
    <w:rsid w:val="57D91936"/>
    <w:rsid w:val="57F347A6"/>
    <w:rsid w:val="584C41EB"/>
    <w:rsid w:val="58E039D8"/>
    <w:rsid w:val="59EF227E"/>
    <w:rsid w:val="5AE623A0"/>
    <w:rsid w:val="5B770A29"/>
    <w:rsid w:val="5BBD277C"/>
    <w:rsid w:val="5C743216"/>
    <w:rsid w:val="5EBE2A2A"/>
    <w:rsid w:val="619227B8"/>
    <w:rsid w:val="64F6539B"/>
    <w:rsid w:val="65E971E8"/>
    <w:rsid w:val="66973C91"/>
    <w:rsid w:val="6763189A"/>
    <w:rsid w:val="67B845F6"/>
    <w:rsid w:val="68B65AA7"/>
    <w:rsid w:val="6A292817"/>
    <w:rsid w:val="6A582B8E"/>
    <w:rsid w:val="6BD4108E"/>
    <w:rsid w:val="6DF13593"/>
    <w:rsid w:val="6FA3580B"/>
    <w:rsid w:val="71D75AD4"/>
    <w:rsid w:val="726F4F19"/>
    <w:rsid w:val="734819F2"/>
    <w:rsid w:val="736F5F0F"/>
    <w:rsid w:val="7528593D"/>
    <w:rsid w:val="757F36C5"/>
    <w:rsid w:val="788F1EDD"/>
    <w:rsid w:val="79AB4DB8"/>
    <w:rsid w:val="7A102438"/>
    <w:rsid w:val="7A2F7467"/>
    <w:rsid w:val="7CE0713F"/>
    <w:rsid w:val="7D11228E"/>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basedOn w:val="4"/>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styleId="4">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styleId="8">
    <w:name w:val="index 8"/>
    <w:basedOn w:val="1"/>
    <w:next w:val="1"/>
    <w:qFormat/>
    <w:uiPriority w:val="0"/>
    <w:pPr>
      <w:ind w:left="2940"/>
    </w:pPr>
  </w:style>
  <w:style w:type="paragraph" w:styleId="9">
    <w:name w:val="annotation text"/>
    <w:basedOn w:val="1"/>
    <w:autoRedefine/>
    <w:qFormat/>
    <w:uiPriority w:val="0"/>
    <w:pPr>
      <w:jc w:val="left"/>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Body Text First Indent 2"/>
    <w:basedOn w:val="10"/>
    <w:unhideWhenUsed/>
    <w:qFormat/>
    <w:uiPriority w:val="99"/>
    <w:pPr>
      <w:ind w:firstLine="420" w:firstLineChars="200"/>
    </w:pPr>
  </w:style>
  <w:style w:type="character" w:styleId="20">
    <w:name w:val="Hyperlink"/>
    <w:basedOn w:val="19"/>
    <w:autoRedefine/>
    <w:qFormat/>
    <w:uiPriority w:val="0"/>
    <w:rPr>
      <w:color w:val="0000FF"/>
      <w:u w:val="single"/>
    </w:rPr>
  </w:style>
  <w:style w:type="paragraph" w:styleId="21">
    <w:name w:val="No Spacing"/>
    <w:qFormat/>
    <w:uiPriority w:val="0"/>
    <w:pPr>
      <w:widowControl w:val="0"/>
      <w:autoSpaceDE w:val="0"/>
      <w:autoSpaceDN w:val="0"/>
      <w:spacing w:line="300" w:lineRule="auto"/>
      <w:jc w:val="both"/>
    </w:pPr>
    <w:rPr>
      <w:rFonts w:ascii="宋体" w:hAnsi="宋体" w:eastAsia="宋体" w:cs="宋体"/>
      <w:kern w:val="2"/>
      <w:sz w:val="24"/>
      <w:szCs w:val="21"/>
      <w:lang w:val="en-US" w:eastAsia="zh-CN" w:bidi="ar-SA"/>
    </w:rPr>
  </w:style>
  <w:style w:type="paragraph" w:customStyle="1" w:styleId="2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23">
    <w:name w:val="bookmark-item"/>
    <w:qFormat/>
    <w:uiPriority w:val="0"/>
  </w:style>
  <w:style w:type="paragraph" w:customStyle="1" w:styleId="24">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列出段落"/>
    <w:basedOn w:val="1"/>
    <w:qFormat/>
    <w:uiPriority w:val="99"/>
    <w:pPr>
      <w:ind w:firstLine="420" w:firstLineChars="200"/>
    </w:pPr>
    <w:rPr>
      <w:rFonts w:ascii="Times New Roman" w:hAnsi="Times New Roman"/>
    </w:rPr>
  </w:style>
  <w:style w:type="paragraph" w:customStyle="1" w:styleId="26">
    <w:name w:val="表格文字"/>
    <w:basedOn w:val="27"/>
    <w:qFormat/>
    <w:uiPriority w:val="99"/>
    <w:pPr>
      <w:jc w:val="left"/>
    </w:pPr>
    <w:rPr>
      <w:bCs/>
      <w:spacing w:val="10"/>
      <w:kern w:val="0"/>
      <w:sz w:val="24"/>
    </w:rPr>
  </w:style>
  <w:style w:type="paragraph" w:customStyle="1" w:styleId="27">
    <w:name w:val="表格"/>
    <w:qFormat/>
    <w:uiPriority w:val="0"/>
    <w:pPr>
      <w:jc w:val="center"/>
    </w:pPr>
    <w:rPr>
      <w:rFonts w:ascii="宋体" w:hAnsi="宋体" w:eastAsia="宋体" w:cs="宋体"/>
      <w:kern w:val="2"/>
      <w:sz w:val="24"/>
      <w:szCs w:val="24"/>
      <w:lang w:val="en-US" w:eastAsia="zh-CN" w:bidi="ar-SA"/>
    </w:rPr>
  </w:style>
  <w:style w:type="character" w:customStyle="1" w:styleId="2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lang w:val="en-US" w:eastAsia="zh-CN" w:bidi="ar-SA"/>
    </w:rPr>
  </w:style>
  <w:style w:type="paragraph" w:styleId="30">
    <w:name w:val="List Paragraph"/>
    <w:basedOn w:val="1"/>
    <w:qFormat/>
    <w:uiPriority w:val="34"/>
    <w:pPr>
      <w:spacing w:line="360" w:lineRule="auto"/>
      <w:ind w:right="-57"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13082</Words>
  <Characters>14253</Characters>
  <Lines>0</Lines>
  <Paragraphs>0</Paragraphs>
  <TotalTime>21</TotalTime>
  <ScaleCrop>false</ScaleCrop>
  <LinksUpToDate>false</LinksUpToDate>
  <CharactersWithSpaces>14723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2023-03-20T06:09:00Z</dcterms:created>
  <dc:creator>HUACHUNWPS</dc:creator>
  <cp:lastModifiedBy>马糯糯</cp:lastModifiedBy>
  <dcterms:modified xsi:type="dcterms:W3CDTF">2025-07-30T08:22:22Z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A8B1A4AEAC2F4BF7B5722C9E0055445F_13</vt:lpwstr>
  </property>
  <property fmtid="{D5CDD505-2E9C-101B-9397-08002B2CF9AE}" pid="4" name="KSOTemplateDocerSaveRecord">
    <vt:lpwstr>eyJoZGlkIjoiOWFhMTJkN2M5MzNmZjA1ODQ1Njc3MmMwNTk4NmNkMDciLCJ1c2VySWQiOiIzOTEyNDkzNjkifQ==</vt:lpwstr>
  </property>
</Properties>
</file>